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491C5E">
      <w:pPr>
        <w:pStyle w:val="3"/>
        <w:spacing w:line="500" w:lineRule="exact"/>
        <w:jc w:val="center"/>
        <w:rPr>
          <w:rFonts w:asciiTheme="minorEastAsia" w:hAnsiTheme="minorEastAsia" w:eastAsiaTheme="minorEastAsia"/>
          <w:sz w:val="32"/>
          <w:szCs w:val="32"/>
        </w:rPr>
      </w:pPr>
      <w:bookmarkStart w:id="34" w:name="_GoBack"/>
      <w:bookmarkEnd w:id="34"/>
      <w:bookmarkStart w:id="0" w:name="_Toc73383426"/>
      <w:bookmarkStart w:id="1" w:name="_Toc517881179"/>
      <w:bookmarkStart w:id="2" w:name="_Toc517881069"/>
      <w:r>
        <w:rPr>
          <w:rFonts w:hint="eastAsia" w:asciiTheme="minorEastAsia" w:hAnsiTheme="minorEastAsia" w:eastAsiaTheme="minorEastAsia"/>
          <w:sz w:val="32"/>
          <w:szCs w:val="32"/>
        </w:rPr>
        <w:t>第二章 磋商内容</w:t>
      </w:r>
      <w:bookmarkEnd w:id="0"/>
      <w:bookmarkEnd w:id="1"/>
      <w:bookmarkEnd w:id="2"/>
    </w:p>
    <w:p w14:paraId="77C38E54">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2.1 采购内容：工程量清单所示全部内容，详见磋商文件。</w:t>
      </w:r>
    </w:p>
    <w:p w14:paraId="01DDE735">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2.2报价的依据和要求：详见竞争性磋商文件中规定。</w:t>
      </w:r>
    </w:p>
    <w:p w14:paraId="61CBC476">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2.3最高限价为：1093934.74元，投标报价不得高于最高限价，否则为无效报价。</w:t>
      </w:r>
    </w:p>
    <w:p w14:paraId="728A470D">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2.4投标有效期：递交响应文件截止之日起60日。</w:t>
      </w:r>
    </w:p>
    <w:p w14:paraId="03177E2E">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2.5 质量标准：符合国家现行有关施工质量验收规范标准。</w:t>
      </w:r>
    </w:p>
    <w:p w14:paraId="152EA985">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2.6施工安全文明标准化：满足有关规范要求。</w:t>
      </w:r>
    </w:p>
    <w:p w14:paraId="5C7E14FD">
      <w:pPr>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2.7项目地点：毕节市七星关区杨家湾镇。</w:t>
      </w:r>
    </w:p>
    <w:p w14:paraId="55F404B0">
      <w:pPr>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8供应商应承诺：若有幸中标，在领取《成交通知书》前，按采购代理机构与采购人签订代理协议约定的金额（包干价</w:t>
      </w:r>
      <w:r>
        <w:rPr>
          <w:rFonts w:hint="eastAsia" w:cs="仿宋_GB2312" w:asciiTheme="minorEastAsia" w:hAnsiTheme="minorEastAsia" w:eastAsiaTheme="minorEastAsia"/>
          <w:sz w:val="24"/>
          <w:szCs w:val="24"/>
          <w:lang w:val="en-US" w:eastAsia="zh-CN"/>
        </w:rPr>
        <w:t>伍</w:t>
      </w:r>
      <w:r>
        <w:rPr>
          <w:rFonts w:hint="eastAsia" w:cs="仿宋_GB2312" w:asciiTheme="minorEastAsia" w:hAnsiTheme="minorEastAsia" w:eastAsiaTheme="minorEastAsia"/>
          <w:sz w:val="24"/>
          <w:szCs w:val="24"/>
        </w:rPr>
        <w:t>仟元整）一次性向采购代理机构支付本项目招标代理服务费。</w:t>
      </w:r>
      <w:r>
        <w:rPr>
          <w:rFonts w:hint="eastAsia" w:ascii="宋体" w:hAnsi="宋体" w:cs="仿宋_GB2312"/>
          <w:b/>
          <w:sz w:val="24"/>
          <w:szCs w:val="24"/>
        </w:rPr>
        <w:t>（符合性审查项）</w:t>
      </w:r>
    </w:p>
    <w:p w14:paraId="60DCD6A7">
      <w:pPr>
        <w:spacing w:line="500" w:lineRule="exact"/>
        <w:ind w:firstLine="473" w:firstLineChars="196"/>
        <w:rPr>
          <w:rFonts w:ascii="宋体" w:hAnsi="宋体" w:cs="仿宋_GB2312"/>
          <w:b/>
          <w:sz w:val="24"/>
          <w:szCs w:val="24"/>
        </w:rPr>
      </w:pPr>
      <w:r>
        <w:rPr>
          <w:rFonts w:hint="eastAsia" w:cs="仿宋_GB2312" w:asciiTheme="minorEastAsia" w:hAnsiTheme="minorEastAsia" w:eastAsiaTheme="minorEastAsia"/>
          <w:sz w:val="24"/>
          <w:szCs w:val="24"/>
        </w:rPr>
        <w:t>2.9供应商需承诺:</w:t>
      </w:r>
      <w:r>
        <w:rPr>
          <w:rFonts w:hint="eastAsia" w:ascii="宋体" w:hAnsi="宋体" w:cs="仿宋_GB2312"/>
          <w:sz w:val="24"/>
          <w:szCs w:val="24"/>
        </w:rPr>
        <w:t>提交的《响应文件》中的全部文件和资料均是真实、合法、有效的，同意招标人对我公司提供的资料进行核查，一旦查出我公司提供虚假资料，愿意接受招标人一切处理意见（包括取消中标资格）并对此无任何异议。</w:t>
      </w:r>
      <w:r>
        <w:rPr>
          <w:rFonts w:hint="eastAsia" w:ascii="宋体" w:hAnsi="宋体" w:cs="仿宋_GB2312"/>
          <w:b/>
          <w:sz w:val="24"/>
          <w:szCs w:val="24"/>
        </w:rPr>
        <w:t>（符合性审查项）</w:t>
      </w:r>
    </w:p>
    <w:p w14:paraId="415CA110">
      <w:pPr>
        <w:snapToGrid w:val="0"/>
        <w:spacing w:line="500" w:lineRule="exact"/>
        <w:ind w:firstLine="473" w:firstLineChars="196"/>
        <w:rPr>
          <w:rFonts w:ascii="宋体" w:hAnsi="宋体" w:cs="仿宋_GB2312"/>
          <w:bCs/>
          <w:sz w:val="24"/>
          <w:szCs w:val="24"/>
        </w:rPr>
      </w:pPr>
      <w:r>
        <w:rPr>
          <w:rFonts w:hint="eastAsia" w:ascii="宋体" w:hAnsi="宋体" w:cs="仿宋_GB2312"/>
          <w:bCs/>
          <w:sz w:val="24"/>
          <w:szCs w:val="24"/>
        </w:rPr>
        <w:t>2</w:t>
      </w:r>
      <w:r>
        <w:rPr>
          <w:rFonts w:ascii="宋体" w:hAnsi="宋体" w:cs="仿宋_GB2312"/>
          <w:bCs/>
          <w:sz w:val="24"/>
          <w:szCs w:val="24"/>
        </w:rPr>
        <w:t>.</w:t>
      </w:r>
      <w:r>
        <w:rPr>
          <w:rFonts w:hint="eastAsia" w:ascii="宋体" w:hAnsi="宋体" w:cs="仿宋_GB2312"/>
          <w:bCs/>
          <w:sz w:val="24"/>
          <w:szCs w:val="24"/>
        </w:rPr>
        <w:t>10税率及费率：执行《关于重新调整贵州省建设工程计价依据增值税税率的通知》（黔建建字【2019】121号）、《关于调整贵州省建设工程计价依据规费费率的通知》（黔建建字【2019】317 号），如国家有最新政策文件，则按最新文件规定执行。</w:t>
      </w:r>
    </w:p>
    <w:p w14:paraId="44A81F2C">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w:t>
      </w:r>
      <w:r>
        <w:rPr>
          <w:rFonts w:cs="仿宋_GB2312" w:asciiTheme="minorEastAsia" w:hAnsiTheme="minorEastAsia" w:eastAsiaTheme="minorEastAsia"/>
          <w:sz w:val="24"/>
          <w:szCs w:val="24"/>
        </w:rPr>
        <w:t>.11</w:t>
      </w:r>
      <w:r>
        <w:rPr>
          <w:rFonts w:hint="eastAsia" w:cs="仿宋_GB2312" w:asciiTheme="minorEastAsia" w:hAnsiTheme="minorEastAsia" w:eastAsiaTheme="minorEastAsia"/>
          <w:sz w:val="24"/>
          <w:szCs w:val="24"/>
        </w:rPr>
        <w:t>资金来源：财政资金。</w:t>
      </w:r>
    </w:p>
    <w:p w14:paraId="6DF28FC3">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2.12</w:t>
      </w:r>
      <w:r>
        <w:rPr>
          <w:rFonts w:hint="eastAsia" w:cs="仿宋_GB2312" w:asciiTheme="minorEastAsia" w:hAnsiTheme="minorEastAsia" w:eastAsiaTheme="minorEastAsia"/>
          <w:sz w:val="24"/>
          <w:szCs w:val="24"/>
        </w:rPr>
        <w:t>工程款支付方式：由采购单位与成交单位签订合同时自行约定。</w:t>
      </w:r>
    </w:p>
    <w:p w14:paraId="7E10265B">
      <w:pPr>
        <w:autoSpaceDE w:val="0"/>
        <w:autoSpaceDN w:val="0"/>
        <w:adjustRightInd w:val="0"/>
        <w:spacing w:line="5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b/>
          <w:kern w:val="0"/>
          <w:sz w:val="24"/>
          <w:szCs w:val="24"/>
        </w:rPr>
        <w:t>注：敬告</w:t>
      </w:r>
      <w:r>
        <w:rPr>
          <w:rFonts w:hint="eastAsia" w:cs="宋体" w:asciiTheme="minorEastAsia" w:hAnsiTheme="minorEastAsia" w:eastAsiaTheme="minorEastAsia"/>
          <w:kern w:val="0"/>
          <w:sz w:val="24"/>
          <w:szCs w:val="24"/>
        </w:rPr>
        <w:t>：</w:t>
      </w:r>
    </w:p>
    <w:p w14:paraId="409B41A7">
      <w:pPr>
        <w:autoSpaceDE w:val="0"/>
        <w:autoSpaceDN w:val="0"/>
        <w:adjustRightInd w:val="0"/>
        <w:spacing w:line="276" w:lineRule="auto"/>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1.</w:t>
      </w:r>
      <w:r>
        <w:rPr>
          <w:rFonts w:hint="eastAsia" w:cs="宋体" w:asciiTheme="minorEastAsia" w:hAnsiTheme="minorEastAsia" w:eastAsiaTheme="minorEastAsia"/>
          <w:kern w:val="0"/>
          <w:sz w:val="24"/>
          <w:szCs w:val="24"/>
        </w:rPr>
        <w:t>投标供应商须对第二章 磋商内容第2</w:t>
      </w:r>
      <w:r>
        <w:rPr>
          <w:rFonts w:cs="宋体" w:asciiTheme="minorEastAsia" w:hAnsiTheme="minorEastAsia" w:eastAsiaTheme="minorEastAsia"/>
          <w:kern w:val="0"/>
          <w:sz w:val="24"/>
          <w:szCs w:val="24"/>
        </w:rPr>
        <w:t>.4</w:t>
      </w:r>
      <w:r>
        <w:rPr>
          <w:rFonts w:hint="eastAsia" w:cs="宋体" w:asciiTheme="minorEastAsia" w:hAnsiTheme="minorEastAsia" w:eastAsiaTheme="minorEastAsia"/>
          <w:kern w:val="0"/>
          <w:sz w:val="24"/>
          <w:szCs w:val="24"/>
        </w:rPr>
        <w:t>-</w:t>
      </w:r>
      <w:r>
        <w:rPr>
          <w:rFonts w:cs="宋体" w:asciiTheme="minorEastAsia" w:hAnsiTheme="minorEastAsia" w:eastAsiaTheme="minorEastAsia"/>
          <w:kern w:val="0"/>
          <w:sz w:val="24"/>
          <w:szCs w:val="24"/>
        </w:rPr>
        <w:t>2.6</w:t>
      </w:r>
      <w:r>
        <w:rPr>
          <w:rFonts w:hint="eastAsia" w:cs="宋体" w:asciiTheme="minorEastAsia" w:hAnsiTheme="minorEastAsia" w:eastAsiaTheme="minorEastAsia"/>
          <w:kern w:val="0"/>
          <w:sz w:val="24"/>
          <w:szCs w:val="24"/>
        </w:rPr>
        <w:t>条内容进行承诺；（</w:t>
      </w:r>
      <w:r>
        <w:rPr>
          <w:rFonts w:hint="eastAsia" w:ascii="宋体" w:hAnsi="宋体" w:cs="仿宋_GB2312"/>
          <w:b/>
          <w:sz w:val="24"/>
          <w:szCs w:val="24"/>
        </w:rPr>
        <w:t>符合性审查项</w:t>
      </w:r>
      <w:r>
        <w:rPr>
          <w:rFonts w:hint="eastAsia" w:cs="宋体" w:asciiTheme="minorEastAsia" w:hAnsiTheme="minorEastAsia" w:eastAsiaTheme="minorEastAsia"/>
          <w:kern w:val="0"/>
          <w:sz w:val="24"/>
          <w:szCs w:val="24"/>
        </w:rPr>
        <w:t>）</w:t>
      </w:r>
    </w:p>
    <w:p w14:paraId="1928557A">
      <w:pPr>
        <w:autoSpaceDE w:val="0"/>
        <w:autoSpaceDN w:val="0"/>
        <w:adjustRightInd w:val="0"/>
        <w:spacing w:line="276" w:lineRule="auto"/>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2.</w:t>
      </w:r>
      <w:r>
        <w:rPr>
          <w:rFonts w:hint="eastAsia" w:cs="宋体" w:asciiTheme="minorEastAsia" w:hAnsiTheme="minorEastAsia" w:eastAsiaTheme="minorEastAsia"/>
          <w:kern w:val="0"/>
          <w:sz w:val="24"/>
          <w:szCs w:val="24"/>
        </w:rPr>
        <w:t>供应商必须按国家现行的相关规范、标准以及采购项目的实际需求完成本项目的施工内容；</w:t>
      </w:r>
    </w:p>
    <w:p w14:paraId="6A6B930B">
      <w:pPr>
        <w:autoSpaceDE w:val="0"/>
        <w:autoSpaceDN w:val="0"/>
        <w:adjustRightInd w:val="0"/>
        <w:spacing w:line="276" w:lineRule="auto"/>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3.</w:t>
      </w:r>
      <w:r>
        <w:rPr>
          <w:rFonts w:hint="eastAsia" w:cs="宋体" w:asciiTheme="minorEastAsia" w:hAnsiTheme="minorEastAsia" w:eastAsiaTheme="minorEastAsia"/>
          <w:kern w:val="0"/>
          <w:sz w:val="24"/>
          <w:szCs w:val="24"/>
        </w:rPr>
        <w:t>实现采购项目功能所需采购清单外的内容，供应商必须准备充分，若需增加，根据与采购人协商情况执行。供应商所提供的服务必须满足或优于本《磋商文件》的要求。</w:t>
      </w:r>
    </w:p>
    <w:p w14:paraId="209EAB9E">
      <w:pPr>
        <w:pStyle w:val="3"/>
        <w:spacing w:before="0" w:after="0" w:line="500" w:lineRule="exact"/>
        <w:jc w:val="center"/>
        <w:rPr>
          <w:rFonts w:asciiTheme="minorEastAsia" w:hAnsiTheme="minorEastAsia" w:eastAsiaTheme="minorEastAsia"/>
          <w:sz w:val="32"/>
          <w:szCs w:val="32"/>
        </w:rPr>
      </w:pPr>
      <w:r>
        <w:rPr>
          <w:rFonts w:asciiTheme="minorEastAsia" w:hAnsiTheme="minorEastAsia" w:eastAsiaTheme="minorEastAsia"/>
          <w:sz w:val="28"/>
          <w:szCs w:val="28"/>
        </w:rPr>
        <w:br w:type="page"/>
      </w:r>
      <w:bookmarkStart w:id="3" w:name="_Toc73383427"/>
      <w:bookmarkStart w:id="4" w:name="_Toc517881070"/>
      <w:bookmarkStart w:id="5" w:name="_Toc517881180"/>
      <w:r>
        <w:rPr>
          <w:rFonts w:hint="eastAsia" w:asciiTheme="minorEastAsia" w:hAnsiTheme="minorEastAsia" w:eastAsiaTheme="minorEastAsia"/>
          <w:sz w:val="32"/>
          <w:szCs w:val="32"/>
        </w:rPr>
        <w:t>第三章 磋商须知</w:t>
      </w:r>
      <w:bookmarkEnd w:id="3"/>
      <w:bookmarkEnd w:id="4"/>
      <w:bookmarkEnd w:id="5"/>
    </w:p>
    <w:p w14:paraId="71C471EE">
      <w:pPr>
        <w:snapToGrid w:val="0"/>
        <w:spacing w:line="50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3.1 </w:t>
      </w:r>
      <w:r>
        <w:rPr>
          <w:rFonts w:hint="eastAsia" w:cs="宋体" w:asciiTheme="minorEastAsia" w:hAnsiTheme="minorEastAsia" w:eastAsiaTheme="minorEastAsia"/>
          <w:b/>
          <w:sz w:val="24"/>
          <w:szCs w:val="24"/>
        </w:rPr>
        <w:t>总则</w:t>
      </w:r>
    </w:p>
    <w:p w14:paraId="207A07D5">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3.1.1 </w:t>
      </w:r>
      <w:r>
        <w:rPr>
          <w:rFonts w:hint="eastAsia" w:cs="仿宋_GB2312" w:asciiTheme="minorEastAsia" w:hAnsiTheme="minorEastAsia" w:eastAsiaTheme="minorEastAsia"/>
          <w:sz w:val="24"/>
          <w:szCs w:val="24"/>
        </w:rPr>
        <w:t>本《磋商文件》由</w:t>
      </w:r>
      <w:r>
        <w:rPr>
          <w:rFonts w:hint="eastAsia" w:cs="仿宋_GB2312" w:asciiTheme="minorEastAsia" w:hAnsiTheme="minorEastAsia" w:eastAsiaTheme="minorEastAsia"/>
          <w:b/>
          <w:bCs/>
          <w:sz w:val="24"/>
          <w:szCs w:val="24"/>
          <w:u w:val="single"/>
        </w:rPr>
        <w:t>贵州星诚同创项目管理有限公司</w:t>
      </w:r>
      <w:r>
        <w:rPr>
          <w:rFonts w:hint="eastAsia" w:cs="仿宋_GB2312" w:asciiTheme="minorEastAsia" w:hAnsiTheme="minorEastAsia" w:eastAsiaTheme="minorEastAsia"/>
          <w:sz w:val="24"/>
          <w:szCs w:val="24"/>
        </w:rPr>
        <w:t>参照《中华人民共和国政府采购法》、财库〔2014〕214号、财库〔2015〕124号）及相相关法律、法规和规章的规定制定，仅适用于本次磋商。</w:t>
      </w:r>
    </w:p>
    <w:p w14:paraId="383676DB">
      <w:pPr>
        <w:snapToGrid w:val="0"/>
        <w:spacing w:line="500" w:lineRule="exact"/>
        <w:ind w:firstLine="473" w:firstLineChars="196"/>
        <w:rPr>
          <w:rFonts w:cs="仿宋_GB2312" w:asciiTheme="minorEastAsia" w:hAnsiTheme="minorEastAsia" w:eastAsiaTheme="minorEastAsia"/>
          <w:sz w:val="24"/>
          <w:szCs w:val="24"/>
        </w:rPr>
      </w:pPr>
      <w:bookmarkStart w:id="6" w:name="_Hlk88495401"/>
      <w:r>
        <w:rPr>
          <w:rFonts w:cs="仿宋_GB2312" w:asciiTheme="minorEastAsia" w:hAnsiTheme="minorEastAsia" w:eastAsiaTheme="minorEastAsia"/>
          <w:sz w:val="24"/>
          <w:szCs w:val="24"/>
        </w:rPr>
        <w:t xml:space="preserve">3.1.2 </w:t>
      </w:r>
      <w:r>
        <w:rPr>
          <w:rFonts w:hint="eastAsia" w:cs="仿宋_GB2312" w:asciiTheme="minorEastAsia" w:hAnsiTheme="minorEastAsia" w:eastAsiaTheme="minorEastAsia"/>
          <w:sz w:val="24"/>
          <w:szCs w:val="24"/>
        </w:rPr>
        <w:t>供应商必须遵守《中华人民共和国政府采购法》及相关法律、法规和规章的规定，按照本《磋商文件》的要求参加磋商并履行相应的义务和承担相应的责任。</w:t>
      </w:r>
    </w:p>
    <w:bookmarkEnd w:id="6"/>
    <w:p w14:paraId="7CB6741B">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3.1.3 </w:t>
      </w:r>
      <w:r>
        <w:rPr>
          <w:rFonts w:hint="eastAsia" w:cs="仿宋_GB2312" w:asciiTheme="minorEastAsia" w:hAnsiTheme="minorEastAsia" w:eastAsiaTheme="minorEastAsia"/>
          <w:sz w:val="24"/>
          <w:szCs w:val="24"/>
        </w:rPr>
        <w:t>定义：</w:t>
      </w:r>
    </w:p>
    <w:p w14:paraId="1F1D9D1C">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⑴《磋商文件》是“政府采购竞争性磋商文件”的简称，是本公司依法制定的关于本次磋商性质、内容、程序、规则等的磋商文件，是评审和评定成交的依据，是供应商参加磋商应遵循的规则；</w:t>
      </w:r>
    </w:p>
    <w:p w14:paraId="7269A6D5">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⑵《响应文件》是指供应商为参加磋商而上传的资格、技术、商务、报价等文件资料，是本次磋商评审的依据；</w:t>
      </w:r>
    </w:p>
    <w:p w14:paraId="53697FE7">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⑶“采购组织机构”是指组织这次磋商的</w:t>
      </w:r>
      <w:r>
        <w:rPr>
          <w:rFonts w:hint="eastAsia" w:cs="仿宋_GB2312" w:asciiTheme="minorEastAsia" w:hAnsiTheme="minorEastAsia" w:eastAsiaTheme="minorEastAsia"/>
          <w:b/>
          <w:bCs/>
          <w:sz w:val="24"/>
          <w:szCs w:val="24"/>
          <w:u w:val="single"/>
        </w:rPr>
        <w:t>贵州星诚同创项目管理有限公司</w:t>
      </w:r>
      <w:r>
        <w:rPr>
          <w:rFonts w:hint="eastAsia" w:cs="仿宋_GB2312" w:asciiTheme="minorEastAsia" w:hAnsiTheme="minorEastAsia" w:eastAsiaTheme="minorEastAsia"/>
          <w:sz w:val="24"/>
          <w:szCs w:val="24"/>
        </w:rPr>
        <w:t>，也称本公司；</w:t>
      </w:r>
    </w:p>
    <w:p w14:paraId="745C919E">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⑷“供应商”是指向本公司获取了《磋商文件》的法人、其他组织或自然人；</w:t>
      </w:r>
    </w:p>
    <w:p w14:paraId="2F30BC42">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⑸“甲方”是指</w:t>
      </w:r>
      <w:r>
        <w:rPr>
          <w:rFonts w:hint="eastAsia" w:cs="仿宋_GB2312" w:asciiTheme="minorEastAsia" w:hAnsiTheme="minorEastAsia" w:eastAsiaTheme="minorEastAsia"/>
          <w:b/>
          <w:sz w:val="24"/>
          <w:szCs w:val="24"/>
          <w:u w:val="single"/>
        </w:rPr>
        <w:t>毕节市七星关区杨家湾二中</w:t>
      </w:r>
      <w:r>
        <w:rPr>
          <w:rFonts w:hint="eastAsia" w:cs="仿宋_GB2312" w:asciiTheme="minorEastAsia" w:hAnsiTheme="minorEastAsia" w:eastAsiaTheme="minorEastAsia"/>
          <w:sz w:val="24"/>
          <w:szCs w:val="24"/>
        </w:rPr>
        <w:t>，也称采购单位、采购人、采购方；</w:t>
      </w:r>
    </w:p>
    <w:p w14:paraId="0CB0201F">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⑹“乙方”是指成交供应商。</w:t>
      </w:r>
    </w:p>
    <w:p w14:paraId="1DB48361">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⑺本项目中小企业所属行业和划分标准：</w:t>
      </w:r>
    </w:p>
    <w:p w14:paraId="344396D8">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①与本项目对应的中小企业划分标准所属行业为：</w:t>
      </w:r>
      <w:r>
        <w:rPr>
          <w:rFonts w:hint="eastAsia" w:cs="仿宋_GB2312" w:asciiTheme="minorEastAsia" w:hAnsiTheme="minorEastAsia" w:eastAsiaTheme="minorEastAsia"/>
          <w:b/>
          <w:bCs/>
          <w:sz w:val="24"/>
          <w:szCs w:val="24"/>
          <w:u w:val="single"/>
        </w:rPr>
        <w:t>建筑业</w:t>
      </w:r>
      <w:r>
        <w:rPr>
          <w:rFonts w:hint="eastAsia" w:cs="仿宋_GB2312" w:asciiTheme="minorEastAsia" w:hAnsiTheme="minorEastAsia" w:eastAsiaTheme="minorEastAsia"/>
          <w:sz w:val="24"/>
          <w:szCs w:val="24"/>
        </w:rPr>
        <w:t>；</w:t>
      </w:r>
    </w:p>
    <w:p w14:paraId="39C8702A">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②划分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6AC98FC">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③投标人提供的《中小企业声明函》内容不实的，属于提供虚假材料谋取中标、成交，依照《中华人民共和国政府采购法》等国家有关规定追究相应责任；</w:t>
      </w:r>
    </w:p>
    <w:p w14:paraId="7533C687">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④依据《政府采购促进中小企业发展管理办法》法规定，享受扶持政策获得本项目政府采购合同的，小微企业不得将合同分包给大中型企业，中型企业不得将合同分包给大型企业。</w:t>
      </w:r>
    </w:p>
    <w:p w14:paraId="4B81074E">
      <w:pPr>
        <w:snapToGrid w:val="0"/>
        <w:spacing w:line="500" w:lineRule="exact"/>
        <w:ind w:firstLine="468" w:firstLineChars="194"/>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3.1.4 </w:t>
      </w:r>
      <w:r>
        <w:rPr>
          <w:rFonts w:hint="eastAsia" w:cs="仿宋_GB2312" w:asciiTheme="minorEastAsia" w:hAnsiTheme="minorEastAsia" w:eastAsiaTheme="minorEastAsia"/>
          <w:sz w:val="24"/>
          <w:szCs w:val="24"/>
        </w:rPr>
        <w:t>在本次竞争性磋商活动中，供应商应自己承担与磋商有关的一切费用，不管磋商结果如何本公司对这些费用概不负责。磋商小组和本公司不向供应商解释不成交的原因，不退还《响应文件》。</w:t>
      </w:r>
    </w:p>
    <w:p w14:paraId="6152112C">
      <w:pPr>
        <w:snapToGrid w:val="0"/>
        <w:spacing w:line="500" w:lineRule="exact"/>
        <w:ind w:firstLine="468" w:firstLineChars="194"/>
        <w:rPr>
          <w:rFonts w:cs="宋体" w:asciiTheme="minorEastAsia" w:hAnsiTheme="minorEastAsia"/>
          <w:sz w:val="24"/>
          <w:szCs w:val="24"/>
        </w:rPr>
      </w:pPr>
      <w:r>
        <w:rPr>
          <w:rFonts w:cs="仿宋_GB2312" w:asciiTheme="minorEastAsia" w:hAnsiTheme="minorEastAsia" w:eastAsiaTheme="minorEastAsia"/>
          <w:sz w:val="24"/>
          <w:szCs w:val="24"/>
        </w:rPr>
        <w:t>3.1.5</w:t>
      </w:r>
      <w:r>
        <w:rPr>
          <w:rFonts w:hint="eastAsia" w:cs="仿宋_GB2312" w:asciiTheme="minorEastAsia" w:hAnsiTheme="minorEastAsia" w:eastAsiaTheme="minorEastAsia"/>
          <w:sz w:val="24"/>
          <w:szCs w:val="24"/>
        </w:rPr>
        <w:t>投标保证金缴纳：</w:t>
      </w:r>
      <w:r>
        <w:rPr>
          <w:rFonts w:hint="eastAsia" w:cs="宋体" w:asciiTheme="minorEastAsia" w:hAnsiTheme="minorEastAsia"/>
          <w:sz w:val="24"/>
          <w:szCs w:val="24"/>
        </w:rPr>
        <w:t xml:space="preserve">按磋商公告要求缴纳。若发生下列情况之一的，磋商保证金不予退还： </w:t>
      </w:r>
    </w:p>
    <w:p w14:paraId="585D8FF8">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（1）供应商在提交响应文件截止时间后撤回响应文件的；</w:t>
      </w:r>
    </w:p>
    <w:p w14:paraId="0B8634C5">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（2）供应商在响应文件中提供虚假材料的； </w:t>
      </w:r>
    </w:p>
    <w:p w14:paraId="3C0EA723">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（3）除因不可抗力或磋商文件、成交通知书认可的情形以外，成交供应商不与采购人签订合同的； </w:t>
      </w:r>
    </w:p>
    <w:p w14:paraId="39D63CCE">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（4）供应商与采购人、其他供应商或者采购代理机构恶意串通的； </w:t>
      </w:r>
    </w:p>
    <w:p w14:paraId="17F29D2F">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（5）成交供应商违反法律、法规、政策规定向他人转让或分包成交项目的； </w:t>
      </w:r>
    </w:p>
    <w:p w14:paraId="333FD69C">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（6）拒绝履行合同义务的。 </w:t>
      </w:r>
    </w:p>
    <w:p w14:paraId="793AE52B">
      <w:pPr>
        <w:snapToGrid w:val="0"/>
        <w:spacing w:line="500" w:lineRule="exact"/>
        <w:ind w:firstLine="468" w:firstLineChars="194"/>
        <w:rPr>
          <w:rFonts w:cs="宋体" w:asciiTheme="minorEastAsia" w:hAnsiTheme="minorEastAsia"/>
          <w:sz w:val="24"/>
          <w:szCs w:val="24"/>
        </w:rPr>
      </w:pPr>
      <w:r>
        <w:rPr>
          <w:rFonts w:hint="eastAsia" w:cs="宋体" w:asciiTheme="minorEastAsia" w:hAnsiTheme="minorEastAsia"/>
          <w:sz w:val="24"/>
          <w:szCs w:val="24"/>
        </w:rPr>
        <w:t xml:space="preserve">（7）未按《中华人民共和国政府采购法》规定时间领取成交（中标）通知书的。 </w:t>
      </w:r>
    </w:p>
    <w:p w14:paraId="12AB6842">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3.1.6 投标人（供应商）有下列情形之一的，由采购人或其主管部门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14:paraId="01E31740">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①提供虚假材料谋取中标的；</w:t>
      </w:r>
    </w:p>
    <w:p w14:paraId="510BB7B0">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②采取不正当手段诋毁、排挤其他投标人（供应商）的； </w:t>
      </w:r>
    </w:p>
    <w:p w14:paraId="06D9CC97">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③与招标采购单位、其他投标人（供应商）恶意串通的； </w:t>
      </w:r>
    </w:p>
    <w:p w14:paraId="0431E17D">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④向招标采购单位行贿或者提供其他不正当利益的；</w:t>
      </w:r>
    </w:p>
    <w:p w14:paraId="4D46D6C2">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⑤在招标过程中与招标采购单位进行协商谈判、不按照《磋商文件》和中标投标人（供应商）的响应文件订立合同，或者与采购人另行订立背离合同实质性内容的协议的； </w:t>
      </w:r>
    </w:p>
    <w:p w14:paraId="4472DA94">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⑥拒绝有关部门监督检查或者提供虚假情况的。</w:t>
      </w:r>
    </w:p>
    <w:p w14:paraId="72617DA4">
      <w:pPr>
        <w:snapToGrid w:val="0"/>
        <w:spacing w:line="500" w:lineRule="exact"/>
        <w:ind w:firstLine="468" w:firstLineChars="194"/>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⑦投标人（供应商）有前款第①至⑥项情形之一的，中标无效。</w:t>
      </w:r>
    </w:p>
    <w:p w14:paraId="1A2DCCE8">
      <w:pPr>
        <w:snapToGrid w:val="0"/>
        <w:spacing w:line="500" w:lineRule="exact"/>
        <w:ind w:firstLine="468" w:firstLineChars="194"/>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3.1.7  </w:t>
      </w:r>
      <w:r>
        <w:rPr>
          <w:rFonts w:hint="eastAsia" w:cs="仿宋_GB2312" w:asciiTheme="minorEastAsia" w:hAnsiTheme="minorEastAsia" w:eastAsiaTheme="minorEastAsia"/>
          <w:sz w:val="24"/>
          <w:szCs w:val="24"/>
        </w:rPr>
        <w:t>报价及结算方式：</w:t>
      </w:r>
    </w:p>
    <w:p w14:paraId="4EFEEEFB">
      <w:pPr>
        <w:snapToGrid w:val="0"/>
        <w:spacing w:line="500" w:lineRule="exact"/>
        <w:ind w:firstLine="484" w:firstLineChars="200"/>
        <w:rPr>
          <w:rFonts w:ascii="宋体" w:hAnsi="宋体" w:cs="仿宋_GB2312"/>
          <w:bCs/>
          <w:sz w:val="24"/>
          <w:szCs w:val="24"/>
        </w:rPr>
      </w:pPr>
      <w:r>
        <w:rPr>
          <w:rFonts w:cs="仿宋_GB2312" w:asciiTheme="minorEastAsia" w:hAnsiTheme="minorEastAsia" w:eastAsiaTheme="minorEastAsia"/>
          <w:sz w:val="24"/>
          <w:szCs w:val="24"/>
        </w:rPr>
        <w:t>(1)</w:t>
      </w:r>
      <w:r>
        <w:rPr>
          <w:rFonts w:hint="eastAsia" w:ascii="宋体" w:hAnsi="宋体" w:cs="仿宋_GB2312"/>
          <w:bCs/>
          <w:sz w:val="24"/>
          <w:szCs w:val="24"/>
        </w:rPr>
        <w:t>供应商在《响应文件》中填报的基础报价是参加磋商会议的初步报价，初步报价仅为磋商参考。供应商在磋商会议上填报的最后报价是对全部采购标的物的总报价，是响应文件的有效组成部分，成交后即为合同总价款的计价，在合同有效期内不受市场价格变化因素的影响</w:t>
      </w:r>
      <w:r>
        <w:rPr>
          <w:rFonts w:hint="eastAsia" w:ascii="宋体" w:hAnsi="宋体" w:cs="仿宋_GB2312"/>
          <w:sz w:val="24"/>
          <w:szCs w:val="24"/>
        </w:rPr>
        <w:t>。</w:t>
      </w:r>
    </w:p>
    <w:p w14:paraId="3CB6A031">
      <w:pPr>
        <w:snapToGrid w:val="0"/>
        <w:spacing w:line="500" w:lineRule="exact"/>
        <w:ind w:firstLine="484"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(2)报价一律用</w:t>
      </w:r>
      <w:r>
        <w:rPr>
          <w:rFonts w:hint="eastAsia" w:cs="仿宋_GB2312" w:asciiTheme="minorEastAsia" w:hAnsiTheme="minorEastAsia" w:eastAsiaTheme="minorEastAsia"/>
          <w:sz w:val="24"/>
          <w:szCs w:val="24"/>
        </w:rPr>
        <w:t>人民币</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元</w:t>
      </w:r>
      <w:r>
        <w:rPr>
          <w:rFonts w:cs="仿宋_GB2312" w:asciiTheme="minorEastAsia" w:hAnsiTheme="minorEastAsia" w:eastAsiaTheme="minorEastAsia"/>
          <w:sz w:val="24"/>
          <w:szCs w:val="24"/>
        </w:rPr>
        <w:t>）表示，其大写金额和小写金额不一致的，以大写金额为准；</w:t>
      </w:r>
      <w:r>
        <w:rPr>
          <w:rFonts w:hint="eastAsia" w:cs="仿宋_GB2312" w:asciiTheme="minorEastAsia" w:hAnsiTheme="minorEastAsia" w:eastAsiaTheme="minorEastAsia"/>
          <w:sz w:val="24"/>
          <w:szCs w:val="24"/>
        </w:rPr>
        <w:t>分项报价之和不得大于总报价，否则作无效报价处理</w:t>
      </w:r>
      <w:r>
        <w:rPr>
          <w:rFonts w:cs="仿宋_GB2312" w:asciiTheme="minorEastAsia" w:hAnsiTheme="minorEastAsia" w:eastAsiaTheme="minorEastAsia"/>
          <w:sz w:val="24"/>
          <w:szCs w:val="24"/>
        </w:rPr>
        <w:t>；单价金额小数点有明显错位的，应以总价为准</w:t>
      </w:r>
      <w:r>
        <w:rPr>
          <w:rFonts w:hint="eastAsia" w:cs="仿宋_GB2312" w:asciiTheme="minorEastAsia" w:hAnsiTheme="minorEastAsia" w:eastAsiaTheme="minorEastAsia"/>
          <w:sz w:val="24"/>
          <w:szCs w:val="24"/>
        </w:rPr>
        <w:t>，</w:t>
      </w:r>
      <w:r>
        <w:rPr>
          <w:rFonts w:cs="仿宋_GB2312" w:asciiTheme="minorEastAsia" w:hAnsiTheme="minorEastAsia" w:eastAsiaTheme="minorEastAsia"/>
          <w:sz w:val="24"/>
          <w:szCs w:val="24"/>
        </w:rPr>
        <w:t>并修改单价；对不同文字文本响应文件的解释发生异议的，以中文文本为准。</w:t>
      </w:r>
    </w:p>
    <w:p w14:paraId="214FA2C5">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3.1.8</w:t>
      </w:r>
      <w:r>
        <w:rPr>
          <w:rFonts w:hint="eastAsia" w:cs="仿宋_GB2312" w:asciiTheme="minorEastAsia" w:hAnsiTheme="minorEastAsia" w:eastAsiaTheme="minorEastAsia"/>
          <w:sz w:val="24"/>
          <w:szCs w:val="24"/>
        </w:rPr>
        <w:t>成交通知：按磋商小组评审结果确定并公布成交候选人，采购人确认成交供应商后，发布成交公告，并发出成交通知书；成交供应商应在收到成交通知书后及时联系采购人签订政府采购合同。</w:t>
      </w:r>
    </w:p>
    <w:p w14:paraId="7A8E60E3">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3.1.9 </w:t>
      </w:r>
      <w:r>
        <w:rPr>
          <w:rFonts w:hint="eastAsia" w:cs="仿宋_GB2312" w:asciiTheme="minorEastAsia" w:hAnsiTheme="minorEastAsia" w:eastAsiaTheme="minorEastAsia"/>
          <w:sz w:val="24"/>
          <w:szCs w:val="24"/>
        </w:rPr>
        <w:t>服务的时间、地点、验收和付款：</w:t>
      </w:r>
    </w:p>
    <w:p w14:paraId="0A92E788">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⑴工期：</w:t>
      </w:r>
      <w:r>
        <w:rPr>
          <w:rFonts w:hint="eastAsia" w:ascii="宋体" w:cs="宋体" w:eastAsiaTheme="minorEastAsia"/>
          <w:kern w:val="0"/>
          <w:sz w:val="24"/>
          <w:szCs w:val="24"/>
        </w:rPr>
        <w:t>合同签订后40日历天内完成本项目</w:t>
      </w:r>
      <w:r>
        <w:rPr>
          <w:rFonts w:hint="eastAsia" w:ascii="宋体" w:cs="宋体"/>
          <w:kern w:val="0"/>
          <w:sz w:val="24"/>
          <w:szCs w:val="24"/>
        </w:rPr>
        <w:t>；</w:t>
      </w:r>
    </w:p>
    <w:p w14:paraId="7880A7FE">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⑵地点：毕节市七星关区。</w:t>
      </w:r>
    </w:p>
    <w:p w14:paraId="4408A620">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⑶验收：</w:t>
      </w:r>
      <w:r>
        <w:rPr>
          <w:rFonts w:hint="eastAsia" w:ascii="宋体" w:hAnsi="宋体" w:cs="仿宋_GB2312"/>
          <w:sz w:val="24"/>
          <w:szCs w:val="24"/>
        </w:rPr>
        <w:t>经甲方（采购单位）和中标单位及具有相应资格的单位和人员对成果进行签章并交甲方备案后向甲方提出书面验收申请，甲方收到验收申请后15个工作日内，由甲方召集供应商及其他相关部门人员对本项目进行总体验收，并出具验收报告</w:t>
      </w:r>
      <w:r>
        <w:rPr>
          <w:rFonts w:hint="eastAsia" w:cs="仿宋_GB2312" w:asciiTheme="minorEastAsia" w:hAnsiTheme="minorEastAsia" w:eastAsiaTheme="minorEastAsia"/>
          <w:sz w:val="24"/>
          <w:szCs w:val="24"/>
        </w:rPr>
        <w:t>；如验收不合格的，采购人有权拒绝付款，因此产生的一切经济损失由供应商自行承担。</w:t>
      </w:r>
    </w:p>
    <w:p w14:paraId="214C1EFE">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⑷付款：合同签订时，由甲乙双方自行约定。</w:t>
      </w:r>
    </w:p>
    <w:p w14:paraId="3886D6BD">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3.1.9  </w:t>
      </w:r>
      <w:r>
        <w:rPr>
          <w:rFonts w:hint="eastAsia" w:cs="仿宋_GB2312" w:asciiTheme="minorEastAsia" w:hAnsiTheme="minorEastAsia" w:eastAsiaTheme="minorEastAsia"/>
          <w:sz w:val="24"/>
          <w:szCs w:val="24"/>
        </w:rPr>
        <w:t>本公司不接受采购单位和成交供应商与《磋商文件》相违背的任何协议和要求。</w:t>
      </w:r>
    </w:p>
    <w:p w14:paraId="05AEB2BE">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3.1.10  </w:t>
      </w:r>
      <w:r>
        <w:rPr>
          <w:rFonts w:hint="eastAsia" w:cs="仿宋_GB2312" w:asciiTheme="minorEastAsia" w:hAnsiTheme="minorEastAsia" w:eastAsiaTheme="minorEastAsia"/>
          <w:sz w:val="24"/>
          <w:szCs w:val="24"/>
        </w:rPr>
        <w:t>本《磋商文件》解释权属</w:t>
      </w:r>
      <w:r>
        <w:rPr>
          <w:rFonts w:hint="eastAsia" w:cs="宋体" w:asciiTheme="minorEastAsia" w:hAnsiTheme="minorEastAsia" w:eastAsiaTheme="minorEastAsia"/>
          <w:b/>
          <w:kern w:val="1"/>
          <w:sz w:val="24"/>
          <w:szCs w:val="24"/>
          <w:u w:val="single"/>
        </w:rPr>
        <w:t>采购人及采购代理机构</w:t>
      </w:r>
      <w:r>
        <w:rPr>
          <w:rFonts w:hint="eastAsia" w:cs="仿宋_GB2312" w:asciiTheme="minorEastAsia" w:hAnsiTheme="minorEastAsia" w:eastAsiaTheme="minorEastAsia"/>
          <w:sz w:val="24"/>
          <w:szCs w:val="24"/>
        </w:rPr>
        <w:t>。</w:t>
      </w:r>
    </w:p>
    <w:p w14:paraId="4CC0C9B5">
      <w:pPr>
        <w:snapToGrid w:val="0"/>
        <w:spacing w:line="50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3.2  </w:t>
      </w:r>
      <w:r>
        <w:rPr>
          <w:rFonts w:hint="eastAsia" w:cs="宋体" w:asciiTheme="minorEastAsia" w:hAnsiTheme="minorEastAsia" w:eastAsiaTheme="minorEastAsia"/>
          <w:b/>
          <w:sz w:val="24"/>
          <w:szCs w:val="24"/>
        </w:rPr>
        <w:t>供应商参加磋商的资格要求</w:t>
      </w:r>
    </w:p>
    <w:p w14:paraId="34A5E362">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3.2.1  </w:t>
      </w:r>
      <w:r>
        <w:rPr>
          <w:rFonts w:hint="eastAsia" w:cs="仿宋_GB2312" w:asciiTheme="minorEastAsia" w:hAnsiTheme="minorEastAsia" w:eastAsiaTheme="minorEastAsia"/>
          <w:sz w:val="24"/>
          <w:szCs w:val="24"/>
        </w:rPr>
        <w:t>有公告要求的资格证书；</w:t>
      </w:r>
    </w:p>
    <w:p w14:paraId="5B0E3D17">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3.2.2  </w:t>
      </w:r>
      <w:r>
        <w:rPr>
          <w:rFonts w:hint="eastAsia" w:cs="仿宋_GB2312" w:asciiTheme="minorEastAsia" w:hAnsiTheme="minorEastAsia" w:eastAsiaTheme="minorEastAsia"/>
          <w:sz w:val="24"/>
          <w:szCs w:val="24"/>
        </w:rPr>
        <w:t>在规定时间内向毕节市公共资源交易中心系统获取了《磋商文件》，并按《磋商文件》要求提供（上传）了相关资料；</w:t>
      </w:r>
    </w:p>
    <w:p w14:paraId="7E274CEF">
      <w:pPr>
        <w:snapToGrid w:val="0"/>
        <w:spacing w:line="500" w:lineRule="exact"/>
        <w:ind w:firstLine="473" w:firstLineChars="196"/>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3.2.</w:t>
      </w:r>
      <w:r>
        <w:rPr>
          <w:rFonts w:hint="eastAsia" w:cs="仿宋_GB2312" w:asciiTheme="minorEastAsia" w:hAnsiTheme="minorEastAsia" w:eastAsiaTheme="minorEastAsia"/>
          <w:sz w:val="24"/>
          <w:szCs w:val="24"/>
        </w:rPr>
        <w:t>3</w:t>
      </w:r>
      <w:r>
        <w:rPr>
          <w:rFonts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rPr>
        <w:t>《响应文件》的编制、上传、加解密符合本《磋商文件》的要求；</w:t>
      </w:r>
    </w:p>
    <w:p w14:paraId="5652771E">
      <w:pPr>
        <w:snapToGrid w:val="0"/>
        <w:spacing w:line="50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3.3 </w:t>
      </w:r>
      <w:r>
        <w:rPr>
          <w:rFonts w:hint="eastAsia" w:cs="宋体" w:asciiTheme="minorEastAsia" w:hAnsiTheme="minorEastAsia" w:eastAsiaTheme="minorEastAsia"/>
          <w:b/>
          <w:sz w:val="24"/>
          <w:szCs w:val="24"/>
        </w:rPr>
        <w:t>《磋商文件》的澄清和修改，供应商质疑期限</w:t>
      </w:r>
    </w:p>
    <w:p w14:paraId="3C6F6157">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3.3.1 采购人或者采购代理机构可以对已发出的竞争性磋商文件进行必要的澄清或者修改，澄清或者修改的内容影响供应商编制响应文件的，采购人或者采购代理机构应当在上传响应文件截止时间5天前，在全国公共资源交易平台（贵州省·毕节市）毕节市公共资源交易中心公共服务平台及贵州省政府采购网发出澄清或者修改通知，通知所有获取竞争性磋商文件的供应商，由于供应商未及时上网查询的，责任由供应商自行承担；澄清或者修改的内容影响供应商编制响应文件的，顺延提交响应文件的截止时间。澄清或者修改的内容不影响供应商编制响应文件的，原则上不顺延提交响应文件的截止时间。</w:t>
      </w:r>
    </w:p>
    <w:p w14:paraId="49F00F9B">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3.3.2 供应商对竞争性磋商文件有询问或质疑的，可以在招标公告规定的获取《竞争性磋商文件》之日或报名截止时间之日起3个工作日内向代理公司或者采购人书面提出，提出询问的方式不限，提出质疑的方式为通过全国公共资源交易平台（贵州省·毕节市）毕节市公共资源交易中心公共服务平台系统或将质疑函（原件）送达代理机构或采购人。代理公司或者采购人将针对质疑或询问的内容进行答复，询问的答复时间为3个工作日，质疑的答复时间为7个工作日。未获取竞争性磋商文件或不符合政府采购法第二十二条要求的供应商对本项目提出的质疑或询问，代理公司不作答复。供应商只能在法定质疑期内一次性提出针对同一采购程序环节的质疑。</w:t>
      </w:r>
    </w:p>
    <w:p w14:paraId="3417AF4B">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3.3.2.1.供应商提出质疑的，应当提交已在全国公共资源交易平台（贵州省·毕节市）毕节市公共资源交易中心公共服务平台报名的证明材料、质疑函和必要的佐证材料，并符合《政府采购质疑和投诉办法》（中华人民共和国财政部令第 94 号）第十二条的规定。通过毕节市公共资源交易中心-毕节市人民政府门户网站系统提出质疑的，质疑函须原件扫描上传，报名证明材料可以采用复印件加盖公章扫描上传；直接将质疑函送达代理机构或采购人的，质疑函要求原件，其他的可提供复印件加盖公章。</w:t>
      </w:r>
    </w:p>
    <w:p w14:paraId="513C82E0">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3.3.2.2.质疑函递交相关信息</w:t>
      </w:r>
    </w:p>
    <w:p w14:paraId="1FE9597A">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采购人信息：详见竞争性磋商公告规定内容</w:t>
      </w:r>
    </w:p>
    <w:p w14:paraId="57D3DB6C">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采购代理机构信息：详见竞争性磋商公告规定内容；代理机构QQ邮箱：45485715@qq.com</w:t>
      </w:r>
    </w:p>
    <w:p w14:paraId="0BCFE46E">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3.3.3 供应商在报名截止时间之日起 7 个工作日内，没有按前款（3.3.2 条）要求提出书面质疑或询问的，将被视为完全认同竞争性磋商文件。在此时间之后提出质疑或询问的，代理公司及采购人不予受理。</w:t>
      </w:r>
    </w:p>
    <w:p w14:paraId="305DD94F">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3.3.3本公司对已发出的《磋商文件》进行必要的澄清或修改时，将以书面形式通知所有的供应商，其澄清或修改的内容为《磋商文件》的组成部分。</w:t>
      </w:r>
    </w:p>
    <w:p w14:paraId="095D62DD">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3.3.4在开标期间，磋商文件中存在的瑕疵或疏漏由采购人代表进行明确或澄清，但不得对磋商文件作实质性的修改。</w:t>
      </w:r>
    </w:p>
    <w:p w14:paraId="19F15DF5">
      <w:pPr>
        <w:snapToGrid w:val="0"/>
        <w:spacing w:line="50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3.4 </w:t>
      </w:r>
      <w:r>
        <w:rPr>
          <w:rFonts w:hint="eastAsia" w:cs="宋体" w:asciiTheme="minorEastAsia" w:hAnsiTheme="minorEastAsia" w:eastAsiaTheme="minorEastAsia"/>
          <w:b/>
          <w:sz w:val="24"/>
          <w:szCs w:val="24"/>
        </w:rPr>
        <w:t>《响应文件》的编制要求</w:t>
      </w:r>
    </w:p>
    <w:p w14:paraId="1F9E5F43">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敬告：响应文件的制作必须完全符合毕节市公共资源交易中心交易系统要求，否则可能导致投标被拒绝。</w:t>
      </w:r>
    </w:p>
    <w:p w14:paraId="37C64474">
      <w:pPr>
        <w:snapToGrid w:val="0"/>
        <w:spacing w:line="500" w:lineRule="exact"/>
        <w:ind w:firstLine="605" w:firstLineChars="2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3.4.1响应文件的构成和格式：</w:t>
      </w:r>
    </w:p>
    <w:p w14:paraId="597CA4DD">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（1）供应商须保证上传的《响应文件》中的全部文件资料真实、合法、有效；</w:t>
      </w:r>
    </w:p>
    <w:p w14:paraId="082B7313">
      <w:pPr>
        <w:snapToGrid w:val="0"/>
        <w:spacing w:line="500" w:lineRule="exact"/>
        <w:ind w:firstLine="484"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w:t>
      </w:r>
      <w:bookmarkStart w:id="7" w:name="_Hlk88496549"/>
      <w:r>
        <w:rPr>
          <w:rFonts w:hint="eastAsia" w:cs="仿宋_GB2312" w:asciiTheme="minorEastAsia" w:hAnsiTheme="minorEastAsia" w:eastAsiaTheme="minorEastAsia"/>
          <w:sz w:val="24"/>
          <w:szCs w:val="24"/>
        </w:rPr>
        <w:t>格式、盖章要求：《响应文件》必须符合磋商文件中指定格式要求签章，其他没有具体要求的，须逐页加盖投标人电子公章和法定代表人电子印章，在评标过程中，因电子系统导致的投标人电子公章或法人印章位置有偏差的，只要在同一页码范围内具有有效签章的，视为已在指定位置签章，不作为废标条款。</w:t>
      </w:r>
      <w:r>
        <w:rPr>
          <w:rFonts w:hint="eastAsia" w:cs="仿宋_GB2312" w:asciiTheme="minorEastAsia" w:hAnsiTheme="minorEastAsia" w:eastAsiaTheme="minorEastAsia"/>
          <w:b/>
          <w:sz w:val="24"/>
          <w:szCs w:val="24"/>
        </w:rPr>
        <w:t>（符合性审查项）</w:t>
      </w:r>
      <w:bookmarkEnd w:id="7"/>
    </w:p>
    <w:p w14:paraId="6DEE42C5">
      <w:pPr>
        <w:snapToGrid w:val="0"/>
        <w:spacing w:line="500" w:lineRule="exact"/>
        <w:ind w:firstLine="484"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3.4.</w:t>
      </w:r>
      <w:r>
        <w:rPr>
          <w:rFonts w:hint="eastAsia" w:cs="仿宋_GB2312" w:asciiTheme="minorEastAsia" w:hAnsiTheme="minorEastAsia" w:eastAsiaTheme="minorEastAsia"/>
          <w:sz w:val="24"/>
          <w:szCs w:val="24"/>
        </w:rPr>
        <w:t>2《响应文件》的内容：</w:t>
      </w:r>
    </w:p>
    <w:p w14:paraId="1BAA2D37">
      <w:pPr>
        <w:snapToGrid w:val="0"/>
        <w:spacing w:line="500" w:lineRule="exact"/>
        <w:ind w:firstLine="236" w:firstLineChars="98"/>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w:t>
      </w:r>
      <w:r>
        <w:rPr>
          <w:rFonts w:cs="仿宋_GB2312" w:asciiTheme="minorEastAsia" w:hAnsiTheme="minorEastAsia" w:eastAsiaTheme="minorEastAsia"/>
          <w:b/>
          <w:bCs/>
          <w:sz w:val="24"/>
          <w:szCs w:val="24"/>
        </w:rPr>
        <w:t>1</w:t>
      </w:r>
      <w:r>
        <w:rPr>
          <w:rFonts w:hint="eastAsia" w:cs="仿宋_GB2312" w:asciiTheme="minorEastAsia" w:hAnsiTheme="minorEastAsia" w:eastAsiaTheme="minorEastAsia"/>
          <w:b/>
          <w:bCs/>
          <w:sz w:val="24"/>
          <w:szCs w:val="24"/>
        </w:rPr>
        <w:t>）报价文件：</w:t>
      </w:r>
    </w:p>
    <w:p w14:paraId="19E352CC">
      <w:pPr>
        <w:snapToGrid w:val="0"/>
        <w:spacing w:line="500" w:lineRule="exact"/>
        <w:ind w:firstLine="484" w:firstLineChars="200"/>
        <w:rPr>
          <w:rFonts w:cs="仿宋_GB2312" w:asciiTheme="minorEastAsia" w:hAnsiTheme="minorEastAsia" w:eastAsiaTheme="minorEastAsia"/>
          <w:b/>
          <w:sz w:val="24"/>
          <w:szCs w:val="24"/>
        </w:rPr>
      </w:pPr>
      <w:r>
        <w:rPr>
          <w:rFonts w:cs="仿宋_GB2312" w:asciiTheme="minorEastAsia" w:hAnsiTheme="minorEastAsia" w:eastAsiaTheme="minorEastAsia"/>
          <w:sz w:val="24"/>
          <w:szCs w:val="24"/>
        </w:rPr>
        <w:t>A</w:t>
      </w:r>
      <w:r>
        <w:rPr>
          <w:rFonts w:hint="eastAsia" w:cs="仿宋_GB2312" w:asciiTheme="minorEastAsia" w:hAnsiTheme="minorEastAsia" w:eastAsiaTheme="minorEastAsia"/>
          <w:sz w:val="24"/>
          <w:szCs w:val="24"/>
        </w:rPr>
        <w:t>.基础报价书：按本《磋商文件》“附件</w:t>
      </w: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”的格式填报并按格式要求签章；</w:t>
      </w:r>
      <w:r>
        <w:rPr>
          <w:rFonts w:hint="eastAsia" w:cs="仿宋_GB2312" w:asciiTheme="minorEastAsia" w:hAnsiTheme="minorEastAsia" w:eastAsiaTheme="minorEastAsia"/>
          <w:b/>
          <w:sz w:val="24"/>
          <w:szCs w:val="24"/>
        </w:rPr>
        <w:t>（报价审查）</w:t>
      </w:r>
    </w:p>
    <w:p w14:paraId="5CA065DD">
      <w:pPr>
        <w:snapToGrid w:val="0"/>
        <w:spacing w:line="500" w:lineRule="exact"/>
        <w:ind w:firstLine="484" w:firstLineChars="200"/>
        <w:rPr>
          <w:rFonts w:cs="仿宋_GB2312" w:asciiTheme="minorEastAsia" w:hAnsiTheme="minorEastAsia" w:eastAsiaTheme="minorEastAsia"/>
          <w:b/>
          <w:sz w:val="24"/>
          <w:szCs w:val="24"/>
        </w:rPr>
      </w:pPr>
      <w:r>
        <w:rPr>
          <w:rFonts w:hint="eastAsia" w:cs="仿宋_GB2312" w:asciiTheme="minorEastAsia" w:hAnsiTheme="minorEastAsia" w:eastAsiaTheme="minorEastAsia"/>
          <w:sz w:val="24"/>
          <w:szCs w:val="24"/>
        </w:rPr>
        <w:t>B.</w:t>
      </w:r>
      <w:r>
        <w:rPr>
          <w:rFonts w:hint="eastAsia" w:ascii="宋体" w:hAnsi="宋体" w:cs="仿宋_GB2312"/>
          <w:sz w:val="24"/>
          <w:szCs w:val="24"/>
        </w:rPr>
        <w:t>已标价工程量清单：按“附件4：采购工程量清单”要求编制；注：已标价工程量清单表格样式不作强制要求，已标价工程量清单封面、扉页及内容无需造价人员签字或盖章。（若竞争性磋商文件中提供的工程量清单中项目名称与竞争性磋商文件中项目名称不一致的，各供应商以竞争性磋商文件中提供的工程量清单中项目名称或以竞争性磋商文件中项目名称制作已标价工程量清单均有效。）</w:t>
      </w:r>
      <w:r>
        <w:rPr>
          <w:rFonts w:hint="eastAsia" w:cs="仿宋_GB2312" w:asciiTheme="minorEastAsia" w:hAnsiTheme="minorEastAsia" w:eastAsiaTheme="minorEastAsia"/>
          <w:b/>
          <w:sz w:val="24"/>
          <w:szCs w:val="24"/>
        </w:rPr>
        <w:t>（报价审查）</w:t>
      </w:r>
    </w:p>
    <w:p w14:paraId="1E98053C">
      <w:pPr>
        <w:snapToGrid w:val="0"/>
        <w:spacing w:line="500" w:lineRule="exact"/>
        <w:ind w:firstLine="478" w:firstLineChars="198"/>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C.供应商认为应该提交的其他报价文件及资料。</w:t>
      </w:r>
    </w:p>
    <w:p w14:paraId="3692210C">
      <w:pPr>
        <w:snapToGrid w:val="0"/>
        <w:spacing w:line="500" w:lineRule="exact"/>
        <w:ind w:firstLine="236" w:firstLineChars="98"/>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w:t>
      </w:r>
      <w:r>
        <w:rPr>
          <w:rFonts w:cs="仿宋_GB2312" w:asciiTheme="minorEastAsia" w:hAnsiTheme="minorEastAsia" w:eastAsiaTheme="minorEastAsia"/>
          <w:b/>
          <w:bCs/>
          <w:sz w:val="24"/>
          <w:szCs w:val="24"/>
        </w:rPr>
        <w:t>2</w:t>
      </w:r>
      <w:r>
        <w:rPr>
          <w:rFonts w:hint="eastAsia" w:cs="仿宋_GB2312" w:asciiTheme="minorEastAsia" w:hAnsiTheme="minorEastAsia" w:eastAsiaTheme="minorEastAsia"/>
          <w:b/>
          <w:bCs/>
          <w:sz w:val="24"/>
          <w:szCs w:val="24"/>
        </w:rPr>
        <w:t>）资格文件：</w:t>
      </w:r>
    </w:p>
    <w:p w14:paraId="62DFD1F1">
      <w:pPr>
        <w:snapToGrid w:val="0"/>
        <w:spacing w:line="500" w:lineRule="exact"/>
        <w:ind w:firstLine="475" w:firstLineChars="197"/>
        <w:rPr>
          <w:rFonts w:cs="宋体-18030" w:asciiTheme="minorEastAsia" w:hAnsiTheme="minorEastAsia" w:eastAsiaTheme="minorEastAsia"/>
          <w:sz w:val="24"/>
          <w:szCs w:val="24"/>
        </w:rPr>
      </w:pPr>
      <w:r>
        <w:rPr>
          <w:rFonts w:hint="eastAsia" w:cs="宋体-18030" w:asciiTheme="minorEastAsia" w:hAnsiTheme="minorEastAsia" w:eastAsiaTheme="minorEastAsia"/>
          <w:sz w:val="24"/>
          <w:szCs w:val="24"/>
        </w:rPr>
        <w:t>A.具有独立承担民事责任的能力：</w:t>
      </w:r>
      <w:r>
        <w:rPr>
          <w:rFonts w:hint="eastAsia" w:cs="宋体-18030" w:asciiTheme="minorEastAsia" w:hAnsiTheme="minorEastAsia" w:eastAsiaTheme="minorEastAsia"/>
          <w:sz w:val="24"/>
          <w:szCs w:val="24"/>
          <w:u w:val="single"/>
        </w:rPr>
        <w:t>提供有效的营业执照</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63308063">
      <w:pPr>
        <w:snapToGrid w:val="0"/>
        <w:spacing w:line="500" w:lineRule="exact"/>
        <w:ind w:firstLine="475" w:firstLineChars="197"/>
        <w:rPr>
          <w:rFonts w:cs="宋体-18030" w:asciiTheme="minorEastAsia" w:hAnsiTheme="minorEastAsia" w:eastAsiaTheme="minorEastAsia"/>
          <w:sz w:val="24"/>
          <w:szCs w:val="24"/>
          <w:u w:val="single"/>
        </w:rPr>
      </w:pPr>
      <w:r>
        <w:rPr>
          <w:rFonts w:hint="eastAsia" w:cs="宋体-18030" w:asciiTheme="minorEastAsia" w:hAnsiTheme="minorEastAsia" w:eastAsiaTheme="minorEastAsia"/>
          <w:sz w:val="24"/>
          <w:szCs w:val="24"/>
        </w:rPr>
        <w:t>B.具有良好的商业信誉和健全的财务会计制度：</w:t>
      </w:r>
      <w:r>
        <w:rPr>
          <w:rFonts w:hint="eastAsia" w:cs="宋体-18030" w:asciiTheme="minorEastAsia" w:hAnsiTheme="minorEastAsia" w:eastAsiaTheme="minorEastAsia"/>
          <w:sz w:val="24"/>
          <w:szCs w:val="24"/>
          <w:u w:val="single"/>
        </w:rPr>
        <w:t>提供会计师事务所出具的2024年度的财务审计报告（包括资产负债表、现金流量表、利润表或利润分配表、财务报表附注或财务状况说明书、会计师事务所的营业执照及执业资格证书）；或提供基本开户银行2025年1月至开标前任意时间出具的资信证明；或提供承诺具有良好的商业信誉和健全的财务会计制度</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72464178">
      <w:pPr>
        <w:snapToGrid w:val="0"/>
        <w:spacing w:line="500" w:lineRule="exact"/>
        <w:ind w:firstLine="475" w:firstLineChars="197"/>
        <w:rPr>
          <w:rFonts w:cs="宋体-18030" w:asciiTheme="minorEastAsia" w:hAnsiTheme="minorEastAsia" w:eastAsiaTheme="minorEastAsia"/>
          <w:sz w:val="24"/>
          <w:szCs w:val="24"/>
          <w:u w:val="single"/>
        </w:rPr>
      </w:pPr>
      <w:r>
        <w:rPr>
          <w:rFonts w:hint="eastAsia" w:cs="宋体-18030" w:asciiTheme="minorEastAsia" w:hAnsiTheme="minorEastAsia" w:eastAsiaTheme="minorEastAsia"/>
          <w:sz w:val="24"/>
          <w:szCs w:val="24"/>
        </w:rPr>
        <w:t>C.具有履行合同所必需的设备和专业技术能力：</w:t>
      </w:r>
      <w:r>
        <w:rPr>
          <w:rFonts w:hint="eastAsia" w:cs="宋体-18030" w:asciiTheme="minorEastAsia" w:hAnsiTheme="minorEastAsia" w:eastAsiaTheme="minorEastAsia"/>
          <w:sz w:val="24"/>
          <w:szCs w:val="24"/>
          <w:u w:val="single"/>
        </w:rPr>
        <w:t>提供具有履行合同所必需的设备清单和专业技术能力人员名单；或提供承诺具有履行合同所必需的设备和专业技术能力</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347F5C8D">
      <w:pPr>
        <w:snapToGrid w:val="0"/>
        <w:spacing w:line="500" w:lineRule="exact"/>
        <w:ind w:firstLine="475" w:firstLineChars="197"/>
        <w:rPr>
          <w:rFonts w:cs="宋体-18030" w:asciiTheme="minorEastAsia" w:hAnsiTheme="minorEastAsia" w:eastAsiaTheme="minorEastAsia"/>
          <w:sz w:val="24"/>
          <w:szCs w:val="24"/>
          <w:u w:val="single"/>
        </w:rPr>
      </w:pPr>
      <w:r>
        <w:rPr>
          <w:rFonts w:hint="eastAsia" w:cs="宋体-18030" w:asciiTheme="minorEastAsia" w:hAnsiTheme="minorEastAsia" w:eastAsiaTheme="minorEastAsia"/>
          <w:sz w:val="24"/>
          <w:szCs w:val="24"/>
        </w:rPr>
        <w:t>D.具有依法缴纳税收和社会保障资金的良好记录：</w:t>
      </w:r>
      <w:r>
        <w:rPr>
          <w:rFonts w:hint="eastAsia" w:cs="宋体-18030" w:asciiTheme="minorEastAsia" w:hAnsiTheme="minorEastAsia" w:eastAsiaTheme="minorEastAsia"/>
          <w:sz w:val="24"/>
          <w:szCs w:val="24"/>
          <w:u w:val="single"/>
        </w:rPr>
        <w:t>提供2025年1月至开标时间前任意一个月社会保障资金缴纳凭证和依法缴纳税收的凭证证明材料（所属日期税款为“0”而无缴纳凭证的，应有税务机关盖章认可的零申报说明材料）；不需要缴纳社保资金和缴纳税收或依法免税的供应商须提供相应证明文件；或提供承诺具有依法缴纳税收和社会保障资金的良好记录</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671E91E7">
      <w:pPr>
        <w:snapToGrid w:val="0"/>
        <w:spacing w:line="500" w:lineRule="exact"/>
        <w:ind w:firstLine="475" w:firstLineChars="197"/>
        <w:rPr>
          <w:rFonts w:cs="宋体-18030" w:asciiTheme="minorEastAsia" w:hAnsiTheme="minorEastAsia" w:eastAsiaTheme="minorEastAsia"/>
          <w:sz w:val="24"/>
          <w:szCs w:val="24"/>
        </w:rPr>
      </w:pPr>
      <w:r>
        <w:rPr>
          <w:rFonts w:hint="eastAsia" w:cs="宋体-18030" w:asciiTheme="minorEastAsia" w:hAnsiTheme="minorEastAsia" w:eastAsiaTheme="minorEastAsia"/>
          <w:sz w:val="24"/>
          <w:szCs w:val="24"/>
        </w:rPr>
        <w:t>E.参加本次政府采购活动前三年内，在经营活动中没有违法违规记录：</w:t>
      </w:r>
      <w:r>
        <w:rPr>
          <w:rFonts w:hint="eastAsia" w:cs="宋体-18030" w:asciiTheme="minorEastAsia" w:hAnsiTheme="minorEastAsia" w:eastAsiaTheme="minorEastAsia"/>
          <w:sz w:val="24"/>
          <w:szCs w:val="24"/>
          <w:u w:val="single"/>
        </w:rPr>
        <w:t>提供书面声明：参加本次政府采购活动前三年内，在经营活动中没有违法记录（重大违法记录是指投标人因违法经营受到刑事处罚或者责令停产停业、吊销许可证或者执照、较大数额罚款等行政处罚</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1BB9D280">
      <w:pPr>
        <w:spacing w:line="500" w:lineRule="exact"/>
        <w:ind w:firstLine="484" w:firstLineChars="200"/>
        <w:rPr>
          <w:rFonts w:cs="宋体" w:asciiTheme="minorEastAsia" w:hAnsiTheme="minorEastAsia" w:eastAsiaTheme="minorEastAsia"/>
          <w:kern w:val="0"/>
          <w:sz w:val="24"/>
          <w:szCs w:val="24"/>
        </w:rPr>
      </w:pPr>
      <w:r>
        <w:rPr>
          <w:rFonts w:hint="eastAsia" w:cs="宋体-18030" w:asciiTheme="minorEastAsia" w:hAnsiTheme="minorEastAsia" w:eastAsiaTheme="minorEastAsia"/>
          <w:sz w:val="24"/>
          <w:szCs w:val="24"/>
        </w:rPr>
        <w:t>F.</w:t>
      </w:r>
      <w:r>
        <w:rPr>
          <w:rFonts w:hint="eastAsia" w:cs="宋体" w:asciiTheme="minorEastAsia" w:hAnsiTheme="minorEastAsia" w:eastAsiaTheme="minorEastAsia"/>
          <w:kern w:val="0"/>
          <w:sz w:val="24"/>
          <w:szCs w:val="24"/>
        </w:rPr>
        <w:t>诚信资格要求：供应商须承诺：在“信用中国”网站（www.creditchina.gov.cn）、中国政府采购网（www.ccgp.gov.cn）等渠道查询中未被列入失信被执行人名单、重大税收违失信主体名单、政府采购严重违法失信行为记录名单中，如被列入失信被执行人、重大税收违失信主体名单、政府采购严重违法失信行为记录名单中，自愿取消投标资格，并承担由此造成的一切法律责任及后果。</w:t>
      </w:r>
      <w:r>
        <w:rPr>
          <w:rFonts w:hint="eastAsia" w:cs="宋体-18030" w:asciiTheme="minorEastAsia" w:hAnsiTheme="minorEastAsia" w:eastAsiaTheme="minorEastAsia"/>
          <w:b/>
          <w:bCs/>
          <w:sz w:val="24"/>
          <w:szCs w:val="24"/>
        </w:rPr>
        <w:t>（资格审查项）</w:t>
      </w:r>
    </w:p>
    <w:p w14:paraId="2CBD9277">
      <w:pPr>
        <w:spacing w:line="500" w:lineRule="exact"/>
        <w:ind w:firstLine="484" w:firstLineChars="200"/>
        <w:rPr>
          <w:rFonts w:cs="宋体-18030" w:asciiTheme="minorEastAsia" w:hAnsiTheme="minorEastAsia" w:eastAsiaTheme="minorEastAsia"/>
          <w:sz w:val="24"/>
          <w:szCs w:val="24"/>
        </w:rPr>
      </w:pPr>
      <w:r>
        <w:rPr>
          <w:rFonts w:hint="eastAsia" w:cs="宋体" w:asciiTheme="minorEastAsia" w:hAnsiTheme="minorEastAsia" w:eastAsiaTheme="minorEastAsia"/>
          <w:kern w:val="0"/>
          <w:sz w:val="24"/>
          <w:szCs w:val="24"/>
        </w:rPr>
        <w:t>G.法定代表人参加投标的必须上传法定代表人身份证；法人授权委托人参加投标的上传法定代表人授权委托书及被授权委托人身份证</w:t>
      </w:r>
      <w:r>
        <w:rPr>
          <w:rFonts w:hint="eastAsia" w:cs="宋体-18030" w:asciiTheme="minorEastAsia" w:hAnsiTheme="minorEastAsia" w:eastAsiaTheme="minorEastAsia"/>
          <w:sz w:val="24"/>
          <w:szCs w:val="24"/>
        </w:rPr>
        <w:t>。</w:t>
      </w:r>
      <w:r>
        <w:rPr>
          <w:rFonts w:hint="eastAsia" w:cs="宋体-18030" w:asciiTheme="minorEastAsia" w:hAnsiTheme="minorEastAsia" w:eastAsiaTheme="minorEastAsia"/>
          <w:b/>
          <w:bCs/>
          <w:sz w:val="24"/>
          <w:szCs w:val="24"/>
        </w:rPr>
        <w:t>（资格审查项）</w:t>
      </w:r>
    </w:p>
    <w:p w14:paraId="13361DB7">
      <w:pPr>
        <w:autoSpaceDE w:val="0"/>
        <w:autoSpaceDN w:val="0"/>
        <w:adjustRightInd w:val="0"/>
        <w:spacing w:line="500" w:lineRule="exact"/>
        <w:ind w:firstLine="484" w:firstLineChars="200"/>
        <w:jc w:val="left"/>
        <w:rPr>
          <w:rFonts w:ascii="宋体" w:hAnsi="宋体" w:cs="宋体"/>
          <w:kern w:val="0"/>
          <w:sz w:val="24"/>
          <w:szCs w:val="24"/>
        </w:rPr>
      </w:pPr>
      <w:r>
        <w:rPr>
          <w:rFonts w:ascii="宋体" w:hAnsi="宋体" w:cs="宋体"/>
          <w:kern w:val="0"/>
          <w:sz w:val="24"/>
          <w:szCs w:val="24"/>
        </w:rPr>
        <w:t>H</w:t>
      </w:r>
      <w:r>
        <w:rPr>
          <w:rFonts w:hint="eastAsia" w:ascii="宋体" w:hAnsi="宋体" w:cs="宋体"/>
          <w:kern w:val="0"/>
          <w:sz w:val="24"/>
          <w:szCs w:val="24"/>
        </w:rPr>
        <w:t>.具备建设行政主管部门核发的</w:t>
      </w:r>
      <w:r>
        <w:rPr>
          <w:rFonts w:hint="eastAsia" w:ascii="宋体" w:hAnsi="宋体" w:cs="宋体"/>
          <w:b/>
          <w:bCs/>
          <w:kern w:val="0"/>
          <w:sz w:val="24"/>
          <w:szCs w:val="24"/>
          <w:u w:val="single"/>
        </w:rPr>
        <w:t>建筑工程施工总承包叁级（含叁级）以上资质</w:t>
      </w:r>
      <w:r>
        <w:rPr>
          <w:rFonts w:hint="eastAsia" w:ascii="宋体" w:hAnsi="宋体" w:cs="宋体"/>
          <w:kern w:val="0"/>
          <w:sz w:val="24"/>
          <w:szCs w:val="24"/>
        </w:rPr>
        <w:t>。</w:t>
      </w:r>
      <w:r>
        <w:rPr>
          <w:rFonts w:hint="eastAsia" w:cs="宋体-18030" w:asciiTheme="minorEastAsia" w:hAnsiTheme="minorEastAsia" w:eastAsiaTheme="minorEastAsia"/>
          <w:b/>
          <w:bCs/>
          <w:sz w:val="24"/>
          <w:szCs w:val="24"/>
        </w:rPr>
        <w:t>（资格审查项）</w:t>
      </w:r>
    </w:p>
    <w:p w14:paraId="0FE112E4">
      <w:pPr>
        <w:autoSpaceDE w:val="0"/>
        <w:autoSpaceDN w:val="0"/>
        <w:adjustRightInd w:val="0"/>
        <w:spacing w:line="500" w:lineRule="exact"/>
        <w:ind w:firstLine="484" w:firstLineChars="200"/>
        <w:jc w:val="left"/>
        <w:rPr>
          <w:rFonts w:ascii="宋体" w:hAnsi="宋体" w:cs="宋体"/>
          <w:kern w:val="0"/>
          <w:sz w:val="24"/>
          <w:szCs w:val="24"/>
        </w:rPr>
      </w:pPr>
      <w:r>
        <w:rPr>
          <w:rFonts w:ascii="宋体" w:hAnsi="宋体" w:cs="宋体"/>
          <w:kern w:val="0"/>
          <w:sz w:val="24"/>
          <w:szCs w:val="24"/>
        </w:rPr>
        <w:t>I</w:t>
      </w:r>
      <w:r>
        <w:rPr>
          <w:rFonts w:hint="eastAsia" w:ascii="宋体" w:hAnsi="宋体" w:cs="宋体"/>
          <w:kern w:val="0"/>
          <w:sz w:val="24"/>
          <w:szCs w:val="24"/>
        </w:rPr>
        <w:t>.</w:t>
      </w:r>
      <w:r>
        <w:rPr>
          <w:rFonts w:hint="eastAsia" w:ascii="宋体" w:cs="宋体"/>
          <w:kern w:val="0"/>
          <w:sz w:val="24"/>
          <w:szCs w:val="24"/>
        </w:rPr>
        <w:t>具备有效的安全生产许可证。</w:t>
      </w:r>
      <w:r>
        <w:rPr>
          <w:rFonts w:hint="eastAsia" w:cs="宋体-18030" w:asciiTheme="minorEastAsia" w:hAnsiTheme="minorEastAsia" w:eastAsiaTheme="minorEastAsia"/>
          <w:b/>
          <w:bCs/>
          <w:sz w:val="24"/>
          <w:szCs w:val="24"/>
        </w:rPr>
        <w:t>（资格审查项）</w:t>
      </w:r>
    </w:p>
    <w:p w14:paraId="2AF94FE3">
      <w:pPr>
        <w:autoSpaceDE w:val="0"/>
        <w:autoSpaceDN w:val="0"/>
        <w:adjustRightInd w:val="0"/>
        <w:spacing w:line="500" w:lineRule="exact"/>
        <w:ind w:firstLine="484" w:firstLineChars="200"/>
        <w:jc w:val="left"/>
        <w:rPr>
          <w:rFonts w:cs="宋体-18030" w:asciiTheme="minorEastAsia" w:hAnsiTheme="minorEastAsia" w:eastAsiaTheme="minorEastAsia"/>
          <w:b/>
          <w:bCs/>
          <w:sz w:val="24"/>
          <w:szCs w:val="24"/>
        </w:rPr>
      </w:pPr>
      <w:r>
        <w:rPr>
          <w:rFonts w:ascii="宋体" w:hAnsi="宋体" w:cs="宋体"/>
          <w:kern w:val="0"/>
          <w:sz w:val="24"/>
          <w:szCs w:val="24"/>
        </w:rPr>
        <w:t>J</w:t>
      </w:r>
      <w:r>
        <w:rPr>
          <w:rFonts w:hint="eastAsia" w:ascii="宋体" w:hAnsi="宋体" w:cs="宋体"/>
          <w:kern w:val="0"/>
          <w:sz w:val="24"/>
          <w:szCs w:val="24"/>
        </w:rPr>
        <w:t>.</w:t>
      </w:r>
      <w:r>
        <w:rPr>
          <w:rFonts w:hint="eastAsia" w:ascii="宋体" w:cs="宋体"/>
          <w:kern w:val="0"/>
          <w:sz w:val="24"/>
          <w:szCs w:val="24"/>
        </w:rPr>
        <w:t>项目经理具备</w:t>
      </w:r>
      <w:r>
        <w:rPr>
          <w:rFonts w:hint="eastAsia" w:ascii="宋体" w:cs="宋体"/>
          <w:b/>
          <w:bCs/>
          <w:kern w:val="0"/>
          <w:sz w:val="24"/>
          <w:szCs w:val="24"/>
          <w:u w:val="single"/>
        </w:rPr>
        <w:t>建筑工程专业贰级（含贰级）</w:t>
      </w:r>
      <w:r>
        <w:rPr>
          <w:rFonts w:hint="eastAsia" w:ascii="宋体" w:cs="宋体"/>
          <w:kern w:val="0"/>
          <w:sz w:val="24"/>
          <w:szCs w:val="24"/>
        </w:rPr>
        <w:t>以上注册建造师，并具备有效的安全生产考核合格证书（B类），且未担任其他在建建设工程项目的项目经理；须提供身份证、执业资格证、注册证、安考（B）证；注册证单位名称须与投标供应商单位一致，证件单位名称与投标供应商名称不一致的，由发证单位提供变更证明材料或由供应商提供相应的证明文件，否则视为非本单位人员。</w:t>
      </w:r>
      <w:r>
        <w:rPr>
          <w:rFonts w:hint="eastAsia" w:cs="宋体-18030" w:asciiTheme="minorEastAsia" w:hAnsiTheme="minorEastAsia" w:eastAsiaTheme="minorEastAsia"/>
          <w:b/>
          <w:bCs/>
          <w:sz w:val="24"/>
          <w:szCs w:val="24"/>
        </w:rPr>
        <w:t>（资格审查项）</w:t>
      </w:r>
    </w:p>
    <w:p w14:paraId="2ED9EC23">
      <w:pPr>
        <w:autoSpaceDE w:val="0"/>
        <w:autoSpaceDN w:val="0"/>
        <w:adjustRightInd w:val="0"/>
        <w:spacing w:line="500" w:lineRule="exact"/>
        <w:ind w:firstLine="484" w:firstLineChars="200"/>
        <w:jc w:val="left"/>
        <w:rPr>
          <w:rFonts w:cs="宋体-18030" w:asciiTheme="minorEastAsia" w:hAnsiTheme="minorEastAsia" w:eastAsiaTheme="minorEastAsia"/>
          <w:sz w:val="24"/>
          <w:szCs w:val="24"/>
        </w:rPr>
      </w:pPr>
      <w:r>
        <w:rPr>
          <w:rFonts w:cs="宋体-18030" w:asciiTheme="minorEastAsia" w:hAnsiTheme="minorEastAsia" w:eastAsiaTheme="minorEastAsia"/>
          <w:sz w:val="24"/>
          <w:szCs w:val="24"/>
        </w:rPr>
        <w:t>K</w:t>
      </w:r>
      <w:r>
        <w:rPr>
          <w:rFonts w:hint="eastAsia" w:cs="宋体-18030" w:asciiTheme="minorEastAsia" w:hAnsiTheme="minorEastAsia" w:eastAsiaTheme="minorEastAsia"/>
          <w:sz w:val="24"/>
          <w:szCs w:val="24"/>
        </w:rPr>
        <w:t>．落实政府采购政策需满足的资格要求：本项目专门面向所属行业为“建筑业”的</w:t>
      </w:r>
    </w:p>
    <w:p w14:paraId="6624F938">
      <w:pPr>
        <w:autoSpaceDE w:val="0"/>
        <w:autoSpaceDN w:val="0"/>
        <w:adjustRightInd w:val="0"/>
        <w:spacing w:line="500" w:lineRule="exact"/>
        <w:jc w:val="left"/>
        <w:rPr>
          <w:rFonts w:cs="宋体-18030" w:asciiTheme="minorEastAsia" w:hAnsiTheme="minorEastAsia" w:eastAsiaTheme="minorEastAsia"/>
          <w:sz w:val="24"/>
          <w:szCs w:val="24"/>
        </w:rPr>
      </w:pPr>
      <w:r>
        <w:rPr>
          <w:rFonts w:hint="eastAsia" w:cs="宋体-18030" w:asciiTheme="minorEastAsia" w:hAnsiTheme="minorEastAsia" w:eastAsiaTheme="minorEastAsia"/>
          <w:sz w:val="24"/>
          <w:szCs w:val="24"/>
        </w:rPr>
        <w:t>中小企业采购，供应商须提供《中小企业声明函》，且符合工信部联企业《2011》300</w:t>
      </w:r>
    </w:p>
    <w:p w14:paraId="1D21C969">
      <w:pPr>
        <w:autoSpaceDE w:val="0"/>
        <w:autoSpaceDN w:val="0"/>
        <w:adjustRightInd w:val="0"/>
        <w:spacing w:line="500" w:lineRule="exact"/>
        <w:jc w:val="left"/>
        <w:rPr>
          <w:rFonts w:cs="宋体-18030" w:asciiTheme="minorEastAsia" w:hAnsiTheme="minorEastAsia" w:eastAsiaTheme="minorEastAsia"/>
          <w:sz w:val="24"/>
          <w:szCs w:val="24"/>
        </w:rPr>
      </w:pPr>
      <w:r>
        <w:rPr>
          <w:rFonts w:hint="eastAsia" w:cs="宋体-18030" w:asciiTheme="minorEastAsia" w:hAnsiTheme="minorEastAsia" w:eastAsiaTheme="minorEastAsia"/>
          <w:sz w:val="24"/>
          <w:szCs w:val="24"/>
        </w:rPr>
        <w:t>号文件规定的中小企业划分标准；对视同中小企业的其他供应商，提供财政部会同有关</w:t>
      </w:r>
    </w:p>
    <w:p w14:paraId="15D49BAF">
      <w:pPr>
        <w:autoSpaceDE w:val="0"/>
        <w:autoSpaceDN w:val="0"/>
        <w:adjustRightInd w:val="0"/>
        <w:spacing w:line="500" w:lineRule="exact"/>
        <w:jc w:val="left"/>
        <w:rPr>
          <w:rFonts w:cs="宋体-18030" w:asciiTheme="minorEastAsia" w:hAnsiTheme="minorEastAsia" w:eastAsiaTheme="minorEastAsia"/>
          <w:sz w:val="24"/>
          <w:szCs w:val="24"/>
        </w:rPr>
      </w:pPr>
      <w:r>
        <w:rPr>
          <w:rFonts w:hint="eastAsia" w:cs="宋体-18030" w:asciiTheme="minorEastAsia" w:hAnsiTheme="minorEastAsia" w:eastAsiaTheme="minorEastAsia"/>
          <w:sz w:val="24"/>
          <w:szCs w:val="24"/>
        </w:rPr>
        <w:t>部门规定的证明材料。（《中小企业声明函》符合格式要求，其他视同中小企业供应商</w:t>
      </w:r>
    </w:p>
    <w:p w14:paraId="78A4D7BF">
      <w:pPr>
        <w:autoSpaceDE w:val="0"/>
        <w:autoSpaceDN w:val="0"/>
        <w:adjustRightInd w:val="0"/>
        <w:spacing w:line="500" w:lineRule="exact"/>
        <w:jc w:val="left"/>
        <w:rPr>
          <w:rFonts w:ascii="宋体" w:cs="宋体"/>
          <w:kern w:val="0"/>
          <w:sz w:val="24"/>
          <w:szCs w:val="24"/>
        </w:rPr>
      </w:pPr>
      <w:r>
        <w:rPr>
          <w:rFonts w:hint="eastAsia" w:cs="宋体-18030" w:asciiTheme="minorEastAsia" w:hAnsiTheme="minorEastAsia" w:eastAsiaTheme="minorEastAsia"/>
          <w:sz w:val="24"/>
          <w:szCs w:val="24"/>
        </w:rPr>
        <w:t>提供证明材料原件扫描件）。</w:t>
      </w:r>
      <w:r>
        <w:rPr>
          <w:rFonts w:hint="eastAsia" w:cs="宋体-18030" w:asciiTheme="minorEastAsia" w:hAnsiTheme="minorEastAsia" w:eastAsiaTheme="minorEastAsia"/>
          <w:b/>
          <w:bCs/>
          <w:sz w:val="24"/>
          <w:szCs w:val="24"/>
        </w:rPr>
        <w:t>（资格审查项）</w:t>
      </w:r>
    </w:p>
    <w:p w14:paraId="01AA9ECD">
      <w:pPr>
        <w:snapToGrid w:val="0"/>
        <w:spacing w:line="500" w:lineRule="exact"/>
        <w:ind w:firstLine="236" w:firstLineChars="98"/>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w:t>
      </w:r>
      <w:r>
        <w:rPr>
          <w:rFonts w:cs="仿宋_GB2312" w:asciiTheme="minorEastAsia" w:hAnsiTheme="minorEastAsia" w:eastAsiaTheme="minorEastAsia"/>
          <w:b/>
          <w:bCs/>
          <w:sz w:val="24"/>
          <w:szCs w:val="24"/>
        </w:rPr>
        <w:t>3</w:t>
      </w:r>
      <w:r>
        <w:rPr>
          <w:rFonts w:hint="eastAsia" w:cs="仿宋_GB2312" w:asciiTheme="minorEastAsia" w:hAnsiTheme="minorEastAsia" w:eastAsiaTheme="minorEastAsia"/>
          <w:b/>
          <w:bCs/>
          <w:sz w:val="24"/>
          <w:szCs w:val="24"/>
        </w:rPr>
        <w:t>）技术文件：</w:t>
      </w:r>
    </w:p>
    <w:p w14:paraId="46F06ED2">
      <w:pPr>
        <w:snapToGrid w:val="0"/>
        <w:spacing w:line="500" w:lineRule="exact"/>
        <w:ind w:firstLine="478" w:firstLineChars="198"/>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A.参加谈判说明：简要介绍投标人的基本情况和对《磋商文件》的响应程度；</w:t>
      </w:r>
    </w:p>
    <w:p w14:paraId="041E765E">
      <w:pPr>
        <w:snapToGrid w:val="0"/>
        <w:spacing w:line="500" w:lineRule="exact"/>
        <w:ind w:firstLine="478" w:firstLineChars="198"/>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B.</w:t>
      </w:r>
      <w:r>
        <w:rPr>
          <w:rFonts w:hint="eastAsia" w:ascii="宋体" w:hAnsi="宋体" w:cs="仿宋_GB2312"/>
          <w:sz w:val="24"/>
          <w:szCs w:val="24"/>
        </w:rPr>
        <w:t>技术评分所需材料：结合评分标准自行编制</w:t>
      </w:r>
      <w:r>
        <w:rPr>
          <w:rFonts w:hint="eastAsia" w:cs="仿宋_GB2312" w:asciiTheme="minorEastAsia" w:hAnsiTheme="minorEastAsia" w:eastAsiaTheme="minorEastAsia"/>
          <w:sz w:val="24"/>
          <w:szCs w:val="24"/>
        </w:rPr>
        <w:t>。</w:t>
      </w:r>
    </w:p>
    <w:p w14:paraId="13F95105">
      <w:pPr>
        <w:snapToGrid w:val="0"/>
        <w:spacing w:line="500" w:lineRule="exact"/>
        <w:ind w:firstLine="478" w:firstLineChars="198"/>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C.投标人认为应该提交的技术性文件及资料。</w:t>
      </w:r>
    </w:p>
    <w:p w14:paraId="2557CA4E">
      <w:pPr>
        <w:snapToGrid w:val="0"/>
        <w:spacing w:line="500" w:lineRule="exact"/>
        <w:ind w:firstLine="236" w:firstLineChars="98"/>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w:t>
      </w:r>
      <w:r>
        <w:rPr>
          <w:rFonts w:cs="仿宋_GB2312" w:asciiTheme="minorEastAsia" w:hAnsiTheme="minorEastAsia" w:eastAsiaTheme="minorEastAsia"/>
          <w:b/>
          <w:bCs/>
          <w:sz w:val="24"/>
          <w:szCs w:val="24"/>
        </w:rPr>
        <w:t>4</w:t>
      </w:r>
      <w:r>
        <w:rPr>
          <w:rFonts w:hint="eastAsia" w:cs="仿宋_GB2312" w:asciiTheme="minorEastAsia" w:hAnsiTheme="minorEastAsia" w:eastAsiaTheme="minorEastAsia"/>
          <w:b/>
          <w:bCs/>
          <w:sz w:val="24"/>
          <w:szCs w:val="24"/>
        </w:rPr>
        <w:t>）商务文件：</w:t>
      </w:r>
    </w:p>
    <w:p w14:paraId="60262D7C">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A.商务评分所需材料：结合评分标准自行编制；</w:t>
      </w:r>
    </w:p>
    <w:p w14:paraId="4E71BE21">
      <w:pPr>
        <w:snapToGrid w:val="0"/>
        <w:spacing w:line="500" w:lineRule="exact"/>
        <w:ind w:firstLine="473" w:firstLineChars="196"/>
        <w:rPr>
          <w:rFonts w:cs="仿宋_GB2312" w:asciiTheme="minorEastAsia" w:hAnsiTheme="minorEastAsia" w:eastAsiaTheme="minorEastAsia"/>
          <w:b/>
          <w:sz w:val="24"/>
          <w:szCs w:val="24"/>
        </w:rPr>
      </w:pPr>
      <w:r>
        <w:rPr>
          <w:rFonts w:hint="eastAsia" w:cs="仿宋_GB2312" w:asciiTheme="minorEastAsia" w:hAnsiTheme="minorEastAsia" w:eastAsiaTheme="minorEastAsia"/>
          <w:sz w:val="24"/>
          <w:szCs w:val="24"/>
        </w:rPr>
        <w:t>B.工期承诺：合同签订后40日历天内完成本项目；</w:t>
      </w:r>
      <w:r>
        <w:rPr>
          <w:rFonts w:hint="eastAsia" w:cs="仿宋_GB2312" w:asciiTheme="minorEastAsia" w:hAnsiTheme="minorEastAsia" w:eastAsiaTheme="minorEastAsia"/>
          <w:b/>
          <w:sz w:val="24"/>
          <w:szCs w:val="24"/>
        </w:rPr>
        <w:t>（符合性审查项）</w:t>
      </w:r>
    </w:p>
    <w:p w14:paraId="5B92E896">
      <w:pPr>
        <w:snapToGrid w:val="0"/>
        <w:spacing w:line="500" w:lineRule="exact"/>
        <w:ind w:firstLine="473" w:firstLineChars="196"/>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C.投标人认为应该提交的商务性文件及资料。</w:t>
      </w:r>
    </w:p>
    <w:p w14:paraId="73C7BE46">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3.4.3 响应文件的提交：</w:t>
      </w:r>
    </w:p>
    <w:p w14:paraId="6354ABF9">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(1)供应商应将《响应文件》按系统按要求进行编制导出后加密上传；</w:t>
      </w:r>
    </w:p>
    <w:p w14:paraId="6971A44D">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3.5 投标</w:t>
      </w:r>
    </w:p>
    <w:p w14:paraId="37ECF23C">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3.5.1供应商必须按本竞争性磋商文件规定的时间内上传响应文件，并签到；</w:t>
      </w:r>
    </w:p>
    <w:p w14:paraId="46941863">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3.5.2 供应商必须按本竞争性磋商文件规定的时间内解密响应文件；</w:t>
      </w:r>
    </w:p>
    <w:p w14:paraId="19566D2E">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3.6 投标资格的丧失</w:t>
      </w:r>
    </w:p>
    <w:p w14:paraId="0F7E9E88">
      <w:pPr>
        <w:snapToGrid w:val="0"/>
        <w:spacing w:line="500" w:lineRule="exact"/>
        <w:ind w:firstLine="473" w:firstLineChars="196"/>
        <w:rPr>
          <w:rFonts w:cs="仿宋_GB2312" w:asciiTheme="minorEastAsia" w:hAnsiTheme="minorEastAsia" w:eastAsiaTheme="minorEastAsia"/>
          <w:kern w:val="15"/>
          <w:sz w:val="24"/>
          <w:szCs w:val="24"/>
        </w:rPr>
      </w:pPr>
      <w:bookmarkStart w:id="8" w:name="_Toc517881181"/>
      <w:bookmarkStart w:id="9" w:name="_Toc517881071"/>
      <w:r>
        <w:rPr>
          <w:rFonts w:hint="eastAsia" w:cs="仿宋_GB2312" w:asciiTheme="minorEastAsia" w:hAnsiTheme="minorEastAsia" w:eastAsiaTheme="minorEastAsia"/>
          <w:kern w:val="15"/>
          <w:sz w:val="24"/>
          <w:szCs w:val="24"/>
        </w:rPr>
        <w:t>3.6.1 供应商没有按要求提供</w:t>
      </w:r>
      <w:r>
        <w:rPr>
          <w:rFonts w:hint="eastAsia" w:cs="宋体" w:asciiTheme="minorEastAsia" w:hAnsiTheme="minorEastAsia"/>
          <w:sz w:val="24"/>
          <w:szCs w:val="24"/>
        </w:rPr>
        <w:t>投标保证金</w:t>
      </w:r>
      <w:r>
        <w:rPr>
          <w:rFonts w:hint="eastAsia" w:cs="仿宋_GB2312" w:asciiTheme="minorEastAsia" w:hAnsiTheme="minorEastAsia" w:eastAsiaTheme="minorEastAsia"/>
          <w:kern w:val="15"/>
          <w:sz w:val="24"/>
          <w:szCs w:val="24"/>
        </w:rPr>
        <w:t>，供应商将不能获得投标资格</w:t>
      </w:r>
      <w:r>
        <w:rPr>
          <w:rFonts w:hint="eastAsia" w:cs="宋体" w:asciiTheme="minorEastAsia" w:hAnsiTheme="minorEastAsia" w:eastAsiaTheme="minorEastAsia"/>
          <w:kern w:val="0"/>
          <w:sz w:val="24"/>
          <w:szCs w:val="24"/>
        </w:rPr>
        <w:t>。</w:t>
      </w:r>
    </w:p>
    <w:p w14:paraId="6011C848">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3.6.2 供应商的《响应文件》中无资格审查项内容或资格审查项所列内容不符合磋商文件要求的，供应商将丧失投标资格；</w:t>
      </w:r>
    </w:p>
    <w:p w14:paraId="39B03F06">
      <w:pPr>
        <w:snapToGrid w:val="0"/>
        <w:spacing w:line="500" w:lineRule="exact"/>
        <w:ind w:firstLine="473" w:firstLineChars="196"/>
        <w:rPr>
          <w:rFonts w:cs="仿宋_GB2312" w:asciiTheme="minorEastAsia" w:hAnsiTheme="minorEastAsia" w:eastAsiaTheme="minorEastAsia"/>
          <w:kern w:val="15"/>
          <w:sz w:val="24"/>
          <w:szCs w:val="24"/>
        </w:rPr>
      </w:pPr>
      <w:r>
        <w:rPr>
          <w:rFonts w:hint="eastAsia" w:cs="仿宋_GB2312" w:asciiTheme="minorEastAsia" w:hAnsiTheme="minorEastAsia" w:eastAsiaTheme="minorEastAsia"/>
          <w:kern w:val="15"/>
          <w:sz w:val="24"/>
          <w:szCs w:val="24"/>
        </w:rPr>
        <w:t>3.6.3 供应商的《响应文件》中无符合性审查项内容或符合性审查项所列内容不符合磋商文件要求的，视为未对竞争性磋商文件作实质性响应。</w:t>
      </w:r>
    </w:p>
    <w:p w14:paraId="7D0EE35C">
      <w:pPr>
        <w:snapToGrid w:val="0"/>
        <w:spacing w:line="500" w:lineRule="exact"/>
        <w:ind w:firstLine="473" w:firstLineChars="196"/>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3.6.</w:t>
      </w:r>
      <w:r>
        <w:rPr>
          <w:rFonts w:cs="宋体" w:asciiTheme="minorEastAsia" w:hAnsiTheme="minorEastAsia" w:eastAsiaTheme="minorEastAsia"/>
          <w:kern w:val="0"/>
          <w:sz w:val="24"/>
          <w:szCs w:val="24"/>
        </w:rPr>
        <w:t>4</w:t>
      </w:r>
      <w:r>
        <w:rPr>
          <w:rFonts w:hint="eastAsia" w:cs="宋体" w:asciiTheme="minorEastAsia" w:hAnsiTheme="minorEastAsia" w:eastAsiaTheme="minorEastAsia"/>
          <w:kern w:val="0"/>
          <w:sz w:val="24"/>
          <w:szCs w:val="24"/>
        </w:rPr>
        <w:t xml:space="preserve">投标人《响应文件》中未按《磋商文件》前3章要求承诺内容提供承诺的，未按指定格式要求编制《响应文件》的，视为未对《磋商文件》作实质性响应。 </w:t>
      </w:r>
    </w:p>
    <w:p w14:paraId="7BC53288">
      <w:pPr>
        <w:snapToGrid w:val="0"/>
        <w:spacing w:line="500" w:lineRule="exact"/>
        <w:ind w:firstLine="473" w:firstLineChars="196"/>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3.6.</w:t>
      </w:r>
      <w:r>
        <w:rPr>
          <w:rFonts w:cs="宋体" w:asciiTheme="minorEastAsia" w:hAnsiTheme="minorEastAsia" w:eastAsiaTheme="minorEastAsia"/>
          <w:kern w:val="0"/>
          <w:sz w:val="24"/>
          <w:szCs w:val="24"/>
        </w:rPr>
        <w:t>5</w:t>
      </w:r>
      <w:r>
        <w:rPr>
          <w:rFonts w:hint="eastAsia" w:cs="宋体" w:asciiTheme="minorEastAsia" w:hAnsiTheme="minorEastAsia" w:eastAsiaTheme="minorEastAsia"/>
          <w:kern w:val="0"/>
          <w:sz w:val="24"/>
          <w:szCs w:val="24"/>
        </w:rPr>
        <w:t xml:space="preserve"> 评标委员会认定投标响应文件异常一致或投标报价呈规律性差异的。</w:t>
      </w:r>
    </w:p>
    <w:p w14:paraId="38711B45">
      <w:pPr>
        <w:snapToGrid w:val="0"/>
        <w:spacing w:line="500" w:lineRule="exact"/>
        <w:ind w:firstLine="473" w:firstLineChars="196"/>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3.6.</w:t>
      </w:r>
      <w:r>
        <w:rPr>
          <w:rFonts w:cs="宋体" w:asciiTheme="minorEastAsia" w:hAnsiTheme="minorEastAsia" w:eastAsiaTheme="minorEastAsia"/>
          <w:kern w:val="0"/>
          <w:sz w:val="24"/>
          <w:szCs w:val="24"/>
        </w:rPr>
        <w:t>6</w:t>
      </w:r>
      <w:r>
        <w:rPr>
          <w:rFonts w:hint="eastAsia" w:cs="宋体" w:asciiTheme="minorEastAsia" w:hAnsiTheme="minorEastAsia" w:eastAsiaTheme="minorEastAsia"/>
          <w:kern w:val="0"/>
          <w:sz w:val="24"/>
          <w:szCs w:val="24"/>
        </w:rPr>
        <w:t xml:space="preserve"> 评标委员会认定投标人串通投标或弄虚作假或有其他违法行为的。</w:t>
      </w:r>
    </w:p>
    <w:p w14:paraId="4FDD9874">
      <w:pPr>
        <w:spacing w:line="500" w:lineRule="exact"/>
        <w:ind w:firstLine="484" w:firstLineChars="200"/>
      </w:pPr>
      <w:r>
        <w:rPr>
          <w:rFonts w:hint="eastAsia" w:cs="宋体" w:asciiTheme="minorEastAsia" w:hAnsiTheme="minorEastAsia" w:eastAsiaTheme="minorEastAsia"/>
          <w:kern w:val="0"/>
          <w:sz w:val="24"/>
          <w:szCs w:val="24"/>
        </w:rPr>
        <w:t>3.6.</w:t>
      </w:r>
      <w:r>
        <w:rPr>
          <w:rFonts w:cs="宋体" w:asciiTheme="minorEastAsia" w:hAnsiTheme="minorEastAsia" w:eastAsiaTheme="minorEastAsia"/>
          <w:kern w:val="0"/>
          <w:sz w:val="24"/>
          <w:szCs w:val="24"/>
        </w:rPr>
        <w:t>7</w:t>
      </w:r>
      <w:r>
        <w:rPr>
          <w:rFonts w:hint="eastAsia" w:cs="宋体" w:asciiTheme="minorEastAsia" w:hAnsiTheme="minorEastAsia" w:eastAsiaTheme="minorEastAsia"/>
          <w:kern w:val="0"/>
          <w:sz w:val="24"/>
          <w:szCs w:val="24"/>
        </w:rPr>
        <w:t xml:space="preserve"> 违反法律法规规章相关规定的。  </w:t>
      </w:r>
    </w:p>
    <w:p w14:paraId="1A2A6A00">
      <w:bookmarkStart w:id="10" w:name="_Toc73383428"/>
    </w:p>
    <w:p w14:paraId="09E90F74"/>
    <w:p w14:paraId="73BBAF49"/>
    <w:p w14:paraId="7E5AE79E"/>
    <w:p w14:paraId="5EC08546"/>
    <w:p w14:paraId="39EBCF87">
      <w:pPr>
        <w:pStyle w:val="2"/>
        <w:rPr>
          <w:color w:val="auto"/>
        </w:rPr>
      </w:pPr>
    </w:p>
    <w:p w14:paraId="7E9EB680"/>
    <w:p w14:paraId="1E5C925E">
      <w:pPr>
        <w:pStyle w:val="2"/>
        <w:rPr>
          <w:color w:val="auto"/>
        </w:rPr>
      </w:pPr>
    </w:p>
    <w:p w14:paraId="1418229A"/>
    <w:p w14:paraId="29BB2E57">
      <w:pPr>
        <w:pStyle w:val="2"/>
        <w:rPr>
          <w:color w:val="auto"/>
        </w:rPr>
      </w:pPr>
    </w:p>
    <w:p w14:paraId="0684ACA9"/>
    <w:p w14:paraId="0E22CAC6">
      <w:pPr>
        <w:pStyle w:val="2"/>
        <w:rPr>
          <w:color w:val="auto"/>
        </w:rPr>
      </w:pPr>
    </w:p>
    <w:p w14:paraId="24AEE17C"/>
    <w:p w14:paraId="0D9459FD">
      <w:pPr>
        <w:pStyle w:val="2"/>
        <w:rPr>
          <w:color w:val="auto"/>
        </w:rPr>
      </w:pPr>
    </w:p>
    <w:p w14:paraId="5B4BC378"/>
    <w:p w14:paraId="72D7C4B1">
      <w:pPr>
        <w:pStyle w:val="2"/>
        <w:rPr>
          <w:color w:val="auto"/>
        </w:rPr>
      </w:pPr>
    </w:p>
    <w:p w14:paraId="3026A459"/>
    <w:p w14:paraId="54B90CF0">
      <w:pPr>
        <w:pStyle w:val="2"/>
        <w:rPr>
          <w:color w:val="auto"/>
        </w:rPr>
      </w:pPr>
    </w:p>
    <w:p w14:paraId="741A2D0F"/>
    <w:p w14:paraId="344FD480">
      <w:pPr>
        <w:pStyle w:val="3"/>
        <w:numPr>
          <w:ilvl w:val="0"/>
          <w:numId w:val="0"/>
        </w:numPr>
        <w:spacing w:before="0" w:after="0" w:line="500" w:lineRule="exact"/>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第四章 评审方法、原则和纪律</w:t>
      </w:r>
      <w:bookmarkEnd w:id="8"/>
      <w:bookmarkEnd w:id="9"/>
      <w:bookmarkEnd w:id="10"/>
    </w:p>
    <w:p w14:paraId="160D75BE">
      <w:pPr>
        <w:snapToGrid w:val="0"/>
        <w:spacing w:line="500" w:lineRule="exact"/>
        <w:jc w:val="left"/>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4.1 </w:t>
      </w:r>
      <w:r>
        <w:rPr>
          <w:rFonts w:hint="eastAsia" w:asciiTheme="minorEastAsia" w:hAnsiTheme="minorEastAsia" w:eastAsiaTheme="minorEastAsia"/>
          <w:b/>
          <w:bCs/>
          <w:sz w:val="24"/>
          <w:szCs w:val="24"/>
        </w:rPr>
        <w:t>评审原则：</w:t>
      </w:r>
    </w:p>
    <w:p w14:paraId="2AD5939E">
      <w:pPr>
        <w:snapToGrid w:val="0"/>
        <w:spacing w:line="500" w:lineRule="exact"/>
        <w:ind w:firstLine="570"/>
        <w:rPr>
          <w:rFonts w:cs="宋体" w:asciiTheme="minorEastAsia" w:hAnsiTheme="minorEastAsia" w:eastAsiaTheme="minorEastAsia"/>
          <w:sz w:val="24"/>
          <w:szCs w:val="24"/>
        </w:rPr>
      </w:pPr>
      <w:r>
        <w:rPr>
          <w:rFonts w:cs="宋体" w:asciiTheme="minorEastAsia" w:hAnsiTheme="minorEastAsia" w:eastAsiaTheme="minorEastAsia"/>
          <w:sz w:val="24"/>
          <w:szCs w:val="24"/>
        </w:rPr>
        <w:t>4.1.1</w:t>
      </w:r>
      <w:r>
        <w:rPr>
          <w:rFonts w:hint="eastAsia" w:cs="宋体" w:asciiTheme="minorEastAsia" w:hAnsiTheme="minorEastAsia" w:eastAsiaTheme="minorEastAsia"/>
          <w:sz w:val="24"/>
          <w:szCs w:val="24"/>
        </w:rPr>
        <w:t>本次竞争性磋商采用的是 100 分制最高分确定中标的综合评分法，由磋商小组在磋商会议上评定成交候选人。</w:t>
      </w:r>
    </w:p>
    <w:p w14:paraId="6E86A385">
      <w:pPr>
        <w:snapToGrid w:val="0"/>
        <w:spacing w:line="500" w:lineRule="exact"/>
        <w:ind w:firstLine="570"/>
        <w:rPr>
          <w:rFonts w:cs="Arial" w:asciiTheme="minorEastAsia" w:hAnsiTheme="minorEastAsia" w:eastAsiaTheme="minorEastAsia"/>
          <w:sz w:val="24"/>
          <w:szCs w:val="24"/>
        </w:rPr>
      </w:pPr>
      <w:r>
        <w:rPr>
          <w:rFonts w:hint="eastAsia" w:cs="宋体" w:asciiTheme="minorEastAsia" w:hAnsiTheme="minorEastAsia" w:eastAsiaTheme="minorEastAsia"/>
          <w:kern w:val="0"/>
          <w:sz w:val="24"/>
          <w:szCs w:val="24"/>
        </w:rPr>
        <w:t>4.1.2磋商小组</w:t>
      </w:r>
      <w:r>
        <w:rPr>
          <w:rFonts w:hint="eastAsia" w:cs="宋体" w:asciiTheme="minorEastAsia" w:hAnsiTheme="minorEastAsia" w:eastAsiaTheme="minorEastAsia"/>
          <w:sz w:val="24"/>
          <w:szCs w:val="24"/>
        </w:rPr>
        <w:t>对供应商的资格</w:t>
      </w:r>
      <w:r>
        <w:rPr>
          <w:rFonts w:hint="eastAsia" w:cs="Arial" w:asciiTheme="minorEastAsia" w:hAnsiTheme="minorEastAsia" w:eastAsiaTheme="minorEastAsia"/>
          <w:spacing w:val="8"/>
          <w:kern w:val="0"/>
          <w:sz w:val="24"/>
          <w:szCs w:val="24"/>
        </w:rPr>
        <w:t>是否符合进行资格审查，资格审查通过的才能进入下一步评审。</w:t>
      </w:r>
    </w:p>
    <w:p w14:paraId="7865F3BB">
      <w:pPr>
        <w:snapToGrid w:val="0"/>
        <w:spacing w:line="500" w:lineRule="exact"/>
        <w:ind w:firstLine="570"/>
        <w:rPr>
          <w:rFonts w:cs="宋体" w:asciiTheme="minorEastAsia" w:hAnsiTheme="minorEastAsia" w:eastAsiaTheme="minorEastAsia"/>
          <w:sz w:val="24"/>
          <w:szCs w:val="24"/>
        </w:rPr>
      </w:pPr>
      <w:r>
        <w:rPr>
          <w:rFonts w:cs="宋体" w:asciiTheme="minorEastAsia" w:hAnsiTheme="minorEastAsia" w:eastAsiaTheme="minorEastAsia"/>
          <w:sz w:val="24"/>
          <w:szCs w:val="24"/>
        </w:rPr>
        <w:t>4.1.</w:t>
      </w:r>
      <w:r>
        <w:rPr>
          <w:rFonts w:hint="eastAsia" w:cs="宋体" w:asciiTheme="minorEastAsia" w:hAnsiTheme="minorEastAsia" w:eastAsiaTheme="minorEastAsia"/>
          <w:sz w:val="24"/>
          <w:szCs w:val="24"/>
        </w:rPr>
        <w:t>3对供应商的</w:t>
      </w:r>
      <w:r>
        <w:rPr>
          <w:rFonts w:hint="eastAsia" w:cs="宋体" w:asciiTheme="minorEastAsia" w:hAnsiTheme="minorEastAsia" w:eastAsiaTheme="minorEastAsia"/>
          <w:sz w:val="24"/>
          <w:szCs w:val="24"/>
          <w:lang w:val="zh-CN"/>
        </w:rPr>
        <w:t>质量</w:t>
      </w:r>
      <w:r>
        <w:rPr>
          <w:rFonts w:hint="eastAsia" w:cs="宋体" w:asciiTheme="minorEastAsia" w:hAnsiTheme="minorEastAsia" w:eastAsiaTheme="minorEastAsia"/>
          <w:sz w:val="24"/>
          <w:szCs w:val="24"/>
        </w:rPr>
        <w:t>、服务等进行符合性审查，符合性审查不合格的不参与在线报价，对符合性审查合格的供应商进行在线不定轮次的报价，经磋商确定最终采购需求和提交最后报价的供应商后，由磋商小组采用综合评分法对提交最后报价的供应商的响应文件和最后报价进行综合评分。评审时，磋商小组各成员应当独立对每个有效响应的文件进行评价、评分，然后汇总每个供应商每项评分因素的得分。</w:t>
      </w:r>
    </w:p>
    <w:p w14:paraId="4C7C88BB">
      <w:pPr>
        <w:snapToGrid w:val="0"/>
        <w:spacing w:line="50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    4.1.</w:t>
      </w:r>
      <w:r>
        <w:rPr>
          <w:rFonts w:hint="eastAsia" w:cs="宋体" w:asciiTheme="minorEastAsia" w:hAnsiTheme="minorEastAsia" w:eastAsiaTheme="minorEastAsia"/>
          <w:sz w:val="24"/>
          <w:szCs w:val="24"/>
        </w:rPr>
        <w:t>4供应商的最终报价超过最高限价的，不能成为成交候选供应商。</w:t>
      </w:r>
    </w:p>
    <w:p w14:paraId="278C27FF">
      <w:pPr>
        <w:snapToGrid w:val="0"/>
        <w:spacing w:line="500" w:lineRule="exact"/>
        <w:rPr>
          <w:rFonts w:cs="宋体" w:asciiTheme="minorEastAsia" w:hAnsiTheme="minorEastAsia" w:eastAsiaTheme="minorEastAsia"/>
          <w:sz w:val="24"/>
          <w:szCs w:val="24"/>
        </w:rPr>
      </w:pPr>
      <w:r>
        <w:rPr>
          <w:rFonts w:cs="宋体" w:asciiTheme="minorEastAsia" w:hAnsiTheme="minorEastAsia" w:eastAsiaTheme="minorEastAsia"/>
          <w:b/>
          <w:bCs/>
          <w:sz w:val="24"/>
          <w:szCs w:val="24"/>
        </w:rPr>
        <w:t>4.2</w:t>
      </w:r>
      <w:r>
        <w:rPr>
          <w:rFonts w:hint="eastAsia" w:cs="宋体" w:asciiTheme="minorEastAsia" w:hAnsiTheme="minorEastAsia" w:eastAsiaTheme="minorEastAsia"/>
          <w:b/>
          <w:bCs/>
          <w:sz w:val="24"/>
          <w:szCs w:val="24"/>
        </w:rPr>
        <w:t>评审方法：</w:t>
      </w:r>
    </w:p>
    <w:p w14:paraId="7E2872AE">
      <w:pPr>
        <w:snapToGrid w:val="0"/>
        <w:spacing w:line="500" w:lineRule="exact"/>
        <w:ind w:firstLine="570"/>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4.2.1 </w:t>
      </w:r>
      <w:r>
        <w:rPr>
          <w:rFonts w:hint="eastAsia" w:cs="宋体" w:asciiTheme="minorEastAsia" w:hAnsiTheme="minorEastAsia" w:eastAsiaTheme="minorEastAsia"/>
          <w:sz w:val="24"/>
          <w:szCs w:val="24"/>
        </w:rPr>
        <w:t>本次磋商由磋商小组对《响应文件》的有效性、完整性和响应程度进行审查，磋商小组所有成员集中与通过审查的单一供应商分别进行磋商，磋商结束后，磋商小组要求所有实质性响应的供应商在规定时间内提交最后报价，经磋商确定最终采购需求和提交最后报价的供应商后，由磋商小组采用综合评分法对提交最后报价的供应商的响应文件和最后报价进行综合评分，根据综合评分情况，按照评审得分由高到低顺序推荐3名以上成交候选供应商。评审得分相同的，按照最后报价由低到高的顺序推荐。评审得分且最后报价相同的，按照技术指标优劣顺序推荐。</w:t>
      </w:r>
    </w:p>
    <w:p w14:paraId="4FC18862">
      <w:pPr>
        <w:snapToGrid w:val="0"/>
        <w:spacing w:line="500" w:lineRule="exact"/>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4.2.2综合评分标准</w:t>
      </w:r>
    </w:p>
    <w:p w14:paraId="7920E786">
      <w:pPr>
        <w:snapToGrid w:val="0"/>
        <w:spacing w:line="440" w:lineRule="exact"/>
        <w:ind w:firstLine="242" w:firstLineChars="1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（满分100分，其中报价分</w:t>
      </w:r>
      <w:r>
        <w:rPr>
          <w:rFonts w:cs="宋体" w:asciiTheme="minorEastAsia" w:hAnsiTheme="minorEastAsia" w:eastAsiaTheme="minorEastAsia"/>
          <w:sz w:val="24"/>
          <w:szCs w:val="24"/>
        </w:rPr>
        <w:t>20</w:t>
      </w:r>
      <w:r>
        <w:rPr>
          <w:rFonts w:hint="eastAsia" w:cs="宋体" w:asciiTheme="minorEastAsia" w:hAnsiTheme="minorEastAsia" w:eastAsiaTheme="minorEastAsia"/>
          <w:sz w:val="24"/>
          <w:szCs w:val="24"/>
        </w:rPr>
        <w:t>分，技术与商务分</w:t>
      </w:r>
      <w:r>
        <w:rPr>
          <w:rFonts w:cs="宋体" w:asciiTheme="minorEastAsia" w:hAnsiTheme="minorEastAsia" w:eastAsiaTheme="minorEastAsia"/>
          <w:sz w:val="24"/>
          <w:szCs w:val="24"/>
        </w:rPr>
        <w:t>80</w:t>
      </w:r>
      <w:r>
        <w:rPr>
          <w:rFonts w:hint="eastAsia" w:cs="宋体" w:asciiTheme="minorEastAsia" w:hAnsiTheme="minorEastAsia" w:eastAsiaTheme="minorEastAsia"/>
          <w:sz w:val="24"/>
          <w:szCs w:val="24"/>
        </w:rPr>
        <w:t>分，政策性加分5分）</w:t>
      </w:r>
    </w:p>
    <w:p w14:paraId="7F881647">
      <w:pPr>
        <w:snapToGrid w:val="0"/>
        <w:spacing w:line="440" w:lineRule="exact"/>
        <w:ind w:firstLine="473" w:firstLineChars="196"/>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1）报价部分：</w:t>
      </w:r>
      <w:r>
        <w:rPr>
          <w:rFonts w:asciiTheme="minorEastAsia" w:hAnsiTheme="minorEastAsia" w:eastAsiaTheme="minorEastAsia"/>
          <w:b/>
          <w:bCs/>
          <w:sz w:val="24"/>
          <w:szCs w:val="24"/>
        </w:rPr>
        <w:t>20</w:t>
      </w:r>
      <w:r>
        <w:rPr>
          <w:rFonts w:hint="eastAsia" w:asciiTheme="minorEastAsia" w:hAnsiTheme="minorEastAsia" w:eastAsiaTheme="minorEastAsia"/>
          <w:b/>
          <w:bCs/>
          <w:sz w:val="24"/>
          <w:szCs w:val="24"/>
        </w:rPr>
        <w:t>分</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06A80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1B528CE9">
            <w:pPr>
              <w:snapToGrid w:val="0"/>
              <w:spacing w:line="440" w:lineRule="exact"/>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投标报价得分=（评标基准价/投标报价)×价格权值×100</w:t>
            </w:r>
          </w:p>
          <w:p w14:paraId="77E2D7CE">
            <w:pPr>
              <w:snapToGrid w:val="0"/>
              <w:spacing w:line="440" w:lineRule="exact"/>
              <w:jc w:val="center"/>
            </w:pPr>
            <w:r>
              <w:rPr>
                <w:rFonts w:hint="eastAsia"/>
              </w:rPr>
              <w:t>（报价得分四舍五入保留小数两位）</w:t>
            </w:r>
          </w:p>
          <w:p w14:paraId="0FFB849B">
            <w:pPr>
              <w:snapToGrid w:val="0"/>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注：1、评标基准价指满足竞争性磋商文件资格审查和符合性审查项要求且最后在线磋商最低报价，其价格分为满分，投标报价指满足竞争性磋商文件资格审查和符合性审查项要求的各供应商的最后在线磋商报价。</w:t>
            </w:r>
          </w:p>
          <w:p w14:paraId="1844845A">
            <w:pPr>
              <w:snapToGrid w:val="0"/>
              <w:spacing w:line="440" w:lineRule="exact"/>
              <w:ind w:firstLine="242"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2、价格权值为 0.</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p>
          <w:p w14:paraId="14AFD5F4">
            <w:pPr>
              <w:snapToGrid w:val="0"/>
              <w:spacing w:line="440" w:lineRule="exact"/>
              <w:ind w:firstLine="242" w:firstLineChars="100"/>
              <w:rPr>
                <w:rFonts w:asciiTheme="minorEastAsia" w:hAnsiTheme="minorEastAsia" w:eastAsiaTheme="minorEastAsia"/>
                <w:b/>
                <w:bCs/>
                <w:sz w:val="24"/>
                <w:szCs w:val="24"/>
              </w:rPr>
            </w:pPr>
            <w:r>
              <w:rPr>
                <w:rFonts w:hint="eastAsia" w:asciiTheme="minorEastAsia" w:hAnsiTheme="minorEastAsia" w:eastAsiaTheme="minorEastAsia"/>
                <w:sz w:val="24"/>
                <w:szCs w:val="24"/>
              </w:rPr>
              <w:t>3、本项目专门专门面向中小企业采购，不再享受中小企业价格评审扣除优惠。</w:t>
            </w:r>
          </w:p>
        </w:tc>
      </w:tr>
    </w:tbl>
    <w:p w14:paraId="03AACDE2">
      <w:pPr>
        <w:numPr>
          <w:ilvl w:val="0"/>
          <w:numId w:val="3"/>
        </w:numPr>
        <w:snapToGrid w:val="0"/>
        <w:spacing w:line="500" w:lineRule="exact"/>
        <w:ind w:firstLine="473" w:firstLineChars="196"/>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技术与商务分：</w:t>
      </w:r>
      <w:r>
        <w:rPr>
          <w:rFonts w:asciiTheme="minorEastAsia" w:hAnsiTheme="minorEastAsia" w:eastAsiaTheme="minorEastAsia"/>
          <w:b/>
          <w:bCs/>
          <w:sz w:val="24"/>
          <w:szCs w:val="24"/>
        </w:rPr>
        <w:t>80</w:t>
      </w:r>
      <w:r>
        <w:rPr>
          <w:rFonts w:hint="eastAsia" w:asciiTheme="minorEastAsia" w:hAnsiTheme="minorEastAsia" w:eastAsiaTheme="minorEastAsia"/>
          <w:b/>
          <w:bCs/>
          <w:sz w:val="24"/>
          <w:szCs w:val="24"/>
        </w:rPr>
        <w:t>分</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7677"/>
        <w:gridCol w:w="987"/>
      </w:tblGrid>
      <w:tr w14:paraId="69F0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9" w:type="dxa"/>
            <w:gridSpan w:val="3"/>
          </w:tcPr>
          <w:p w14:paraId="6BAB2A20">
            <w:pPr>
              <w:jc w:val="center"/>
            </w:pPr>
            <w:r>
              <w:rPr>
                <w:rFonts w:hint="eastAsia"/>
                <w:b/>
                <w:bCs/>
                <w:sz w:val="28"/>
                <w:szCs w:val="28"/>
              </w:rPr>
              <w:t xml:space="preserve"> </w:t>
            </w:r>
            <w:r>
              <w:rPr>
                <w:b/>
                <w:bCs/>
                <w:sz w:val="28"/>
                <w:szCs w:val="28"/>
              </w:rPr>
              <w:t>商务分（满分 20 分）</w:t>
            </w:r>
          </w:p>
        </w:tc>
      </w:tr>
      <w:tr w14:paraId="1142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07" w:type="dxa"/>
            <w:vAlign w:val="center"/>
          </w:tcPr>
          <w:p w14:paraId="7E07947A">
            <w:pPr>
              <w:jc w:val="center"/>
              <w:rPr>
                <w:b/>
                <w:bCs/>
                <w:lang w:eastAsia="en-US"/>
              </w:rPr>
            </w:pPr>
            <w:r>
              <w:rPr>
                <w:b/>
                <w:bCs/>
                <w:lang w:eastAsia="en-US"/>
              </w:rPr>
              <w:t>评审项目</w:t>
            </w:r>
          </w:p>
        </w:tc>
        <w:tc>
          <w:tcPr>
            <w:tcW w:w="7780" w:type="dxa"/>
            <w:shd w:val="clear" w:color="auto" w:fill="auto"/>
            <w:vAlign w:val="center"/>
          </w:tcPr>
          <w:p w14:paraId="6C6D42D0">
            <w:pPr>
              <w:jc w:val="center"/>
              <w:rPr>
                <w:b/>
                <w:bCs/>
                <w:lang w:eastAsia="en-US"/>
              </w:rPr>
            </w:pPr>
            <w:r>
              <w:rPr>
                <w:b/>
                <w:bCs/>
                <w:lang w:eastAsia="en-US"/>
              </w:rPr>
              <w:t>评分标准</w:t>
            </w:r>
          </w:p>
        </w:tc>
        <w:tc>
          <w:tcPr>
            <w:tcW w:w="992" w:type="dxa"/>
            <w:shd w:val="clear" w:color="auto" w:fill="auto"/>
            <w:vAlign w:val="center"/>
          </w:tcPr>
          <w:p w14:paraId="246CD88A">
            <w:pPr>
              <w:jc w:val="center"/>
              <w:rPr>
                <w:b/>
                <w:bCs/>
                <w:lang w:eastAsia="en-US"/>
              </w:rPr>
            </w:pPr>
            <w:r>
              <w:rPr>
                <w:b/>
                <w:bCs/>
                <w:lang w:eastAsia="en-US"/>
              </w:rPr>
              <w:t>分值</w:t>
            </w:r>
          </w:p>
        </w:tc>
      </w:tr>
      <w:tr w14:paraId="7E2C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72EE25A1">
            <w:pPr>
              <w:jc w:val="center"/>
            </w:pPr>
            <w:r>
              <w:rPr>
                <w:rFonts w:hint="eastAsia"/>
              </w:rPr>
              <w:t>技术负责人</w:t>
            </w:r>
          </w:p>
        </w:tc>
        <w:tc>
          <w:tcPr>
            <w:tcW w:w="7780" w:type="dxa"/>
          </w:tcPr>
          <w:p w14:paraId="04B58575">
            <w:pPr>
              <w:rPr>
                <w:rFonts w:asciiTheme="minorEastAsia" w:hAnsiTheme="minorEastAsia" w:eastAsiaTheme="minorEastAsia"/>
              </w:rPr>
            </w:pPr>
            <w:r>
              <w:rPr>
                <w:rFonts w:hint="eastAsia" w:asciiTheme="minorEastAsia" w:hAnsiTheme="minorEastAsia" w:eastAsiaTheme="minorEastAsia"/>
              </w:rPr>
              <w:t>技术负责人：具有工程师职称的得1分；具有高级及以上职称的得3分。提供职称证，职称证单位名称与投标人单位不一致或未注明单位的，由投标人单位提供劳动合同或2025年1月至投标截止时间期间任意一个月社保交纳凭证，不满足要求不得分。</w:t>
            </w:r>
          </w:p>
        </w:tc>
        <w:tc>
          <w:tcPr>
            <w:tcW w:w="992" w:type="dxa"/>
            <w:vAlign w:val="center"/>
          </w:tcPr>
          <w:p w14:paraId="3751A080">
            <w:pPr>
              <w:jc w:val="center"/>
            </w:pPr>
            <w:r>
              <w:rPr>
                <w:rFonts w:hint="eastAsia"/>
              </w:rPr>
              <w:t>3分</w:t>
            </w:r>
          </w:p>
        </w:tc>
      </w:tr>
      <w:tr w14:paraId="14E6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2AA57E75">
            <w:pPr>
              <w:jc w:val="center"/>
            </w:pPr>
            <w:r>
              <w:rPr>
                <w:rFonts w:hint="eastAsia"/>
              </w:rPr>
              <w:t>其它主要人员</w:t>
            </w:r>
          </w:p>
        </w:tc>
        <w:tc>
          <w:tcPr>
            <w:tcW w:w="7780" w:type="dxa"/>
          </w:tcPr>
          <w:p w14:paraId="3E42F766">
            <w:pPr>
              <w:rPr>
                <w:rFonts w:asciiTheme="minorEastAsia" w:hAnsiTheme="minorEastAsia" w:eastAsiaTheme="minorEastAsia"/>
              </w:rPr>
            </w:pPr>
            <w:r>
              <w:rPr>
                <w:rFonts w:hint="eastAsia" w:asciiTheme="minorEastAsia" w:hAnsiTheme="minorEastAsia" w:eastAsiaTheme="minorEastAsia"/>
              </w:rPr>
              <w:t>1、施工员、质量员、材料员、资料员应出具上岗证、</w:t>
            </w:r>
            <w:r>
              <w:rPr>
                <w:rFonts w:hint="eastAsia"/>
                <w:color w:val="000000"/>
              </w:rPr>
              <w:t>具有中级及以上职称</w:t>
            </w:r>
            <w:r>
              <w:rPr>
                <w:rFonts w:hint="eastAsia" w:asciiTheme="minorEastAsia" w:hAnsiTheme="minorEastAsia" w:eastAsiaTheme="minorEastAsia"/>
              </w:rPr>
              <w:t>，安全员应出具安全生产考核合格证(C证)、</w:t>
            </w:r>
            <w:r>
              <w:rPr>
                <w:rFonts w:hint="eastAsia"/>
                <w:color w:val="000000"/>
              </w:rPr>
              <w:t>具有中级及以上职称</w:t>
            </w:r>
            <w:r>
              <w:rPr>
                <w:rFonts w:hint="eastAsia" w:asciiTheme="minorEastAsia" w:hAnsiTheme="minorEastAsia" w:eastAsiaTheme="minorEastAsia"/>
              </w:rPr>
              <w:t xml:space="preserve">，提供齐全得3分，以上缺少任何一项得0分。 </w:t>
            </w:r>
          </w:p>
          <w:p w14:paraId="607D6D49">
            <w:pPr>
              <w:rPr>
                <w:rFonts w:asciiTheme="minorEastAsia" w:hAnsiTheme="minorEastAsia" w:eastAsiaTheme="minorEastAsia"/>
              </w:rPr>
            </w:pPr>
            <w:r>
              <w:rPr>
                <w:rFonts w:hint="eastAsia" w:asciiTheme="minorEastAsia" w:hAnsiTheme="minorEastAsia" w:eastAsiaTheme="minorEastAsia"/>
              </w:rPr>
              <w:t xml:space="preserve">2、注册安全工程师：具备注册安全工程师执业资格，提供资格证及有效注册证、安全生产考核合格证（C类），并提供（中级注册安全工程师注册管理系统截图）的得4分。 </w:t>
            </w:r>
          </w:p>
          <w:p w14:paraId="2DF2B512">
            <w:pPr>
              <w:rPr>
                <w:rFonts w:asciiTheme="minorEastAsia" w:hAnsiTheme="minorEastAsia" w:eastAsiaTheme="minorEastAsia"/>
              </w:rPr>
            </w:pPr>
            <w:r>
              <w:rPr>
                <w:rFonts w:hint="eastAsia" w:asciiTheme="minorEastAsia" w:hAnsiTheme="minorEastAsia" w:eastAsiaTheme="minorEastAsia"/>
                <w:bCs/>
              </w:rPr>
              <w:t>注：</w:t>
            </w:r>
            <w:r>
              <w:rPr>
                <w:rFonts w:hint="eastAsia" w:asciiTheme="minorEastAsia" w:hAnsiTheme="minorEastAsia" w:eastAsiaTheme="minorEastAsia"/>
              </w:rPr>
              <w:t>缴纳养老保险的单位应为投标人单位，缴纳养老保险的时间为2025年1月至开标时间任意一个月。</w:t>
            </w:r>
          </w:p>
        </w:tc>
        <w:tc>
          <w:tcPr>
            <w:tcW w:w="992" w:type="dxa"/>
            <w:vAlign w:val="center"/>
          </w:tcPr>
          <w:p w14:paraId="7093B494">
            <w:pPr>
              <w:jc w:val="center"/>
            </w:pPr>
            <w:r>
              <w:rPr>
                <w:rFonts w:hint="eastAsia"/>
              </w:rPr>
              <w:t>7分</w:t>
            </w:r>
          </w:p>
        </w:tc>
      </w:tr>
      <w:tr w14:paraId="3C24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2429FB2E">
            <w:pPr>
              <w:jc w:val="center"/>
            </w:pPr>
            <w:r>
              <w:rPr>
                <w:rFonts w:hint="eastAsia"/>
              </w:rPr>
              <w:t>类似业绩</w:t>
            </w:r>
          </w:p>
        </w:tc>
        <w:tc>
          <w:tcPr>
            <w:tcW w:w="7780" w:type="dxa"/>
          </w:tcPr>
          <w:p w14:paraId="00D76732">
            <w:pPr>
              <w:rPr>
                <w:rFonts w:asciiTheme="minorEastAsia" w:hAnsiTheme="minorEastAsia" w:eastAsiaTheme="minorEastAsia"/>
              </w:rPr>
            </w:pPr>
            <w:r>
              <w:rPr>
                <w:rFonts w:hint="eastAsia" w:asciiTheme="minorEastAsia" w:hAnsiTheme="minorEastAsia" w:eastAsiaTheme="minorEastAsia"/>
              </w:rPr>
              <w:t>提供2021年1月1日至今类似项目业绩，每提供1个得2分，满分10分。提供中标通知书或合同扫描件，不提供不得分。</w:t>
            </w:r>
          </w:p>
        </w:tc>
        <w:tc>
          <w:tcPr>
            <w:tcW w:w="992" w:type="dxa"/>
            <w:vAlign w:val="center"/>
          </w:tcPr>
          <w:p w14:paraId="3BD443B5">
            <w:pPr>
              <w:jc w:val="center"/>
            </w:pPr>
            <w:r>
              <w:rPr>
                <w:rFonts w:hint="eastAsia"/>
              </w:rPr>
              <w:t>10分</w:t>
            </w:r>
          </w:p>
        </w:tc>
      </w:tr>
      <w:tr w14:paraId="524A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9" w:type="dxa"/>
            <w:gridSpan w:val="3"/>
          </w:tcPr>
          <w:p w14:paraId="43D98D79">
            <w:pPr>
              <w:jc w:val="center"/>
            </w:pPr>
            <w:r>
              <w:rPr>
                <w:rFonts w:hint="eastAsia"/>
                <w:b/>
                <w:bCs/>
                <w:sz w:val="28"/>
                <w:szCs w:val="28"/>
              </w:rPr>
              <w:t>技术分（满分 60 分）</w:t>
            </w:r>
          </w:p>
        </w:tc>
      </w:tr>
      <w:tr w14:paraId="43D9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7152503E">
            <w:pPr>
              <w:pStyle w:val="23"/>
              <w:jc w:val="center"/>
            </w:pPr>
            <w:r>
              <w:rPr>
                <w:rFonts w:hint="eastAsia" w:hAnsi="宋体" w:cs="宋体"/>
                <w:spacing w:val="-1"/>
                <w:kern w:val="2"/>
                <w:sz w:val="24"/>
                <w:szCs w:val="24"/>
                <w:lang w:eastAsia="en-US"/>
              </w:rPr>
              <w:t>施工方案与技术措施</w:t>
            </w:r>
          </w:p>
        </w:tc>
        <w:tc>
          <w:tcPr>
            <w:tcW w:w="7780" w:type="dxa"/>
            <w:vAlign w:val="center"/>
          </w:tcPr>
          <w:p w14:paraId="1FEBF9D8">
            <w:pPr>
              <w:pStyle w:val="273"/>
              <w:spacing w:line="219" w:lineRule="auto"/>
              <w:ind w:left="348"/>
              <w:jc w:val="center"/>
              <w:rPr>
                <w:lang w:eastAsia="zh-CN"/>
              </w:rPr>
            </w:pPr>
            <w:r>
              <w:rPr>
                <w:spacing w:val="-1"/>
                <w:lang w:eastAsia="zh-CN"/>
              </w:rPr>
              <w:t>措施安排针对性强的得 5-6 分，一般的得 2-4.9 分，不完整的得 0.1- 1.9 分，不提供不得分。</w:t>
            </w:r>
          </w:p>
        </w:tc>
        <w:tc>
          <w:tcPr>
            <w:tcW w:w="992" w:type="dxa"/>
            <w:vAlign w:val="center"/>
          </w:tcPr>
          <w:p w14:paraId="7D4D634C">
            <w:pPr>
              <w:spacing w:before="118" w:line="224" w:lineRule="auto"/>
              <w:ind w:left="235"/>
              <w:jc w:val="cente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4EFE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111B3ACF">
            <w:pPr>
              <w:pStyle w:val="23"/>
              <w:jc w:val="center"/>
            </w:pPr>
            <w:r>
              <w:rPr>
                <w:rFonts w:hint="eastAsia" w:hAnsi="宋体" w:cs="宋体"/>
                <w:spacing w:val="-1"/>
                <w:kern w:val="2"/>
                <w:sz w:val="24"/>
                <w:szCs w:val="24"/>
                <w:lang w:eastAsia="en-US"/>
              </w:rPr>
              <w:t>质量保证措施</w:t>
            </w:r>
          </w:p>
        </w:tc>
        <w:tc>
          <w:tcPr>
            <w:tcW w:w="7780" w:type="dxa"/>
            <w:vAlign w:val="center"/>
          </w:tcPr>
          <w:p w14:paraId="406F0A1C">
            <w:pPr>
              <w:spacing w:before="145" w:line="247" w:lineRule="auto"/>
              <w:ind w:left="116" w:right="64" w:hanging="1"/>
              <w:jc w:val="center"/>
            </w:pPr>
            <w:r>
              <w:rPr>
                <w:rFonts w:ascii="宋体" w:hAnsi="宋体" w:cs="宋体"/>
                <w:spacing w:val="-1"/>
                <w:sz w:val="24"/>
                <w:szCs w:val="24"/>
              </w:rPr>
              <w:t>措施安排针对性强的得 5-6 分，一般的得 2-4.9 分，不完整的得 0.1- 1.9 分，不提供不得分。</w:t>
            </w:r>
          </w:p>
        </w:tc>
        <w:tc>
          <w:tcPr>
            <w:tcW w:w="992" w:type="dxa"/>
            <w:vAlign w:val="center"/>
          </w:tcPr>
          <w:p w14:paraId="09AB0537">
            <w:pPr>
              <w:spacing w:before="118" w:line="224" w:lineRule="auto"/>
              <w:ind w:left="235"/>
              <w:jc w:val="cente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78CA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1F110181">
            <w:pPr>
              <w:pStyle w:val="23"/>
              <w:jc w:val="center"/>
            </w:pPr>
            <w:r>
              <w:rPr>
                <w:rFonts w:hint="eastAsia" w:hAnsi="宋体" w:cs="宋体"/>
                <w:spacing w:val="-1"/>
                <w:kern w:val="2"/>
                <w:sz w:val="24"/>
                <w:szCs w:val="24"/>
              </w:rPr>
              <w:t>施工总进度及保证措施</w:t>
            </w:r>
          </w:p>
        </w:tc>
        <w:tc>
          <w:tcPr>
            <w:tcW w:w="7780" w:type="dxa"/>
            <w:vAlign w:val="center"/>
          </w:tcPr>
          <w:p w14:paraId="01D94F17">
            <w:pPr>
              <w:spacing w:line="217" w:lineRule="auto"/>
              <w:ind w:left="115"/>
              <w:jc w:val="center"/>
            </w:pPr>
            <w:r>
              <w:rPr>
                <w:rFonts w:ascii="宋体" w:hAnsi="宋体" w:cs="宋体"/>
                <w:spacing w:val="-1"/>
                <w:sz w:val="24"/>
                <w:szCs w:val="24"/>
              </w:rPr>
              <w:t>措施安排针对性强的得 5-6 分，一般的得 2-4.9 分，不完整的得 0.1- 1.9 分，不提供不得分。</w:t>
            </w:r>
          </w:p>
        </w:tc>
        <w:tc>
          <w:tcPr>
            <w:tcW w:w="992" w:type="dxa"/>
            <w:vAlign w:val="center"/>
          </w:tcPr>
          <w:p w14:paraId="108EE108">
            <w:pPr>
              <w:spacing w:before="119" w:line="224" w:lineRule="auto"/>
              <w:ind w:left="235"/>
              <w:jc w:val="cente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4D70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30B99216">
            <w:pPr>
              <w:pStyle w:val="23"/>
              <w:jc w:val="center"/>
              <w:rPr>
                <w:rFonts w:hAnsi="宋体" w:cs="宋体"/>
                <w:sz w:val="24"/>
                <w:szCs w:val="24"/>
                <w:lang w:eastAsia="en-US"/>
              </w:rPr>
            </w:pPr>
            <w:r>
              <w:rPr>
                <w:rFonts w:hint="eastAsia" w:hAnsi="宋体" w:cs="宋体"/>
                <w:sz w:val="24"/>
                <w:szCs w:val="24"/>
              </w:rPr>
              <w:t>施工安</w:t>
            </w:r>
            <w:r>
              <w:rPr>
                <w:rFonts w:hint="eastAsia" w:hAnsi="宋体" w:cs="宋体"/>
                <w:spacing w:val="-1"/>
                <w:kern w:val="2"/>
                <w:sz w:val="24"/>
                <w:szCs w:val="24"/>
                <w:lang w:eastAsia="en-US"/>
              </w:rPr>
              <w:t>全措施</w:t>
            </w:r>
          </w:p>
        </w:tc>
        <w:tc>
          <w:tcPr>
            <w:tcW w:w="7780" w:type="dxa"/>
            <w:shd w:val="clear" w:color="auto" w:fill="auto"/>
            <w:vAlign w:val="center"/>
          </w:tcPr>
          <w:p w14:paraId="34241100">
            <w:pPr>
              <w:pStyle w:val="273"/>
              <w:spacing w:before="204" w:line="232" w:lineRule="auto"/>
              <w:ind w:left="113" w:right="106"/>
              <w:jc w:val="center"/>
              <w:rPr>
                <w:lang w:eastAsia="zh-CN"/>
              </w:rPr>
            </w:pPr>
            <w:r>
              <w:rPr>
                <w:spacing w:val="-4"/>
                <w:lang w:eastAsia="zh-CN"/>
              </w:rPr>
              <w:t>措施安排针对性强的得</w:t>
            </w:r>
            <w:r>
              <w:rPr>
                <w:spacing w:val="-35"/>
                <w:lang w:eastAsia="zh-CN"/>
              </w:rPr>
              <w:t xml:space="preserve"> </w:t>
            </w:r>
            <w:r>
              <w:rPr>
                <w:rFonts w:ascii="Times New Roman" w:hAnsi="Times New Roman" w:eastAsia="Times New Roman" w:cs="Times New Roman"/>
                <w:spacing w:val="-4"/>
                <w:lang w:eastAsia="zh-CN"/>
              </w:rPr>
              <w:t>5-6</w:t>
            </w:r>
            <w:r>
              <w:rPr>
                <w:rFonts w:ascii="Times New Roman" w:hAnsi="Times New Roman" w:eastAsia="Times New Roman" w:cs="Times New Roman"/>
                <w:spacing w:val="14"/>
                <w:lang w:eastAsia="zh-CN"/>
              </w:rPr>
              <w:t xml:space="preserve"> </w:t>
            </w:r>
            <w:r>
              <w:rPr>
                <w:spacing w:val="-4"/>
                <w:lang w:eastAsia="zh-CN"/>
              </w:rPr>
              <w:t>分，一般的得</w:t>
            </w:r>
            <w:r>
              <w:rPr>
                <w:spacing w:val="-52"/>
                <w:lang w:eastAsia="zh-CN"/>
              </w:rPr>
              <w:t xml:space="preserve"> </w:t>
            </w:r>
            <w:r>
              <w:rPr>
                <w:rFonts w:ascii="Times New Roman" w:hAnsi="Times New Roman" w:eastAsia="Times New Roman" w:cs="Times New Roman"/>
                <w:spacing w:val="-4"/>
                <w:lang w:eastAsia="zh-CN"/>
              </w:rPr>
              <w:t>2-4.9</w:t>
            </w:r>
            <w:r>
              <w:rPr>
                <w:rFonts w:ascii="Times New Roman" w:hAnsi="Times New Roman" w:eastAsia="Times New Roman" w:cs="Times New Roman"/>
                <w:spacing w:val="14"/>
                <w:lang w:eastAsia="zh-CN"/>
              </w:rPr>
              <w:t xml:space="preserve"> </w:t>
            </w:r>
            <w:r>
              <w:rPr>
                <w:spacing w:val="-4"/>
                <w:lang w:eastAsia="zh-CN"/>
              </w:rPr>
              <w:t>分，不完整的得</w:t>
            </w:r>
            <w:r>
              <w:rPr>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28"/>
                <w:lang w:eastAsia="zh-CN"/>
              </w:rPr>
              <w:t xml:space="preserve"> </w:t>
            </w:r>
            <w:r>
              <w:rPr>
                <w:rFonts w:ascii="Times New Roman" w:hAnsi="Times New Roman" w:eastAsia="Times New Roman" w:cs="Times New Roman"/>
                <w:spacing w:val="-1"/>
                <w:lang w:eastAsia="zh-CN"/>
              </w:rPr>
              <w:t xml:space="preserve">1.9 </w:t>
            </w:r>
            <w:r>
              <w:rPr>
                <w:spacing w:val="-1"/>
                <w:lang w:eastAsia="zh-CN"/>
              </w:rPr>
              <w:t>分，不提供不得分。</w:t>
            </w:r>
          </w:p>
        </w:tc>
        <w:tc>
          <w:tcPr>
            <w:tcW w:w="992" w:type="dxa"/>
            <w:shd w:val="clear" w:color="auto" w:fill="auto"/>
            <w:vAlign w:val="center"/>
          </w:tcPr>
          <w:p w14:paraId="25ABA2CA">
            <w:pPr>
              <w:spacing w:before="119"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75E0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0B8E95DF">
            <w:pPr>
              <w:pStyle w:val="273"/>
              <w:spacing w:before="118" w:line="468" w:lineRule="exact"/>
              <w:jc w:val="center"/>
              <w:rPr>
                <w:spacing w:val="-1"/>
              </w:rPr>
            </w:pPr>
            <w:r>
              <w:rPr>
                <w:rFonts w:hint="eastAsia"/>
                <w:spacing w:val="-1"/>
              </w:rPr>
              <w:t>文明施工措施</w:t>
            </w:r>
          </w:p>
        </w:tc>
        <w:tc>
          <w:tcPr>
            <w:tcW w:w="7780" w:type="dxa"/>
            <w:shd w:val="clear" w:color="auto" w:fill="auto"/>
            <w:vAlign w:val="center"/>
          </w:tcPr>
          <w:p w14:paraId="7BD76E60">
            <w:pPr>
              <w:pStyle w:val="273"/>
              <w:spacing w:before="202" w:line="233" w:lineRule="auto"/>
              <w:ind w:left="113" w:right="106"/>
              <w:jc w:val="center"/>
              <w:rPr>
                <w:lang w:eastAsia="zh-CN"/>
              </w:rPr>
            </w:pPr>
            <w:r>
              <w:rPr>
                <w:spacing w:val="-4"/>
                <w:lang w:eastAsia="zh-CN"/>
              </w:rPr>
              <w:t>措施安排针对性强的得</w:t>
            </w:r>
            <w:r>
              <w:rPr>
                <w:spacing w:val="-35"/>
                <w:lang w:eastAsia="zh-CN"/>
              </w:rPr>
              <w:t xml:space="preserve"> </w:t>
            </w:r>
            <w:r>
              <w:rPr>
                <w:rFonts w:ascii="Times New Roman" w:hAnsi="Times New Roman" w:eastAsia="Times New Roman" w:cs="Times New Roman"/>
                <w:spacing w:val="-4"/>
                <w:lang w:eastAsia="zh-CN"/>
              </w:rPr>
              <w:t>5-6</w:t>
            </w:r>
            <w:r>
              <w:rPr>
                <w:rFonts w:ascii="Times New Roman" w:hAnsi="Times New Roman" w:eastAsia="Times New Roman" w:cs="Times New Roman"/>
                <w:spacing w:val="14"/>
                <w:lang w:eastAsia="zh-CN"/>
              </w:rPr>
              <w:t xml:space="preserve"> </w:t>
            </w:r>
            <w:r>
              <w:rPr>
                <w:spacing w:val="-4"/>
                <w:lang w:eastAsia="zh-CN"/>
              </w:rPr>
              <w:t>分，一般的得</w:t>
            </w:r>
            <w:r>
              <w:rPr>
                <w:spacing w:val="-52"/>
                <w:lang w:eastAsia="zh-CN"/>
              </w:rPr>
              <w:t xml:space="preserve"> </w:t>
            </w:r>
            <w:r>
              <w:rPr>
                <w:rFonts w:ascii="Times New Roman" w:hAnsi="Times New Roman" w:eastAsia="Times New Roman" w:cs="Times New Roman"/>
                <w:spacing w:val="-4"/>
                <w:lang w:eastAsia="zh-CN"/>
              </w:rPr>
              <w:t>2-4.9</w:t>
            </w:r>
            <w:r>
              <w:rPr>
                <w:rFonts w:ascii="Times New Roman" w:hAnsi="Times New Roman" w:eastAsia="Times New Roman" w:cs="Times New Roman"/>
                <w:spacing w:val="14"/>
                <w:lang w:eastAsia="zh-CN"/>
              </w:rPr>
              <w:t xml:space="preserve"> </w:t>
            </w:r>
            <w:r>
              <w:rPr>
                <w:spacing w:val="-4"/>
                <w:lang w:eastAsia="zh-CN"/>
              </w:rPr>
              <w:t>分，不完整的得</w:t>
            </w:r>
            <w:r>
              <w:rPr>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28"/>
                <w:lang w:eastAsia="zh-CN"/>
              </w:rPr>
              <w:t xml:space="preserve"> </w:t>
            </w:r>
            <w:r>
              <w:rPr>
                <w:rFonts w:ascii="Times New Roman" w:hAnsi="Times New Roman" w:eastAsia="Times New Roman" w:cs="Times New Roman"/>
                <w:spacing w:val="-1"/>
                <w:lang w:eastAsia="zh-CN"/>
              </w:rPr>
              <w:t xml:space="preserve">1.9 </w:t>
            </w:r>
            <w:r>
              <w:rPr>
                <w:spacing w:val="-1"/>
                <w:lang w:eastAsia="zh-CN"/>
              </w:rPr>
              <w:t>分，不提供不得分。</w:t>
            </w:r>
          </w:p>
        </w:tc>
        <w:tc>
          <w:tcPr>
            <w:tcW w:w="992" w:type="dxa"/>
            <w:shd w:val="clear" w:color="auto" w:fill="auto"/>
            <w:vAlign w:val="center"/>
          </w:tcPr>
          <w:p w14:paraId="4590A279">
            <w:pPr>
              <w:spacing w:before="118"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5DED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280A544D">
            <w:pPr>
              <w:pStyle w:val="273"/>
              <w:spacing w:before="116" w:line="468" w:lineRule="exact"/>
              <w:jc w:val="center"/>
              <w:rPr>
                <w:spacing w:val="-1"/>
                <w:lang w:eastAsia="zh-CN"/>
              </w:rPr>
            </w:pPr>
            <w:r>
              <w:rPr>
                <w:rFonts w:hint="eastAsia"/>
                <w:spacing w:val="-1"/>
                <w:lang w:eastAsia="zh-CN"/>
              </w:rPr>
              <w:t>施工场地治安保卫管理</w:t>
            </w:r>
          </w:p>
        </w:tc>
        <w:tc>
          <w:tcPr>
            <w:tcW w:w="7780" w:type="dxa"/>
            <w:shd w:val="clear" w:color="auto" w:fill="auto"/>
            <w:vAlign w:val="center"/>
          </w:tcPr>
          <w:p w14:paraId="1C3FBF5D">
            <w:pPr>
              <w:pStyle w:val="273"/>
              <w:spacing w:before="200" w:line="232" w:lineRule="auto"/>
              <w:ind w:left="113" w:right="106" w:firstLine="6"/>
              <w:jc w:val="center"/>
              <w:rPr>
                <w:lang w:eastAsia="zh-CN"/>
              </w:rPr>
            </w:pPr>
            <w:r>
              <w:rPr>
                <w:spacing w:val="-4"/>
                <w:lang w:eastAsia="zh-CN"/>
              </w:rPr>
              <w:t>管理安排针对性强的得</w:t>
            </w:r>
            <w:r>
              <w:rPr>
                <w:spacing w:val="-41"/>
                <w:lang w:eastAsia="zh-CN"/>
              </w:rPr>
              <w:t xml:space="preserve"> </w:t>
            </w:r>
            <w:r>
              <w:rPr>
                <w:rFonts w:ascii="Times New Roman" w:hAnsi="Times New Roman" w:eastAsia="Times New Roman" w:cs="Times New Roman"/>
                <w:spacing w:val="-4"/>
                <w:lang w:eastAsia="zh-CN"/>
              </w:rPr>
              <w:t>5-6</w:t>
            </w:r>
            <w:r>
              <w:rPr>
                <w:rFonts w:ascii="Times New Roman" w:hAnsi="Times New Roman" w:eastAsia="Times New Roman" w:cs="Times New Roman"/>
                <w:spacing w:val="14"/>
                <w:lang w:eastAsia="zh-CN"/>
              </w:rPr>
              <w:t xml:space="preserve"> </w:t>
            </w:r>
            <w:r>
              <w:rPr>
                <w:spacing w:val="-4"/>
                <w:lang w:eastAsia="zh-CN"/>
              </w:rPr>
              <w:t>分，一般的得</w:t>
            </w:r>
            <w:r>
              <w:rPr>
                <w:spacing w:val="-52"/>
                <w:lang w:eastAsia="zh-CN"/>
              </w:rPr>
              <w:t xml:space="preserve"> </w:t>
            </w:r>
            <w:r>
              <w:rPr>
                <w:rFonts w:ascii="Times New Roman" w:hAnsi="Times New Roman" w:eastAsia="Times New Roman" w:cs="Times New Roman"/>
                <w:spacing w:val="-4"/>
                <w:lang w:eastAsia="zh-CN"/>
              </w:rPr>
              <w:t>2-4.9</w:t>
            </w:r>
            <w:r>
              <w:rPr>
                <w:rFonts w:ascii="Times New Roman" w:hAnsi="Times New Roman" w:eastAsia="Times New Roman" w:cs="Times New Roman"/>
                <w:spacing w:val="15"/>
                <w:lang w:eastAsia="zh-CN"/>
              </w:rPr>
              <w:t xml:space="preserve"> </w:t>
            </w:r>
            <w:r>
              <w:rPr>
                <w:spacing w:val="-4"/>
                <w:lang w:eastAsia="zh-CN"/>
              </w:rPr>
              <w:t>分，不完整的得</w:t>
            </w:r>
            <w:r>
              <w:rPr>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28"/>
                <w:lang w:eastAsia="zh-CN"/>
              </w:rPr>
              <w:t xml:space="preserve"> </w:t>
            </w:r>
            <w:r>
              <w:rPr>
                <w:rFonts w:ascii="Times New Roman" w:hAnsi="Times New Roman" w:eastAsia="Times New Roman" w:cs="Times New Roman"/>
                <w:spacing w:val="-1"/>
                <w:lang w:eastAsia="zh-CN"/>
              </w:rPr>
              <w:t xml:space="preserve">1.9 </w:t>
            </w:r>
            <w:r>
              <w:rPr>
                <w:spacing w:val="-1"/>
                <w:lang w:eastAsia="zh-CN"/>
              </w:rPr>
              <w:t>分，不提供不得分。</w:t>
            </w:r>
          </w:p>
        </w:tc>
        <w:tc>
          <w:tcPr>
            <w:tcW w:w="992" w:type="dxa"/>
            <w:shd w:val="clear" w:color="auto" w:fill="auto"/>
            <w:vAlign w:val="center"/>
          </w:tcPr>
          <w:p w14:paraId="657C5616">
            <w:pPr>
              <w:spacing w:before="116"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144E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6A8694A1">
            <w:pPr>
              <w:pStyle w:val="273"/>
              <w:spacing w:before="117" w:line="468" w:lineRule="exact"/>
              <w:jc w:val="center"/>
              <w:rPr>
                <w:spacing w:val="-1"/>
              </w:rPr>
            </w:pPr>
            <w:r>
              <w:rPr>
                <w:rFonts w:hint="eastAsia"/>
                <w:spacing w:val="-1"/>
              </w:rPr>
              <w:t>施工环保措施</w:t>
            </w:r>
          </w:p>
        </w:tc>
        <w:tc>
          <w:tcPr>
            <w:tcW w:w="7780" w:type="dxa"/>
            <w:shd w:val="clear" w:color="auto" w:fill="auto"/>
            <w:vAlign w:val="center"/>
          </w:tcPr>
          <w:p w14:paraId="07C944D2">
            <w:pPr>
              <w:pStyle w:val="273"/>
              <w:spacing w:before="201" w:line="232" w:lineRule="auto"/>
              <w:ind w:left="113" w:right="106"/>
              <w:jc w:val="center"/>
              <w:rPr>
                <w:lang w:eastAsia="zh-CN"/>
              </w:rPr>
            </w:pPr>
            <w:r>
              <w:rPr>
                <w:spacing w:val="-4"/>
                <w:lang w:eastAsia="zh-CN"/>
              </w:rPr>
              <w:t>措施安排针对性强的得</w:t>
            </w:r>
            <w:r>
              <w:rPr>
                <w:spacing w:val="-35"/>
                <w:lang w:eastAsia="zh-CN"/>
              </w:rPr>
              <w:t xml:space="preserve"> </w:t>
            </w:r>
            <w:r>
              <w:rPr>
                <w:rFonts w:ascii="Times New Roman" w:hAnsi="Times New Roman" w:eastAsia="Times New Roman" w:cs="Times New Roman"/>
                <w:spacing w:val="-4"/>
                <w:lang w:eastAsia="zh-CN"/>
              </w:rPr>
              <w:t>5-6</w:t>
            </w:r>
            <w:r>
              <w:rPr>
                <w:rFonts w:ascii="Times New Roman" w:hAnsi="Times New Roman" w:eastAsia="Times New Roman" w:cs="Times New Roman"/>
                <w:spacing w:val="14"/>
                <w:lang w:eastAsia="zh-CN"/>
              </w:rPr>
              <w:t xml:space="preserve"> </w:t>
            </w:r>
            <w:r>
              <w:rPr>
                <w:spacing w:val="-4"/>
                <w:lang w:eastAsia="zh-CN"/>
              </w:rPr>
              <w:t>分，一般的得</w:t>
            </w:r>
            <w:r>
              <w:rPr>
                <w:spacing w:val="-52"/>
                <w:lang w:eastAsia="zh-CN"/>
              </w:rPr>
              <w:t xml:space="preserve"> </w:t>
            </w:r>
            <w:r>
              <w:rPr>
                <w:rFonts w:ascii="Times New Roman" w:hAnsi="Times New Roman" w:eastAsia="Times New Roman" w:cs="Times New Roman"/>
                <w:spacing w:val="-4"/>
                <w:lang w:eastAsia="zh-CN"/>
              </w:rPr>
              <w:t>2-4.9</w:t>
            </w:r>
            <w:r>
              <w:rPr>
                <w:rFonts w:ascii="Times New Roman" w:hAnsi="Times New Roman" w:eastAsia="Times New Roman" w:cs="Times New Roman"/>
                <w:spacing w:val="14"/>
                <w:lang w:eastAsia="zh-CN"/>
              </w:rPr>
              <w:t xml:space="preserve"> </w:t>
            </w:r>
            <w:r>
              <w:rPr>
                <w:spacing w:val="-4"/>
                <w:lang w:eastAsia="zh-CN"/>
              </w:rPr>
              <w:t>分，不完整的得</w:t>
            </w:r>
            <w:r>
              <w:rPr>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28"/>
                <w:lang w:eastAsia="zh-CN"/>
              </w:rPr>
              <w:t xml:space="preserve"> </w:t>
            </w:r>
            <w:r>
              <w:rPr>
                <w:rFonts w:ascii="Times New Roman" w:hAnsi="Times New Roman" w:eastAsia="Times New Roman" w:cs="Times New Roman"/>
                <w:spacing w:val="-1"/>
                <w:lang w:eastAsia="zh-CN"/>
              </w:rPr>
              <w:t xml:space="preserve">1.9 </w:t>
            </w:r>
            <w:r>
              <w:rPr>
                <w:spacing w:val="-1"/>
                <w:lang w:eastAsia="zh-CN"/>
              </w:rPr>
              <w:t>分，不提供不得分。</w:t>
            </w:r>
          </w:p>
        </w:tc>
        <w:tc>
          <w:tcPr>
            <w:tcW w:w="992" w:type="dxa"/>
            <w:shd w:val="clear" w:color="auto" w:fill="auto"/>
            <w:vAlign w:val="center"/>
          </w:tcPr>
          <w:p w14:paraId="151ED502">
            <w:pPr>
              <w:spacing w:before="116"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5172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1C7B771A">
            <w:pPr>
              <w:pStyle w:val="273"/>
              <w:spacing w:before="116" w:line="468" w:lineRule="exact"/>
              <w:jc w:val="center"/>
              <w:rPr>
                <w:spacing w:val="-1"/>
              </w:rPr>
            </w:pPr>
            <w:r>
              <w:rPr>
                <w:rFonts w:hint="eastAsia"/>
                <w:spacing w:val="-1"/>
              </w:rPr>
              <w:t>现场组织管理机构</w:t>
            </w:r>
          </w:p>
        </w:tc>
        <w:tc>
          <w:tcPr>
            <w:tcW w:w="7780" w:type="dxa"/>
            <w:shd w:val="clear" w:color="auto" w:fill="auto"/>
            <w:vAlign w:val="center"/>
          </w:tcPr>
          <w:p w14:paraId="3E0880E0">
            <w:pPr>
              <w:pStyle w:val="273"/>
              <w:spacing w:before="254" w:line="229" w:lineRule="auto"/>
              <w:ind w:left="116" w:right="106"/>
              <w:jc w:val="center"/>
              <w:rPr>
                <w:lang w:eastAsia="zh-CN"/>
              </w:rPr>
            </w:pPr>
            <w:r>
              <w:rPr>
                <w:spacing w:val="-1"/>
                <w:lang w:eastAsia="zh-CN"/>
              </w:rPr>
              <w:t>现场组织管理机构设置合理机构好的得</w:t>
            </w:r>
            <w:r>
              <w:rPr>
                <w:spacing w:val="-42"/>
                <w:lang w:eastAsia="zh-CN"/>
              </w:rPr>
              <w:t xml:space="preserve"> </w:t>
            </w:r>
            <w:r>
              <w:rPr>
                <w:rFonts w:ascii="Times New Roman" w:hAnsi="Times New Roman" w:eastAsia="Times New Roman" w:cs="Times New Roman"/>
                <w:spacing w:val="-1"/>
                <w:lang w:eastAsia="zh-CN"/>
              </w:rPr>
              <w:t xml:space="preserve">5-6 </w:t>
            </w:r>
            <w:r>
              <w:rPr>
                <w:spacing w:val="-1"/>
                <w:lang w:eastAsia="zh-CN"/>
              </w:rPr>
              <w:t>分，一般的得</w:t>
            </w:r>
            <w:r>
              <w:rPr>
                <w:spacing w:val="-51"/>
                <w:lang w:eastAsia="zh-CN"/>
              </w:rPr>
              <w:t xml:space="preserve"> </w:t>
            </w:r>
            <w:r>
              <w:rPr>
                <w:rFonts w:ascii="Times New Roman" w:hAnsi="Times New Roman" w:eastAsia="Times New Roman" w:cs="Times New Roman"/>
                <w:spacing w:val="-1"/>
                <w:lang w:eastAsia="zh-CN"/>
              </w:rPr>
              <w:t>2-4.9</w:t>
            </w:r>
            <w:r>
              <w:rPr>
                <w:rFonts w:ascii="Times New Roman" w:hAnsi="Times New Roman" w:eastAsia="Times New Roman" w:cs="Times New Roman"/>
                <w:lang w:eastAsia="zh-CN"/>
              </w:rPr>
              <w:t xml:space="preserve"> </w:t>
            </w:r>
            <w:r>
              <w:rPr>
                <w:spacing w:val="-1"/>
                <w:lang w:eastAsia="zh-CN"/>
              </w:rPr>
              <w:t>分，不完整的得</w:t>
            </w:r>
            <w:r>
              <w:rPr>
                <w:spacing w:val="-35"/>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30"/>
                <w:lang w:eastAsia="zh-CN"/>
              </w:rPr>
              <w:t xml:space="preserve"> </w:t>
            </w:r>
            <w:r>
              <w:rPr>
                <w:rFonts w:ascii="Times New Roman" w:hAnsi="Times New Roman" w:eastAsia="Times New Roman" w:cs="Times New Roman"/>
                <w:spacing w:val="-1"/>
                <w:lang w:eastAsia="zh-CN"/>
              </w:rPr>
              <w:t xml:space="preserve">1.9 </w:t>
            </w:r>
            <w:r>
              <w:rPr>
                <w:spacing w:val="-1"/>
                <w:lang w:eastAsia="zh-CN"/>
              </w:rPr>
              <w:t>分，不提供不得分。</w:t>
            </w:r>
          </w:p>
        </w:tc>
        <w:tc>
          <w:tcPr>
            <w:tcW w:w="992" w:type="dxa"/>
            <w:shd w:val="clear" w:color="auto" w:fill="auto"/>
            <w:vAlign w:val="center"/>
          </w:tcPr>
          <w:p w14:paraId="1B059A2A">
            <w:pPr>
              <w:spacing w:before="116"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2F62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495BD35E">
            <w:pPr>
              <w:pStyle w:val="273"/>
              <w:spacing w:before="117" w:line="220" w:lineRule="auto"/>
              <w:jc w:val="center"/>
              <w:rPr>
                <w:spacing w:val="-1"/>
                <w:lang w:eastAsia="zh-CN"/>
              </w:rPr>
            </w:pPr>
            <w:r>
              <w:rPr>
                <w:rFonts w:hint="eastAsia"/>
                <w:spacing w:val="-1"/>
                <w:lang w:eastAsia="zh-CN"/>
              </w:rPr>
              <w:t>与发包人、监理及设计单位的配合</w:t>
            </w:r>
          </w:p>
        </w:tc>
        <w:tc>
          <w:tcPr>
            <w:tcW w:w="7780" w:type="dxa"/>
            <w:shd w:val="clear" w:color="auto" w:fill="auto"/>
            <w:vAlign w:val="center"/>
          </w:tcPr>
          <w:p w14:paraId="42733D41">
            <w:pPr>
              <w:spacing w:line="409" w:lineRule="auto"/>
              <w:jc w:val="center"/>
              <w:rPr>
                <w:rFonts w:ascii="Arial"/>
              </w:rPr>
            </w:pPr>
          </w:p>
          <w:p w14:paraId="0DB5F0C1">
            <w:pPr>
              <w:pStyle w:val="273"/>
              <w:spacing w:before="78" w:line="228" w:lineRule="auto"/>
              <w:ind w:left="109" w:right="127" w:firstLine="9"/>
              <w:jc w:val="center"/>
              <w:rPr>
                <w:lang w:eastAsia="zh-CN"/>
              </w:rPr>
            </w:pPr>
            <w:r>
              <w:rPr>
                <w:spacing w:val="1"/>
                <w:lang w:eastAsia="zh-CN"/>
              </w:rPr>
              <w:t>与发包人、监理、设计单位配合方案好的得</w:t>
            </w:r>
            <w:r>
              <w:rPr>
                <w:spacing w:val="-38"/>
                <w:lang w:eastAsia="zh-CN"/>
              </w:rPr>
              <w:t xml:space="preserve"> </w:t>
            </w:r>
            <w:r>
              <w:rPr>
                <w:rFonts w:ascii="Times New Roman" w:hAnsi="Times New Roman" w:eastAsia="Times New Roman" w:cs="Times New Roman"/>
                <w:spacing w:val="1"/>
                <w:lang w:eastAsia="zh-CN"/>
              </w:rPr>
              <w:t xml:space="preserve">5-6 </w:t>
            </w:r>
            <w:r>
              <w:rPr>
                <w:spacing w:val="1"/>
                <w:lang w:eastAsia="zh-CN"/>
              </w:rPr>
              <w:t>分，一般的得</w:t>
            </w:r>
            <w:r>
              <w:rPr>
                <w:lang w:eastAsia="zh-CN"/>
              </w:rPr>
              <w:t xml:space="preserve"> </w:t>
            </w:r>
            <w:r>
              <w:rPr>
                <w:rFonts w:ascii="Times New Roman" w:hAnsi="Times New Roman" w:eastAsia="Times New Roman" w:cs="Times New Roman"/>
                <w:spacing w:val="-1"/>
                <w:lang w:eastAsia="zh-CN"/>
              </w:rPr>
              <w:t xml:space="preserve">2-4.9 </w:t>
            </w:r>
            <w:r>
              <w:rPr>
                <w:spacing w:val="-1"/>
                <w:lang w:eastAsia="zh-CN"/>
              </w:rPr>
              <w:t>分，不完整的得</w:t>
            </w:r>
            <w:r>
              <w:rPr>
                <w:spacing w:val="-33"/>
                <w:lang w:eastAsia="zh-CN"/>
              </w:rPr>
              <w:t xml:space="preserve"> </w:t>
            </w:r>
            <w:r>
              <w:rPr>
                <w:rFonts w:ascii="Times New Roman" w:hAnsi="Times New Roman" w:eastAsia="Times New Roman" w:cs="Times New Roman"/>
                <w:spacing w:val="-1"/>
                <w:lang w:eastAsia="zh-CN"/>
              </w:rPr>
              <w:t>0.1-</w:t>
            </w:r>
            <w:r>
              <w:rPr>
                <w:rFonts w:ascii="Times New Roman" w:hAnsi="Times New Roman" w:eastAsia="Times New Roman" w:cs="Times New Roman"/>
                <w:spacing w:val="-30"/>
                <w:lang w:eastAsia="zh-CN"/>
              </w:rPr>
              <w:t xml:space="preserve"> </w:t>
            </w:r>
            <w:r>
              <w:rPr>
                <w:rFonts w:ascii="Times New Roman" w:hAnsi="Times New Roman" w:eastAsia="Times New Roman" w:cs="Times New Roman"/>
                <w:spacing w:val="-1"/>
                <w:lang w:eastAsia="zh-CN"/>
              </w:rPr>
              <w:t>1.9</w:t>
            </w:r>
            <w:r>
              <w:rPr>
                <w:rFonts w:ascii="Times New Roman" w:hAnsi="Times New Roman" w:eastAsia="Times New Roman" w:cs="Times New Roman"/>
                <w:spacing w:val="17"/>
                <w:lang w:eastAsia="zh-CN"/>
              </w:rPr>
              <w:t xml:space="preserve"> </w:t>
            </w:r>
            <w:r>
              <w:rPr>
                <w:spacing w:val="-1"/>
                <w:lang w:eastAsia="zh-CN"/>
              </w:rPr>
              <w:t>分，不提供不得分。</w:t>
            </w:r>
          </w:p>
        </w:tc>
        <w:tc>
          <w:tcPr>
            <w:tcW w:w="992" w:type="dxa"/>
            <w:shd w:val="clear" w:color="auto" w:fill="auto"/>
            <w:vAlign w:val="center"/>
          </w:tcPr>
          <w:p w14:paraId="3C580845">
            <w:pPr>
              <w:spacing w:before="117" w:line="224" w:lineRule="auto"/>
              <w:ind w:left="235"/>
              <w:jc w:val="center"/>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r w14:paraId="7D46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shd w:val="clear" w:color="auto" w:fill="auto"/>
            <w:vAlign w:val="center"/>
          </w:tcPr>
          <w:p w14:paraId="0DF96CD1">
            <w:pPr>
              <w:pStyle w:val="273"/>
              <w:spacing w:before="118" w:line="468" w:lineRule="exact"/>
              <w:jc w:val="center"/>
              <w:rPr>
                <w:spacing w:val="-1"/>
              </w:rPr>
            </w:pPr>
            <w:r>
              <w:rPr>
                <w:rFonts w:hint="eastAsia"/>
                <w:spacing w:val="-1"/>
              </w:rPr>
              <w:t>扬尘专项治理措施</w:t>
            </w:r>
          </w:p>
        </w:tc>
        <w:tc>
          <w:tcPr>
            <w:tcW w:w="7780" w:type="dxa"/>
            <w:shd w:val="clear" w:color="auto" w:fill="auto"/>
          </w:tcPr>
          <w:p w14:paraId="33CDD223">
            <w:pPr>
              <w:pStyle w:val="273"/>
              <w:spacing w:before="255" w:line="229" w:lineRule="auto"/>
              <w:ind w:left="117" w:right="106" w:firstLine="2"/>
            </w:pPr>
            <w:r>
              <w:rPr>
                <w:spacing w:val="-5"/>
              </w:rPr>
              <w:t>治理措施好的得</w:t>
            </w:r>
            <w:r>
              <w:rPr>
                <w:spacing w:val="-46"/>
              </w:rPr>
              <w:t xml:space="preserve"> </w:t>
            </w:r>
            <w:r>
              <w:rPr>
                <w:rFonts w:ascii="Times New Roman" w:hAnsi="Times New Roman" w:eastAsia="Times New Roman" w:cs="Times New Roman"/>
                <w:spacing w:val="-5"/>
              </w:rPr>
              <w:t>5-6</w:t>
            </w:r>
            <w:r>
              <w:rPr>
                <w:rFonts w:ascii="Times New Roman" w:hAnsi="Times New Roman" w:eastAsia="Times New Roman" w:cs="Times New Roman"/>
                <w:spacing w:val="14"/>
              </w:rPr>
              <w:t xml:space="preserve"> </w:t>
            </w:r>
            <w:r>
              <w:rPr>
                <w:spacing w:val="-5"/>
              </w:rPr>
              <w:t>分，一般的得</w:t>
            </w:r>
            <w:r>
              <w:rPr>
                <w:spacing w:val="-50"/>
              </w:rPr>
              <w:t xml:space="preserve"> </w:t>
            </w:r>
            <w:r>
              <w:rPr>
                <w:rFonts w:ascii="Times New Roman" w:hAnsi="Times New Roman" w:eastAsia="Times New Roman" w:cs="Times New Roman"/>
                <w:spacing w:val="-5"/>
              </w:rPr>
              <w:t>2-4.9</w:t>
            </w:r>
            <w:r>
              <w:rPr>
                <w:rFonts w:ascii="Times New Roman" w:hAnsi="Times New Roman" w:eastAsia="Times New Roman" w:cs="Times New Roman"/>
                <w:spacing w:val="15"/>
              </w:rPr>
              <w:t xml:space="preserve"> </w:t>
            </w:r>
            <w:r>
              <w:rPr>
                <w:spacing w:val="-5"/>
              </w:rPr>
              <w:t>分，</w:t>
            </w:r>
            <w:r>
              <w:rPr>
                <w:spacing w:val="-6"/>
              </w:rPr>
              <w:t>不完整的得</w:t>
            </w:r>
            <w:r>
              <w:rPr>
                <w:spacing w:val="-47"/>
              </w:rPr>
              <w:t xml:space="preserve"> </w:t>
            </w:r>
            <w:r>
              <w:rPr>
                <w:rFonts w:ascii="Times New Roman" w:hAnsi="Times New Roman" w:eastAsia="Times New Roman" w:cs="Times New Roman"/>
                <w:spacing w:val="-6"/>
              </w:rPr>
              <w:t>0.1-</w:t>
            </w:r>
            <w:r>
              <w:rPr>
                <w:rFonts w:ascii="Times New Roman" w:hAnsi="Times New Roman" w:eastAsia="Times New Roman" w:cs="Times New Roman"/>
                <w:spacing w:val="-27"/>
              </w:rPr>
              <w:t xml:space="preserve"> </w:t>
            </w:r>
            <w:r>
              <w:rPr>
                <w:rFonts w:ascii="Times New Roman" w:hAnsi="Times New Roman" w:eastAsia="Times New Roman" w:cs="Times New Roman"/>
                <w:spacing w:val="-6"/>
              </w:rPr>
              <w:t>1.9</w:t>
            </w:r>
            <w:r>
              <w:rPr>
                <w:rFonts w:ascii="Times New Roman" w:hAnsi="Times New Roman" w:eastAsia="Times New Roman" w:cs="Times New Roman"/>
              </w:rPr>
              <w:t xml:space="preserve"> </w:t>
            </w:r>
            <w:r>
              <w:t>分，不提供不得分。</w:t>
            </w:r>
          </w:p>
        </w:tc>
        <w:tc>
          <w:tcPr>
            <w:tcW w:w="992" w:type="dxa"/>
            <w:shd w:val="clear" w:color="auto" w:fill="auto"/>
          </w:tcPr>
          <w:p w14:paraId="00786F76">
            <w:pPr>
              <w:spacing w:before="117" w:line="224" w:lineRule="auto"/>
              <w:ind w:left="235"/>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41"/>
                <w:sz w:val="24"/>
                <w:szCs w:val="24"/>
              </w:rPr>
              <w:t xml:space="preserve"> </w:t>
            </w:r>
            <w:r>
              <w:rPr>
                <w:rFonts w:ascii="仿宋" w:hAnsi="仿宋" w:eastAsia="仿宋" w:cs="仿宋"/>
                <w:spacing w:val="-6"/>
                <w:sz w:val="24"/>
                <w:szCs w:val="24"/>
              </w:rPr>
              <w:t>分</w:t>
            </w:r>
          </w:p>
        </w:tc>
      </w:tr>
    </w:tbl>
    <w:p w14:paraId="71B11224">
      <w:pPr>
        <w:spacing w:line="91" w:lineRule="auto"/>
        <w:rPr>
          <w:rFonts w:ascii="Arial"/>
          <w:sz w:val="2"/>
        </w:rPr>
      </w:pPr>
    </w:p>
    <w:p w14:paraId="45592E28">
      <w:pPr>
        <w:snapToGrid w:val="0"/>
        <w:spacing w:line="500" w:lineRule="exact"/>
        <w:ind w:firstLine="484" w:firstLineChars="200"/>
        <w:rPr>
          <w:rFonts w:asciiTheme="minorEastAsia" w:hAnsiTheme="minorEastAsia" w:eastAsiaTheme="minorEastAsia"/>
          <w:b/>
          <w:bCs/>
          <w:sz w:val="24"/>
          <w:szCs w:val="24"/>
        </w:rPr>
      </w:pPr>
      <w:r>
        <w:rPr>
          <w:rFonts w:cs="宋体" w:asciiTheme="minorEastAsia" w:hAnsiTheme="minorEastAsia" w:eastAsiaTheme="minorEastAsia"/>
          <w:sz w:val="24"/>
          <w:szCs w:val="24"/>
        </w:rPr>
        <w:t>4.2.</w:t>
      </w:r>
      <w:r>
        <w:rPr>
          <w:rFonts w:hint="eastAsia" w:cs="宋体" w:asciiTheme="minorEastAsia" w:hAnsiTheme="minorEastAsia" w:eastAsiaTheme="minorEastAsia"/>
          <w:sz w:val="24"/>
          <w:szCs w:val="24"/>
        </w:rPr>
        <w:t>3本公司应当自磋商结束之日起</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个工作日内将《竞争性磋商评审报告》送交采购人。采购人应当自收到《报告》之日起</w:t>
      </w: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个工作日内在《报告》推荐的成交候选供应商中按顺序确定成交供应商。当第</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成交候选供应商因自身原因或不可抗力因素不能按期与采购人签订合同时，如果采购人能接受第</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成交候选供应商的最终报价并经同级监管部门同意，第</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成交候选供应商即为成交供应商，以此类推至第</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成交候选供应商。</w:t>
      </w:r>
    </w:p>
    <w:p w14:paraId="4187A5BC">
      <w:pPr>
        <w:snapToGrid w:val="0"/>
        <w:spacing w:line="500" w:lineRule="exact"/>
        <w:ind w:firstLine="478" w:firstLineChars="198"/>
        <w:rPr>
          <w:rFonts w:cs="宋体" w:asciiTheme="minorEastAsia" w:hAnsiTheme="minorEastAsia" w:eastAsiaTheme="minorEastAsia"/>
          <w:kern w:val="0"/>
          <w:sz w:val="24"/>
          <w:szCs w:val="24"/>
        </w:rPr>
      </w:pPr>
      <w:r>
        <w:rPr>
          <w:rFonts w:cs="Arial" w:asciiTheme="minorEastAsia" w:hAnsiTheme="minorEastAsia" w:eastAsiaTheme="minorEastAsia"/>
          <w:sz w:val="24"/>
          <w:szCs w:val="24"/>
        </w:rPr>
        <w:t>4.2.</w:t>
      </w:r>
      <w:r>
        <w:rPr>
          <w:rFonts w:hint="eastAsia" w:cs="宋体" w:asciiTheme="minorEastAsia" w:hAnsiTheme="minorEastAsia" w:eastAsiaTheme="minorEastAsia"/>
          <w:kern w:val="0"/>
          <w:sz w:val="24"/>
          <w:szCs w:val="24"/>
        </w:rPr>
        <w:t>4在此次磋商采购中，出现下列情形之一的应中止采购：</w:t>
      </w:r>
    </w:p>
    <w:p w14:paraId="48A2421E">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⑴因情况变化，不再符合规定的竞争性磋商采购方式适用情形的；</w:t>
      </w:r>
    </w:p>
    <w:p w14:paraId="3535AF6F">
      <w:pPr>
        <w:widowControl/>
        <w:adjustRightInd w:val="0"/>
        <w:snapToGrid w:val="0"/>
        <w:spacing w:line="500" w:lineRule="exact"/>
        <w:ind w:firstLine="484" w:firstLineChars="200"/>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⑵出现影响采购公正的违法、违规行为的；</w:t>
      </w:r>
    </w:p>
    <w:p w14:paraId="7B65447C">
      <w:pPr>
        <w:widowControl/>
        <w:adjustRightInd w:val="0"/>
        <w:snapToGrid w:val="0"/>
        <w:spacing w:line="500" w:lineRule="exact"/>
        <w:ind w:firstLine="484" w:firstLineChars="200"/>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⑶</w:t>
      </w:r>
      <w:r>
        <w:rPr>
          <w:rFonts w:hint="eastAsia" w:asciiTheme="minorEastAsia" w:hAnsiTheme="minorEastAsia" w:eastAsiaTheme="minorEastAsia"/>
          <w:sz w:val="24"/>
          <w:szCs w:val="24"/>
        </w:rPr>
        <w:t>符合要求的供应商或报价未超过采购预算的供应商不得低于2家</w:t>
      </w:r>
      <w:r>
        <w:rPr>
          <w:rFonts w:hint="eastAsia" w:cs="宋体" w:asciiTheme="minorEastAsia" w:hAnsiTheme="minorEastAsia" w:eastAsiaTheme="minorEastAsia"/>
          <w:bCs/>
          <w:kern w:val="0"/>
          <w:sz w:val="24"/>
          <w:szCs w:val="24"/>
        </w:rPr>
        <w:t>；</w:t>
      </w:r>
    </w:p>
    <w:p w14:paraId="4792DCAD">
      <w:pPr>
        <w:widowControl/>
        <w:adjustRightInd w:val="0"/>
        <w:snapToGrid w:val="0"/>
        <w:spacing w:line="500" w:lineRule="exact"/>
        <w:ind w:firstLine="484" w:firstLineChars="200"/>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⑷因重大变故，采购任务取消的。</w:t>
      </w:r>
    </w:p>
    <w:p w14:paraId="16959FC8">
      <w:pPr>
        <w:snapToGrid w:val="0"/>
        <w:spacing w:line="500" w:lineRule="exact"/>
        <w:rPr>
          <w:rFonts w:cs="Arial" w:asciiTheme="minorEastAsia" w:hAnsiTheme="minorEastAsia" w:eastAsiaTheme="minorEastAsia"/>
          <w:b/>
          <w:sz w:val="24"/>
          <w:szCs w:val="24"/>
        </w:rPr>
      </w:pPr>
      <w:r>
        <w:rPr>
          <w:rFonts w:cs="Arial" w:asciiTheme="minorEastAsia" w:hAnsiTheme="minorEastAsia" w:eastAsiaTheme="minorEastAsia"/>
          <w:b/>
          <w:sz w:val="24"/>
          <w:szCs w:val="24"/>
        </w:rPr>
        <w:t xml:space="preserve">4.3 </w:t>
      </w:r>
      <w:r>
        <w:rPr>
          <w:rFonts w:hint="eastAsia" w:cs="Arial" w:asciiTheme="minorEastAsia" w:hAnsiTheme="minorEastAsia" w:eastAsiaTheme="minorEastAsia"/>
          <w:b/>
          <w:sz w:val="24"/>
          <w:szCs w:val="24"/>
        </w:rPr>
        <w:t>成交通知：</w:t>
      </w:r>
    </w:p>
    <w:p w14:paraId="24152F12">
      <w:pPr>
        <w:autoSpaceDE w:val="0"/>
        <w:autoSpaceDN w:val="0"/>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hint="eastAsia" w:cs="Arial" w:asciiTheme="minorEastAsia" w:hAnsiTheme="minorEastAsia" w:eastAsiaTheme="minorEastAsia"/>
          <w:sz w:val="24"/>
          <w:szCs w:val="24"/>
        </w:rPr>
        <w:t>确定了成交</w:t>
      </w:r>
      <w:r>
        <w:rPr>
          <w:rFonts w:hint="eastAsia" w:asciiTheme="minorEastAsia" w:hAnsiTheme="minorEastAsia" w:eastAsiaTheme="minorEastAsia"/>
          <w:sz w:val="24"/>
          <w:szCs w:val="24"/>
        </w:rPr>
        <w:t>供应商</w:t>
      </w:r>
      <w:r>
        <w:rPr>
          <w:rFonts w:hint="eastAsia" w:cs="Arial" w:asciiTheme="minorEastAsia" w:hAnsiTheme="minorEastAsia" w:eastAsiaTheme="minorEastAsia"/>
          <w:sz w:val="24"/>
          <w:szCs w:val="24"/>
        </w:rPr>
        <w:t>后，并在相关媒体上发布成交公告，同时将以书面形式向其发出《成交通知书》。</w:t>
      </w:r>
      <w:r>
        <w:rPr>
          <w:rFonts w:hint="eastAsia" w:cs="宋体" w:asciiTheme="minorEastAsia" w:hAnsiTheme="minorEastAsia" w:eastAsiaTheme="minorEastAsia"/>
          <w:kern w:val="0"/>
          <w:sz w:val="24"/>
          <w:szCs w:val="24"/>
        </w:rPr>
        <w:t>《成交通知书》一经发出即具有法律效力，成交</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在成交公告期终了之日起</w:t>
      </w:r>
      <w:r>
        <w:rPr>
          <w:rFonts w:cs="宋体" w:asciiTheme="minorEastAsia" w:hAnsiTheme="minorEastAsia" w:eastAsiaTheme="minorEastAsia"/>
          <w:kern w:val="0"/>
          <w:sz w:val="24"/>
          <w:szCs w:val="24"/>
        </w:rPr>
        <w:t>7</w:t>
      </w:r>
      <w:r>
        <w:rPr>
          <w:rFonts w:hint="eastAsia" w:cs="宋体" w:asciiTheme="minorEastAsia" w:hAnsiTheme="minorEastAsia" w:eastAsiaTheme="minorEastAsia"/>
          <w:kern w:val="0"/>
          <w:sz w:val="24"/>
          <w:szCs w:val="24"/>
        </w:rPr>
        <w:t>个工作日内领取《成交通知书》。未领取《成交通知书》（视为放弃成交结果），除了应当赔偿本公司在组织此次采购活动中产生的直接费用外，还应当视其情节承担相应的经济和法律责任。</w:t>
      </w:r>
    </w:p>
    <w:p w14:paraId="16DAC6F0">
      <w:pPr>
        <w:snapToGrid w:val="0"/>
        <w:spacing w:line="500" w:lineRule="exact"/>
        <w:rPr>
          <w:rFonts w:cs="宋体" w:asciiTheme="minorEastAsia" w:hAnsiTheme="minorEastAsia" w:eastAsiaTheme="minorEastAsia"/>
          <w:b/>
          <w:kern w:val="0"/>
          <w:sz w:val="24"/>
          <w:szCs w:val="24"/>
        </w:rPr>
      </w:pPr>
      <w:r>
        <w:rPr>
          <w:rFonts w:cs="宋体" w:asciiTheme="minorEastAsia" w:hAnsiTheme="minorEastAsia" w:eastAsiaTheme="minorEastAsia"/>
          <w:b/>
          <w:kern w:val="0"/>
          <w:sz w:val="24"/>
          <w:szCs w:val="24"/>
        </w:rPr>
        <w:t xml:space="preserve">4.4 </w:t>
      </w:r>
      <w:r>
        <w:rPr>
          <w:rFonts w:hint="eastAsia" w:cs="宋体" w:asciiTheme="minorEastAsia" w:hAnsiTheme="minorEastAsia" w:eastAsiaTheme="minorEastAsia"/>
          <w:b/>
          <w:kern w:val="0"/>
          <w:sz w:val="24"/>
          <w:szCs w:val="24"/>
        </w:rPr>
        <w:t>评审纪律</w:t>
      </w:r>
      <w:r>
        <w:rPr>
          <w:rFonts w:cs="宋体" w:asciiTheme="minorEastAsia" w:hAnsiTheme="minorEastAsia" w:eastAsiaTheme="minorEastAsia"/>
          <w:b/>
          <w:kern w:val="0"/>
          <w:sz w:val="24"/>
          <w:szCs w:val="24"/>
        </w:rPr>
        <w:t>:</w:t>
      </w:r>
    </w:p>
    <w:p w14:paraId="00EA54A0">
      <w:pPr>
        <w:snapToGrid w:val="0"/>
        <w:spacing w:line="500" w:lineRule="exact"/>
        <w:ind w:firstLine="484" w:firstLineChars="200"/>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 xml:space="preserve">4.4.1 </w:t>
      </w:r>
      <w:r>
        <w:rPr>
          <w:rFonts w:hint="eastAsia" w:cs="宋体" w:asciiTheme="minorEastAsia" w:hAnsiTheme="minorEastAsia" w:eastAsiaTheme="minorEastAsia"/>
          <w:kern w:val="0"/>
          <w:sz w:val="24"/>
          <w:szCs w:val="24"/>
        </w:rPr>
        <w:t>评审工作应严格遵守《中华人民共和国政府采购法》及相关法律、法规和规章的规定，坚持公平、公正、公开、择优、保密的原则。</w:t>
      </w:r>
    </w:p>
    <w:p w14:paraId="12D875AA">
      <w:pPr>
        <w:widowControl/>
        <w:snapToGrid w:val="0"/>
        <w:spacing w:line="500" w:lineRule="exact"/>
        <w:ind w:firstLine="484" w:firstLineChars="200"/>
        <w:rPr>
          <w:rFonts w:cs="Arial" w:asciiTheme="minorEastAsia" w:hAnsiTheme="minorEastAsia" w:eastAsiaTheme="minorEastAsia"/>
          <w:kern w:val="0"/>
          <w:sz w:val="24"/>
          <w:szCs w:val="24"/>
        </w:rPr>
      </w:pPr>
      <w:r>
        <w:rPr>
          <w:rFonts w:cs="宋体" w:asciiTheme="minorEastAsia" w:hAnsiTheme="minorEastAsia" w:eastAsiaTheme="minorEastAsia"/>
          <w:kern w:val="0"/>
          <w:sz w:val="24"/>
          <w:szCs w:val="24"/>
        </w:rPr>
        <w:t xml:space="preserve">4.4.2 </w:t>
      </w:r>
      <w:r>
        <w:rPr>
          <w:rFonts w:hint="eastAsia" w:cs="宋体" w:asciiTheme="minorEastAsia" w:hAnsiTheme="minorEastAsia" w:eastAsiaTheme="minorEastAsia"/>
          <w:kern w:val="0"/>
          <w:sz w:val="24"/>
          <w:szCs w:val="24"/>
        </w:rPr>
        <w:t>磋商会议由本公司派员主持，评审工作由磋商小组进行。磋商小组由采购单位代表和有关专家组成，其中专家不得少于</w:t>
      </w:r>
      <w:r>
        <w:rPr>
          <w:rFonts w:cs="宋体" w:asciiTheme="minorEastAsia" w:hAnsiTheme="minorEastAsia" w:eastAsiaTheme="minorEastAsia"/>
          <w:kern w:val="0"/>
          <w:sz w:val="24"/>
          <w:szCs w:val="24"/>
        </w:rPr>
        <w:t>2/3</w:t>
      </w:r>
      <w:r>
        <w:rPr>
          <w:rFonts w:hint="eastAsia" w:cs="宋体" w:asciiTheme="minorEastAsia" w:hAnsiTheme="minorEastAsia" w:eastAsiaTheme="minorEastAsia"/>
          <w:kern w:val="0"/>
          <w:sz w:val="24"/>
          <w:szCs w:val="24"/>
        </w:rPr>
        <w:t>。专家由采购单位代表在监督部门代表的监督下会前从市专家库中随机抽取。磋商小组</w:t>
      </w:r>
      <w:r>
        <w:rPr>
          <w:rFonts w:hint="eastAsia" w:cs="Arial" w:asciiTheme="minorEastAsia" w:hAnsiTheme="minorEastAsia" w:eastAsiaTheme="minorEastAsia"/>
          <w:kern w:val="0"/>
          <w:sz w:val="24"/>
          <w:szCs w:val="24"/>
        </w:rPr>
        <w:t>独立履行下列职责：</w:t>
      </w:r>
    </w:p>
    <w:p w14:paraId="469706D4">
      <w:pPr>
        <w:widowControl/>
        <w:snapToGrid w:val="0"/>
        <w:spacing w:line="500" w:lineRule="exact"/>
        <w:ind w:firstLine="484" w:firstLineChars="200"/>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⑴审查《响应文件》和</w:t>
      </w:r>
      <w:r>
        <w:rPr>
          <w:rFonts w:hint="eastAsia" w:cs="Arial" w:asciiTheme="minorEastAsia" w:hAnsiTheme="minorEastAsia" w:eastAsiaTheme="minorEastAsia"/>
          <w:sz w:val="24"/>
          <w:szCs w:val="24"/>
        </w:rPr>
        <w:t>磋商承诺</w:t>
      </w:r>
      <w:r>
        <w:rPr>
          <w:rFonts w:hint="eastAsia" w:cs="Arial" w:asciiTheme="minorEastAsia" w:hAnsiTheme="minorEastAsia" w:eastAsiaTheme="minorEastAsia"/>
          <w:kern w:val="0"/>
          <w:sz w:val="24"/>
          <w:szCs w:val="24"/>
        </w:rPr>
        <w:t>是否符合《磋商文件》要求，并作出评价；</w:t>
      </w:r>
    </w:p>
    <w:p w14:paraId="08D7C5FC">
      <w:pPr>
        <w:widowControl/>
        <w:snapToGrid w:val="0"/>
        <w:spacing w:line="500" w:lineRule="exact"/>
        <w:ind w:firstLine="484" w:firstLineChars="200"/>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⑵要求</w:t>
      </w:r>
      <w:r>
        <w:rPr>
          <w:rFonts w:hint="eastAsia" w:asciiTheme="minorEastAsia" w:hAnsiTheme="minorEastAsia" w:eastAsiaTheme="minorEastAsia"/>
          <w:sz w:val="24"/>
          <w:szCs w:val="24"/>
        </w:rPr>
        <w:t>供应商</w:t>
      </w:r>
      <w:r>
        <w:rPr>
          <w:rFonts w:hint="eastAsia" w:cs="Arial" w:asciiTheme="minorEastAsia" w:hAnsiTheme="minorEastAsia" w:eastAsiaTheme="minorEastAsia"/>
          <w:kern w:val="0"/>
          <w:sz w:val="24"/>
          <w:szCs w:val="24"/>
        </w:rPr>
        <w:t>对《响应文件》和</w:t>
      </w:r>
      <w:r>
        <w:rPr>
          <w:rFonts w:hint="eastAsia" w:cs="Arial" w:asciiTheme="minorEastAsia" w:hAnsiTheme="minorEastAsia" w:eastAsiaTheme="minorEastAsia"/>
          <w:sz w:val="24"/>
          <w:szCs w:val="24"/>
        </w:rPr>
        <w:t>磋商承诺的</w:t>
      </w:r>
      <w:r>
        <w:rPr>
          <w:rFonts w:hint="eastAsia" w:cs="Arial" w:asciiTheme="minorEastAsia" w:hAnsiTheme="minorEastAsia" w:eastAsiaTheme="minorEastAsia"/>
          <w:kern w:val="0"/>
          <w:sz w:val="24"/>
          <w:szCs w:val="24"/>
        </w:rPr>
        <w:t>有关事项作出解释或者澄清；</w:t>
      </w:r>
    </w:p>
    <w:p w14:paraId="1602C4C5">
      <w:pPr>
        <w:widowControl/>
        <w:snapToGrid w:val="0"/>
        <w:spacing w:line="500" w:lineRule="exact"/>
        <w:ind w:firstLine="484" w:firstLineChars="200"/>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⑶推荐成交候选</w:t>
      </w:r>
      <w:r>
        <w:rPr>
          <w:rFonts w:hint="eastAsia" w:asciiTheme="minorEastAsia" w:hAnsiTheme="minorEastAsia" w:eastAsiaTheme="minorEastAsia"/>
          <w:sz w:val="24"/>
          <w:szCs w:val="24"/>
        </w:rPr>
        <w:t>供应商</w:t>
      </w:r>
      <w:r>
        <w:rPr>
          <w:rFonts w:hint="eastAsia" w:cs="Arial" w:asciiTheme="minorEastAsia" w:hAnsiTheme="minorEastAsia" w:eastAsiaTheme="minorEastAsia"/>
          <w:kern w:val="0"/>
          <w:sz w:val="24"/>
          <w:szCs w:val="24"/>
        </w:rPr>
        <w:t>名单；</w:t>
      </w:r>
    </w:p>
    <w:p w14:paraId="0356BCAA">
      <w:pPr>
        <w:widowControl/>
        <w:snapToGrid w:val="0"/>
        <w:spacing w:line="500" w:lineRule="exact"/>
        <w:ind w:firstLine="484" w:firstLineChars="200"/>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⑷向采购单位或者有关部门报告非法干预评审工作的行为。</w:t>
      </w:r>
    </w:p>
    <w:p w14:paraId="64D3AC0F">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 xml:space="preserve">4.4.3 </w:t>
      </w:r>
      <w:r>
        <w:rPr>
          <w:rFonts w:hint="eastAsia" w:cs="宋体" w:asciiTheme="minorEastAsia" w:hAnsiTheme="minorEastAsia" w:eastAsiaTheme="minorEastAsia"/>
          <w:kern w:val="0"/>
          <w:sz w:val="24"/>
          <w:szCs w:val="24"/>
        </w:rPr>
        <w:t>磋商小组专家的权利与义务：</w:t>
      </w:r>
    </w:p>
    <w:p w14:paraId="75AC2C1E">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⑴权利：</w:t>
      </w:r>
    </w:p>
    <w:p w14:paraId="38FB27D3">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a.</w:t>
      </w:r>
      <w:r>
        <w:rPr>
          <w:rFonts w:hint="eastAsia" w:cs="宋体" w:asciiTheme="minorEastAsia" w:hAnsiTheme="minorEastAsia" w:eastAsiaTheme="minorEastAsia"/>
          <w:kern w:val="0"/>
          <w:sz w:val="24"/>
          <w:szCs w:val="24"/>
        </w:rPr>
        <w:t>对政府采购制度及相关情况的知情权；</w:t>
      </w:r>
    </w:p>
    <w:p w14:paraId="0BB97084">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b.</w:t>
      </w:r>
      <w:r>
        <w:rPr>
          <w:rFonts w:hint="eastAsia" w:cs="宋体" w:asciiTheme="minorEastAsia" w:hAnsiTheme="minorEastAsia" w:eastAsiaTheme="minorEastAsia"/>
          <w:kern w:val="0"/>
          <w:sz w:val="24"/>
          <w:szCs w:val="24"/>
        </w:rPr>
        <w:t>对</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所供货物、工程和服务质量的评审权；</w:t>
      </w:r>
    </w:p>
    <w:p w14:paraId="1B22AF37">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c.</w:t>
      </w:r>
      <w:r>
        <w:rPr>
          <w:rFonts w:hint="eastAsia" w:cs="宋体" w:asciiTheme="minorEastAsia" w:hAnsiTheme="minorEastAsia" w:eastAsiaTheme="minorEastAsia"/>
          <w:kern w:val="0"/>
          <w:sz w:val="24"/>
          <w:szCs w:val="24"/>
        </w:rPr>
        <w:t>推荐成交候选</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的表决权；</w:t>
      </w:r>
    </w:p>
    <w:p w14:paraId="48F5616B">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d.</w:t>
      </w:r>
      <w:r>
        <w:rPr>
          <w:rFonts w:hint="eastAsia" w:cs="宋体" w:asciiTheme="minorEastAsia" w:hAnsiTheme="minorEastAsia" w:eastAsiaTheme="minorEastAsia"/>
          <w:kern w:val="0"/>
          <w:sz w:val="24"/>
          <w:szCs w:val="24"/>
        </w:rPr>
        <w:t>按规定获得相应的评审劳务报酬；</w:t>
      </w:r>
    </w:p>
    <w:p w14:paraId="6BEF1E24">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e.</w:t>
      </w:r>
      <w:r>
        <w:rPr>
          <w:rFonts w:hint="eastAsia" w:cs="宋体" w:asciiTheme="minorEastAsia" w:hAnsiTheme="minorEastAsia" w:eastAsiaTheme="minorEastAsia"/>
          <w:kern w:val="0"/>
          <w:sz w:val="24"/>
          <w:szCs w:val="24"/>
        </w:rPr>
        <w:t>法律、法规和规章规定的其他权利。</w:t>
      </w:r>
    </w:p>
    <w:p w14:paraId="682BF577">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⑵义务：</w:t>
      </w:r>
    </w:p>
    <w:p w14:paraId="6E64F8A2">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a.</w:t>
      </w:r>
      <w:r>
        <w:rPr>
          <w:rFonts w:hint="eastAsia" w:cs="宋体" w:asciiTheme="minorEastAsia" w:hAnsiTheme="minorEastAsia" w:eastAsiaTheme="minorEastAsia"/>
          <w:kern w:val="0"/>
          <w:sz w:val="24"/>
          <w:szCs w:val="24"/>
        </w:rPr>
        <w:t>为政府采购工作提供真实、可靠的评审意见；</w:t>
      </w:r>
    </w:p>
    <w:p w14:paraId="0975FBD5">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b.</w:t>
      </w:r>
      <w:r>
        <w:rPr>
          <w:rFonts w:hint="eastAsia" w:cs="宋体" w:asciiTheme="minorEastAsia" w:hAnsiTheme="minorEastAsia" w:eastAsiaTheme="minorEastAsia"/>
          <w:kern w:val="0"/>
          <w:sz w:val="24"/>
          <w:szCs w:val="24"/>
        </w:rPr>
        <w:t>严格遵守政府采购评审工作纪律，不得向外界泄露评审情况（不包括本条第</w:t>
      </w:r>
      <w:r>
        <w:rPr>
          <w:rFonts w:cs="宋体" w:asciiTheme="minorEastAsia" w:hAnsiTheme="minorEastAsia" w:eastAsiaTheme="minorEastAsia"/>
          <w:kern w:val="0"/>
          <w:sz w:val="24"/>
          <w:szCs w:val="24"/>
        </w:rPr>
        <w:t>d</w:t>
      </w:r>
      <w:r>
        <w:rPr>
          <w:rFonts w:hint="eastAsia" w:cs="宋体" w:asciiTheme="minorEastAsia" w:hAnsiTheme="minorEastAsia" w:eastAsiaTheme="minorEastAsia"/>
          <w:kern w:val="0"/>
          <w:sz w:val="24"/>
          <w:szCs w:val="24"/>
        </w:rPr>
        <w:t>款内容</w:t>
      </w:r>
      <w:r>
        <w:rPr>
          <w:rFonts w:hint="eastAsia" w:cs="宋体" w:asciiTheme="minorEastAsia" w:hAnsiTheme="minorEastAsia" w:eastAsiaTheme="minorEastAsia"/>
          <w:w w:val="80"/>
          <w:kern w:val="0"/>
          <w:sz w:val="24"/>
          <w:szCs w:val="24"/>
        </w:rPr>
        <w:t>）</w:t>
      </w:r>
      <w:r>
        <w:rPr>
          <w:rFonts w:hint="eastAsia" w:cs="宋体" w:asciiTheme="minorEastAsia" w:hAnsiTheme="minorEastAsia" w:eastAsiaTheme="minorEastAsia"/>
          <w:kern w:val="0"/>
          <w:sz w:val="24"/>
          <w:szCs w:val="24"/>
        </w:rPr>
        <w:t>；</w:t>
      </w:r>
    </w:p>
    <w:p w14:paraId="08D4CE5E">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c.</w:t>
      </w:r>
      <w:r>
        <w:rPr>
          <w:rFonts w:hint="eastAsia" w:cs="宋体" w:asciiTheme="minorEastAsia" w:hAnsiTheme="minorEastAsia" w:eastAsiaTheme="minorEastAsia"/>
          <w:kern w:val="0"/>
          <w:sz w:val="24"/>
          <w:szCs w:val="24"/>
        </w:rPr>
        <w:t>发现</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在政府采购活动中有不正当竞争或恶意串通等违规行为，应及时向本公司或监督部门报告并加以制止；</w:t>
      </w:r>
    </w:p>
    <w:p w14:paraId="4664C2DA">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d.</w:t>
      </w:r>
      <w:r>
        <w:rPr>
          <w:rFonts w:hint="eastAsia" w:cs="宋体" w:asciiTheme="minorEastAsia" w:hAnsiTheme="minorEastAsia" w:eastAsiaTheme="minorEastAsia"/>
          <w:kern w:val="0"/>
          <w:sz w:val="24"/>
          <w:szCs w:val="24"/>
        </w:rPr>
        <w:t>解答有关方面对政府采购评审工作的咨询或质疑；</w:t>
      </w:r>
    </w:p>
    <w:p w14:paraId="3A11B6BD">
      <w:pPr>
        <w:widowControl/>
        <w:adjustRightInd w:val="0"/>
        <w:snapToGrid w:val="0"/>
        <w:spacing w:line="500" w:lineRule="exact"/>
        <w:ind w:firstLine="484" w:firstLineChars="200"/>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e.</w:t>
      </w:r>
      <w:r>
        <w:rPr>
          <w:rFonts w:hint="eastAsia" w:cs="宋体" w:asciiTheme="minorEastAsia" w:hAnsiTheme="minorEastAsia" w:eastAsiaTheme="minorEastAsia"/>
          <w:kern w:val="0"/>
          <w:sz w:val="24"/>
          <w:szCs w:val="24"/>
        </w:rPr>
        <w:t>法律、法规和规章规定的其他义务。</w:t>
      </w:r>
    </w:p>
    <w:p w14:paraId="3C9F588D">
      <w:pPr>
        <w:snapToGrid w:val="0"/>
        <w:spacing w:line="500" w:lineRule="exact"/>
        <w:ind w:firstLine="484" w:firstLineChars="200"/>
        <w:rPr>
          <w:rFonts w:cs="Arial" w:asciiTheme="minorEastAsia" w:hAnsiTheme="minorEastAsia" w:eastAsiaTheme="minorEastAsia"/>
          <w:sz w:val="24"/>
          <w:szCs w:val="24"/>
        </w:rPr>
      </w:pPr>
      <w:r>
        <w:rPr>
          <w:rFonts w:asciiTheme="minorEastAsia" w:hAnsiTheme="minorEastAsia" w:eastAsiaTheme="minorEastAsia"/>
          <w:sz w:val="24"/>
          <w:szCs w:val="24"/>
        </w:rPr>
        <w:t xml:space="preserve">4.4.4 </w:t>
      </w:r>
      <w:r>
        <w:rPr>
          <w:rFonts w:hint="eastAsia" w:asciiTheme="minorEastAsia" w:hAnsiTheme="minorEastAsia" w:eastAsiaTheme="minorEastAsia"/>
          <w:sz w:val="24"/>
          <w:szCs w:val="24"/>
        </w:rPr>
        <w:t>磋商小组成员与供应商有法律规定的直接利益关系的，必须实行回避。</w:t>
      </w:r>
      <w:r>
        <w:rPr>
          <w:rFonts w:hint="eastAsia" w:cs="Arial" w:asciiTheme="minorEastAsia" w:hAnsiTheme="minorEastAsia" w:eastAsiaTheme="minorEastAsia"/>
          <w:sz w:val="24"/>
          <w:szCs w:val="24"/>
        </w:rPr>
        <w:t>采购单位、监督部门和本</w:t>
      </w:r>
      <w:r>
        <w:rPr>
          <w:rFonts w:hint="eastAsia" w:cs="宋体" w:asciiTheme="minorEastAsia" w:hAnsiTheme="minorEastAsia" w:eastAsiaTheme="minorEastAsia"/>
          <w:kern w:val="0"/>
          <w:sz w:val="24"/>
          <w:szCs w:val="24"/>
        </w:rPr>
        <w:t>公司</w:t>
      </w:r>
      <w:r>
        <w:rPr>
          <w:rFonts w:hint="eastAsia" w:cs="Arial" w:asciiTheme="minorEastAsia" w:hAnsiTheme="minorEastAsia" w:eastAsiaTheme="minorEastAsia"/>
          <w:sz w:val="24"/>
          <w:szCs w:val="24"/>
        </w:rPr>
        <w:t>的参会人员中与本项目有利害关系的应主动提出回避。凡到</w:t>
      </w:r>
      <w:r>
        <w:rPr>
          <w:rFonts w:hint="eastAsia" w:asciiTheme="minorEastAsia" w:hAnsiTheme="minorEastAsia" w:eastAsiaTheme="minorEastAsia"/>
          <w:sz w:val="24"/>
          <w:szCs w:val="24"/>
        </w:rPr>
        <w:t>供应商</w:t>
      </w:r>
      <w:r>
        <w:rPr>
          <w:rFonts w:hint="eastAsia" w:cs="Arial" w:asciiTheme="minorEastAsia" w:hAnsiTheme="minorEastAsia" w:eastAsiaTheme="minorEastAsia"/>
          <w:sz w:val="24"/>
          <w:szCs w:val="24"/>
        </w:rPr>
        <w:t>所在的公司或企业进行过考察的采购单位领导或工作人员，不得作为采购单位的代表出席磋商会议。</w:t>
      </w:r>
    </w:p>
    <w:p w14:paraId="65DE839A">
      <w:pPr>
        <w:adjustRightInd w:val="0"/>
        <w:snapToGrid w:val="0"/>
        <w:spacing w:line="500" w:lineRule="exact"/>
        <w:ind w:firstLine="484" w:firstLineChars="200"/>
        <w:rPr>
          <w:rFonts w:asciiTheme="minorEastAsia" w:hAnsiTheme="minorEastAsia" w:eastAsiaTheme="minorEastAsia"/>
          <w:sz w:val="24"/>
          <w:szCs w:val="24"/>
        </w:rPr>
      </w:pPr>
      <w:r>
        <w:rPr>
          <w:rFonts w:cs="宋体" w:asciiTheme="minorEastAsia" w:hAnsiTheme="minorEastAsia" w:eastAsiaTheme="minorEastAsia"/>
          <w:kern w:val="0"/>
          <w:sz w:val="24"/>
          <w:szCs w:val="24"/>
        </w:rPr>
        <w:t xml:space="preserve">4.4.5 </w:t>
      </w:r>
      <w:r>
        <w:rPr>
          <w:rFonts w:hint="eastAsia" w:cs="宋体" w:asciiTheme="minorEastAsia" w:hAnsiTheme="minorEastAsia" w:eastAsiaTheme="minorEastAsia"/>
          <w:kern w:val="0"/>
          <w:sz w:val="24"/>
          <w:szCs w:val="24"/>
        </w:rPr>
        <w:t>磋商小组成员及所有参会人员应严格遵守国家的相关法律、法规和规章，做到公正廉洁、不徇私情，客观、公正地履行职务，遵守职业道德，不得有损害国家和</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的违法违纪行为。</w:t>
      </w:r>
    </w:p>
    <w:p w14:paraId="5160F02F">
      <w:pPr>
        <w:widowControl/>
        <w:adjustRightInd w:val="0"/>
        <w:snapToGrid w:val="0"/>
        <w:spacing w:line="500" w:lineRule="exact"/>
        <w:ind w:firstLine="484" w:firstLineChars="200"/>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 xml:space="preserve">4.4.6 </w:t>
      </w:r>
      <w:r>
        <w:rPr>
          <w:rFonts w:hint="eastAsia" w:cs="宋体" w:asciiTheme="minorEastAsia" w:hAnsiTheme="minorEastAsia" w:eastAsiaTheme="minorEastAsia"/>
          <w:kern w:val="0"/>
          <w:sz w:val="24"/>
          <w:szCs w:val="24"/>
        </w:rPr>
        <w:t>在磋商会议期间，磋商小组和参会人员必须严格遵守评审纪律和保密规定，不得以任何形式将评审情况透露给</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和未参会人员。磋商会议结束后，与评审有关的文件、资料、记录和草稿等应全部交本公司存档，磋商小组和参会人员必须对评审情况、技术与商业秘密等保密。</w:t>
      </w:r>
    </w:p>
    <w:p w14:paraId="4A1756F7">
      <w:pPr>
        <w:widowControl/>
        <w:adjustRightInd w:val="0"/>
        <w:snapToGrid w:val="0"/>
        <w:spacing w:line="500" w:lineRule="exact"/>
        <w:ind w:firstLine="484" w:firstLineChars="200"/>
        <w:rPr>
          <w:rFonts w:asciiTheme="minorEastAsia" w:hAnsiTheme="minorEastAsia" w:eastAsiaTheme="minorEastAsia"/>
          <w:kern w:val="15"/>
          <w:sz w:val="24"/>
          <w:szCs w:val="24"/>
        </w:rPr>
      </w:pPr>
      <w:r>
        <w:rPr>
          <w:rFonts w:cs="宋体" w:asciiTheme="minorEastAsia" w:hAnsiTheme="minorEastAsia" w:eastAsiaTheme="minorEastAsia"/>
          <w:kern w:val="0"/>
          <w:sz w:val="24"/>
          <w:szCs w:val="24"/>
        </w:rPr>
        <w:t xml:space="preserve">4.4.7 </w:t>
      </w:r>
      <w:r>
        <w:rPr>
          <w:rFonts w:hint="eastAsia" w:cs="宋体" w:asciiTheme="minorEastAsia" w:hAnsiTheme="minorEastAsia" w:eastAsiaTheme="minorEastAsia"/>
          <w:kern w:val="0"/>
          <w:sz w:val="24"/>
          <w:szCs w:val="24"/>
        </w:rPr>
        <w:t>评审工作在磋商小组内独立进行，磋商小组以外的任何人不得在会场内发表评审意见和诱导性语言，不得影响或左右</w:t>
      </w:r>
      <w:r>
        <w:rPr>
          <w:rFonts w:hint="eastAsia" w:asciiTheme="minorEastAsia" w:hAnsiTheme="minorEastAsia" w:eastAsiaTheme="minorEastAsia"/>
          <w:kern w:val="15"/>
          <w:sz w:val="24"/>
          <w:szCs w:val="24"/>
        </w:rPr>
        <w:t>磋商小组成员独立的评审和评分。</w:t>
      </w:r>
    </w:p>
    <w:p w14:paraId="69E4621D">
      <w:pPr>
        <w:widowControl/>
        <w:adjustRightInd w:val="0"/>
        <w:snapToGrid w:val="0"/>
        <w:spacing w:line="500" w:lineRule="exact"/>
        <w:ind w:firstLine="484" w:firstLineChars="200"/>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4.4.8</w:t>
      </w:r>
      <w:r>
        <w:rPr>
          <w:rFonts w:hint="eastAsia" w:cs="宋体" w:asciiTheme="minorEastAsia" w:hAnsiTheme="minorEastAsia" w:eastAsiaTheme="minorEastAsia"/>
          <w:kern w:val="0"/>
          <w:sz w:val="24"/>
          <w:szCs w:val="24"/>
        </w:rPr>
        <w:t>评审的标准是《磋商文件》的所有规定和要求，评审的依据是</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上传的《响应文件》和磋商承诺。</w:t>
      </w:r>
      <w:r>
        <w:rPr>
          <w:rFonts w:hint="eastAsia" w:asciiTheme="minorEastAsia" w:hAnsiTheme="minorEastAsia" w:eastAsiaTheme="minorEastAsia"/>
          <w:spacing w:val="8"/>
          <w:kern w:val="0"/>
          <w:sz w:val="24"/>
          <w:szCs w:val="24"/>
        </w:rPr>
        <w:t>磋商小组成员必须严格按照《磋商文件》的评审方法、评审原则和评分标准独立地对</w:t>
      </w:r>
      <w:r>
        <w:rPr>
          <w:rFonts w:hint="eastAsia" w:asciiTheme="minorEastAsia" w:hAnsiTheme="minorEastAsia" w:eastAsiaTheme="minorEastAsia"/>
          <w:sz w:val="24"/>
          <w:szCs w:val="24"/>
        </w:rPr>
        <w:t>供应商</w:t>
      </w:r>
      <w:r>
        <w:rPr>
          <w:rFonts w:hint="eastAsia" w:asciiTheme="minorEastAsia" w:hAnsiTheme="minorEastAsia" w:eastAsiaTheme="minorEastAsia"/>
          <w:spacing w:val="8"/>
          <w:kern w:val="0"/>
          <w:sz w:val="24"/>
          <w:szCs w:val="24"/>
        </w:rPr>
        <w:t>的《响应文件》和磋商承诺等进行评估、综合比较、评价与评分，不得有倾向性、歧视性或随意性。磋商小组成员对自己的评分表独立承担责任。</w:t>
      </w:r>
    </w:p>
    <w:p w14:paraId="4FB62F2D">
      <w:pPr>
        <w:adjustRightInd w:val="0"/>
        <w:snapToGrid w:val="0"/>
        <w:spacing w:line="500" w:lineRule="exact"/>
        <w:ind w:firstLine="484" w:firstLineChars="200"/>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4.4.9</w:t>
      </w:r>
      <w:r>
        <w:rPr>
          <w:rFonts w:hint="eastAsia" w:cs="宋体" w:asciiTheme="minorEastAsia" w:hAnsiTheme="minorEastAsia" w:eastAsiaTheme="minorEastAsia"/>
          <w:kern w:val="0"/>
          <w:sz w:val="24"/>
          <w:szCs w:val="24"/>
        </w:rPr>
        <w:t>磋商小组有权要求</w:t>
      </w:r>
      <w:r>
        <w:rPr>
          <w:rFonts w:hint="eastAsia" w:asciiTheme="minorEastAsia" w:hAnsiTheme="minorEastAsia" w:eastAsiaTheme="minorEastAsia"/>
          <w:sz w:val="24"/>
          <w:szCs w:val="24"/>
        </w:rPr>
        <w:t>供应商</w:t>
      </w:r>
      <w:r>
        <w:rPr>
          <w:rFonts w:hint="eastAsia" w:cs="宋体" w:asciiTheme="minorEastAsia" w:hAnsiTheme="minorEastAsia" w:eastAsiaTheme="minorEastAsia"/>
          <w:kern w:val="0"/>
          <w:sz w:val="24"/>
          <w:szCs w:val="24"/>
        </w:rPr>
        <w:t>对其《响应文件》中不清楚和不明确的地方进行澄清、说明或者纠正。</w:t>
      </w:r>
    </w:p>
    <w:p w14:paraId="37A796A0">
      <w:pPr>
        <w:adjustRightInd w:val="0"/>
        <w:snapToGrid w:val="0"/>
        <w:spacing w:line="500" w:lineRule="exact"/>
        <w:ind w:firstLine="484"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4.4.10参加评标会议人员必须对所有的评审事项保密，不得在会后泄露评标情况和响应文件中所涉及的商业秘密，有关文字记录应在评标会议结束后归档保存。</w:t>
      </w:r>
    </w:p>
    <w:p w14:paraId="2D1F15EA">
      <w:pPr>
        <w:snapToGrid w:val="0"/>
        <w:spacing w:line="500" w:lineRule="exact"/>
        <w:ind w:firstLine="484" w:firstLineChars="200"/>
        <w:rPr>
          <w:rFonts w:asciiTheme="minorEastAsia" w:hAnsiTheme="minorEastAsia" w:eastAsiaTheme="minorEastAsia"/>
          <w:b/>
          <w:sz w:val="24"/>
          <w:szCs w:val="24"/>
        </w:rPr>
      </w:pPr>
      <w:r>
        <w:rPr>
          <w:rFonts w:cs="宋体" w:asciiTheme="minorEastAsia" w:hAnsiTheme="minorEastAsia" w:eastAsiaTheme="minorEastAsia"/>
          <w:kern w:val="0"/>
          <w:sz w:val="24"/>
          <w:szCs w:val="24"/>
        </w:rPr>
        <w:t>4.4.1</w:t>
      </w:r>
      <w:r>
        <w:rPr>
          <w:rFonts w:hint="eastAsia" w:cs="宋体" w:asciiTheme="minorEastAsia" w:hAnsiTheme="minorEastAsia" w:eastAsiaTheme="minorEastAsia"/>
          <w:kern w:val="0"/>
          <w:sz w:val="24"/>
          <w:szCs w:val="24"/>
        </w:rPr>
        <w:t>1评审工作接受财政、监察、审计等部门的监督。</w:t>
      </w:r>
    </w:p>
    <w:p w14:paraId="70BDC0B9">
      <w:pPr>
        <w:snapToGrid w:val="0"/>
        <w:spacing w:line="50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4.5 会场须知</w:t>
      </w:r>
    </w:p>
    <w:p w14:paraId="4544223E">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4.5.1 需提供样品及材质小样评审的，自截止接收样品及材质小样之时至样品评审开始前，任何人不得擅自进入样品室（如要求）；</w:t>
      </w:r>
    </w:p>
    <w:p w14:paraId="594F0371">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4.5.2 所有参会人员应准时到场就座、签到，服从本公司的调度与安排；</w:t>
      </w:r>
    </w:p>
    <w:p w14:paraId="1889AA1D">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4.5.3会场内必须保持肃静、有序，不得高声喧哗，不得走动串位，不得随意进出；</w:t>
      </w:r>
    </w:p>
    <w:p w14:paraId="7D768B74">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4.5.4所有参会人员在会场内严禁使用任何通讯工具。进入评标室的评标委员会成员、采购单位代表、监督部门代表和本公司参会人员等手机必须关闭并统一存放；</w:t>
      </w:r>
    </w:p>
    <w:p w14:paraId="310E0ED1">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4.5.5 从会议开始到主持人宣布散会期间，磋商小组、采购单位代表、本公司参会人员的所有活动必须在监督人员的监督下进行；</w:t>
      </w:r>
    </w:p>
    <w:p w14:paraId="4B5CBA2C">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4.5.6磋商小组就座后原则上不得相互商量，不得发表对供应商或响应文件的观点和看法；</w:t>
      </w:r>
    </w:p>
    <w:p w14:paraId="13C21233">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4.5.7磋商小组向供应商提问应简明扼要，澄清问题等环节不得涉及其他供应商的技术、商务内容；</w:t>
      </w:r>
    </w:p>
    <w:p w14:paraId="2948C45A">
      <w:pPr>
        <w:snapToGrid w:val="0"/>
        <w:spacing w:line="500" w:lineRule="exact"/>
        <w:ind w:firstLine="473"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4.5.8 采购人代表应按规定对磋商小组作出的评审结果签名确认，无正当理由拒绝确认经评审经主持人劝告仍坚持意见的，将被记录在案，报行业主管部门和纪检监察机关进行处理。</w:t>
      </w:r>
    </w:p>
    <w:p w14:paraId="6AC84822">
      <w:pPr>
        <w:snapToGrid w:val="0"/>
        <w:spacing w:line="500" w:lineRule="exact"/>
        <w:ind w:firstLine="473" w:firstLineChars="196"/>
        <w:rPr>
          <w:rFonts w:asciiTheme="minorEastAsia" w:hAnsiTheme="minorEastAsia" w:eastAsiaTheme="minorEastAsia"/>
          <w:sz w:val="24"/>
          <w:szCs w:val="24"/>
        </w:rPr>
      </w:pPr>
    </w:p>
    <w:p w14:paraId="29924546">
      <w:pPr>
        <w:widowControl/>
        <w:jc w:val="left"/>
        <w:rPr>
          <w:rFonts w:asciiTheme="minorEastAsia" w:hAnsiTheme="minorEastAsia" w:eastAsiaTheme="minorEastAsia"/>
          <w:b/>
          <w:bCs/>
          <w:kern w:val="44"/>
          <w:sz w:val="32"/>
          <w:szCs w:val="32"/>
        </w:rPr>
      </w:pPr>
      <w:bookmarkStart w:id="11" w:name="_Toc517881182"/>
      <w:bookmarkStart w:id="12" w:name="_Toc73383429"/>
      <w:bookmarkStart w:id="13" w:name="_Toc517881072"/>
      <w:r>
        <w:rPr>
          <w:rFonts w:asciiTheme="minorEastAsia" w:hAnsiTheme="minorEastAsia" w:eastAsiaTheme="minorEastAsia"/>
          <w:sz w:val="32"/>
          <w:szCs w:val="32"/>
        </w:rPr>
        <w:br w:type="page"/>
      </w:r>
    </w:p>
    <w:p w14:paraId="1BC44D10">
      <w:pPr>
        <w:pStyle w:val="3"/>
        <w:spacing w:line="500" w:lineRule="exact"/>
        <w:jc w:val="center"/>
        <w:rPr>
          <w:rFonts w:asciiTheme="minorEastAsia" w:hAnsiTheme="minorEastAsia" w:eastAsiaTheme="minorEastAsia"/>
          <w:sz w:val="30"/>
          <w:szCs w:val="30"/>
        </w:rPr>
      </w:pPr>
      <w:r>
        <w:rPr>
          <w:rFonts w:hint="eastAsia" w:asciiTheme="minorEastAsia" w:hAnsiTheme="minorEastAsia" w:eastAsiaTheme="minorEastAsia"/>
          <w:sz w:val="32"/>
          <w:szCs w:val="32"/>
        </w:rPr>
        <w:t>第五章 磋商程序</w:t>
      </w:r>
      <w:bookmarkEnd w:id="11"/>
      <w:bookmarkEnd w:id="12"/>
      <w:bookmarkEnd w:id="13"/>
    </w:p>
    <w:p w14:paraId="565C3748">
      <w:pPr>
        <w:spacing w:line="500" w:lineRule="exact"/>
        <w:rPr>
          <w:rFonts w:cs="Arial" w:asciiTheme="minorEastAsia" w:hAnsiTheme="minorEastAsia"/>
        </w:rPr>
      </w:pPr>
      <w:r>
        <w:rPr>
          <w:rFonts w:cs="Arial" w:asciiTheme="minorEastAsia" w:hAnsiTheme="minorEastAsia"/>
          <w:b/>
        </w:rPr>
        <w:t>5.1</w:t>
      </w:r>
      <w:r>
        <w:rPr>
          <w:rFonts w:hint="eastAsia" w:cs="Arial" w:asciiTheme="minorEastAsia" w:hAnsiTheme="minorEastAsia"/>
        </w:rPr>
        <w:t xml:space="preserve">开标前 </w:t>
      </w:r>
      <w:r>
        <w:rPr>
          <w:rFonts w:cs="Arial" w:asciiTheme="minorEastAsia" w:hAnsiTheme="minorEastAsia"/>
        </w:rPr>
        <w:t xml:space="preserve">1 </w:t>
      </w:r>
      <w:r>
        <w:rPr>
          <w:rFonts w:hint="eastAsia" w:cs="Arial" w:asciiTheme="minorEastAsia" w:hAnsiTheme="minorEastAsia"/>
        </w:rPr>
        <w:t>小时从贵州省综合评标专家库抽取专家和业主代表组成磋商小组。</w:t>
      </w:r>
    </w:p>
    <w:p w14:paraId="436A945F">
      <w:pPr>
        <w:spacing w:line="500" w:lineRule="exact"/>
        <w:rPr>
          <w:rFonts w:cs="Arial" w:asciiTheme="minorEastAsia" w:hAnsiTheme="minorEastAsia"/>
        </w:rPr>
      </w:pPr>
      <w:r>
        <w:rPr>
          <w:rFonts w:cs="Arial" w:asciiTheme="minorEastAsia" w:hAnsiTheme="minorEastAsia"/>
          <w:b/>
        </w:rPr>
        <w:t>5.2</w:t>
      </w:r>
      <w:r>
        <w:rPr>
          <w:rFonts w:hint="eastAsia" w:cs="Arial" w:asciiTheme="minorEastAsia" w:hAnsiTheme="minorEastAsia"/>
        </w:rPr>
        <w:t>采购代理机构按照采购文件规定对响应文件依次进行在线解密。</w:t>
      </w:r>
    </w:p>
    <w:p w14:paraId="3417D03E">
      <w:pPr>
        <w:spacing w:line="500" w:lineRule="exact"/>
        <w:rPr>
          <w:rFonts w:cs="Arial" w:asciiTheme="minorEastAsia" w:hAnsiTheme="minorEastAsia"/>
          <w:b/>
        </w:rPr>
      </w:pPr>
      <w:r>
        <w:rPr>
          <w:rFonts w:hint="eastAsia" w:cs="Arial" w:asciiTheme="minorEastAsia" w:hAnsiTheme="minorEastAsia"/>
          <w:b/>
        </w:rPr>
        <w:t>5.3</w:t>
      </w:r>
      <w:r>
        <w:rPr>
          <w:rFonts w:hint="eastAsia" w:cs="Arial" w:asciiTheme="minorEastAsia" w:hAnsiTheme="minorEastAsia"/>
        </w:rPr>
        <w:t>磋商小组、监督人员登录系统签到。</w:t>
      </w:r>
    </w:p>
    <w:p w14:paraId="2A9B498D">
      <w:pPr>
        <w:widowControl/>
        <w:adjustRightInd w:val="0"/>
        <w:spacing w:line="500" w:lineRule="exact"/>
        <w:rPr>
          <w:rFonts w:cs="Arial" w:asciiTheme="minorEastAsia" w:hAnsiTheme="minorEastAsia"/>
          <w:b/>
        </w:rPr>
      </w:pPr>
      <w:r>
        <w:rPr>
          <w:rFonts w:cs="Arial" w:asciiTheme="minorEastAsia" w:hAnsiTheme="minorEastAsia"/>
          <w:b/>
        </w:rPr>
        <w:t>5.</w:t>
      </w:r>
      <w:r>
        <w:rPr>
          <w:rFonts w:hint="eastAsia" w:cs="Arial" w:asciiTheme="minorEastAsia" w:hAnsiTheme="minorEastAsia"/>
          <w:b/>
        </w:rPr>
        <w:t>4熟悉磋商文件：</w:t>
      </w:r>
    </w:p>
    <w:p w14:paraId="7DA2F321">
      <w:pPr>
        <w:widowControl/>
        <w:adjustRightInd w:val="0"/>
        <w:spacing w:line="500" w:lineRule="exact"/>
        <w:ind w:firstLine="424" w:firstLineChars="200"/>
        <w:rPr>
          <w:rFonts w:cs="Arial" w:asciiTheme="minorEastAsia" w:hAnsiTheme="minorEastAsia"/>
        </w:rPr>
      </w:pPr>
      <w:r>
        <w:rPr>
          <w:rFonts w:hint="eastAsia" w:cs="Arial" w:asciiTheme="minorEastAsia" w:hAnsiTheme="minorEastAsia"/>
        </w:rPr>
        <w:t>磋商小组熟悉磋商文件。</w:t>
      </w:r>
    </w:p>
    <w:p w14:paraId="621CAE84">
      <w:pPr>
        <w:widowControl/>
        <w:adjustRightInd w:val="0"/>
        <w:spacing w:line="500" w:lineRule="exact"/>
        <w:rPr>
          <w:rFonts w:asciiTheme="minorEastAsia" w:hAnsiTheme="minorEastAsia"/>
          <w:b/>
          <w:kern w:val="15"/>
        </w:rPr>
      </w:pPr>
      <w:r>
        <w:rPr>
          <w:rFonts w:hint="eastAsia" w:cs="Arial" w:asciiTheme="minorEastAsia" w:hAnsiTheme="minorEastAsia"/>
          <w:b/>
        </w:rPr>
        <w:t>5.5</w:t>
      </w:r>
      <w:r>
        <w:rPr>
          <w:rFonts w:hint="eastAsia" w:asciiTheme="minorEastAsia" w:hAnsiTheme="minorEastAsia"/>
          <w:b/>
          <w:kern w:val="15"/>
        </w:rPr>
        <w:t>开启响应文件</w:t>
      </w:r>
    </w:p>
    <w:p w14:paraId="1691E027">
      <w:pPr>
        <w:widowControl/>
        <w:adjustRightInd w:val="0"/>
        <w:spacing w:line="500" w:lineRule="exact"/>
        <w:ind w:firstLine="424" w:firstLineChars="200"/>
        <w:rPr>
          <w:rFonts w:asciiTheme="minorEastAsia" w:hAnsiTheme="minorEastAsia"/>
          <w:kern w:val="15"/>
        </w:rPr>
      </w:pPr>
      <w:r>
        <w:rPr>
          <w:rFonts w:hint="eastAsia" w:asciiTheme="minorEastAsia" w:hAnsiTheme="minorEastAsia"/>
          <w:kern w:val="15"/>
        </w:rPr>
        <w:t>5.5.1 各供应商解密响应文件后，由招标代理机构在毕节市公共资源交易中心系统内解密《响应文件》,开启《响应文件》；</w:t>
      </w:r>
    </w:p>
    <w:p w14:paraId="755EFF61">
      <w:pPr>
        <w:widowControl/>
        <w:adjustRightInd w:val="0"/>
        <w:spacing w:line="500" w:lineRule="exact"/>
        <w:ind w:firstLine="424" w:firstLineChars="200"/>
        <w:rPr>
          <w:rFonts w:asciiTheme="minorEastAsia" w:hAnsiTheme="minorEastAsia"/>
          <w:kern w:val="15"/>
        </w:rPr>
      </w:pPr>
      <w:r>
        <w:rPr>
          <w:rFonts w:hint="eastAsia" w:asciiTheme="minorEastAsia" w:hAnsiTheme="minorEastAsia"/>
          <w:kern w:val="15"/>
        </w:rPr>
        <w:t>5.5.2 磋商小组评《响应文件》。</w:t>
      </w:r>
    </w:p>
    <w:p w14:paraId="53C164BB">
      <w:pPr>
        <w:widowControl/>
        <w:adjustRightInd w:val="0"/>
        <w:spacing w:line="500" w:lineRule="exact"/>
        <w:rPr>
          <w:rFonts w:asciiTheme="minorEastAsia" w:hAnsiTheme="minorEastAsia"/>
          <w:b/>
          <w:kern w:val="15"/>
        </w:rPr>
      </w:pPr>
      <w:r>
        <w:rPr>
          <w:rFonts w:hint="eastAsia" w:cs="Arial" w:asciiTheme="minorEastAsia" w:hAnsiTheme="minorEastAsia"/>
          <w:b/>
        </w:rPr>
        <w:t>5.6</w:t>
      </w:r>
      <w:r>
        <w:rPr>
          <w:rFonts w:hint="eastAsia" w:asciiTheme="minorEastAsia" w:hAnsiTheme="minorEastAsia"/>
          <w:b/>
          <w:kern w:val="15"/>
        </w:rPr>
        <w:t>响应文件资格审查：</w:t>
      </w:r>
      <w:r>
        <w:rPr>
          <w:rFonts w:hint="eastAsia" w:cs="Arial" w:asciiTheme="minorEastAsia" w:hAnsiTheme="minorEastAsia"/>
        </w:rPr>
        <w:t>磋商小组根据磋商文件的规定审查，以确认供应商是否具备磋商资格，只有具有磋商资格的供应商才能进入下一程序；</w:t>
      </w:r>
    </w:p>
    <w:p w14:paraId="19F6C2DA">
      <w:pPr>
        <w:widowControl/>
        <w:adjustRightInd w:val="0"/>
        <w:spacing w:line="500" w:lineRule="exact"/>
        <w:jc w:val="left"/>
        <w:rPr>
          <w:rFonts w:cs="宋体" w:asciiTheme="minorEastAsia" w:hAnsiTheme="minorEastAsia"/>
          <w:b/>
          <w:kern w:val="0"/>
        </w:rPr>
      </w:pPr>
      <w:r>
        <w:rPr>
          <w:rFonts w:cs="宋体" w:asciiTheme="minorEastAsia" w:hAnsiTheme="minorEastAsia"/>
          <w:b/>
          <w:kern w:val="0"/>
        </w:rPr>
        <w:t>5.</w:t>
      </w:r>
      <w:r>
        <w:rPr>
          <w:rFonts w:hint="eastAsia" w:cs="宋体" w:asciiTheme="minorEastAsia" w:hAnsiTheme="minorEastAsia"/>
          <w:b/>
          <w:kern w:val="0"/>
        </w:rPr>
        <w:t>7磋商：</w:t>
      </w:r>
    </w:p>
    <w:p w14:paraId="29E4E641">
      <w:pPr>
        <w:adjustRightInd w:val="0"/>
        <w:spacing w:line="500" w:lineRule="exact"/>
        <w:ind w:firstLine="414" w:firstLineChars="196"/>
        <w:rPr>
          <w:rFonts w:asciiTheme="minorEastAsia" w:hAnsiTheme="minorEastAsia"/>
          <w:kern w:val="15"/>
        </w:rPr>
      </w:pPr>
      <w:r>
        <w:rPr>
          <w:rFonts w:asciiTheme="minorEastAsia" w:hAnsiTheme="minorEastAsia"/>
          <w:kern w:val="15"/>
        </w:rPr>
        <w:t>5.</w:t>
      </w:r>
      <w:r>
        <w:rPr>
          <w:rFonts w:hint="eastAsia" w:asciiTheme="minorEastAsia" w:hAnsiTheme="minorEastAsia"/>
          <w:kern w:val="15"/>
        </w:rPr>
        <w:t>7</w:t>
      </w:r>
      <w:r>
        <w:rPr>
          <w:rFonts w:asciiTheme="minorEastAsia" w:hAnsiTheme="minorEastAsia"/>
          <w:kern w:val="15"/>
        </w:rPr>
        <w:t>.1</w:t>
      </w:r>
      <w:r>
        <w:rPr>
          <w:rFonts w:hint="eastAsia" w:asciiTheme="minorEastAsia" w:hAnsiTheme="minorEastAsia"/>
          <w:kern w:val="15"/>
        </w:rPr>
        <w:t>依据磋商文件的规定，磋商小组对响应文件的有效性、完整性和响应程度进行审查，审查通过后，</w:t>
      </w:r>
      <w:r>
        <w:rPr>
          <w:rFonts w:hint="eastAsia" w:cs="宋体" w:asciiTheme="minorEastAsia" w:hAnsiTheme="minorEastAsia"/>
          <w:kern w:val="0"/>
        </w:rPr>
        <w:t>磋商小组与</w:t>
      </w:r>
      <w:r>
        <w:rPr>
          <w:rFonts w:hint="eastAsia" w:asciiTheme="minorEastAsia" w:hAnsiTheme="minorEastAsia"/>
        </w:rPr>
        <w:t>供应商</w:t>
      </w:r>
      <w:r>
        <w:rPr>
          <w:rFonts w:hint="eastAsia" w:cs="宋体" w:asciiTheme="minorEastAsia" w:hAnsiTheme="minorEastAsia"/>
          <w:kern w:val="0"/>
        </w:rPr>
        <w:t>进行技术和商务磋商；</w:t>
      </w:r>
    </w:p>
    <w:p w14:paraId="5EB524EE">
      <w:pPr>
        <w:widowControl/>
        <w:adjustRightInd w:val="0"/>
        <w:spacing w:line="500" w:lineRule="exact"/>
        <w:ind w:firstLine="424" w:firstLineChars="200"/>
        <w:jc w:val="left"/>
        <w:rPr>
          <w:rFonts w:cs="Arial" w:asciiTheme="minorEastAsia" w:hAnsiTheme="minorEastAsia"/>
        </w:rPr>
      </w:pPr>
      <w:r>
        <w:rPr>
          <w:rFonts w:asciiTheme="minorEastAsia" w:hAnsiTheme="minorEastAsia"/>
          <w:kern w:val="15"/>
        </w:rPr>
        <w:t>5.</w:t>
      </w:r>
      <w:r>
        <w:rPr>
          <w:rFonts w:hint="eastAsia" w:asciiTheme="minorEastAsia" w:hAnsiTheme="minorEastAsia"/>
          <w:kern w:val="15"/>
        </w:rPr>
        <w:t>7</w:t>
      </w:r>
      <w:r>
        <w:rPr>
          <w:rFonts w:asciiTheme="minorEastAsia" w:hAnsiTheme="minorEastAsia"/>
          <w:kern w:val="15"/>
        </w:rPr>
        <w:t xml:space="preserve">.2 </w:t>
      </w:r>
      <w:r>
        <w:rPr>
          <w:rFonts w:hint="eastAsia" w:asciiTheme="minorEastAsia" w:hAnsiTheme="minorEastAsia"/>
          <w:kern w:val="15"/>
        </w:rPr>
        <w:t>对《响应文件》中含义不明确、同类问题表述不一致或者有明显文字和计算错误的内容，磋商小组可要求</w:t>
      </w:r>
      <w:r>
        <w:rPr>
          <w:rFonts w:hint="eastAsia" w:asciiTheme="minorEastAsia" w:hAnsiTheme="minorEastAsia"/>
        </w:rPr>
        <w:t>供应商</w:t>
      </w:r>
      <w:r>
        <w:rPr>
          <w:rFonts w:hint="eastAsia" w:cs="Arial" w:asciiTheme="minorEastAsia" w:hAnsiTheme="minorEastAsia"/>
        </w:rPr>
        <w:t>作出澄清、说明或者纠正；对《响应文件》中</w:t>
      </w:r>
      <w:r>
        <w:rPr>
          <w:rFonts w:hint="eastAsia" w:asciiTheme="minorEastAsia" w:hAnsiTheme="minorEastAsia"/>
          <w:kern w:val="15"/>
        </w:rPr>
        <w:t>不</w:t>
      </w:r>
      <w:r>
        <w:rPr>
          <w:rFonts w:hint="eastAsia" w:cs="宋体" w:asciiTheme="minorEastAsia" w:hAnsiTheme="minorEastAsia"/>
          <w:kern w:val="0"/>
        </w:rPr>
        <w:t>响应</w:t>
      </w:r>
      <w:r>
        <w:rPr>
          <w:rFonts w:hint="eastAsia" w:asciiTheme="minorEastAsia" w:hAnsiTheme="minorEastAsia"/>
          <w:kern w:val="15"/>
        </w:rPr>
        <w:t>本《磋商文件》要求的内容，磋商小组应要求</w:t>
      </w:r>
      <w:r>
        <w:rPr>
          <w:rFonts w:hint="eastAsia" w:asciiTheme="minorEastAsia" w:hAnsiTheme="minorEastAsia"/>
        </w:rPr>
        <w:t>供应商</w:t>
      </w:r>
      <w:r>
        <w:rPr>
          <w:rFonts w:hint="eastAsia" w:asciiTheme="minorEastAsia" w:hAnsiTheme="minorEastAsia"/>
          <w:bCs/>
        </w:rPr>
        <w:t>在线</w:t>
      </w:r>
      <w:r>
        <w:rPr>
          <w:rFonts w:hint="eastAsia" w:cs="Arial" w:asciiTheme="minorEastAsia" w:hAnsiTheme="minorEastAsia"/>
        </w:rPr>
        <w:t>作出书面的</w:t>
      </w:r>
      <w:r>
        <w:rPr>
          <w:rFonts w:hint="eastAsia" w:cs="宋体" w:asciiTheme="minorEastAsia" w:hAnsiTheme="minorEastAsia"/>
          <w:kern w:val="0"/>
        </w:rPr>
        <w:t>补充响应承诺。评审专家组长将《技术与商务条款补充响应承诺书》在线发放给</w:t>
      </w:r>
      <w:r>
        <w:rPr>
          <w:rFonts w:hint="eastAsia" w:asciiTheme="minorEastAsia" w:hAnsiTheme="minorEastAsia"/>
        </w:rPr>
        <w:t>供应商</w:t>
      </w:r>
      <w:r>
        <w:rPr>
          <w:rFonts w:cs="宋体" w:asciiTheme="minorEastAsia" w:hAnsiTheme="minorEastAsia"/>
          <w:kern w:val="0"/>
        </w:rPr>
        <w:t xml:space="preserve">, </w:t>
      </w:r>
      <w:r>
        <w:rPr>
          <w:rFonts w:hint="eastAsia" w:asciiTheme="minorEastAsia" w:hAnsiTheme="minorEastAsia"/>
        </w:rPr>
        <w:t>供应商</w:t>
      </w:r>
      <w:r>
        <w:rPr>
          <w:rFonts w:hint="eastAsia" w:cs="宋体" w:asciiTheme="minorEastAsia" w:hAnsiTheme="minorEastAsia"/>
          <w:kern w:val="0"/>
        </w:rPr>
        <w:t>将自己的响应承诺意见以及对《响应文件》的</w:t>
      </w:r>
      <w:r>
        <w:rPr>
          <w:rFonts w:hint="eastAsia" w:cs="Arial" w:asciiTheme="minorEastAsia" w:hAnsiTheme="minorEastAsia"/>
        </w:rPr>
        <w:t>澄清、说明或纠正事项</w:t>
      </w:r>
      <w:r>
        <w:rPr>
          <w:rFonts w:hint="eastAsia" w:cs="宋体" w:asciiTheme="minorEastAsia" w:hAnsiTheme="minorEastAsia"/>
          <w:kern w:val="0"/>
        </w:rPr>
        <w:t>按规定时间填写完毕后在线提交。</w:t>
      </w:r>
    </w:p>
    <w:p w14:paraId="5381E7EA">
      <w:pPr>
        <w:widowControl/>
        <w:adjustRightInd w:val="0"/>
        <w:spacing w:line="500" w:lineRule="exact"/>
        <w:jc w:val="left"/>
        <w:rPr>
          <w:rFonts w:cs="宋体" w:asciiTheme="minorEastAsia" w:hAnsiTheme="minorEastAsia"/>
          <w:kern w:val="0"/>
        </w:rPr>
      </w:pPr>
      <w:r>
        <w:rPr>
          <w:rFonts w:asciiTheme="minorEastAsia" w:hAnsiTheme="minorEastAsia"/>
          <w:b/>
          <w:kern w:val="15"/>
        </w:rPr>
        <w:t>5.8</w:t>
      </w:r>
      <w:r>
        <w:rPr>
          <w:rFonts w:hint="eastAsia" w:asciiTheme="minorEastAsia" w:hAnsiTheme="minorEastAsia"/>
          <w:b/>
          <w:kern w:val="15"/>
        </w:rPr>
        <w:t>符合性审查：</w:t>
      </w:r>
      <w:r>
        <w:rPr>
          <w:rFonts w:hint="eastAsia" w:cs="宋体" w:asciiTheme="minorEastAsia" w:hAnsiTheme="minorEastAsia"/>
          <w:kern w:val="0"/>
        </w:rPr>
        <w:t>磋商小组成员根据供应商的《响应文件》、磋商情况进行符合性审查，以确定供应商提交的《响应文件》是否在技术、商务和报价方面均能满足磋商文件实质性响应要求。</w:t>
      </w:r>
    </w:p>
    <w:p w14:paraId="4555BC37">
      <w:pPr>
        <w:widowControl/>
        <w:adjustRightInd w:val="0"/>
        <w:spacing w:line="500" w:lineRule="exact"/>
        <w:jc w:val="left"/>
        <w:rPr>
          <w:rFonts w:cs="宋体" w:asciiTheme="minorEastAsia" w:hAnsiTheme="minorEastAsia"/>
          <w:kern w:val="0"/>
        </w:rPr>
      </w:pPr>
      <w:r>
        <w:rPr>
          <w:rFonts w:hint="eastAsia" w:asciiTheme="minorEastAsia" w:hAnsiTheme="minorEastAsia"/>
          <w:b/>
          <w:kern w:val="15"/>
        </w:rPr>
        <w:t>5.9报价审查：</w:t>
      </w:r>
      <w:r>
        <w:rPr>
          <w:rFonts w:hint="eastAsia" w:cs="宋体" w:asciiTheme="minorEastAsia" w:hAnsiTheme="minorEastAsia"/>
          <w:kern w:val="0"/>
        </w:rPr>
        <w:t>磋商小组成员根据供应商的《响应文件》、磋商情况进行报价审查，以确定供应商提交的《响应文件》是否在技术、商务和报价方面均能满足磋商文件实质性响应要求。</w:t>
      </w:r>
    </w:p>
    <w:p w14:paraId="6B289215">
      <w:pPr>
        <w:spacing w:line="500" w:lineRule="exact"/>
        <w:rPr>
          <w:rFonts w:cs="宋体" w:asciiTheme="minorEastAsia" w:hAnsiTheme="minorEastAsia"/>
          <w:b/>
          <w:kern w:val="0"/>
        </w:rPr>
      </w:pPr>
      <w:r>
        <w:rPr>
          <w:rFonts w:hint="eastAsia" w:asciiTheme="minorEastAsia" w:hAnsiTheme="minorEastAsia"/>
          <w:b/>
          <w:bCs/>
          <w:kern w:val="15"/>
        </w:rPr>
        <w:t>5.10价格磋商</w:t>
      </w:r>
      <w:r>
        <w:rPr>
          <w:rFonts w:hint="eastAsia" w:cs="宋体" w:asciiTheme="minorEastAsia" w:hAnsiTheme="minorEastAsia"/>
          <w:b/>
          <w:kern w:val="0"/>
        </w:rPr>
        <w:t>：</w:t>
      </w:r>
    </w:p>
    <w:p w14:paraId="40B09AE3">
      <w:pPr>
        <w:spacing w:line="500" w:lineRule="exact"/>
        <w:ind w:firstLine="414" w:firstLineChars="196"/>
        <w:rPr>
          <w:rFonts w:cs="宋体" w:asciiTheme="minorEastAsia" w:hAnsiTheme="minorEastAsia"/>
          <w:kern w:val="0"/>
        </w:rPr>
      </w:pPr>
      <w:r>
        <w:rPr>
          <w:rFonts w:hint="eastAsia" w:cs="宋体" w:asciiTheme="minorEastAsia" w:hAnsiTheme="minorEastAsia"/>
          <w:kern w:val="0"/>
        </w:rPr>
        <w:t>根据磋商小组的意见概述谈判中各供应商的报价与市场价格的偏离情况，要求供应商进行报价。评审专家组长将报价表在线发给各供应商，各供应商在线按规定时间填写完毕后在线提交磋商小组评审。磋商小组根据供应商的报价情况确定报价的轮数，供应商在最后一轮填写的报价即为自己参加本次磋商的最后报价，最后报价是供应商响应文件的有效组成部分，以最后报价参与价格评分。</w:t>
      </w:r>
    </w:p>
    <w:p w14:paraId="2A3AEA60">
      <w:pPr>
        <w:spacing w:line="500" w:lineRule="exact"/>
        <w:ind w:firstLine="414" w:firstLineChars="196"/>
        <w:rPr>
          <w:rFonts w:cs="宋体" w:asciiTheme="minorEastAsia" w:hAnsiTheme="minorEastAsia"/>
          <w:b/>
          <w:bCs/>
          <w:kern w:val="0"/>
        </w:rPr>
      </w:pPr>
      <w:r>
        <w:rPr>
          <w:rFonts w:hint="eastAsia" w:cs="宋体" w:asciiTheme="minorEastAsia" w:hAnsiTheme="minorEastAsia"/>
          <w:b/>
          <w:bCs/>
          <w:kern w:val="0"/>
        </w:rPr>
        <w:t>特别注明：磋商结束后，磋商小组在线对资格审查和符合性审查合格的供应商发出第一轮磋商报价，所有实质性响应的投标供应商须在20分钟内提交磋商报价（需符合毕节市公共资源交易中心的规定，否则磋商报价无效，下同）。磋商小组在线发出第一轮磋商报价后，供应商在20分钟内未报价的，该轮报价以基础报价金额计；磋商小组在线发出第二轮磋商报价后，供应商在20分钟内未报价的，该轮报价以第一轮报价计，以此类推。磋商报价轮数由磋商小组确定</w:t>
      </w:r>
      <w:r>
        <w:rPr>
          <w:rFonts w:hint="eastAsia" w:cs="宋体" w:asciiTheme="minorEastAsia" w:hAnsiTheme="minorEastAsia"/>
          <w:b/>
          <w:bCs/>
        </w:rPr>
        <w:t>。</w:t>
      </w:r>
    </w:p>
    <w:p w14:paraId="377613A4">
      <w:pPr>
        <w:spacing w:line="500" w:lineRule="exact"/>
        <w:rPr>
          <w:rFonts w:asciiTheme="minorEastAsia" w:hAnsiTheme="minorEastAsia"/>
          <w:b/>
          <w:bCs/>
          <w:kern w:val="15"/>
        </w:rPr>
      </w:pPr>
      <w:r>
        <w:rPr>
          <w:rFonts w:hint="eastAsia" w:asciiTheme="minorEastAsia" w:hAnsiTheme="minorEastAsia"/>
          <w:b/>
          <w:bCs/>
          <w:kern w:val="15"/>
        </w:rPr>
        <w:t>5</w:t>
      </w:r>
      <w:r>
        <w:rPr>
          <w:rFonts w:asciiTheme="minorEastAsia" w:hAnsiTheme="minorEastAsia"/>
          <w:b/>
          <w:bCs/>
          <w:kern w:val="15"/>
        </w:rPr>
        <w:t>.1</w:t>
      </w:r>
      <w:r>
        <w:rPr>
          <w:rFonts w:hint="eastAsia" w:asciiTheme="minorEastAsia" w:hAnsiTheme="minorEastAsia"/>
          <w:b/>
          <w:bCs/>
          <w:kern w:val="15"/>
        </w:rPr>
        <w:t>1商务及技术评审：</w:t>
      </w:r>
      <w:r>
        <w:rPr>
          <w:rFonts w:hint="eastAsia" w:cs="宋体" w:asciiTheme="minorEastAsia" w:hAnsiTheme="minorEastAsia"/>
        </w:rPr>
        <w:t>评标委员会成员按照本招标文件的评标方法、评标原则和评分标准,对符合要求的投标文件进行商务与技术评估、综合比较与评价，独立评出各投标人的商务与技术分。评分完毕提交汇总统计，得出各投标人的商务与技术分（每位评标委员会成员评分的算术平均值）</w:t>
      </w:r>
    </w:p>
    <w:p w14:paraId="70AC806F">
      <w:pPr>
        <w:spacing w:line="336" w:lineRule="auto"/>
        <w:rPr>
          <w:rFonts w:asciiTheme="minorEastAsia" w:hAnsiTheme="minorEastAsia"/>
          <w:b/>
          <w:kern w:val="0"/>
        </w:rPr>
      </w:pPr>
      <w:r>
        <w:rPr>
          <w:rFonts w:hint="eastAsia" w:asciiTheme="minorEastAsia" w:hAnsiTheme="minorEastAsia"/>
          <w:b/>
          <w:kern w:val="0"/>
        </w:rPr>
        <w:t>5.12政策性加分：</w:t>
      </w:r>
      <w:r>
        <w:rPr>
          <w:rFonts w:hint="eastAsia" w:asciiTheme="minorEastAsia" w:hAnsiTheme="minorEastAsia"/>
          <w:bCs/>
          <w:kern w:val="15"/>
        </w:rPr>
        <w:t>对符合磋商文件规定政策性评审的投标供应商，磋商小组按政策性评审要求进行评审。</w:t>
      </w:r>
    </w:p>
    <w:p w14:paraId="5B4D2898">
      <w:pPr>
        <w:spacing w:line="500" w:lineRule="exact"/>
        <w:rPr>
          <w:rFonts w:asciiTheme="minorEastAsia" w:hAnsiTheme="minorEastAsia"/>
          <w:b/>
          <w:bCs/>
          <w:kern w:val="15"/>
        </w:rPr>
      </w:pPr>
      <w:r>
        <w:rPr>
          <w:rFonts w:hint="eastAsia" w:asciiTheme="minorEastAsia" w:hAnsiTheme="minorEastAsia"/>
          <w:b/>
          <w:bCs/>
          <w:kern w:val="15"/>
        </w:rPr>
        <w:t>5.</w:t>
      </w:r>
      <w:r>
        <w:rPr>
          <w:rFonts w:asciiTheme="minorEastAsia" w:hAnsiTheme="minorEastAsia"/>
          <w:b/>
          <w:bCs/>
          <w:kern w:val="15"/>
        </w:rPr>
        <w:t>1</w:t>
      </w:r>
      <w:r>
        <w:rPr>
          <w:rFonts w:hint="eastAsia" w:asciiTheme="minorEastAsia" w:hAnsiTheme="minorEastAsia"/>
          <w:b/>
          <w:bCs/>
          <w:kern w:val="15"/>
        </w:rPr>
        <w:t>3综合评分：</w:t>
      </w:r>
      <w:r>
        <w:rPr>
          <w:rFonts w:hint="eastAsia" w:cs="宋体" w:asciiTheme="minorEastAsia" w:hAnsiTheme="minorEastAsia"/>
        </w:rPr>
        <w:t>计算报价得分，汇总统计各投标人的技术与商务分、报价得分（系统计算）和综合得分，汇总表经评标委员会成员签名确认。</w:t>
      </w:r>
    </w:p>
    <w:p w14:paraId="314421DA">
      <w:pPr>
        <w:pStyle w:val="18"/>
        <w:spacing w:after="0" w:line="500" w:lineRule="exact"/>
        <w:rPr>
          <w:rFonts w:asciiTheme="minorEastAsia" w:hAnsiTheme="minorEastAsia"/>
          <w:kern w:val="0"/>
        </w:rPr>
      </w:pPr>
      <w:r>
        <w:rPr>
          <w:rFonts w:asciiTheme="minorEastAsia" w:hAnsiTheme="minorEastAsia"/>
          <w:b/>
          <w:kern w:val="0"/>
        </w:rPr>
        <w:t>5.1</w:t>
      </w:r>
      <w:r>
        <w:rPr>
          <w:rFonts w:hint="eastAsia" w:asciiTheme="minorEastAsia" w:hAnsiTheme="minorEastAsia"/>
          <w:b/>
          <w:kern w:val="0"/>
        </w:rPr>
        <w:t>4推荐成交候选人：</w:t>
      </w:r>
    </w:p>
    <w:p w14:paraId="57A10A77">
      <w:pPr>
        <w:spacing w:line="500" w:lineRule="exact"/>
        <w:ind w:firstLine="424" w:firstLineChars="200"/>
        <w:rPr>
          <w:rFonts w:asciiTheme="minorEastAsia" w:hAnsiTheme="minorEastAsia"/>
          <w:bCs/>
          <w:kern w:val="15"/>
        </w:rPr>
      </w:pPr>
      <w:r>
        <w:rPr>
          <w:rFonts w:hint="eastAsia" w:asciiTheme="minorEastAsia" w:hAnsiTheme="minorEastAsia"/>
          <w:bCs/>
          <w:kern w:val="15"/>
        </w:rPr>
        <w:t>磋商小组应当根据综合评分情况，按照评审得分由高到低顺序推荐3名成交候选供应商，并编写《竞争性磋商评审报告》。评审报告应当由磋商小组全体人员签字认可。磋商小组成员对评审报告有异议的，磋商小组按照全数通过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D21E6DE">
      <w:pPr>
        <w:spacing w:line="500" w:lineRule="exact"/>
        <w:rPr>
          <w:rFonts w:cs="Arial" w:asciiTheme="minorEastAsia" w:hAnsiTheme="minorEastAsia"/>
        </w:rPr>
      </w:pPr>
      <w:r>
        <w:rPr>
          <w:rFonts w:cs="Arial" w:asciiTheme="minorEastAsia" w:hAnsiTheme="minorEastAsia"/>
          <w:b/>
        </w:rPr>
        <w:t>5.1</w:t>
      </w:r>
      <w:r>
        <w:rPr>
          <w:rFonts w:hint="eastAsia" w:cs="Arial" w:asciiTheme="minorEastAsia" w:hAnsiTheme="minorEastAsia"/>
          <w:b/>
        </w:rPr>
        <w:t>5</w:t>
      </w:r>
      <w:r>
        <w:rPr>
          <w:rFonts w:hint="eastAsia" w:cs="Arial" w:asciiTheme="minorEastAsia" w:hAnsiTheme="minorEastAsia"/>
        </w:rPr>
        <w:t>评审结束。</w:t>
      </w:r>
      <w:r>
        <w:br w:type="page"/>
      </w:r>
    </w:p>
    <w:p w14:paraId="0F5A5227">
      <w:pPr>
        <w:pStyle w:val="3"/>
        <w:numPr>
          <w:ilvl w:val="0"/>
          <w:numId w:val="0"/>
        </w:numPr>
        <w:spacing w:line="500" w:lineRule="exact"/>
        <w:jc w:val="center"/>
        <w:rPr>
          <w:rFonts w:asciiTheme="minorEastAsia" w:hAnsiTheme="minorEastAsia" w:eastAsiaTheme="minorEastAsia"/>
          <w:sz w:val="32"/>
          <w:szCs w:val="30"/>
        </w:rPr>
      </w:pPr>
      <w:bookmarkStart w:id="14" w:name="_Toc517881073"/>
      <w:bookmarkStart w:id="15" w:name="_Toc517881183"/>
      <w:bookmarkStart w:id="16" w:name="_Toc73383430"/>
      <w:r>
        <w:rPr>
          <w:rFonts w:hint="eastAsia" w:asciiTheme="minorEastAsia" w:hAnsiTheme="minorEastAsia" w:eastAsiaTheme="minorEastAsia"/>
          <w:sz w:val="32"/>
          <w:szCs w:val="30"/>
        </w:rPr>
        <w:t xml:space="preserve">第六章 </w:t>
      </w:r>
      <w:bookmarkEnd w:id="14"/>
      <w:bookmarkEnd w:id="15"/>
      <w:r>
        <w:rPr>
          <w:rFonts w:hint="eastAsia" w:asciiTheme="minorEastAsia" w:hAnsiTheme="minorEastAsia" w:eastAsiaTheme="minorEastAsia"/>
          <w:sz w:val="32"/>
          <w:szCs w:val="30"/>
        </w:rPr>
        <w:t>合同文本</w:t>
      </w:r>
      <w:bookmarkEnd w:id="16"/>
    </w:p>
    <w:p w14:paraId="41D25987">
      <w:pPr>
        <w:pStyle w:val="4"/>
        <w:jc w:val="center"/>
      </w:pPr>
      <w:bookmarkStart w:id="17" w:name="_Toc73383431"/>
      <w:r>
        <w:rPr>
          <w:rFonts w:hint="eastAsia"/>
        </w:rPr>
        <w:t>(仅供参考具体以甲乙双方签订的合同为准）</w:t>
      </w:r>
      <w:bookmarkEnd w:id="17"/>
    </w:p>
    <w:p w14:paraId="40A73306">
      <w:pPr>
        <w:snapToGrid w:val="0"/>
        <w:ind w:left="-60" w:leftChars="-85" w:hanging="120" w:hangingChars="20"/>
        <w:jc w:val="center"/>
        <w:rPr>
          <w:rFonts w:ascii="黑体" w:eastAsia="黑体"/>
          <w:b/>
          <w:bCs/>
          <w:sz w:val="44"/>
          <w:szCs w:val="44"/>
        </w:rPr>
      </w:pPr>
      <w:r>
        <w:rPr>
          <w:rFonts w:hint="eastAsia"/>
          <w:b/>
          <w:bCs/>
          <w:spacing w:val="80"/>
          <w:sz w:val="44"/>
          <w:szCs w:val="44"/>
        </w:rPr>
        <w:t>建设工程施工合同</w:t>
      </w:r>
    </w:p>
    <w:p w14:paraId="21EEB723">
      <w:pPr>
        <w:snapToGrid w:val="0"/>
        <w:jc w:val="center"/>
        <w:rPr>
          <w:rFonts w:ascii="黑体" w:eastAsia="黑体"/>
          <w:b/>
          <w:bCs/>
          <w:sz w:val="24"/>
          <w:szCs w:val="24"/>
        </w:rPr>
      </w:pPr>
    </w:p>
    <w:p w14:paraId="27319C37">
      <w:pPr>
        <w:snapToGrid w:val="0"/>
        <w:jc w:val="center"/>
        <w:rPr>
          <w:rFonts w:ascii="黑体" w:eastAsia="黑体"/>
          <w:b/>
          <w:bCs/>
          <w:sz w:val="24"/>
          <w:szCs w:val="24"/>
        </w:rPr>
      </w:pPr>
    </w:p>
    <w:p w14:paraId="5BACD305">
      <w:pPr>
        <w:snapToGrid w:val="0"/>
        <w:jc w:val="center"/>
        <w:rPr>
          <w:rFonts w:ascii="黑体" w:eastAsia="黑体"/>
          <w:b/>
          <w:bCs/>
          <w:sz w:val="24"/>
          <w:szCs w:val="24"/>
        </w:rPr>
      </w:pPr>
    </w:p>
    <w:p w14:paraId="766B7BAF">
      <w:pPr>
        <w:pStyle w:val="28"/>
        <w:pBdr>
          <w:bottom w:val="none" w:color="auto" w:sz="0" w:space="0"/>
        </w:pBdr>
        <w:rPr>
          <w:rFonts w:ascii="Calibri"/>
        </w:rPr>
      </w:pPr>
    </w:p>
    <w:p w14:paraId="66F0EE91">
      <w:pPr>
        <w:pStyle w:val="28"/>
        <w:pBdr>
          <w:bottom w:val="none" w:color="auto" w:sz="0" w:space="0"/>
        </w:pBdr>
        <w:rPr>
          <w:rFonts w:ascii="Calibri"/>
        </w:rPr>
      </w:pPr>
    </w:p>
    <w:p w14:paraId="529D6A56">
      <w:pPr>
        <w:pStyle w:val="28"/>
        <w:pBdr>
          <w:bottom w:val="none" w:color="auto" w:sz="0" w:space="0"/>
        </w:pBdr>
        <w:rPr>
          <w:rFonts w:ascii="Calibri"/>
        </w:rPr>
      </w:pPr>
    </w:p>
    <w:p w14:paraId="0C412807">
      <w:pPr>
        <w:pStyle w:val="28"/>
        <w:pBdr>
          <w:bottom w:val="none" w:color="auto" w:sz="0" w:space="0"/>
        </w:pBdr>
        <w:rPr>
          <w:rFonts w:ascii="Calibri"/>
        </w:rPr>
      </w:pPr>
    </w:p>
    <w:p w14:paraId="5B684F7F">
      <w:pPr>
        <w:pStyle w:val="28"/>
        <w:pBdr>
          <w:bottom w:val="none" w:color="auto" w:sz="0" w:space="0"/>
        </w:pBdr>
        <w:rPr>
          <w:rFonts w:ascii="Calibri"/>
        </w:rPr>
      </w:pPr>
    </w:p>
    <w:p w14:paraId="79675E96">
      <w:pPr>
        <w:pStyle w:val="28"/>
        <w:pBdr>
          <w:bottom w:val="none" w:color="auto" w:sz="0" w:space="0"/>
        </w:pBdr>
        <w:rPr>
          <w:rFonts w:ascii="Calibri"/>
        </w:rPr>
      </w:pPr>
    </w:p>
    <w:p w14:paraId="5DEE9432">
      <w:pPr>
        <w:pStyle w:val="28"/>
        <w:pBdr>
          <w:bottom w:val="none" w:color="auto" w:sz="0" w:space="0"/>
        </w:pBdr>
        <w:rPr>
          <w:rFonts w:ascii="Calibri"/>
        </w:rPr>
      </w:pPr>
    </w:p>
    <w:p w14:paraId="5552BC22">
      <w:pPr>
        <w:pStyle w:val="28"/>
        <w:pBdr>
          <w:bottom w:val="none" w:color="auto" w:sz="0" w:space="0"/>
        </w:pBdr>
        <w:rPr>
          <w:rFonts w:ascii="Calibri"/>
        </w:rPr>
      </w:pPr>
    </w:p>
    <w:p w14:paraId="7E029E43">
      <w:pPr>
        <w:pStyle w:val="28"/>
        <w:pBdr>
          <w:bottom w:val="none" w:color="auto" w:sz="0" w:space="0"/>
        </w:pBdr>
        <w:rPr>
          <w:rFonts w:ascii="Calibri"/>
        </w:rPr>
      </w:pPr>
    </w:p>
    <w:p w14:paraId="6F09107B">
      <w:pPr>
        <w:pStyle w:val="28"/>
        <w:pBdr>
          <w:bottom w:val="none" w:color="auto" w:sz="0" w:space="0"/>
        </w:pBdr>
        <w:rPr>
          <w:rFonts w:ascii="Calibri"/>
        </w:rPr>
      </w:pPr>
    </w:p>
    <w:p w14:paraId="62F3C96E">
      <w:pPr>
        <w:pStyle w:val="28"/>
        <w:pBdr>
          <w:bottom w:val="none" w:color="auto" w:sz="0" w:space="0"/>
        </w:pBdr>
        <w:rPr>
          <w:rFonts w:ascii="Calibri"/>
        </w:rPr>
      </w:pPr>
    </w:p>
    <w:p w14:paraId="49CF440C">
      <w:pPr>
        <w:pStyle w:val="28"/>
        <w:pBdr>
          <w:bottom w:val="none" w:color="auto" w:sz="0" w:space="0"/>
        </w:pBdr>
        <w:rPr>
          <w:rFonts w:ascii="Calibri"/>
        </w:rPr>
      </w:pPr>
    </w:p>
    <w:p w14:paraId="32457A94">
      <w:pPr>
        <w:pStyle w:val="28"/>
        <w:pBdr>
          <w:bottom w:val="none" w:color="auto" w:sz="0" w:space="0"/>
        </w:pBdr>
        <w:rPr>
          <w:rFonts w:ascii="Calibri"/>
        </w:rPr>
      </w:pPr>
    </w:p>
    <w:p w14:paraId="1136CA7A">
      <w:pPr>
        <w:pStyle w:val="28"/>
        <w:pBdr>
          <w:bottom w:val="none" w:color="auto" w:sz="0" w:space="0"/>
        </w:pBdr>
        <w:rPr>
          <w:rFonts w:ascii="Calibri"/>
        </w:rPr>
      </w:pPr>
    </w:p>
    <w:p w14:paraId="15E95E54">
      <w:pPr>
        <w:pStyle w:val="28"/>
        <w:pBdr>
          <w:bottom w:val="none" w:color="auto" w:sz="0" w:space="0"/>
        </w:pBdr>
        <w:rPr>
          <w:rFonts w:ascii="Calibri"/>
        </w:rPr>
      </w:pPr>
    </w:p>
    <w:p w14:paraId="0A86D2E8">
      <w:pPr>
        <w:pStyle w:val="28"/>
        <w:pBdr>
          <w:bottom w:val="none" w:color="auto" w:sz="0" w:space="0"/>
        </w:pBdr>
        <w:rPr>
          <w:rFonts w:ascii="Calibri"/>
        </w:rPr>
      </w:pPr>
    </w:p>
    <w:p w14:paraId="3D7655FD">
      <w:pPr>
        <w:pStyle w:val="28"/>
        <w:pBdr>
          <w:bottom w:val="none" w:color="auto" w:sz="0" w:space="0"/>
        </w:pBdr>
        <w:rPr>
          <w:rFonts w:ascii="Calibri"/>
        </w:rPr>
      </w:pPr>
    </w:p>
    <w:p w14:paraId="2249A157">
      <w:pPr>
        <w:pStyle w:val="28"/>
        <w:pBdr>
          <w:bottom w:val="none" w:color="auto" w:sz="0" w:space="0"/>
        </w:pBdr>
        <w:rPr>
          <w:rFonts w:ascii="Calibri"/>
        </w:rPr>
      </w:pPr>
    </w:p>
    <w:p w14:paraId="51728A69">
      <w:pPr>
        <w:pStyle w:val="28"/>
        <w:pBdr>
          <w:bottom w:val="none" w:color="auto" w:sz="0" w:space="0"/>
        </w:pBdr>
        <w:rPr>
          <w:rFonts w:ascii="Calibri"/>
        </w:rPr>
      </w:pPr>
    </w:p>
    <w:p w14:paraId="2F70E0F4">
      <w:pPr>
        <w:pStyle w:val="28"/>
        <w:pBdr>
          <w:bottom w:val="none" w:color="auto" w:sz="0" w:space="0"/>
        </w:pBdr>
        <w:rPr>
          <w:rFonts w:ascii="Calibri"/>
        </w:rPr>
      </w:pPr>
    </w:p>
    <w:p w14:paraId="6BE287C0">
      <w:pPr>
        <w:pStyle w:val="28"/>
        <w:pBdr>
          <w:bottom w:val="none" w:color="auto" w:sz="0" w:space="0"/>
        </w:pBdr>
        <w:rPr>
          <w:rFonts w:ascii="Calibri"/>
        </w:rPr>
      </w:pPr>
    </w:p>
    <w:p w14:paraId="1CFE52D3">
      <w:pPr>
        <w:pStyle w:val="28"/>
        <w:pBdr>
          <w:bottom w:val="none" w:color="auto" w:sz="0" w:space="0"/>
        </w:pBdr>
        <w:rPr>
          <w:rFonts w:ascii="Calibri"/>
        </w:rPr>
      </w:pPr>
    </w:p>
    <w:p w14:paraId="4039AEA0">
      <w:pPr>
        <w:pStyle w:val="28"/>
        <w:pBdr>
          <w:bottom w:val="none" w:color="auto" w:sz="0" w:space="0"/>
        </w:pBdr>
        <w:rPr>
          <w:rFonts w:ascii="Calibri"/>
        </w:rPr>
      </w:pPr>
    </w:p>
    <w:p w14:paraId="73F6C48C">
      <w:pPr>
        <w:snapToGrid w:val="0"/>
        <w:spacing w:line="360" w:lineRule="auto"/>
        <w:ind w:firstLine="968" w:firstLineChars="400"/>
        <w:rPr>
          <w:rFonts w:ascii="仿宋_GB2312" w:hAnsi="仿宋_GB2312" w:eastAsia="仿宋_GB2312" w:cs="仿宋_GB2312"/>
          <w:b/>
          <w:bCs/>
          <w:sz w:val="24"/>
          <w:szCs w:val="24"/>
          <w:u w:val="single"/>
        </w:rPr>
      </w:pPr>
      <w:r>
        <w:rPr>
          <w:rFonts w:hint="eastAsia" w:ascii="仿宋_GB2312" w:hAnsi="仿宋_GB2312" w:eastAsia="仿宋_GB2312" w:cs="仿宋_GB2312"/>
          <w:b/>
          <w:bCs/>
          <w:sz w:val="24"/>
          <w:szCs w:val="24"/>
        </w:rPr>
        <w:t>工程名称：</w:t>
      </w:r>
    </w:p>
    <w:p w14:paraId="1962D8B1">
      <w:pPr>
        <w:snapToGrid w:val="0"/>
        <w:spacing w:line="360" w:lineRule="auto"/>
        <w:ind w:firstLine="484" w:firstLineChars="200"/>
        <w:rPr>
          <w:rFonts w:ascii="仿宋_GB2312" w:hAnsi="仿宋_GB2312" w:eastAsia="仿宋_GB2312" w:cs="仿宋_GB2312"/>
          <w:b/>
          <w:bCs/>
          <w:sz w:val="24"/>
          <w:szCs w:val="24"/>
          <w:u w:val="single"/>
        </w:rPr>
      </w:pPr>
    </w:p>
    <w:p w14:paraId="73C8D4F6">
      <w:pPr>
        <w:snapToGrid w:val="0"/>
        <w:spacing w:line="360" w:lineRule="auto"/>
        <w:ind w:firstLine="484" w:firstLineChars="200"/>
        <w:rPr>
          <w:rFonts w:ascii="仿宋_GB2312" w:hAnsi="仿宋_GB2312" w:eastAsia="仿宋_GB2312" w:cs="仿宋_GB2312"/>
          <w:b/>
          <w:bCs/>
          <w:sz w:val="24"/>
          <w:szCs w:val="24"/>
          <w:u w:val="single"/>
        </w:rPr>
      </w:pPr>
    </w:p>
    <w:p w14:paraId="670F4319">
      <w:pPr>
        <w:snapToGrid w:val="0"/>
        <w:spacing w:line="360" w:lineRule="auto"/>
        <w:ind w:firstLine="968" w:firstLineChars="400"/>
        <w:rPr>
          <w:rFonts w:ascii="仿宋_GB2312" w:hAnsi="仿宋_GB2312" w:eastAsia="仿宋_GB2312" w:cs="仿宋_GB2312"/>
          <w:b/>
          <w:bCs/>
          <w:sz w:val="24"/>
          <w:szCs w:val="24"/>
          <w:u w:val="single"/>
        </w:rPr>
      </w:pPr>
      <w:r>
        <w:rPr>
          <w:rFonts w:hint="eastAsia" w:ascii="仿宋_GB2312" w:hAnsi="仿宋_GB2312" w:eastAsia="仿宋_GB2312" w:cs="仿宋_GB2312"/>
          <w:b/>
          <w:bCs/>
          <w:sz w:val="24"/>
          <w:szCs w:val="24"/>
        </w:rPr>
        <w:t>发包人（全称）：</w:t>
      </w:r>
    </w:p>
    <w:p w14:paraId="748BC5BE">
      <w:pPr>
        <w:snapToGrid w:val="0"/>
        <w:spacing w:line="360" w:lineRule="auto"/>
        <w:rPr>
          <w:rFonts w:ascii="仿宋_GB2312" w:hAnsi="仿宋_GB2312" w:eastAsia="仿宋_GB2312" w:cs="仿宋_GB2312"/>
          <w:b/>
          <w:bCs/>
          <w:sz w:val="24"/>
          <w:szCs w:val="24"/>
          <w:u w:val="single"/>
        </w:rPr>
      </w:pPr>
    </w:p>
    <w:p w14:paraId="4E87A8D2">
      <w:pPr>
        <w:snapToGrid w:val="0"/>
        <w:spacing w:line="360" w:lineRule="auto"/>
        <w:ind w:firstLine="968" w:firstLineChars="400"/>
        <w:rPr>
          <w:rFonts w:ascii="仿宋_GB2312" w:hAnsi="仿宋_GB2312" w:eastAsia="仿宋_GB2312" w:cs="仿宋_GB2312"/>
          <w:b/>
          <w:bCs/>
          <w:sz w:val="24"/>
          <w:szCs w:val="24"/>
          <w:u w:val="single"/>
        </w:rPr>
      </w:pPr>
      <w:r>
        <w:rPr>
          <w:rFonts w:hint="eastAsia" w:ascii="仿宋_GB2312" w:hAnsi="仿宋_GB2312" w:eastAsia="仿宋_GB2312" w:cs="仿宋_GB2312"/>
          <w:b/>
          <w:bCs/>
          <w:sz w:val="24"/>
          <w:szCs w:val="24"/>
        </w:rPr>
        <w:t>承包人（全称）：</w:t>
      </w:r>
    </w:p>
    <w:p w14:paraId="112BD4E3">
      <w:pPr>
        <w:snapToGrid w:val="0"/>
        <w:jc w:val="center"/>
        <w:rPr>
          <w:rFonts w:ascii="仿宋_GB2312" w:hAnsi="仿宋_GB2312" w:eastAsia="仿宋_GB2312" w:cs="仿宋_GB2312"/>
          <w:b/>
          <w:bCs/>
          <w:sz w:val="24"/>
          <w:szCs w:val="24"/>
          <w:u w:val="single"/>
        </w:rPr>
      </w:pPr>
    </w:p>
    <w:p w14:paraId="226C550A">
      <w:pPr>
        <w:snapToGrid w:val="0"/>
        <w:jc w:val="center"/>
        <w:rPr>
          <w:rFonts w:ascii="仿宋_GB2312" w:hAnsi="仿宋_GB2312" w:eastAsia="仿宋_GB2312" w:cs="仿宋_GB2312"/>
          <w:b/>
          <w:bCs/>
          <w:sz w:val="24"/>
          <w:szCs w:val="24"/>
          <w:u w:val="single"/>
        </w:rPr>
      </w:pPr>
    </w:p>
    <w:p w14:paraId="680EFD9C">
      <w:pPr>
        <w:snapToGrid w:val="0"/>
        <w:spacing w:line="100" w:lineRule="exact"/>
        <w:rPr>
          <w:rFonts w:ascii="黑体" w:eastAsia="黑体"/>
          <w:b/>
          <w:bCs/>
          <w:sz w:val="24"/>
          <w:szCs w:val="24"/>
        </w:rPr>
      </w:pPr>
    </w:p>
    <w:p w14:paraId="61BA7D22">
      <w:pPr>
        <w:snapToGrid w:val="0"/>
        <w:spacing w:line="240" w:lineRule="atLeast"/>
        <w:ind w:firstLine="2534" w:firstLineChars="700"/>
        <w:rPr>
          <w:b/>
          <w:bCs/>
          <w:spacing w:val="20"/>
          <w:sz w:val="32"/>
          <w:szCs w:val="32"/>
        </w:rPr>
      </w:pPr>
      <w:r>
        <w:rPr>
          <w:b/>
          <w:bCs/>
          <w:spacing w:val="20"/>
          <w:sz w:val="32"/>
          <w:szCs w:val="32"/>
        </w:rPr>
        <w:pict>
          <v:shape id="Text Box 2" o:spid="_x0000_s1026" o:spt="202" type="#_x0000_t202" style="position:absolute;left:0pt;margin-left:332.25pt;margin-top:15.45pt;height:56.5pt;width:63pt;z-index:251660288;mso-width-relative:page;mso-height-relative:page;" stroked="f" coordsize="21600,21600" o:gfxdata="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TzwT9cAAAAKAQAA&#10;DwAAAAAAAAABACAAAAAiAAAAZHJzL2Rvd25yZXYueG1sUEsBAhQAFAAAAAgAh07iQCtToTgaAgAA&#10;PAQAAA4AAAAAAAAAAQAgAAAAJgEAAGRycy9lMm9Eb2MueG1sUEsFBgAAAAAGAAYAWQEAALIFAAAA&#10;AA==&#10;">
            <v:path/>
            <v:fill focussize="0,0"/>
            <v:stroke on="f" joinstyle="miter"/>
            <v:imagedata o:title=""/>
            <o:lock v:ext="edit"/>
            <v:textbox inset="7.19992125984252pt,1.27mm,7.19992125984252pt,1.27mm">
              <w:txbxContent>
                <w:p w14:paraId="72F0A780">
                  <w:r>
                    <w:rPr>
                      <w:rFonts w:hint="eastAsia"/>
                      <w:b/>
                      <w:bCs/>
                      <w:sz w:val="36"/>
                    </w:rPr>
                    <w:t>制定</w:t>
                  </w:r>
                </w:p>
              </w:txbxContent>
            </v:textbox>
          </v:shape>
        </w:pict>
      </w:r>
      <w:r>
        <w:rPr>
          <w:rFonts w:hint="eastAsia"/>
          <w:b/>
          <w:bCs/>
          <w:spacing w:val="20"/>
          <w:sz w:val="32"/>
          <w:szCs w:val="32"/>
        </w:rPr>
        <w:t>住房和城乡建设部</w:t>
      </w:r>
    </w:p>
    <w:p w14:paraId="068723B9">
      <w:pPr>
        <w:snapToGrid w:val="0"/>
        <w:spacing w:line="240" w:lineRule="atLeast"/>
        <w:ind w:firstLine="2090" w:firstLineChars="500"/>
        <w:rPr>
          <w:b/>
          <w:bCs/>
          <w:spacing w:val="48"/>
          <w:sz w:val="32"/>
          <w:szCs w:val="32"/>
        </w:rPr>
      </w:pPr>
    </w:p>
    <w:p w14:paraId="05AC5244">
      <w:pPr>
        <w:snapToGrid w:val="0"/>
        <w:spacing w:line="240" w:lineRule="atLeast"/>
        <w:ind w:firstLine="2090" w:firstLineChars="500"/>
        <w:rPr>
          <w:b/>
          <w:bCs/>
          <w:spacing w:val="48"/>
          <w:sz w:val="32"/>
          <w:szCs w:val="32"/>
        </w:rPr>
      </w:pPr>
      <w:r>
        <w:rPr>
          <w:rFonts w:hint="eastAsia"/>
          <w:b/>
          <w:bCs/>
          <w:spacing w:val="48"/>
          <w:sz w:val="32"/>
          <w:szCs w:val="32"/>
        </w:rPr>
        <w:t>家工商行政管理总局</w:t>
      </w:r>
    </w:p>
    <w:p w14:paraId="0F5C7287"/>
    <w:p w14:paraId="37B68693">
      <w:pPr>
        <w:snapToGrid w:val="0"/>
        <w:spacing w:afterLines="150" w:line="500" w:lineRule="exact"/>
        <w:rPr>
          <w:rFonts w:ascii="黑体" w:eastAsia="黑体"/>
          <w:b/>
          <w:spacing w:val="20"/>
          <w:sz w:val="32"/>
          <w:szCs w:val="32"/>
        </w:rPr>
      </w:pPr>
    </w:p>
    <w:p w14:paraId="5EF56EB2">
      <w:pPr>
        <w:snapToGrid w:val="0"/>
        <w:spacing w:afterLines="150" w:line="500" w:lineRule="exact"/>
        <w:jc w:val="center"/>
        <w:rPr>
          <w:rFonts w:eastAsia="黑体"/>
          <w:b/>
          <w:sz w:val="32"/>
          <w:szCs w:val="32"/>
        </w:rPr>
      </w:pPr>
      <w:r>
        <w:rPr>
          <w:rFonts w:hint="eastAsia" w:ascii="黑体" w:eastAsia="黑体"/>
          <w:b/>
          <w:spacing w:val="20"/>
          <w:sz w:val="32"/>
          <w:szCs w:val="32"/>
        </w:rPr>
        <w:t xml:space="preserve">第一部分 </w:t>
      </w:r>
      <w:r>
        <w:rPr>
          <w:rFonts w:hint="eastAsia" w:eastAsia="黑体"/>
          <w:b/>
          <w:sz w:val="32"/>
          <w:szCs w:val="32"/>
        </w:rPr>
        <w:t>协议书</w:t>
      </w:r>
    </w:p>
    <w:p w14:paraId="14F7F2CE">
      <w:pPr>
        <w:snapToGrid w:val="0"/>
        <w:spacing w:line="360" w:lineRule="auto"/>
        <w:rPr>
          <w:rFonts w:hAnsi="宋体" w:cs="宋体"/>
          <w:sz w:val="24"/>
          <w:szCs w:val="24"/>
          <w:u w:val="single"/>
        </w:rPr>
      </w:pPr>
      <w:r>
        <w:rPr>
          <w:rFonts w:hint="eastAsia" w:hAnsi="宋体" w:cs="宋体"/>
          <w:b/>
          <w:bCs/>
          <w:sz w:val="24"/>
          <w:szCs w:val="24"/>
        </w:rPr>
        <w:t>发包人（全称）：</w:t>
      </w:r>
    </w:p>
    <w:p w14:paraId="51F5DC49">
      <w:pPr>
        <w:snapToGrid w:val="0"/>
        <w:spacing w:line="360" w:lineRule="auto"/>
        <w:rPr>
          <w:rFonts w:hAnsi="宋体" w:cs="宋体"/>
          <w:b/>
          <w:bCs/>
          <w:sz w:val="24"/>
          <w:szCs w:val="24"/>
          <w:u w:val="single"/>
        </w:rPr>
      </w:pPr>
      <w:r>
        <w:rPr>
          <w:rFonts w:hint="eastAsia" w:hAnsi="宋体" w:cs="宋体"/>
          <w:b/>
          <w:bCs/>
          <w:sz w:val="24"/>
          <w:szCs w:val="24"/>
        </w:rPr>
        <w:t>承包人（全称）：</w:t>
      </w:r>
    </w:p>
    <w:p w14:paraId="6B0F909F">
      <w:pPr>
        <w:snapToGrid w:val="0"/>
        <w:spacing w:line="360" w:lineRule="auto"/>
        <w:ind w:firstLine="484" w:firstLineChars="200"/>
        <w:rPr>
          <w:rFonts w:hAnsi="宋体" w:cs="宋体"/>
          <w:sz w:val="24"/>
          <w:szCs w:val="24"/>
        </w:rPr>
      </w:pPr>
      <w:r>
        <w:rPr>
          <w:rFonts w:hint="eastAsia" w:hAnsi="宋体" w:cs="宋体"/>
          <w:sz w:val="24"/>
          <w:szCs w:val="24"/>
        </w:rPr>
        <w:t>根据《中华人民共和国民法典》、《中华人民共和国建筑法》及有关法律规定，遵循平等、自愿、公平和诚实信用的原则，双方就施工及有关事项协商一致，共同达成如下协议：</w:t>
      </w:r>
    </w:p>
    <w:p w14:paraId="6B6CB377">
      <w:pPr>
        <w:snapToGrid w:val="0"/>
        <w:spacing w:line="360" w:lineRule="auto"/>
        <w:rPr>
          <w:rFonts w:hAnsi="宋体" w:cs="宋体"/>
          <w:b/>
          <w:sz w:val="24"/>
          <w:szCs w:val="24"/>
        </w:rPr>
      </w:pPr>
      <w:r>
        <w:rPr>
          <w:rFonts w:hint="eastAsia" w:hAnsi="宋体" w:cs="宋体"/>
          <w:bCs/>
          <w:sz w:val="24"/>
          <w:szCs w:val="24"/>
        </w:rPr>
        <w:t>一、工程概况</w:t>
      </w:r>
    </w:p>
    <w:p w14:paraId="13C5BB77">
      <w:pPr>
        <w:pStyle w:val="19"/>
        <w:numPr>
          <w:ilvl w:val="0"/>
          <w:numId w:val="4"/>
        </w:numPr>
        <w:snapToGrid w:val="0"/>
        <w:spacing w:line="360" w:lineRule="auto"/>
        <w:ind w:left="0" w:firstLine="577"/>
        <w:rPr>
          <w:rFonts w:ascii="宋体" w:hAnsi="宋体" w:cs="宋体"/>
          <w:bCs/>
        </w:rPr>
      </w:pPr>
      <w:r>
        <w:rPr>
          <w:rFonts w:hint="eastAsia" w:ascii="宋体" w:hAnsi="宋体" w:cs="宋体"/>
        </w:rPr>
        <w:t>工程名称：</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w:t>
      </w:r>
    </w:p>
    <w:p w14:paraId="07B9721C">
      <w:pPr>
        <w:pStyle w:val="19"/>
        <w:snapToGrid w:val="0"/>
        <w:spacing w:line="360" w:lineRule="auto"/>
        <w:ind w:left="577"/>
        <w:rPr>
          <w:rFonts w:ascii="宋体" w:hAnsi="宋体" w:cs="宋体"/>
          <w:bCs/>
        </w:rPr>
      </w:pPr>
      <w:r>
        <w:rPr>
          <w:rFonts w:hint="eastAsia" w:ascii="宋体" w:hAnsi="宋体" w:cs="宋体"/>
        </w:rPr>
        <w:t>2.工程地点：</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bCs/>
        </w:rPr>
        <w:t>。</w:t>
      </w:r>
    </w:p>
    <w:p w14:paraId="649CCFBF">
      <w:pPr>
        <w:pStyle w:val="19"/>
        <w:snapToGrid w:val="0"/>
        <w:spacing w:line="360" w:lineRule="auto"/>
        <w:ind w:left="577"/>
        <w:rPr>
          <w:rFonts w:ascii="宋体" w:hAnsi="宋体" w:cs="宋体"/>
          <w:bCs/>
        </w:rPr>
      </w:pPr>
      <w:r>
        <w:rPr>
          <w:rFonts w:hint="eastAsia" w:hAnsi="宋体" w:cs="宋体"/>
        </w:rPr>
        <w:t>3.建设规模及内容：。</w:t>
      </w:r>
    </w:p>
    <w:p w14:paraId="6346193F">
      <w:pPr>
        <w:snapToGrid w:val="0"/>
        <w:spacing w:line="360" w:lineRule="auto"/>
        <w:rPr>
          <w:rFonts w:hAnsi="宋体" w:cs="宋体"/>
          <w:bCs/>
          <w:sz w:val="24"/>
          <w:szCs w:val="24"/>
          <w:u w:val="single"/>
        </w:rPr>
      </w:pPr>
      <w:r>
        <w:rPr>
          <w:rFonts w:hint="eastAsia" w:hAnsi="宋体" w:cs="宋体"/>
          <w:bCs/>
          <w:sz w:val="24"/>
          <w:szCs w:val="24"/>
        </w:rPr>
        <w:t>二、工程承包范围</w:t>
      </w:r>
    </w:p>
    <w:p w14:paraId="59F28895">
      <w:pPr>
        <w:snapToGrid w:val="0"/>
        <w:spacing w:line="360" w:lineRule="auto"/>
        <w:ind w:firstLine="484" w:firstLineChars="200"/>
        <w:rPr>
          <w:rFonts w:hAnsi="宋体" w:cs="宋体"/>
          <w:sz w:val="24"/>
          <w:szCs w:val="24"/>
          <w:u w:val="single"/>
        </w:rPr>
      </w:pPr>
      <w:r>
        <w:rPr>
          <w:rFonts w:hint="eastAsia" w:hAnsi="宋体" w:cs="宋体"/>
          <w:sz w:val="24"/>
          <w:szCs w:val="24"/>
        </w:rPr>
        <w:t>主要内容：</w:t>
      </w:r>
      <w:r>
        <w:rPr>
          <w:rFonts w:hint="eastAsia" w:ascii="宋体" w:hAnsi="宋体" w:cs="宋体"/>
          <w:u w:val="single"/>
        </w:rPr>
        <w:t xml:space="preserve"> </w:t>
      </w:r>
      <w:r>
        <w:rPr>
          <w:rFonts w:ascii="宋体" w:hAnsi="宋体" w:cs="宋体"/>
          <w:u w:val="single"/>
        </w:rPr>
        <w:t xml:space="preserve">            </w:t>
      </w:r>
      <w:r>
        <w:rPr>
          <w:rFonts w:hint="eastAsia" w:hAnsi="宋体" w:cs="宋体"/>
          <w:b/>
          <w:sz w:val="24"/>
          <w:szCs w:val="24"/>
        </w:rPr>
        <w:t>。</w:t>
      </w:r>
    </w:p>
    <w:p w14:paraId="3F0999E4">
      <w:pPr>
        <w:snapToGrid w:val="0"/>
        <w:spacing w:line="360" w:lineRule="auto"/>
        <w:rPr>
          <w:rFonts w:hAnsi="宋体" w:cs="宋体"/>
          <w:sz w:val="24"/>
          <w:szCs w:val="24"/>
        </w:rPr>
      </w:pPr>
      <w:r>
        <w:rPr>
          <w:rFonts w:hint="eastAsia" w:hAnsi="宋体" w:cs="宋体"/>
          <w:bCs/>
          <w:sz w:val="24"/>
          <w:szCs w:val="24"/>
        </w:rPr>
        <w:t>三、合同工期</w:t>
      </w:r>
    </w:p>
    <w:p w14:paraId="78653679">
      <w:pPr>
        <w:snapToGrid w:val="0"/>
        <w:spacing w:line="360" w:lineRule="auto"/>
        <w:ind w:firstLine="459"/>
        <w:rPr>
          <w:rFonts w:hAnsi="宋体" w:cs="宋体"/>
          <w:b/>
          <w:sz w:val="24"/>
          <w:szCs w:val="24"/>
        </w:rPr>
      </w:pPr>
      <w:r>
        <w:rPr>
          <w:rFonts w:hint="eastAsia" w:hAnsi="宋体" w:cs="宋体"/>
          <w:sz w:val="24"/>
          <w:szCs w:val="24"/>
        </w:rPr>
        <w:t>合同工期</w:t>
      </w:r>
      <w:r>
        <w:rPr>
          <w:rFonts w:hint="eastAsia" w:hAnsi="宋体" w:cs="宋体"/>
          <w:sz w:val="24"/>
          <w:szCs w:val="24"/>
          <w:u w:val="single"/>
        </w:rPr>
        <w:t xml:space="preserve"> </w:t>
      </w:r>
      <w:r>
        <w:rPr>
          <w:rFonts w:hAnsi="宋体" w:cs="宋体"/>
          <w:sz w:val="24"/>
          <w:szCs w:val="24"/>
          <w:u w:val="single"/>
        </w:rPr>
        <w:t xml:space="preserve">    </w:t>
      </w:r>
      <w:r>
        <w:rPr>
          <w:rFonts w:hint="eastAsia" w:hAnsi="宋体" w:cs="宋体"/>
          <w:sz w:val="24"/>
          <w:szCs w:val="24"/>
        </w:rPr>
        <w:t>日历天数天</w:t>
      </w:r>
      <w:r>
        <w:rPr>
          <w:rFonts w:hint="eastAsia" w:hAnsi="宋体" w:cs="宋体"/>
          <w:b/>
          <w:sz w:val="24"/>
          <w:szCs w:val="24"/>
        </w:rPr>
        <w:t>。</w:t>
      </w:r>
      <w:r>
        <w:rPr>
          <w:rFonts w:hint="eastAsia" w:hAnsi="宋体" w:cs="宋体"/>
          <w:sz w:val="24"/>
          <w:szCs w:val="24"/>
        </w:rPr>
        <w:t>工期总日历天数与根据前述计划开竣工日期计算的工期天数不一致的，以工期总日历天数为准。</w:t>
      </w:r>
    </w:p>
    <w:p w14:paraId="022942FF">
      <w:pPr>
        <w:snapToGrid w:val="0"/>
        <w:spacing w:line="360" w:lineRule="auto"/>
        <w:rPr>
          <w:rFonts w:hAnsi="宋体" w:cs="宋体"/>
          <w:sz w:val="24"/>
          <w:szCs w:val="24"/>
        </w:rPr>
      </w:pPr>
      <w:r>
        <w:rPr>
          <w:rFonts w:hint="eastAsia" w:hAnsi="宋体" w:cs="宋体"/>
          <w:bCs/>
          <w:sz w:val="24"/>
          <w:szCs w:val="24"/>
        </w:rPr>
        <w:t>四、质量标准</w:t>
      </w:r>
    </w:p>
    <w:p w14:paraId="1D209E38">
      <w:pPr>
        <w:snapToGrid w:val="0"/>
        <w:spacing w:line="360" w:lineRule="auto"/>
        <w:rPr>
          <w:rFonts w:hAnsi="宋体" w:cs="宋体"/>
          <w:sz w:val="24"/>
          <w:szCs w:val="24"/>
        </w:rPr>
      </w:pPr>
      <w:r>
        <w:rPr>
          <w:rFonts w:hint="eastAsia" w:hAnsi="宋体" w:cs="宋体"/>
          <w:sz w:val="24"/>
          <w:szCs w:val="24"/>
        </w:rPr>
        <w:t>工程质量标准：符合国家现行有关施工质量验收规范标准。</w:t>
      </w:r>
    </w:p>
    <w:p w14:paraId="1144DFC4">
      <w:pPr>
        <w:snapToGrid w:val="0"/>
        <w:spacing w:line="360" w:lineRule="auto"/>
        <w:rPr>
          <w:rFonts w:hAnsi="宋体" w:cs="宋体"/>
          <w:bCs/>
          <w:sz w:val="24"/>
          <w:szCs w:val="24"/>
        </w:rPr>
      </w:pPr>
      <w:r>
        <w:rPr>
          <w:rFonts w:hint="eastAsia" w:hAnsi="宋体" w:cs="宋体"/>
          <w:bCs/>
          <w:sz w:val="24"/>
          <w:szCs w:val="24"/>
        </w:rPr>
        <w:t>五、合同价款</w:t>
      </w:r>
    </w:p>
    <w:p w14:paraId="237832E1">
      <w:pPr>
        <w:snapToGrid w:val="0"/>
        <w:spacing w:line="360" w:lineRule="auto"/>
        <w:rPr>
          <w:rFonts w:hAnsi="宋体" w:cs="宋体"/>
          <w:sz w:val="24"/>
          <w:szCs w:val="24"/>
        </w:rPr>
      </w:pPr>
      <w:r>
        <w:rPr>
          <w:rFonts w:hint="eastAsia" w:hAnsi="宋体" w:cs="宋体"/>
          <w:sz w:val="24"/>
          <w:szCs w:val="24"/>
        </w:rPr>
        <w:t>1、签约合同价为：</w:t>
      </w:r>
      <w:r>
        <w:rPr>
          <w:rFonts w:hint="eastAsia" w:ascii="宋体" w:hAnsi="宋体" w:cs="宋体"/>
          <w:u w:val="single"/>
        </w:rPr>
        <w:t xml:space="preserve"> </w:t>
      </w:r>
      <w:r>
        <w:rPr>
          <w:rFonts w:ascii="宋体" w:hAnsi="宋体" w:cs="宋体"/>
          <w:u w:val="single"/>
        </w:rPr>
        <w:t xml:space="preserve">            </w:t>
      </w:r>
      <w:r>
        <w:rPr>
          <w:rFonts w:hint="eastAsia" w:hAnsi="宋体" w:cs="宋体"/>
          <w:sz w:val="24"/>
          <w:szCs w:val="24"/>
        </w:rPr>
        <w:t>。</w:t>
      </w:r>
    </w:p>
    <w:p w14:paraId="5AA4405B">
      <w:pPr>
        <w:snapToGrid w:val="0"/>
        <w:spacing w:line="360" w:lineRule="auto"/>
        <w:rPr>
          <w:rFonts w:hAnsi="宋体" w:cs="宋体"/>
          <w:sz w:val="24"/>
          <w:szCs w:val="24"/>
          <w:u w:val="single"/>
        </w:rPr>
      </w:pPr>
      <w:r>
        <w:rPr>
          <w:rFonts w:hint="eastAsia" w:hAnsi="宋体" w:cs="宋体"/>
          <w:sz w:val="24"/>
          <w:szCs w:val="24"/>
        </w:rPr>
        <w:t>2．结算价款的依据：</w:t>
      </w:r>
      <w:r>
        <w:rPr>
          <w:rFonts w:hint="eastAsia" w:ascii="宋体" w:hAnsi="宋体" w:cs="宋体"/>
          <w:u w:val="single"/>
        </w:rPr>
        <w:t xml:space="preserve"> </w:t>
      </w:r>
      <w:r>
        <w:rPr>
          <w:rFonts w:ascii="宋体" w:hAnsi="宋体" w:cs="宋体"/>
          <w:u w:val="single"/>
        </w:rPr>
        <w:t xml:space="preserve">            </w:t>
      </w:r>
      <w:r>
        <w:rPr>
          <w:rFonts w:hint="eastAsia" w:hAnsi="宋体" w:cs="宋体"/>
          <w:sz w:val="24"/>
          <w:szCs w:val="24"/>
          <w:u w:val="single"/>
        </w:rPr>
        <w:t>。</w:t>
      </w:r>
    </w:p>
    <w:p w14:paraId="5729712E">
      <w:pPr>
        <w:snapToGrid w:val="0"/>
        <w:spacing w:line="360" w:lineRule="auto"/>
        <w:rPr>
          <w:rFonts w:hAnsi="宋体" w:cs="宋体"/>
          <w:sz w:val="24"/>
          <w:szCs w:val="24"/>
        </w:rPr>
      </w:pPr>
      <w:r>
        <w:rPr>
          <w:rFonts w:hint="eastAsia" w:hAnsi="宋体" w:cs="宋体"/>
          <w:sz w:val="24"/>
          <w:szCs w:val="24"/>
        </w:rPr>
        <w:t>3、工程预付款</w:t>
      </w:r>
    </w:p>
    <w:p w14:paraId="5E51C081">
      <w:pPr>
        <w:snapToGrid w:val="0"/>
        <w:spacing w:line="360" w:lineRule="auto"/>
        <w:ind w:firstLine="484" w:firstLineChars="200"/>
        <w:rPr>
          <w:rFonts w:hAnsi="宋体" w:cs="宋体"/>
          <w:sz w:val="24"/>
          <w:szCs w:val="24"/>
        </w:rPr>
      </w:pPr>
      <w:r>
        <w:rPr>
          <w:rFonts w:hint="eastAsia" w:hAnsi="宋体" w:cs="宋体"/>
          <w:sz w:val="24"/>
          <w:szCs w:val="24"/>
        </w:rPr>
        <w:t>双方约定：本合同工程预付款为：进场后预付0启动资金。</w:t>
      </w:r>
    </w:p>
    <w:p w14:paraId="6B59270C">
      <w:pPr>
        <w:snapToGrid w:val="0"/>
        <w:spacing w:line="360" w:lineRule="auto"/>
        <w:rPr>
          <w:rFonts w:hAnsi="宋体" w:cs="宋体"/>
          <w:sz w:val="24"/>
          <w:szCs w:val="24"/>
        </w:rPr>
      </w:pPr>
      <w:r>
        <w:rPr>
          <w:rFonts w:hint="eastAsia" w:hAnsi="宋体" w:cs="宋体"/>
          <w:sz w:val="24"/>
          <w:szCs w:val="24"/>
        </w:rPr>
        <w:t>4、工程款（进度款）支付：</w:t>
      </w:r>
    </w:p>
    <w:p w14:paraId="602D66D3">
      <w:pPr>
        <w:snapToGrid w:val="0"/>
        <w:spacing w:line="360" w:lineRule="auto"/>
        <w:rPr>
          <w:rFonts w:hAnsi="宋体" w:cs="宋体"/>
          <w:sz w:val="24"/>
          <w:szCs w:val="24"/>
        </w:rPr>
      </w:pPr>
      <w:r>
        <w:rPr>
          <w:rFonts w:hint="eastAsia" w:hAnsi="宋体" w:cs="宋体"/>
          <w:sz w:val="24"/>
          <w:szCs w:val="24"/>
        </w:rPr>
        <w:t>5、工程款（结算款）支付：</w:t>
      </w:r>
    </w:p>
    <w:p w14:paraId="1CAE2D14">
      <w:pPr>
        <w:snapToGrid w:val="0"/>
        <w:spacing w:line="360" w:lineRule="auto"/>
        <w:ind w:firstLine="484" w:firstLineChars="200"/>
        <w:rPr>
          <w:rFonts w:hAnsi="宋体" w:cs="宋体"/>
          <w:bCs/>
          <w:sz w:val="24"/>
          <w:szCs w:val="24"/>
        </w:rPr>
      </w:pPr>
      <w:r>
        <w:rPr>
          <w:rFonts w:hint="eastAsia" w:hAnsi="宋体" w:cs="宋体"/>
          <w:bCs/>
          <w:sz w:val="24"/>
          <w:szCs w:val="24"/>
        </w:rPr>
        <w:t>本协议书与下列文件一起构成合同文件：</w:t>
      </w:r>
    </w:p>
    <w:p w14:paraId="4D963A42">
      <w:pPr>
        <w:snapToGrid w:val="0"/>
        <w:spacing w:line="360" w:lineRule="auto"/>
        <w:ind w:firstLine="484" w:firstLineChars="200"/>
        <w:rPr>
          <w:rFonts w:hAnsi="宋体" w:cs="宋体"/>
          <w:sz w:val="24"/>
          <w:szCs w:val="24"/>
        </w:rPr>
      </w:pPr>
      <w:r>
        <w:rPr>
          <w:rFonts w:hint="eastAsia" w:hAnsi="宋体" w:cs="宋体"/>
          <w:sz w:val="24"/>
          <w:szCs w:val="24"/>
        </w:rPr>
        <w:t>（1）本合同协议书√</w:t>
      </w:r>
    </w:p>
    <w:p w14:paraId="1E708DB8">
      <w:pPr>
        <w:snapToGrid w:val="0"/>
        <w:spacing w:line="360" w:lineRule="auto"/>
        <w:ind w:firstLine="484" w:firstLineChars="200"/>
        <w:rPr>
          <w:rFonts w:hAnsi="宋体" w:cs="宋体"/>
          <w:sz w:val="24"/>
          <w:szCs w:val="24"/>
        </w:rPr>
      </w:pPr>
      <w:r>
        <w:rPr>
          <w:rFonts w:hint="eastAsia" w:hAnsi="宋体" w:cs="宋体"/>
          <w:sz w:val="24"/>
          <w:szCs w:val="24"/>
        </w:rPr>
        <w:t>（2）本合同专用条款√</w:t>
      </w:r>
    </w:p>
    <w:p w14:paraId="73D48040">
      <w:pPr>
        <w:snapToGrid w:val="0"/>
        <w:spacing w:line="360" w:lineRule="auto"/>
        <w:ind w:firstLine="484" w:firstLineChars="200"/>
        <w:rPr>
          <w:rFonts w:hAnsi="宋体" w:cs="宋体"/>
          <w:sz w:val="24"/>
          <w:szCs w:val="24"/>
        </w:rPr>
      </w:pPr>
      <w:r>
        <w:rPr>
          <w:rFonts w:hint="eastAsia" w:hAnsi="宋体" w:cs="宋体"/>
          <w:sz w:val="24"/>
          <w:szCs w:val="24"/>
        </w:rPr>
        <w:t>（3）本合同通用条款√</w:t>
      </w:r>
    </w:p>
    <w:p w14:paraId="06380FA7">
      <w:pPr>
        <w:snapToGrid w:val="0"/>
        <w:spacing w:line="360" w:lineRule="auto"/>
        <w:ind w:firstLine="484" w:firstLineChars="200"/>
        <w:rPr>
          <w:rFonts w:hAnsi="宋体" w:cs="宋体"/>
          <w:sz w:val="24"/>
          <w:szCs w:val="24"/>
        </w:rPr>
      </w:pPr>
      <w:r>
        <w:rPr>
          <w:rFonts w:hint="eastAsia" w:hAnsi="宋体" w:cs="宋体"/>
          <w:sz w:val="24"/>
          <w:szCs w:val="24"/>
        </w:rPr>
        <w:t>（4）标准、规范及有关技术文件√</w:t>
      </w:r>
    </w:p>
    <w:p w14:paraId="14DAA868">
      <w:pPr>
        <w:snapToGrid w:val="0"/>
        <w:spacing w:line="360" w:lineRule="auto"/>
        <w:rPr>
          <w:rFonts w:hAnsi="宋体" w:cs="宋体"/>
          <w:b/>
          <w:sz w:val="24"/>
          <w:szCs w:val="24"/>
        </w:rPr>
      </w:pPr>
      <w:r>
        <w:rPr>
          <w:rFonts w:hint="eastAsia" w:hAnsi="宋体" w:cs="宋体"/>
          <w:bCs/>
          <w:sz w:val="24"/>
          <w:szCs w:val="24"/>
        </w:rPr>
        <w:t>六、词语含义</w:t>
      </w:r>
    </w:p>
    <w:p w14:paraId="53605D69">
      <w:pPr>
        <w:snapToGrid w:val="0"/>
        <w:spacing w:line="360" w:lineRule="auto"/>
        <w:ind w:firstLine="484" w:firstLineChars="200"/>
        <w:rPr>
          <w:rFonts w:hAnsi="宋体" w:cs="宋体"/>
          <w:bCs/>
          <w:sz w:val="24"/>
          <w:szCs w:val="24"/>
        </w:rPr>
      </w:pPr>
      <w:r>
        <w:rPr>
          <w:rFonts w:hint="eastAsia" w:hAnsi="宋体" w:cs="宋体"/>
          <w:sz w:val="24"/>
          <w:szCs w:val="24"/>
        </w:rPr>
        <w:t>本协议书中词语含义与第二部分通用合同条款中赋予的含义相同。</w:t>
      </w:r>
    </w:p>
    <w:p w14:paraId="5064DC8F">
      <w:pPr>
        <w:snapToGrid w:val="0"/>
        <w:spacing w:line="360" w:lineRule="auto"/>
        <w:rPr>
          <w:rFonts w:hAnsi="宋体" w:cs="宋体"/>
          <w:bCs/>
          <w:sz w:val="24"/>
          <w:szCs w:val="24"/>
        </w:rPr>
      </w:pPr>
      <w:r>
        <w:rPr>
          <w:rFonts w:hint="eastAsia" w:hAnsi="宋体" w:cs="宋体"/>
          <w:bCs/>
          <w:sz w:val="24"/>
          <w:szCs w:val="24"/>
        </w:rPr>
        <w:t>七、承诺</w:t>
      </w:r>
    </w:p>
    <w:p w14:paraId="3986E8E9">
      <w:pPr>
        <w:snapToGrid w:val="0"/>
        <w:spacing w:line="360" w:lineRule="auto"/>
        <w:ind w:firstLine="484" w:firstLineChars="200"/>
        <w:rPr>
          <w:rFonts w:hAnsi="宋体" w:cs="宋体"/>
          <w:sz w:val="24"/>
          <w:szCs w:val="24"/>
        </w:rPr>
      </w:pPr>
      <w:r>
        <w:rPr>
          <w:rFonts w:hint="eastAsia" w:hAnsi="宋体" w:cs="宋体"/>
          <w:sz w:val="24"/>
          <w:szCs w:val="24"/>
        </w:rPr>
        <w:t>1.发包人承诺按照法律规定履行项目审批手续、筹集工程建设资金并按照合同约定的期限和方式支付合同价款。</w:t>
      </w:r>
    </w:p>
    <w:p w14:paraId="2746A9A3">
      <w:pPr>
        <w:snapToGrid w:val="0"/>
        <w:spacing w:line="360" w:lineRule="auto"/>
        <w:ind w:firstLine="484" w:firstLineChars="200"/>
        <w:rPr>
          <w:rFonts w:hAnsi="宋体" w:cs="宋体"/>
          <w:sz w:val="24"/>
          <w:szCs w:val="24"/>
        </w:rPr>
      </w:pPr>
      <w:r>
        <w:rPr>
          <w:rFonts w:hint="eastAsia" w:hAnsi="宋体" w:cs="宋体"/>
          <w:sz w:val="24"/>
          <w:szCs w:val="24"/>
        </w:rPr>
        <w:t>2.承包人承诺按照法律规定及合同约定组织完成工程施工，确保工程质量和安全，不进行转包及违法分包。</w:t>
      </w:r>
    </w:p>
    <w:p w14:paraId="063286C9">
      <w:pPr>
        <w:snapToGrid w:val="0"/>
        <w:spacing w:line="360" w:lineRule="auto"/>
        <w:ind w:firstLine="484" w:firstLineChars="200"/>
        <w:rPr>
          <w:rFonts w:hAnsi="宋体" w:cs="宋体"/>
          <w:sz w:val="24"/>
          <w:szCs w:val="24"/>
        </w:rPr>
      </w:pPr>
      <w:r>
        <w:rPr>
          <w:rFonts w:hint="eastAsia" w:hAnsi="宋体" w:cs="宋体"/>
          <w:sz w:val="24"/>
          <w:szCs w:val="24"/>
        </w:rPr>
        <w:t>3.发包人和承包人通过招投标形式签订合同的，双方理解并承诺不再就同一工程另行签订与合同实质性内容相背离的协议。</w:t>
      </w:r>
      <w:bookmarkStart w:id="18" w:name="_Toc351203491"/>
    </w:p>
    <w:p w14:paraId="2D9DBF4C">
      <w:pPr>
        <w:snapToGrid w:val="0"/>
        <w:spacing w:line="360" w:lineRule="auto"/>
        <w:ind w:firstLine="484" w:firstLineChars="200"/>
        <w:rPr>
          <w:rFonts w:hAnsi="宋体" w:cs="宋体"/>
          <w:sz w:val="24"/>
          <w:szCs w:val="24"/>
        </w:rPr>
      </w:pPr>
      <w:r>
        <w:rPr>
          <w:rFonts w:hint="eastAsia" w:hAnsi="宋体" w:cs="宋体"/>
          <w:sz w:val="24"/>
          <w:szCs w:val="24"/>
        </w:rPr>
        <w:t>4承包人不可购买不合格的成品或半成品，如承包人购买的半成品木料或钢材等，几何尺寸不符合设计要求，发包人有权指定购买点或生产厂家，如果市场上的半成品木料等几何尺寸均偏小，而且均按理论尺寸卖，结算时应按理论尺寸计算。</w:t>
      </w:r>
    </w:p>
    <w:p w14:paraId="3FE298D0">
      <w:pPr>
        <w:snapToGrid w:val="0"/>
        <w:spacing w:line="360" w:lineRule="auto"/>
        <w:rPr>
          <w:rFonts w:hAnsi="宋体" w:cs="宋体"/>
          <w:bCs/>
          <w:sz w:val="24"/>
          <w:szCs w:val="24"/>
        </w:rPr>
      </w:pPr>
      <w:r>
        <w:rPr>
          <w:rFonts w:hint="eastAsia" w:hAnsi="宋体" w:cs="宋体"/>
          <w:bCs/>
          <w:sz w:val="24"/>
          <w:szCs w:val="24"/>
        </w:rPr>
        <w:t>八、补充协议</w:t>
      </w:r>
      <w:bookmarkEnd w:id="18"/>
    </w:p>
    <w:p w14:paraId="36D4F856">
      <w:pPr>
        <w:snapToGrid w:val="0"/>
        <w:spacing w:line="360" w:lineRule="auto"/>
        <w:ind w:firstLine="484" w:firstLineChars="200"/>
        <w:rPr>
          <w:rFonts w:hAnsi="宋体" w:cs="宋体"/>
          <w:sz w:val="24"/>
          <w:szCs w:val="24"/>
        </w:rPr>
      </w:pPr>
      <w:r>
        <w:rPr>
          <w:rFonts w:hint="eastAsia" w:hAnsi="宋体" w:cs="宋体"/>
          <w:sz w:val="24"/>
          <w:szCs w:val="24"/>
        </w:rPr>
        <w:t>合同未尽事宜，合同当事人另行签订补充协议，补充协议是合同的组成部分。</w:t>
      </w:r>
    </w:p>
    <w:p w14:paraId="1F2C4A50">
      <w:pPr>
        <w:snapToGrid w:val="0"/>
        <w:spacing w:line="360" w:lineRule="auto"/>
        <w:rPr>
          <w:rFonts w:hAnsi="宋体" w:cs="宋体"/>
          <w:bCs/>
          <w:sz w:val="24"/>
          <w:szCs w:val="24"/>
        </w:rPr>
      </w:pPr>
      <w:r>
        <w:rPr>
          <w:rFonts w:hint="eastAsia" w:hAnsi="宋体" w:cs="宋体"/>
          <w:bCs/>
          <w:sz w:val="24"/>
          <w:szCs w:val="24"/>
        </w:rPr>
        <w:t>九、合同生效及其他</w:t>
      </w:r>
    </w:p>
    <w:p w14:paraId="31300529">
      <w:pPr>
        <w:snapToGrid w:val="0"/>
        <w:spacing w:line="360" w:lineRule="auto"/>
        <w:ind w:firstLine="484" w:firstLineChars="200"/>
        <w:rPr>
          <w:rFonts w:hAnsi="宋体" w:cs="宋体"/>
          <w:sz w:val="24"/>
          <w:szCs w:val="24"/>
        </w:rPr>
      </w:pPr>
      <w:r>
        <w:rPr>
          <w:rFonts w:hint="eastAsia" w:hAnsi="宋体" w:cs="宋体"/>
          <w:sz w:val="24"/>
          <w:szCs w:val="24"/>
        </w:rPr>
        <w:t>合同订立时间：年月日</w:t>
      </w:r>
    </w:p>
    <w:p w14:paraId="233F71BA">
      <w:pPr>
        <w:snapToGrid w:val="0"/>
        <w:spacing w:line="360" w:lineRule="auto"/>
        <w:ind w:firstLine="484" w:firstLineChars="200"/>
        <w:rPr>
          <w:rFonts w:hAnsi="宋体" w:cs="宋体"/>
          <w:sz w:val="24"/>
          <w:szCs w:val="24"/>
        </w:rPr>
      </w:pPr>
      <w:r>
        <w:rPr>
          <w:rFonts w:hint="eastAsia" w:hAnsi="宋体" w:cs="宋体"/>
          <w:sz w:val="24"/>
          <w:szCs w:val="24"/>
        </w:rPr>
        <w:t>合同订立地点：       。</w:t>
      </w:r>
    </w:p>
    <w:p w14:paraId="5A448260">
      <w:pPr>
        <w:snapToGrid w:val="0"/>
        <w:spacing w:line="360" w:lineRule="auto"/>
        <w:ind w:firstLine="484" w:firstLineChars="200"/>
        <w:rPr>
          <w:rFonts w:hAnsi="宋体" w:cs="宋体"/>
          <w:sz w:val="24"/>
          <w:szCs w:val="24"/>
        </w:rPr>
      </w:pPr>
      <w:r>
        <w:rPr>
          <w:rFonts w:hint="eastAsia" w:hAnsi="宋体" w:cs="宋体"/>
          <w:sz w:val="24"/>
          <w:szCs w:val="24"/>
        </w:rPr>
        <w:t>本合同双方约定：双方签字、盖章后生效，本协议一式份，甲方份，乙方份，均具有同等法律效力。</w:t>
      </w:r>
    </w:p>
    <w:p w14:paraId="41C30B2C">
      <w:pPr>
        <w:snapToGrid w:val="0"/>
        <w:spacing w:line="520" w:lineRule="exact"/>
        <w:ind w:firstLine="484" w:firstLineChars="200"/>
        <w:rPr>
          <w:rFonts w:hAnsi="宋体" w:cs="宋体"/>
          <w:sz w:val="24"/>
          <w:szCs w:val="24"/>
        </w:rPr>
      </w:pPr>
      <w:r>
        <w:rPr>
          <w:rFonts w:hint="eastAsia" w:hAnsi="宋体" w:cs="宋体"/>
          <w:sz w:val="24"/>
          <w:szCs w:val="24"/>
        </w:rPr>
        <w:t>发包人：</w:t>
      </w:r>
      <w:r>
        <w:rPr>
          <w:rFonts w:hint="eastAsia" w:ascii="宋体" w:hAnsi="宋体" w:cs="宋体"/>
          <w:u w:val="single"/>
        </w:rPr>
        <w:t xml:space="preserve"> </w:t>
      </w:r>
      <w:r>
        <w:rPr>
          <w:rFonts w:ascii="宋体" w:hAnsi="宋体" w:cs="宋体"/>
          <w:u w:val="single"/>
        </w:rPr>
        <w:t xml:space="preserve">                     </w:t>
      </w:r>
      <w:r>
        <w:rPr>
          <w:rFonts w:hint="eastAsia" w:hAnsi="宋体" w:cs="宋体"/>
          <w:sz w:val="24"/>
          <w:szCs w:val="24"/>
        </w:rPr>
        <w:t>（公章）承包人：</w:t>
      </w:r>
      <w:r>
        <w:rPr>
          <w:rFonts w:hint="eastAsia" w:ascii="宋体" w:hAnsi="宋体" w:cs="宋体"/>
          <w:u w:val="single"/>
        </w:rPr>
        <w:t xml:space="preserve"> </w:t>
      </w:r>
      <w:r>
        <w:rPr>
          <w:rFonts w:ascii="宋体" w:hAnsi="宋体" w:cs="宋体"/>
          <w:u w:val="single"/>
        </w:rPr>
        <w:t xml:space="preserve">            </w:t>
      </w:r>
      <w:r>
        <w:rPr>
          <w:rFonts w:hint="eastAsia" w:hAnsi="宋体" w:cs="宋体"/>
          <w:sz w:val="24"/>
          <w:szCs w:val="24"/>
        </w:rPr>
        <w:t>（公章）</w:t>
      </w:r>
    </w:p>
    <w:p w14:paraId="3F80BB87">
      <w:pPr>
        <w:snapToGrid w:val="0"/>
        <w:spacing w:line="520" w:lineRule="exact"/>
        <w:ind w:firstLine="484" w:firstLineChars="200"/>
        <w:rPr>
          <w:rFonts w:hAnsi="宋体" w:cs="宋体"/>
          <w:sz w:val="24"/>
          <w:szCs w:val="24"/>
        </w:rPr>
      </w:pPr>
      <w:r>
        <w:rPr>
          <w:rFonts w:hint="eastAsia" w:hAnsi="宋体" w:cs="宋体"/>
          <w:sz w:val="24"/>
          <w:szCs w:val="24"/>
        </w:rPr>
        <w:t>法定代表人：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（签字或盖章）</w:t>
      </w:r>
      <w:r>
        <w:rPr>
          <w:rFonts w:ascii="宋体" w:hAnsi="宋体" w:cs="宋体"/>
          <w:u w:val="single"/>
        </w:rPr>
        <w:t xml:space="preserve"> </w:t>
      </w:r>
      <w:r>
        <w:rPr>
          <w:rFonts w:hint="eastAsia" w:hAnsi="宋体" w:cs="宋体"/>
          <w:sz w:val="24"/>
          <w:szCs w:val="24"/>
        </w:rPr>
        <w:t>法定代表人：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（签字或盖章）</w:t>
      </w:r>
    </w:p>
    <w:p w14:paraId="04AFF78D">
      <w:pPr>
        <w:snapToGrid w:val="0"/>
        <w:spacing w:line="520" w:lineRule="exact"/>
        <w:ind w:firstLine="484" w:firstLineChars="200"/>
        <w:rPr>
          <w:rFonts w:hAnsi="宋体" w:cs="宋体"/>
          <w:sz w:val="24"/>
          <w:szCs w:val="24"/>
        </w:rPr>
      </w:pPr>
      <w:r>
        <w:rPr>
          <w:rFonts w:hint="eastAsia" w:hAnsi="宋体" w:cs="宋体"/>
          <w:sz w:val="24"/>
          <w:szCs w:val="24"/>
        </w:rPr>
        <w:t>（或）委托代理人：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（签字或盖章）</w:t>
      </w:r>
      <w:r>
        <w:rPr>
          <w:rFonts w:hint="eastAsia" w:hAnsi="宋体" w:cs="宋体"/>
          <w:sz w:val="24"/>
          <w:szCs w:val="24"/>
        </w:rPr>
        <w:t>（或）委托代理人：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（签字或盖章）</w:t>
      </w:r>
    </w:p>
    <w:p w14:paraId="5C63EA32">
      <w:pPr>
        <w:snapToGrid w:val="0"/>
        <w:spacing w:line="520" w:lineRule="exact"/>
        <w:ind w:firstLine="484" w:firstLineChars="200"/>
        <w:rPr>
          <w:rFonts w:hAnsi="宋体" w:cs="宋体"/>
          <w:sz w:val="24"/>
          <w:szCs w:val="24"/>
        </w:rPr>
      </w:pPr>
      <w:r>
        <w:rPr>
          <w:rFonts w:hint="eastAsia" w:hAnsi="宋体" w:cs="宋体"/>
          <w:sz w:val="24"/>
          <w:szCs w:val="24"/>
        </w:rPr>
        <w:t>电话：</w:t>
      </w:r>
      <w:r>
        <w:rPr>
          <w:rFonts w:hint="eastAsia" w:ascii="宋体" w:hAnsi="宋体" w:cs="宋体"/>
          <w:u w:val="single"/>
        </w:rPr>
        <w:t xml:space="preserve"> </w:t>
      </w:r>
      <w:r>
        <w:rPr>
          <w:rFonts w:ascii="宋体" w:hAnsi="宋体" w:cs="宋体"/>
          <w:u w:val="single"/>
        </w:rPr>
        <w:t xml:space="preserve">                                   </w:t>
      </w:r>
      <w:r>
        <w:rPr>
          <w:rFonts w:hint="eastAsia" w:hAnsi="宋体" w:cs="宋体"/>
          <w:sz w:val="24"/>
          <w:szCs w:val="24"/>
        </w:rPr>
        <w:t>电话：</w:t>
      </w:r>
      <w:r>
        <w:rPr>
          <w:rFonts w:hint="eastAsia" w:ascii="宋体" w:hAnsi="宋体" w:cs="宋体"/>
          <w:u w:val="single"/>
        </w:rPr>
        <w:t xml:space="preserve"> </w:t>
      </w:r>
      <w:r>
        <w:rPr>
          <w:rFonts w:ascii="宋体" w:hAnsi="宋体" w:cs="宋体"/>
          <w:u w:val="single"/>
        </w:rPr>
        <w:t xml:space="preserve">                         </w:t>
      </w:r>
    </w:p>
    <w:p w14:paraId="693EF524">
      <w:pPr>
        <w:snapToGrid w:val="0"/>
        <w:spacing w:line="520" w:lineRule="exact"/>
        <w:ind w:firstLine="484" w:firstLineChars="200"/>
        <w:rPr>
          <w:rFonts w:hAnsi="宋体" w:cs="宋体"/>
          <w:sz w:val="24"/>
          <w:szCs w:val="24"/>
        </w:rPr>
      </w:pPr>
      <w:r>
        <w:rPr>
          <w:rFonts w:hint="eastAsia" w:hAnsi="宋体" w:cs="宋体"/>
          <w:sz w:val="24"/>
          <w:szCs w:val="24"/>
        </w:rPr>
        <w:t xml:space="preserve">开户银行： </w:t>
      </w:r>
      <w:r>
        <w:rPr>
          <w:rFonts w:ascii="宋体" w:hAnsi="宋体" w:cs="宋体"/>
          <w:u w:val="single"/>
        </w:rPr>
        <w:t xml:space="preserve">                                </w:t>
      </w:r>
      <w:r>
        <w:rPr>
          <w:rFonts w:hAnsi="宋体" w:cs="宋体"/>
          <w:sz w:val="24"/>
          <w:szCs w:val="24"/>
        </w:rPr>
        <w:t xml:space="preserve">  </w:t>
      </w:r>
      <w:r>
        <w:rPr>
          <w:rFonts w:hint="eastAsia" w:hAnsi="宋体" w:cs="宋体"/>
          <w:sz w:val="24"/>
          <w:szCs w:val="24"/>
        </w:rPr>
        <w:t>开户银行：</w:t>
      </w:r>
      <w:r>
        <w:rPr>
          <w:rFonts w:ascii="宋体" w:hAnsi="宋体" w:cs="宋体"/>
          <w:u w:val="single"/>
        </w:rPr>
        <w:t xml:space="preserve">                                </w:t>
      </w:r>
    </w:p>
    <w:p w14:paraId="172D5403">
      <w:pPr>
        <w:snapToGrid w:val="0"/>
        <w:spacing w:line="520" w:lineRule="exact"/>
        <w:ind w:firstLine="484" w:firstLineChars="200"/>
        <w:rPr>
          <w:rFonts w:hAnsi="宋体" w:cs="宋体"/>
          <w:bCs/>
          <w:spacing w:val="20"/>
          <w:sz w:val="24"/>
          <w:szCs w:val="24"/>
        </w:rPr>
      </w:pPr>
      <w:r>
        <w:rPr>
          <w:rFonts w:hint="eastAsia" w:hAnsi="宋体" w:cs="宋体"/>
          <w:sz w:val="24"/>
          <w:szCs w:val="24"/>
        </w:rPr>
        <w:t>账号：</w:t>
      </w:r>
      <w:r>
        <w:rPr>
          <w:rFonts w:ascii="宋体" w:hAnsi="宋体" w:cs="宋体"/>
          <w:u w:val="single"/>
        </w:rPr>
        <w:t xml:space="preserve">                                </w:t>
      </w:r>
      <w:r>
        <w:rPr>
          <w:rFonts w:hAnsi="宋体" w:cs="宋体"/>
          <w:sz w:val="24"/>
          <w:szCs w:val="24"/>
        </w:rPr>
        <w:t xml:space="preserve">       </w:t>
      </w:r>
      <w:r>
        <w:rPr>
          <w:rFonts w:hint="eastAsia" w:hAnsi="宋体" w:cs="宋体"/>
          <w:sz w:val="24"/>
          <w:szCs w:val="24"/>
        </w:rPr>
        <w:t>账号：</w:t>
      </w:r>
      <w:r>
        <w:rPr>
          <w:rFonts w:ascii="宋体" w:hAnsi="宋体" w:cs="宋体"/>
          <w:u w:val="single"/>
        </w:rPr>
        <w:t xml:space="preserve">                                </w:t>
      </w:r>
    </w:p>
    <w:p w14:paraId="61A0DFE3">
      <w:pPr>
        <w:pStyle w:val="3"/>
        <w:numPr>
          <w:ilvl w:val="0"/>
          <w:numId w:val="0"/>
        </w:numPr>
        <w:spacing w:line="500" w:lineRule="exact"/>
        <w:jc w:val="center"/>
        <w:rPr>
          <w:rFonts w:asciiTheme="minorEastAsia" w:hAnsiTheme="minorEastAsia" w:eastAsiaTheme="minorEastAsia"/>
          <w:sz w:val="30"/>
          <w:szCs w:val="30"/>
        </w:rPr>
      </w:pPr>
      <w:bookmarkStart w:id="19" w:name="_Toc517881184"/>
      <w:bookmarkStart w:id="20" w:name="_Toc517881074"/>
      <w:bookmarkStart w:id="21" w:name="_Toc73383432"/>
      <w:bookmarkStart w:id="22" w:name="_Toc499722982"/>
      <w:r>
        <w:rPr>
          <w:rFonts w:asciiTheme="minorEastAsia" w:hAnsiTheme="minorEastAsia" w:eastAsiaTheme="minorEastAsia"/>
          <w:sz w:val="32"/>
          <w:szCs w:val="30"/>
        </w:rPr>
        <w:t>第</w:t>
      </w:r>
      <w:r>
        <w:rPr>
          <w:rFonts w:hint="eastAsia" w:asciiTheme="minorEastAsia" w:hAnsiTheme="minorEastAsia" w:eastAsiaTheme="minorEastAsia"/>
          <w:sz w:val="32"/>
          <w:szCs w:val="30"/>
        </w:rPr>
        <w:t>七</w:t>
      </w:r>
      <w:r>
        <w:rPr>
          <w:rFonts w:asciiTheme="minorEastAsia" w:hAnsiTheme="minorEastAsia" w:eastAsiaTheme="minorEastAsia"/>
          <w:sz w:val="32"/>
          <w:szCs w:val="30"/>
        </w:rPr>
        <w:t>章</w:t>
      </w:r>
      <w:r>
        <w:rPr>
          <w:rFonts w:hint="eastAsia" w:asciiTheme="minorEastAsia" w:hAnsiTheme="minorEastAsia" w:eastAsiaTheme="minorEastAsia"/>
          <w:sz w:val="32"/>
          <w:szCs w:val="30"/>
        </w:rPr>
        <w:t xml:space="preserve"> 需要落实的政府采购政策</w:t>
      </w:r>
      <w:bookmarkEnd w:id="19"/>
      <w:bookmarkEnd w:id="20"/>
      <w:bookmarkEnd w:id="21"/>
      <w:bookmarkEnd w:id="22"/>
    </w:p>
    <w:p w14:paraId="5E76673F">
      <w:pPr>
        <w:pStyle w:val="54"/>
        <w:rPr>
          <w:b/>
          <w:bCs/>
        </w:rPr>
      </w:pPr>
      <w:r>
        <w:rPr>
          <w:rFonts w:hint="eastAsia" w:cs="宋体" w:asciiTheme="minorEastAsia" w:hAnsiTheme="minorEastAsia" w:eastAsiaTheme="minorEastAsia"/>
          <w:b/>
          <w:sz w:val="28"/>
          <w:szCs w:val="28"/>
        </w:rPr>
        <w:t xml:space="preserve">  </w:t>
      </w:r>
      <w:r>
        <w:rPr>
          <w:rFonts w:hint="eastAsia" w:cs="宋体" w:asciiTheme="minorEastAsia" w:hAnsiTheme="minorEastAsia" w:eastAsiaTheme="minorEastAsia"/>
          <w:b/>
          <w:szCs w:val="24"/>
        </w:rPr>
        <w:t xml:space="preserve">  </w:t>
      </w:r>
      <w:r>
        <w:t>7</w:t>
      </w:r>
      <w:r>
        <w:rPr>
          <w:rFonts w:hint="eastAsia"/>
        </w:rPr>
        <w:t>.1</w:t>
      </w:r>
      <w:r>
        <w:rPr>
          <w:rFonts w:hint="eastAsia"/>
          <w:dstrike/>
        </w:rPr>
        <w:t>根据财政部、工业和信息化部关于印发《政府采购促进中小企业发展管理办法》的通知 财库〔2020〕46号文件及财政部印发通知 进一步加大政府采购支持中小企业力度财库〔2022〕19号文件规定，对符合本办法规定的小微企业，货物服务采购项目给予小微企业的价格10%—20%扣除优惠，工程项目为3%--5%的扣除优惠。大中型企业与小微企业组成联合体或者大中型企业向小微企业分包的，评审优惠4%—6%。项目采购如为货物服务采购项目的，对符合政策规定的小微企业报价给予10%的扣除；为工程项目的，报价给予4%扣除；为大中型企业与小微企业组成联合体或者大中型企业向小微企业分包的，报价给予4%扣除；</w:t>
      </w:r>
      <w:r>
        <w:rPr>
          <w:rFonts w:hint="eastAsia"/>
          <w:b/>
          <w:bCs/>
        </w:rPr>
        <w:t>本次项目专门面向中小企业采购，价格不再进行扣除。</w:t>
      </w:r>
    </w:p>
    <w:p w14:paraId="2463C95D">
      <w:pPr>
        <w:pStyle w:val="54"/>
        <w:ind w:firstLine="484" w:firstLineChars="200"/>
        <w:rPr>
          <w:b/>
        </w:rPr>
      </w:pPr>
      <w:r>
        <w:t>7</w:t>
      </w:r>
      <w:r>
        <w:rPr>
          <w:rFonts w:hint="eastAsia"/>
        </w:rPr>
        <w:t>.2根据【黔财采〔2014〕15号】文件规定，对原产地在少数民族自治区和享受少数民族自治待遇的省份的投标主产品（不含附带产品），享受政策性加分，在经专家综合评审后的总得分基础上，加上3分。①少数民族自治区是：内蒙古自治区、新疆维吾尔自治区、宁夏回族自治区、广西壮族自治区、西藏自治区；②享受少数民族自治待遇的省份是:青海、云南、贵州；投标主产品不得低于本次采购预算的50%，否则不得加分，产品50％以上以供应商自身提供的证明材料进行确认。</w:t>
      </w:r>
    </w:p>
    <w:p w14:paraId="3F5DD756">
      <w:pPr>
        <w:pStyle w:val="54"/>
        <w:ind w:firstLine="484" w:firstLineChars="200"/>
        <w:rPr>
          <w:b/>
        </w:rPr>
      </w:pPr>
      <w:r>
        <w:t>7</w:t>
      </w:r>
      <w:r>
        <w:rPr>
          <w:rFonts w:hint="eastAsia"/>
        </w:rPr>
        <w:t>.3根据【财库〔2014〕68号】文件规定,在政府采购活动中，监狱企业视同小型、微型企业，享受预留份额、评审中价格扣除等政府采购促进中小企业发展的政府采购政策。向监狱企业采购的金额，计入面向中小企业采购的统计数据。</w:t>
      </w:r>
    </w:p>
    <w:p w14:paraId="4663795B">
      <w:pPr>
        <w:pStyle w:val="54"/>
        <w:rPr>
          <w:b/>
        </w:rPr>
      </w:pPr>
      <w:r>
        <w:rPr>
          <w:rFonts w:hint="eastAsia"/>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2E57EBB">
      <w:pPr>
        <w:pStyle w:val="54"/>
        <w:ind w:firstLine="484" w:firstLineChars="200"/>
        <w:rPr>
          <w:b/>
        </w:rPr>
      </w:pPr>
      <w:r>
        <w:t>7</w:t>
      </w:r>
      <w:r>
        <w:rPr>
          <w:rFonts w:hint="eastAsia"/>
        </w:rPr>
        <w:t>.4根据【财库〔2017〕141号】文件规定，对残疾人福利性单位产品参与投标享受相应优惠，应当同时满足以下条件：</w:t>
      </w:r>
    </w:p>
    <w:p w14:paraId="02EA1CD6">
      <w:pPr>
        <w:pStyle w:val="54"/>
        <w:ind w:firstLine="484" w:firstLineChars="200"/>
        <w:rPr>
          <w:b/>
        </w:rPr>
      </w:pPr>
      <w:r>
        <w:rPr>
          <w:rFonts w:hint="eastAsia"/>
        </w:rPr>
        <w:t>①安置的残疾人占本单位在职职工人数的比例不低于25%（含25%），并且安置的残疾人人数不少于10人（含10人）；</w:t>
      </w:r>
    </w:p>
    <w:p w14:paraId="7822D695">
      <w:pPr>
        <w:pStyle w:val="54"/>
        <w:ind w:firstLine="484" w:firstLineChars="200"/>
        <w:rPr>
          <w:b/>
        </w:rPr>
      </w:pPr>
      <w:r>
        <w:rPr>
          <w:rFonts w:hint="eastAsia"/>
        </w:rPr>
        <w:t>②依法与安置的每位残疾人签订了一年以上（含一年）的劳动合同或服务协议；</w:t>
      </w:r>
    </w:p>
    <w:p w14:paraId="3D60AA15">
      <w:pPr>
        <w:pStyle w:val="54"/>
        <w:ind w:firstLine="484" w:firstLineChars="200"/>
        <w:rPr>
          <w:b/>
        </w:rPr>
      </w:pPr>
      <w:r>
        <w:rPr>
          <w:rFonts w:hint="eastAsia"/>
        </w:rPr>
        <w:t>③为安置的每位残疾人按月足额缴纳了基本养老保险、基本医疗保险、失业保险、工伤保险和生育保险等社会保险费；</w:t>
      </w:r>
    </w:p>
    <w:p w14:paraId="0F5612B4">
      <w:pPr>
        <w:pStyle w:val="54"/>
        <w:ind w:firstLine="484" w:firstLineChars="200"/>
        <w:rPr>
          <w:b/>
        </w:rPr>
      </w:pPr>
      <w:r>
        <w:rPr>
          <w:rFonts w:hint="eastAsia"/>
        </w:rPr>
        <w:t>④通过银行等金融机构向安置的每位残疾人，按月支付了不低于单位所在区县适用的经省级人民政府批准的月最低工资标准的工资；</w:t>
      </w:r>
    </w:p>
    <w:p w14:paraId="7ECCDCC3">
      <w:pPr>
        <w:pStyle w:val="54"/>
        <w:ind w:firstLine="484" w:firstLineChars="200"/>
        <w:rPr>
          <w:b/>
        </w:rPr>
      </w:pPr>
      <w:r>
        <w:rPr>
          <w:rFonts w:hint="eastAsia"/>
        </w:rPr>
        <w:t>⑤提供本单位制造的货物、承担的工程或者服务（以下简称产品），或者提供其他残疾人福利性单位制造的货物（不包括使用非残疾人福利性单位注册商标的货物）。</w:t>
      </w:r>
    </w:p>
    <w:p w14:paraId="223FCE08">
      <w:pPr>
        <w:pStyle w:val="54"/>
        <w:ind w:firstLine="726" w:firstLineChars="300"/>
        <w:rPr>
          <w:b/>
        </w:rPr>
      </w:pPr>
      <w:r>
        <w:rPr>
          <w:rFonts w:hint="eastAsi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8DD95C">
      <w:pPr>
        <w:pStyle w:val="54"/>
        <w:rPr>
          <w:b/>
        </w:rPr>
      </w:pPr>
      <w:r>
        <w:rPr>
          <w:rFonts w:hint="eastAsia"/>
        </w:rPr>
        <w:t xml:space="preserve">    符合条件的残疾人福利性单位在参加政府采购活动时，应当提供《残疾人福利性单位声明函》，并对声明的真实性负责。任何单位或者个人在政府采购活动中均不得要求残疾人福利性单位提供其他证明声明函内容的材料。</w:t>
      </w:r>
    </w:p>
    <w:p w14:paraId="393CFF03">
      <w:pPr>
        <w:pStyle w:val="54"/>
        <w:rPr>
          <w:b/>
        </w:rPr>
      </w:pPr>
      <w:r>
        <w:rPr>
          <w:rFonts w:hint="eastAsia"/>
        </w:rPr>
        <w:t xml:space="preserve">     供应商提供的《残疾人福利性单位声明函》与事实不符的，依照《政府采购法》第七十七条第一款的规定追究法律责任。</w:t>
      </w:r>
    </w:p>
    <w:p w14:paraId="0CE86B75">
      <w:pPr>
        <w:pStyle w:val="54"/>
        <w:rPr>
          <w:b/>
        </w:rPr>
      </w:pPr>
      <w:r>
        <w:rPr>
          <w:rFonts w:hint="eastAsia"/>
        </w:rPr>
        <w:t xml:space="preserve">     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3C2EC945">
      <w:pPr>
        <w:pStyle w:val="54"/>
        <w:ind w:firstLine="484" w:firstLineChars="200"/>
        <w:rPr>
          <w:b/>
        </w:rPr>
      </w:pPr>
      <w:r>
        <w:t>7</w:t>
      </w:r>
      <w:r>
        <w:rPr>
          <w:rFonts w:hint="eastAsia"/>
        </w:rPr>
        <w:t>.5根据财库〔20</w:t>
      </w:r>
      <w:r>
        <w:t>19</w:t>
      </w:r>
      <w:r>
        <w:rPr>
          <w:rFonts w:hint="eastAsia"/>
        </w:rPr>
        <w:t>〕9号 财政部关于调整优化节能产品、环境标志产品政府采购执行机制的通知和财库〔20</w:t>
      </w:r>
      <w:r>
        <w:t>19</w:t>
      </w:r>
      <w:r>
        <w:rPr>
          <w:rFonts w:hint="eastAsia"/>
        </w:rPr>
        <w:t>〕19号关于印发节能产品政府采购品目清单的通知，优先购买节能产品政府采购品目清单内的产品。</w:t>
      </w:r>
    </w:p>
    <w:p w14:paraId="4F20EA22">
      <w:pPr>
        <w:widowControl/>
        <w:jc w:val="left"/>
        <w:rPr>
          <w:rFonts w:ascii="Arial" w:hAnsi="Arial" w:eastAsia="黑体"/>
          <w:sz w:val="32"/>
          <w:szCs w:val="32"/>
        </w:rPr>
      </w:pPr>
      <w:r>
        <w:rPr>
          <w:b/>
          <w:bCs/>
        </w:rPr>
        <w:br w:type="page"/>
      </w:r>
    </w:p>
    <w:p w14:paraId="1E7A8388">
      <w:pPr>
        <w:pStyle w:val="4"/>
        <w:jc w:val="center"/>
        <w:rPr>
          <w:b w:val="0"/>
          <w:bCs w:val="0"/>
        </w:rPr>
      </w:pPr>
      <w:r>
        <w:rPr>
          <w:rFonts w:hint="eastAsia"/>
          <w:b w:val="0"/>
          <w:bCs w:val="0"/>
        </w:rPr>
        <w:t>关于印发中小企业划型标准规定的通知</w:t>
      </w:r>
    </w:p>
    <w:p w14:paraId="301EC137">
      <w:pPr>
        <w:pStyle w:val="4"/>
        <w:jc w:val="center"/>
        <w:rPr>
          <w:b w:val="0"/>
          <w:bCs w:val="0"/>
        </w:rPr>
      </w:pPr>
      <w:r>
        <w:rPr>
          <w:rFonts w:hint="eastAsia"/>
          <w:b w:val="0"/>
          <w:bCs w:val="0"/>
        </w:rPr>
        <w:t>（工信部联企业【2011】300 号）</w:t>
      </w:r>
    </w:p>
    <w:p w14:paraId="52D0C383">
      <w:pPr>
        <w:spacing w:line="360" w:lineRule="auto"/>
      </w:pPr>
      <w:r>
        <w:rPr>
          <w:rFonts w:hint="eastAsia"/>
        </w:rPr>
        <w:t>一、根据《中华人民共和国中小企业促进法》和《国务院关于进一步促进中小企业发展的若干意见》(国发〔2009〕36 号)，制定本规定。</w:t>
      </w:r>
    </w:p>
    <w:p w14:paraId="3ABCF4F5">
      <w:pPr>
        <w:spacing w:line="360" w:lineRule="auto"/>
      </w:pPr>
      <w:r>
        <w:rPr>
          <w:rFonts w:hint="eastAsia"/>
        </w:rPr>
        <w:t>二、中小企业划分为中型、小型、微型三种类型，具体标准根据企业从业人员、营业收入、资产总额等指标，结合行业特点制定。</w:t>
      </w:r>
    </w:p>
    <w:p w14:paraId="1D5CAEED">
      <w:pPr>
        <w:spacing w:line="360" w:lineRule="auto"/>
      </w:pPr>
      <w:r>
        <w:rPr>
          <w:rFonts w:hint="eastAsia"/>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C03B45D">
      <w:pPr>
        <w:spacing w:line="360" w:lineRule="auto"/>
      </w:pPr>
      <w:r>
        <w:rPr>
          <w:rFonts w:hint="eastAsia"/>
        </w:rPr>
        <w:t>四、各行业划型标准为：</w:t>
      </w:r>
    </w:p>
    <w:p w14:paraId="37144A5D">
      <w:pPr>
        <w:spacing w:line="360" w:lineRule="auto"/>
      </w:pPr>
      <w:r>
        <w:rPr>
          <w:rFonts w:hint="eastAsia"/>
        </w:rPr>
        <w:t>（一）农、林、牧、渔业。营业收入 20000 万元以下的为中小微型企业。其中， 营业收入 500 万元及以上的为中型企业，营业收入 50 万元及以上的为小型企业，营业收入50 万元以下的为微型企业。</w:t>
      </w:r>
    </w:p>
    <w:p w14:paraId="3613F606">
      <w:pPr>
        <w:spacing w:line="360" w:lineRule="auto"/>
      </w:pPr>
      <w:r>
        <w:rPr>
          <w:rFonts w:hint="eastAsia"/>
        </w:rPr>
        <w:t>（二）工业。从业人员 1000 人以下或营业收入 40000 万元以下的为中小微型企业。其中，从业人员 300 人及以上，且营业收入 2000 万元及以上的为中型企业；从业人员20 人及以上，且营业收入 300 万元及以上的为小型企业；从业人员 20 人以下或营业收入 300 万元以下的为微型企业。</w:t>
      </w:r>
    </w:p>
    <w:p w14:paraId="029E9777">
      <w:pPr>
        <w:spacing w:line="360" w:lineRule="auto"/>
      </w:pPr>
      <w:r>
        <w:rPr>
          <w:rFonts w:hint="eastAsia"/>
        </w:rPr>
        <w:t>（三）建筑业。营业收入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w:t>
      </w:r>
    </w:p>
    <w:p w14:paraId="74289768">
      <w:pPr>
        <w:spacing w:line="360" w:lineRule="auto"/>
      </w:pPr>
      <w:r>
        <w:rPr>
          <w:rFonts w:hint="eastAsia"/>
        </w:rPr>
        <w:t>（四）批发业。从业人员 200 人以下或营业收入 40000 万元以下的为中小微型企业。其中，从业人员 20 人及以上，且营业收入 5000 万元及以上的为中型企业；从业人员 5人及以上，且营业收入 1000 万元及以上的为小型企业；从业人员 5 人以下或营业收入1000 万元以下的为微型企业。</w:t>
      </w:r>
    </w:p>
    <w:p w14:paraId="436EF4D3">
      <w:pPr>
        <w:spacing w:line="360" w:lineRule="auto"/>
      </w:pPr>
      <w:r>
        <w:rPr>
          <w:rFonts w:hint="eastAsia"/>
        </w:rPr>
        <w:t>（五）零售业。从业人员 300 人以下或营业收入 20000 万元以下的为中小微型企 业。其中，从业人员 50 人及以上，且营业收入 500 万元及以上的为中型企业；从业人员 10人及以上，且营业收入 100 万元及以上的为小型企业；从业人员 10 人以下或营业收入100 万元以下的为微型企业。</w:t>
      </w:r>
    </w:p>
    <w:p w14:paraId="119F68ED">
      <w:pPr>
        <w:spacing w:line="360" w:lineRule="auto"/>
      </w:pPr>
      <w:r>
        <w:rPr>
          <w:rFonts w:hint="eastAsia"/>
        </w:rPr>
        <w:t>（六）交通运输业。从业人员 1000 人以下或营业收入 30000 万元以下的为中小微型企业。其中，从业人员 300 人及以上，且营业收入 3000 万元及以上的为中型企业； 从业人员 20 人及以上，且营业收入 200 万元及以上的为小型企业；从业人员 20 人以下或营业收入 200 万元以下的为微型企业。</w:t>
      </w:r>
    </w:p>
    <w:p w14:paraId="6AEA3E9D">
      <w:pPr>
        <w:spacing w:line="360" w:lineRule="auto"/>
      </w:pPr>
      <w:r>
        <w:rPr>
          <w:rFonts w:hint="eastAsia"/>
        </w:rPr>
        <w:t>（七）仓储业。从业人员 200 人以下或营业收入 30000 万元以下的为中小微型企 业。其中，从业人员 100 人及以上，且营业收入 1000 万元及以上的为中型企业；从业人员20 人及以上，且营业收入 100 万元及以上的为小型企业；从业人员 20 人以下或营业收入 100 万元以下的为微型企业。</w:t>
      </w:r>
    </w:p>
    <w:p w14:paraId="799B6ACC">
      <w:pPr>
        <w:spacing w:line="360" w:lineRule="auto"/>
      </w:pPr>
      <w:r>
        <w:rPr>
          <w:rFonts w:hint="eastAsia"/>
        </w:rPr>
        <w:t>（八）邮政业。从业人员 1000 人以下或营业收入 30000 万元以下的为中小微型企业。其中，从业人员 300 人及以上，且营业收入 2000 万元及以上的为中型企业；从业人员20 人及以上，且营业收入 100 万元及以上的为小型企业；从业人员 20 人以下或营业收入 100 万元以下的为微型企业。</w:t>
      </w:r>
    </w:p>
    <w:p w14:paraId="33F18079">
      <w:pPr>
        <w:spacing w:line="360" w:lineRule="auto"/>
      </w:pPr>
      <w:r>
        <w:rPr>
          <w:rFonts w:hint="eastAsia"/>
        </w:rPr>
        <w:t>（九）住宿业。从业人员 300 人以下或营业收入 10000 万元以下的为中小微型企 业。其中，从业人员 100 人及以上，且营业收入 2000 万元及以上的为中型企业；从业人员10 人及以上，且营业收入 100 万元及以上的为小型企业；从业人员 10 人以下或营业收入 100 万元以下的为微型企业。</w:t>
      </w:r>
    </w:p>
    <w:p w14:paraId="291B74A2">
      <w:pPr>
        <w:spacing w:line="360" w:lineRule="auto"/>
      </w:pPr>
      <w:r>
        <w:rPr>
          <w:rFonts w:hint="eastAsia"/>
        </w:rPr>
        <w:t>（十）餐饮业。从业人员 300 人以下或营业收入 10000 万元以下的为中小微型企 业。其中，从业人员 100 人及以上，且营业收入 2000 万元及以上的为中型企业；从业人员10 人及以上，且营业收入 100 万元及以上的为小型企业；从业人员 10 人以下或营业收入 100 万元以下的为微型企业。</w:t>
      </w:r>
    </w:p>
    <w:p w14:paraId="05C23432">
      <w:pPr>
        <w:spacing w:line="360" w:lineRule="auto"/>
      </w:pPr>
      <w:r>
        <w:rPr>
          <w:rFonts w:hint="eastAsia"/>
        </w:rPr>
        <w:t>（十一）信息传输业。从业人员 2000 人以下或营业收入 100000 万元以下的为中小微型企业。其中，从业人员 100 人及以上，且营业收入 1000 万元及以上的为中型企业；从业人员 10 人及以上，且营业收入 100 万元及以上的为小型企业；从业人员 10 人以下或营业收入 100 万元以下的为微型企业。</w:t>
      </w:r>
    </w:p>
    <w:p w14:paraId="6E2AA5DF">
      <w:pPr>
        <w:spacing w:line="360" w:lineRule="auto"/>
      </w:pPr>
      <w:r>
        <w:rPr>
          <w:rFonts w:hint="eastAsia"/>
        </w:rPr>
        <w:t>（十二）软件和信息技术服务业。从业人员 300 人以下或营业收入 10000 万元以下的为中小微型企业。其中，从业人员 100 人及以上，且营业收入 1000 万元及以上的为中型企业；从业人员 10 人及以上，且营业收入 50 万元及以上的为小型企业；从业 人员10 人以下或营业收入 50 万元以下的为微型企业。</w:t>
      </w:r>
    </w:p>
    <w:p w14:paraId="31A515E2">
      <w:pPr>
        <w:spacing w:line="360" w:lineRule="auto"/>
      </w:pPr>
      <w:r>
        <w:rPr>
          <w:rFonts w:hint="eastAsia"/>
        </w:rPr>
        <w:t>（十三）房地产开发经营。营业收入 200000 万元以下或资产总额 10000 万元以下的为中小微型企业。其中，营业收入 1000 万元及以上，且资产总额 5000 万元及以上 的为中型企业；营业收入 100 万元及以上，且资产总额 2000 万元及以上的为小型企 业；营业收入 100 万元以下或资产总额 2000 万元以下的为微型企业。</w:t>
      </w:r>
    </w:p>
    <w:p w14:paraId="657ADDD0">
      <w:pPr>
        <w:spacing w:line="360" w:lineRule="auto"/>
      </w:pPr>
      <w:r>
        <w:rPr>
          <w:rFonts w:hint="eastAsia"/>
        </w:rPr>
        <w:t>（十四）物业管理。从业人员 1000 人以下或营业收入 5000 万元以下的为中小微 型企业。其中，从业人员 300 人及以上，且营业收入 1000 万元及以上的为中型企业； 从业人员 100 人及以上，且营业收入 500 万元及以上的为小型企业；从业人员 100 人以下或营业收入 500 万元以下的为微型企业。</w:t>
      </w:r>
    </w:p>
    <w:p w14:paraId="3764F3AB">
      <w:pPr>
        <w:spacing w:line="360" w:lineRule="auto"/>
      </w:pPr>
      <w:r>
        <w:rPr>
          <w:rFonts w:hint="eastAsia"/>
        </w:rPr>
        <w:t>（十五）租赁和商务服务业。从业人员 300 人以下或资产总额 120000 万元以下的为中小微型企业。其中，从业人员 100 人及以上，且资产总额 8000 万元及以上的为中型企业；从业人员 10 人及以上，且资产总额 100 万元及以上的为小型企业；从业人员 10 人以下或资产总额 100 万元以下的为微型企业。</w:t>
      </w:r>
    </w:p>
    <w:p w14:paraId="1EDF9EC5">
      <w:pPr>
        <w:spacing w:line="360" w:lineRule="auto"/>
      </w:pPr>
      <w:r>
        <w:rPr>
          <w:rFonts w:hint="eastAsia"/>
        </w:rPr>
        <w:t>（十六）其他未列明行业。从业人员 300 人以下的为中小微型企业。其中，从业人员 100 人及以上的为中型企业；从业人员 10 人及以上的为小型企业；从业人员 10 人以下的为微型企业。</w:t>
      </w:r>
    </w:p>
    <w:p w14:paraId="4188B132">
      <w:pPr>
        <w:spacing w:line="360" w:lineRule="auto"/>
      </w:pPr>
      <w:r>
        <w:rPr>
          <w:rFonts w:hint="eastAsia"/>
        </w:rPr>
        <w:t>五、企业类型的划分以统计部门的统计数据为依据。</w:t>
      </w:r>
    </w:p>
    <w:p w14:paraId="586F6932">
      <w:pPr>
        <w:spacing w:line="360" w:lineRule="auto"/>
      </w:pPr>
      <w:r>
        <w:rPr>
          <w:rFonts w:hint="eastAsia"/>
        </w:rPr>
        <w:t>六、本规定适用于在中华人民共和国境内依法设立的各类所有制和各种组织形式的企业。个体工商户和本规定以外的行业，参照本规定进行划型。</w:t>
      </w:r>
    </w:p>
    <w:p w14:paraId="53F7FF7B">
      <w:pPr>
        <w:spacing w:line="360" w:lineRule="auto"/>
      </w:pPr>
      <w:r>
        <w:rPr>
          <w:rFonts w:hint="eastAsia"/>
        </w:rPr>
        <w:t>七、本规定的中型企业标准上限即为大型企业标准的下限，国家统计部门据此制定大中小微型企业的统计分类。国务院有关部门据此进行相关数据分析，不得制定与本规定不一致的企业划型标准。</w:t>
      </w:r>
    </w:p>
    <w:p w14:paraId="3552818F">
      <w:pPr>
        <w:spacing w:line="360" w:lineRule="auto"/>
      </w:pPr>
      <w:r>
        <w:rPr>
          <w:rFonts w:hint="eastAsia"/>
        </w:rPr>
        <w:t>八、本规定由工业和信息化部、国家统计局会同有关部门根据《国民经济行业分类》修订情况和企业发展变化情况适时修订。</w:t>
      </w:r>
    </w:p>
    <w:p w14:paraId="2868927C">
      <w:pPr>
        <w:spacing w:line="360" w:lineRule="auto"/>
      </w:pPr>
      <w:r>
        <w:rPr>
          <w:rFonts w:hint="eastAsia"/>
        </w:rPr>
        <w:t>九、本规定由工业和信息化部、国家统计局会同有关部门负责解释。</w:t>
      </w:r>
    </w:p>
    <w:p w14:paraId="39ABA59C">
      <w:pPr>
        <w:spacing w:line="360" w:lineRule="auto"/>
      </w:pPr>
      <w:r>
        <w:rPr>
          <w:rFonts w:hint="eastAsia"/>
        </w:rPr>
        <w:t>十、本规定自发布之日起执行，原国家经贸委、原国家计委、财政部和国家统计局2003 年颁布的《中小企业标准暂行规定》同时废止。</w:t>
      </w:r>
    </w:p>
    <w:p w14:paraId="4A25FA00">
      <w:pPr>
        <w:pStyle w:val="3"/>
        <w:jc w:val="center"/>
        <w:rPr>
          <w:rFonts w:cs="宋体"/>
          <w:sz w:val="32"/>
          <w:szCs w:val="32"/>
        </w:rPr>
      </w:pPr>
      <w:r>
        <w:rPr>
          <w:rFonts w:cs="宋体"/>
          <w:sz w:val="28"/>
          <w:szCs w:val="28"/>
        </w:rPr>
        <w:br w:type="page"/>
      </w:r>
      <w:bookmarkStart w:id="23" w:name="_Toc73383433"/>
      <w:bookmarkStart w:id="24" w:name="_Toc517881075"/>
      <w:bookmarkStart w:id="25" w:name="_Toc517881185"/>
      <w:r>
        <w:rPr>
          <w:rFonts w:hint="eastAsia"/>
          <w:sz w:val="32"/>
          <w:szCs w:val="32"/>
        </w:rPr>
        <w:t>第八章附件</w:t>
      </w:r>
      <w:bookmarkEnd w:id="23"/>
      <w:bookmarkEnd w:id="24"/>
      <w:bookmarkEnd w:id="25"/>
    </w:p>
    <w:p w14:paraId="03C313EB">
      <w:pPr>
        <w:pStyle w:val="4"/>
        <w:spacing w:before="0" w:after="0" w:line="500" w:lineRule="exact"/>
        <w:rPr>
          <w:rFonts w:asciiTheme="minorEastAsia" w:hAnsiTheme="minorEastAsia" w:eastAsiaTheme="minorEastAsia"/>
          <w:b w:val="0"/>
          <w:sz w:val="28"/>
          <w:szCs w:val="28"/>
        </w:rPr>
      </w:pPr>
      <w:bookmarkStart w:id="26" w:name="_Toc340220906"/>
      <w:bookmarkStart w:id="27" w:name="_Toc517881076"/>
      <w:bookmarkStart w:id="28" w:name="_Toc532292395"/>
      <w:bookmarkStart w:id="29" w:name="_Toc517881186"/>
      <w:bookmarkStart w:id="30" w:name="_Toc73383434"/>
      <w:r>
        <w:rPr>
          <w:rFonts w:hint="eastAsia" w:asciiTheme="minorEastAsia" w:hAnsiTheme="minorEastAsia" w:eastAsiaTheme="minorEastAsia"/>
          <w:b w:val="0"/>
          <w:sz w:val="28"/>
          <w:szCs w:val="28"/>
        </w:rPr>
        <w:t>附件</w:t>
      </w:r>
      <w:r>
        <w:rPr>
          <w:rFonts w:asciiTheme="minorEastAsia" w:hAnsiTheme="minorEastAsia" w:eastAsiaTheme="minorEastAsia"/>
          <w:b w:val="0"/>
          <w:sz w:val="28"/>
          <w:szCs w:val="28"/>
        </w:rPr>
        <w:t>1</w:t>
      </w:r>
      <w:r>
        <w:rPr>
          <w:rFonts w:hint="eastAsia" w:asciiTheme="minorEastAsia" w:hAnsiTheme="minorEastAsia" w:eastAsiaTheme="minorEastAsia"/>
          <w:b w:val="0"/>
          <w:sz w:val="28"/>
          <w:szCs w:val="28"/>
        </w:rPr>
        <w:t>：基础报价书（指定格式）</w:t>
      </w:r>
      <w:r>
        <w:rPr>
          <w:rFonts w:asciiTheme="minorEastAsia" w:hAnsiTheme="minorEastAsia" w:eastAsiaTheme="minorEastAsia"/>
          <w:b w:val="0"/>
          <w:sz w:val="28"/>
          <w:szCs w:val="28"/>
        </w:rPr>
        <w:t>:</w:t>
      </w:r>
      <w:bookmarkEnd w:id="26"/>
      <w:bookmarkEnd w:id="27"/>
      <w:bookmarkEnd w:id="28"/>
      <w:bookmarkEnd w:id="29"/>
      <w:bookmarkEnd w:id="30"/>
    </w:p>
    <w:p w14:paraId="3C5D6E35">
      <w:pPr>
        <w:spacing w:line="500" w:lineRule="exact"/>
        <w:jc w:val="center"/>
        <w:rPr>
          <w:rFonts w:cs="宋体" w:asciiTheme="minorEastAsia" w:hAnsiTheme="minorEastAsia" w:eastAsiaTheme="minorEastAsia"/>
          <w:b/>
          <w:sz w:val="28"/>
          <w:szCs w:val="28"/>
        </w:rPr>
      </w:pPr>
    </w:p>
    <w:p w14:paraId="0120125D">
      <w:pPr>
        <w:spacing w:line="500" w:lineRule="exact"/>
        <w:jc w:val="center"/>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基础报价书</w:t>
      </w:r>
    </w:p>
    <w:p w14:paraId="3E4338C4">
      <w:pPr>
        <w:spacing w:line="500" w:lineRule="exact"/>
        <w:jc w:val="center"/>
        <w:rPr>
          <w:rFonts w:cs="宋体" w:asciiTheme="minorEastAsia" w:hAnsiTheme="minorEastAsia" w:eastAsiaTheme="minorEastAsia"/>
          <w:sz w:val="28"/>
          <w:szCs w:val="28"/>
        </w:rPr>
      </w:pPr>
    </w:p>
    <w:p w14:paraId="37A0526D">
      <w:pPr>
        <w:spacing w:line="500" w:lineRule="exact"/>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致：毕节市七星关区杨家湾二中</w:t>
      </w:r>
    </w:p>
    <w:p w14:paraId="502976E4">
      <w:pPr>
        <w:spacing w:line="500" w:lineRule="exact"/>
        <w:ind w:firstLine="484" w:firstLineChars="200"/>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我方已收到贵单位制发的</w:t>
      </w:r>
      <w:r>
        <w:rPr>
          <w:rFonts w:hint="eastAsia" w:asciiTheme="minorEastAsia" w:hAnsiTheme="minorEastAsia" w:eastAsiaTheme="minorEastAsia"/>
          <w:b/>
          <w:kern w:val="0"/>
          <w:sz w:val="24"/>
          <w:szCs w:val="24"/>
          <w:u w:val="single"/>
        </w:rPr>
        <w:t xml:space="preserve">       </w:t>
      </w:r>
      <w:r>
        <w:rPr>
          <w:rFonts w:hint="eastAsia" w:cs="仿宋_GB2312" w:asciiTheme="minorEastAsia" w:hAnsiTheme="minorEastAsia" w:eastAsiaTheme="minorEastAsia"/>
          <w:bCs/>
          <w:sz w:val="24"/>
          <w:szCs w:val="24"/>
        </w:rPr>
        <w:t>（项目名称、项目编号）《磋商文件》，遵照《中华人民共和国政府采购法》和相关法律、法规和规章的规定以及《磋商文件》的要求作如下承诺：</w:t>
      </w:r>
    </w:p>
    <w:p w14:paraId="3492BF81">
      <w:pPr>
        <w:spacing w:line="500" w:lineRule="exact"/>
        <w:ind w:firstLine="484" w:firstLineChars="200"/>
        <w:rPr>
          <w:rFonts w:cs="仿宋_GB2312" w:asciiTheme="minorEastAsia" w:hAnsiTheme="minorEastAsia" w:eastAsiaTheme="minorEastAsia"/>
          <w:bCs/>
          <w:sz w:val="24"/>
          <w:szCs w:val="24"/>
        </w:rPr>
      </w:pPr>
      <w:r>
        <w:rPr>
          <w:rFonts w:cs="仿宋_GB2312" w:asciiTheme="minorEastAsia" w:hAnsiTheme="minorEastAsia" w:eastAsiaTheme="minorEastAsia"/>
          <w:bCs/>
          <w:sz w:val="24"/>
          <w:szCs w:val="24"/>
        </w:rPr>
        <w:t>1.</w:t>
      </w:r>
      <w:r>
        <w:rPr>
          <w:rFonts w:hint="eastAsia" w:cs="仿宋_GB2312" w:asciiTheme="minorEastAsia" w:hAnsiTheme="minorEastAsia" w:eastAsiaTheme="minorEastAsia"/>
          <w:bCs/>
          <w:sz w:val="24"/>
          <w:szCs w:val="24"/>
        </w:rPr>
        <w:t>提交电子《响应文件》1份。</w:t>
      </w:r>
    </w:p>
    <w:p w14:paraId="680DC04F">
      <w:pPr>
        <w:spacing w:line="500" w:lineRule="exact"/>
        <w:ind w:firstLine="484" w:firstLineChars="200"/>
        <w:rPr>
          <w:rFonts w:cs="仿宋_GB2312" w:asciiTheme="minorEastAsia" w:hAnsiTheme="minorEastAsia" w:eastAsiaTheme="minorEastAsia"/>
          <w:bCs/>
          <w:sz w:val="24"/>
          <w:szCs w:val="24"/>
        </w:rPr>
      </w:pPr>
      <w:r>
        <w:rPr>
          <w:rFonts w:cs="仿宋_GB2312" w:asciiTheme="minorEastAsia" w:hAnsiTheme="minorEastAsia" w:eastAsiaTheme="minorEastAsia"/>
          <w:bCs/>
          <w:sz w:val="24"/>
          <w:szCs w:val="24"/>
        </w:rPr>
        <w:t>2.</w:t>
      </w:r>
      <w:r>
        <w:rPr>
          <w:rFonts w:hint="eastAsia" w:cs="仿宋_GB2312" w:asciiTheme="minorEastAsia" w:hAnsiTheme="minorEastAsia" w:eastAsiaTheme="minorEastAsia"/>
          <w:bCs/>
          <w:sz w:val="24"/>
          <w:szCs w:val="24"/>
        </w:rPr>
        <w:t>我方愿意以小写（人民币）：</w:t>
      </w:r>
      <w:r>
        <w:rPr>
          <w:rFonts w:hint="eastAsia" w:cs="仿宋_GB2312" w:asciiTheme="minorEastAsia" w:hAnsiTheme="minorEastAsia" w:eastAsiaTheme="minorEastAsia"/>
          <w:bCs/>
          <w:sz w:val="24"/>
          <w:szCs w:val="24"/>
          <w:u w:val="single"/>
        </w:rPr>
        <w:t xml:space="preserve"> </w:t>
      </w:r>
      <w:r>
        <w:rPr>
          <w:rFonts w:cs="仿宋_GB2312" w:asciiTheme="minorEastAsia" w:hAnsiTheme="minorEastAsia" w:eastAsiaTheme="minorEastAsia"/>
          <w:bCs/>
          <w:sz w:val="24"/>
          <w:szCs w:val="24"/>
          <w:u w:val="single"/>
        </w:rPr>
        <w:t xml:space="preserve">          </w:t>
      </w:r>
      <w:r>
        <w:rPr>
          <w:rFonts w:hint="eastAsia" w:cs="仿宋_GB2312" w:asciiTheme="minorEastAsia" w:hAnsiTheme="minorEastAsia" w:eastAsiaTheme="minorEastAsia"/>
          <w:bCs/>
          <w:sz w:val="24"/>
          <w:szCs w:val="24"/>
        </w:rPr>
        <w:t>元的基础报价参加磋商</w:t>
      </w:r>
      <w:r>
        <w:rPr>
          <w:rFonts w:cs="仿宋_GB2312" w:asciiTheme="minorEastAsia" w:hAnsiTheme="minorEastAsia" w:eastAsiaTheme="minorEastAsia"/>
          <w:bCs/>
          <w:sz w:val="24"/>
          <w:szCs w:val="24"/>
        </w:rPr>
        <w:t xml:space="preserve">, </w:t>
      </w:r>
      <w:r>
        <w:rPr>
          <w:rFonts w:hint="eastAsia" w:cs="仿宋_GB2312" w:asciiTheme="minorEastAsia" w:hAnsiTheme="minorEastAsia" w:eastAsiaTheme="minorEastAsia"/>
          <w:bCs/>
          <w:sz w:val="24"/>
          <w:szCs w:val="24"/>
        </w:rPr>
        <w:t>并在磋商会上在线报出最后报价以向采购方提供全部施工服务，且完全满足《磋商文件》对标的物的施工质量、服务内容等方面的要求。如果我方成交，愿意按《磋商文件》的规定向贵单位交纳招标代理服务费。</w:t>
      </w:r>
    </w:p>
    <w:p w14:paraId="55E9AE19">
      <w:pPr>
        <w:spacing w:line="500" w:lineRule="exact"/>
        <w:ind w:firstLine="484" w:firstLineChars="200"/>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3</w:t>
      </w:r>
      <w:r>
        <w:rPr>
          <w:rFonts w:cs="仿宋_GB2312" w:asciiTheme="minorEastAsia" w:hAnsiTheme="minorEastAsia" w:eastAsiaTheme="minorEastAsia"/>
          <w:bCs/>
          <w:sz w:val="24"/>
          <w:szCs w:val="24"/>
        </w:rPr>
        <w:t>.</w:t>
      </w:r>
      <w:r>
        <w:rPr>
          <w:rFonts w:hint="eastAsia" w:cs="仿宋_GB2312" w:asciiTheme="minorEastAsia" w:hAnsiTheme="minorEastAsia" w:eastAsiaTheme="minorEastAsia"/>
          <w:bCs/>
          <w:sz w:val="24"/>
          <w:szCs w:val="24"/>
        </w:rPr>
        <w:t>如果我方成交，我方将在《磋商文件》规定的限期内与采购单位签订合同并履行相应的责任和义务。如我方因自身原因不能履行合同的，贵方将不予退还我方的履约保证金，我方将承担相应的经济和法律责任。</w:t>
      </w:r>
    </w:p>
    <w:p w14:paraId="19F8A01C">
      <w:pPr>
        <w:spacing w:line="500" w:lineRule="exact"/>
        <w:ind w:firstLine="484" w:firstLineChars="200"/>
        <w:jc w:val="left"/>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4</w:t>
      </w:r>
      <w:r>
        <w:rPr>
          <w:rFonts w:cs="仿宋_GB2312" w:asciiTheme="minorEastAsia" w:hAnsiTheme="minorEastAsia" w:eastAsiaTheme="minorEastAsia"/>
          <w:bCs/>
          <w:sz w:val="24"/>
          <w:szCs w:val="24"/>
        </w:rPr>
        <w:t>.</w:t>
      </w:r>
      <w:r>
        <w:rPr>
          <w:rFonts w:hint="eastAsia" w:cs="仿宋_GB2312" w:asciiTheme="minorEastAsia" w:hAnsiTheme="minorEastAsia" w:eastAsiaTheme="minorEastAsia"/>
          <w:bCs/>
          <w:sz w:val="24"/>
          <w:szCs w:val="24"/>
        </w:rPr>
        <w:t>我方已详细阅读了全部《磋商文件》（包括修改文件、参考资料和有关附件），我方认为《磋商文件》所有的条款是合理、公平、公正的，我们完全理解并同意放弃对这方面有不明及误解的权利。</w:t>
      </w:r>
    </w:p>
    <w:p w14:paraId="5D0C282B">
      <w:pPr>
        <w:spacing w:line="500" w:lineRule="exact"/>
        <w:ind w:firstLine="484" w:firstLineChars="200"/>
        <w:jc w:val="left"/>
      </w:pPr>
      <w:r>
        <w:rPr>
          <w:rFonts w:asciiTheme="minorEastAsia" w:hAnsiTheme="minorEastAsia" w:eastAsiaTheme="minorEastAsia"/>
          <w:sz w:val="24"/>
          <w:szCs w:val="24"/>
        </w:rPr>
        <w:pict>
          <v:line id="Line 6" o:spid="_x0000_s2050" o:spt="20" style="position:absolute;left:0pt;margin-left:369pt;margin-top:22.55pt;height:0.05pt;width:0.05pt;z-index:251659264;mso-width-relative:page;mso-height-relative:page;" coordsize="21600,21600" o:gfxdata="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3WIA3WAAAACQEAAA8AAAAAAAAAAQAgAAAAIgAAAGRy&#10;cy9kb3ducmV2LnhtbFBLAQIUABQAAAAIAIdO4kDsxuUkzgEAAMsDAAAOAAAAAAAAAAEAIAAAACUB&#10;AABkcnMvZTJvRG9jLnhtbFBLBQYAAAAABgAGAFkBAABlBQAAAAA=&#10;">
            <v:path arrowok="t"/>
            <v:fill focussize="0,0"/>
            <v:stroke/>
            <v:imagedata o:title=""/>
            <o:lock v:ext="edit"/>
          </v:line>
        </w:pict>
      </w:r>
      <w:r>
        <w:rPr>
          <w:rFonts w:hint="eastAsia" w:asciiTheme="minorEastAsia" w:hAnsiTheme="minorEastAsia" w:eastAsiaTheme="minorEastAsia"/>
          <w:sz w:val="24"/>
          <w:szCs w:val="24"/>
        </w:rPr>
        <w:t>5</w:t>
      </w:r>
      <w:r>
        <w:rPr>
          <w:rFonts w:cs="仿宋_GB2312" w:asciiTheme="minorEastAsia" w:hAnsiTheme="minorEastAsia" w:eastAsiaTheme="minorEastAsia"/>
          <w:bCs/>
          <w:sz w:val="24"/>
          <w:szCs w:val="24"/>
        </w:rPr>
        <w:t>.</w:t>
      </w:r>
      <w:r>
        <w:rPr>
          <w:rFonts w:hint="eastAsia" w:cs="仿宋_GB2312" w:asciiTheme="minorEastAsia" w:hAnsiTheme="minorEastAsia" w:eastAsiaTheme="minorEastAsia"/>
          <w:bCs/>
          <w:sz w:val="24"/>
          <w:szCs w:val="24"/>
        </w:rPr>
        <w:t>我方的最后报价从填报之日至合同终止期间有效，如果我方在合同终止前撤回最后报价将承担违约责任。</w:t>
      </w:r>
    </w:p>
    <w:p w14:paraId="002A510B">
      <w:pPr>
        <w:spacing w:line="500" w:lineRule="exact"/>
        <w:ind w:firstLine="3377" w:firstLineChars="1396"/>
        <w:jc w:val="right"/>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供应商全称：            （电子签章）</w:t>
      </w:r>
    </w:p>
    <w:p w14:paraId="6C1C5478">
      <w:pPr>
        <w:spacing w:line="500" w:lineRule="exact"/>
        <w:ind w:firstLine="3377" w:firstLineChars="1396"/>
        <w:jc w:val="center"/>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 xml:space="preserve">               法人代表人：            （电子签章）</w:t>
      </w:r>
    </w:p>
    <w:p w14:paraId="0CD2768B">
      <w:pPr>
        <w:spacing w:line="500" w:lineRule="exact"/>
        <w:ind w:firstLine="4418" w:firstLineChars="1826"/>
        <w:jc w:val="right"/>
        <w:rPr>
          <w:rFonts w:cs="仿宋_GB2312" w:asciiTheme="minorEastAsia" w:hAnsiTheme="minorEastAsia" w:eastAsiaTheme="minorEastAsia"/>
          <w:bCs/>
          <w:sz w:val="24"/>
          <w:szCs w:val="24"/>
        </w:rPr>
      </w:pPr>
      <w:r>
        <w:rPr>
          <w:rFonts w:hint="eastAsia" w:cs="仿宋_GB2312" w:asciiTheme="minorEastAsia" w:hAnsiTheme="minorEastAsia" w:eastAsiaTheme="minorEastAsia"/>
          <w:bCs/>
          <w:sz w:val="24"/>
          <w:szCs w:val="24"/>
        </w:rPr>
        <w:t>年   月   日</w:t>
      </w:r>
    </w:p>
    <w:p w14:paraId="6560E398">
      <w:pPr>
        <w:autoSpaceDE w:val="0"/>
        <w:autoSpaceDN w:val="0"/>
        <w:adjustRightInd w:val="0"/>
        <w:jc w:val="left"/>
        <w:rPr>
          <w:rFonts w:ascii="宋体" w:hAnsi="宋体" w:cs="TimesNewRomanPS-BoldMT"/>
          <w:b/>
          <w:bCs/>
          <w:kern w:val="0"/>
          <w:sz w:val="28"/>
          <w:szCs w:val="28"/>
        </w:rPr>
      </w:pPr>
      <w:r>
        <w:rPr>
          <w:rFonts w:asciiTheme="minorEastAsia" w:hAnsiTheme="minorEastAsia" w:eastAsiaTheme="minorEastAsia"/>
          <w:sz w:val="24"/>
          <w:szCs w:val="24"/>
        </w:rPr>
        <w:br w:type="page"/>
      </w:r>
      <w:bookmarkStart w:id="31" w:name="_Toc517881192"/>
      <w:bookmarkStart w:id="32" w:name="_Toc532292403"/>
      <w:bookmarkStart w:id="33" w:name="_Toc517881082"/>
      <w:r>
        <w:rPr>
          <w:rFonts w:hint="eastAsia" w:ascii="宋体" w:hAnsi="宋体" w:cs="宋体"/>
          <w:b/>
          <w:kern w:val="0"/>
          <w:sz w:val="28"/>
          <w:szCs w:val="28"/>
        </w:rPr>
        <w:t>附件</w:t>
      </w:r>
      <w:r>
        <w:rPr>
          <w:rFonts w:ascii="宋体" w:hAnsi="宋体" w:cs="TimesNewRomanPS-BoldMT"/>
          <w:b/>
          <w:bCs/>
          <w:kern w:val="0"/>
          <w:sz w:val="28"/>
          <w:szCs w:val="28"/>
        </w:rPr>
        <w:t>2</w:t>
      </w:r>
      <w:r>
        <w:rPr>
          <w:rFonts w:hint="eastAsia" w:ascii="宋体" w:hAnsi="宋体" w:cs="宋体"/>
          <w:b/>
          <w:kern w:val="0"/>
          <w:sz w:val="28"/>
          <w:szCs w:val="28"/>
        </w:rPr>
        <w:t>（参考格式）</w:t>
      </w:r>
      <w:r>
        <w:rPr>
          <w:rFonts w:ascii="宋体" w:hAnsi="宋体" w:cs="TimesNewRomanPS-BoldMT"/>
          <w:b/>
          <w:bCs/>
          <w:kern w:val="0"/>
          <w:sz w:val="28"/>
          <w:szCs w:val="28"/>
        </w:rPr>
        <w:t>:</w:t>
      </w:r>
    </w:p>
    <w:p w14:paraId="4E13D49A">
      <w:pPr>
        <w:spacing w:line="600" w:lineRule="exact"/>
        <w:jc w:val="center"/>
        <w:rPr>
          <w:rFonts w:hAnsi="宋体"/>
          <w:b/>
          <w:sz w:val="36"/>
          <w:szCs w:val="36"/>
        </w:rPr>
      </w:pPr>
      <w:r>
        <w:rPr>
          <w:rFonts w:hint="eastAsia" w:hAnsi="宋体"/>
          <w:b/>
          <w:sz w:val="36"/>
          <w:szCs w:val="36"/>
        </w:rPr>
        <w:t>授权委托书</w:t>
      </w:r>
    </w:p>
    <w:p w14:paraId="07D7B402">
      <w:pPr>
        <w:spacing w:line="440" w:lineRule="exact"/>
        <w:ind w:firstLine="363" w:firstLineChars="150"/>
        <w:rPr>
          <w:rFonts w:hAnsi="宋体"/>
          <w:sz w:val="24"/>
          <w:szCs w:val="24"/>
        </w:rPr>
      </w:pPr>
      <w:r>
        <w:rPr>
          <w:rFonts w:hint="eastAsia" w:hAnsi="宋体"/>
          <w:sz w:val="24"/>
          <w:szCs w:val="24"/>
        </w:rPr>
        <w:t>致：贵州星诚同创项目管理有限公司</w:t>
      </w:r>
    </w:p>
    <w:p w14:paraId="52AE4533">
      <w:pPr>
        <w:spacing w:line="360" w:lineRule="auto"/>
        <w:ind w:firstLine="484" w:firstLineChars="200"/>
        <w:rPr>
          <w:rFonts w:hAnsi="宋体" w:cs="楷体_GB2312"/>
          <w:sz w:val="24"/>
          <w:szCs w:val="24"/>
        </w:rPr>
      </w:pPr>
      <w:r>
        <w:rPr>
          <w:rFonts w:hint="eastAsia" w:hAnsi="宋体" w:cs="楷体_GB2312"/>
          <w:sz w:val="24"/>
          <w:szCs w:val="24"/>
        </w:rPr>
        <w:t>兹委派我单位</w:t>
      </w:r>
      <w:r>
        <w:rPr>
          <w:rFonts w:hint="eastAsia" w:hAnsi="宋体" w:cs="楷体_GB2312"/>
          <w:sz w:val="24"/>
          <w:szCs w:val="24"/>
          <w:u w:val="single"/>
        </w:rPr>
        <w:t xml:space="preserve"> </w:t>
      </w:r>
      <w:r>
        <w:rPr>
          <w:rFonts w:hAnsi="宋体" w:cs="楷体_GB2312"/>
          <w:sz w:val="24"/>
          <w:szCs w:val="24"/>
          <w:u w:val="single"/>
        </w:rPr>
        <w:t xml:space="preserve">     </w:t>
      </w:r>
      <w:r>
        <w:rPr>
          <w:rFonts w:hAnsi="宋体" w:cs="楷体_GB2312"/>
          <w:sz w:val="24"/>
          <w:szCs w:val="24"/>
        </w:rPr>
        <w:t xml:space="preserve"> </w:t>
      </w:r>
      <w:r>
        <w:rPr>
          <w:rFonts w:hint="eastAsia" w:hAnsi="宋体" w:cs="楷体_GB2312"/>
          <w:sz w:val="24"/>
          <w:szCs w:val="24"/>
        </w:rPr>
        <w:t>(被委托人姓名)参加贵方组织的</w:t>
      </w:r>
      <w:r>
        <w:rPr>
          <w:rFonts w:hint="eastAsia" w:asciiTheme="minorEastAsia" w:hAnsiTheme="minorEastAsia" w:eastAsiaTheme="minorEastAsia"/>
          <w:b/>
          <w:kern w:val="0"/>
          <w:sz w:val="24"/>
          <w:szCs w:val="24"/>
          <w:u w:val="single"/>
        </w:rPr>
        <w:t>七星关区杨家湾二中维修改造项目</w:t>
      </w:r>
      <w:r>
        <w:rPr>
          <w:rFonts w:hint="eastAsia" w:hAnsi="宋体" w:cs="楷体_GB2312"/>
          <w:sz w:val="24"/>
          <w:szCs w:val="24"/>
        </w:rPr>
        <w:t>(项目名称)竞争性磋商活动，全权代表我单位处理本次磋商的有关事务，本授权书于本单位盖章和法定代表人签字或盖章之日生效</w:t>
      </w:r>
      <w:r>
        <w:rPr>
          <w:rFonts w:hint="eastAsia" w:hAnsi="宋体"/>
          <w:sz w:val="24"/>
          <w:szCs w:val="24"/>
        </w:rPr>
        <w:t>。</w:t>
      </w:r>
    </w:p>
    <w:p w14:paraId="207037AA">
      <w:pPr>
        <w:spacing w:line="360" w:lineRule="auto"/>
        <w:ind w:firstLine="484" w:firstLineChars="200"/>
        <w:rPr>
          <w:rFonts w:hAnsi="宋体"/>
          <w:sz w:val="24"/>
          <w:szCs w:val="24"/>
        </w:rPr>
      </w:pPr>
      <w:r>
        <w:rPr>
          <w:rFonts w:hint="eastAsia" w:hAnsi="宋体"/>
          <w:sz w:val="24"/>
          <w:szCs w:val="24"/>
        </w:rPr>
        <w:t>附：法定代表人身份证及被委托人身份证</w:t>
      </w:r>
    </w:p>
    <w:p w14:paraId="5E941A4A"/>
    <w:p w14:paraId="79F82A43">
      <w:pPr>
        <w:spacing w:line="360" w:lineRule="auto"/>
        <w:ind w:firstLine="544" w:firstLineChars="225"/>
        <w:rPr>
          <w:rFonts w:hAnsi="宋体"/>
          <w:sz w:val="24"/>
          <w:szCs w:val="24"/>
        </w:rPr>
      </w:pPr>
    </w:p>
    <w:p w14:paraId="329C5069">
      <w:pPr>
        <w:spacing w:line="360" w:lineRule="auto"/>
        <w:ind w:firstLine="4174" w:firstLineChars="1725"/>
        <w:rPr>
          <w:rFonts w:hAnsi="宋体"/>
          <w:sz w:val="24"/>
          <w:szCs w:val="24"/>
        </w:rPr>
      </w:pPr>
    </w:p>
    <w:p w14:paraId="477CC8DF">
      <w:pPr>
        <w:spacing w:line="360" w:lineRule="auto"/>
        <w:ind w:firstLine="4174" w:firstLineChars="1725"/>
        <w:rPr>
          <w:rFonts w:hAnsi="宋体"/>
          <w:sz w:val="24"/>
          <w:szCs w:val="24"/>
        </w:rPr>
      </w:pPr>
    </w:p>
    <w:p w14:paraId="0533F345">
      <w:pPr>
        <w:spacing w:line="360" w:lineRule="auto"/>
        <w:ind w:firstLine="4174" w:firstLineChars="1725"/>
        <w:rPr>
          <w:rFonts w:hAnsi="宋体"/>
          <w:sz w:val="24"/>
          <w:szCs w:val="24"/>
        </w:rPr>
      </w:pPr>
    </w:p>
    <w:p w14:paraId="2F79E129">
      <w:pPr>
        <w:spacing w:line="360" w:lineRule="auto"/>
        <w:ind w:firstLine="4174" w:firstLineChars="1725"/>
        <w:rPr>
          <w:rFonts w:hAnsi="宋体"/>
          <w:sz w:val="24"/>
          <w:szCs w:val="24"/>
        </w:rPr>
      </w:pPr>
    </w:p>
    <w:p w14:paraId="4E7E1A5A">
      <w:pPr>
        <w:spacing w:line="360" w:lineRule="auto"/>
        <w:ind w:firstLine="4174" w:firstLineChars="1725"/>
        <w:rPr>
          <w:rFonts w:hAnsi="宋体"/>
          <w:sz w:val="24"/>
          <w:szCs w:val="24"/>
        </w:rPr>
      </w:pPr>
    </w:p>
    <w:p w14:paraId="4500AA4C">
      <w:pPr>
        <w:pStyle w:val="2"/>
        <w:rPr>
          <w:rFonts w:hAnsi="宋体"/>
          <w:color w:val="auto"/>
          <w:sz w:val="24"/>
          <w:szCs w:val="24"/>
        </w:rPr>
      </w:pPr>
    </w:p>
    <w:p w14:paraId="1A548585">
      <w:pPr>
        <w:rPr>
          <w:rFonts w:hAnsi="宋体"/>
          <w:sz w:val="24"/>
          <w:szCs w:val="24"/>
        </w:rPr>
      </w:pPr>
    </w:p>
    <w:p w14:paraId="5F7A17FD">
      <w:pPr>
        <w:pStyle w:val="2"/>
        <w:rPr>
          <w:color w:val="auto"/>
        </w:rPr>
      </w:pPr>
    </w:p>
    <w:p w14:paraId="6D66F385">
      <w:pPr>
        <w:spacing w:line="360" w:lineRule="auto"/>
        <w:ind w:firstLine="4174" w:firstLineChars="1725"/>
        <w:rPr>
          <w:rFonts w:hAnsi="宋体"/>
          <w:sz w:val="24"/>
          <w:szCs w:val="24"/>
        </w:rPr>
      </w:pPr>
    </w:p>
    <w:p w14:paraId="4B00B015">
      <w:pPr>
        <w:spacing w:line="360" w:lineRule="auto"/>
        <w:ind w:firstLine="4174" w:firstLineChars="1725"/>
        <w:rPr>
          <w:rFonts w:hAnsi="宋体"/>
          <w:sz w:val="24"/>
          <w:szCs w:val="24"/>
        </w:rPr>
      </w:pPr>
    </w:p>
    <w:p w14:paraId="2EC390A9">
      <w:pPr>
        <w:spacing w:line="360" w:lineRule="auto"/>
        <w:ind w:firstLine="4174" w:firstLineChars="1725"/>
        <w:jc w:val="right"/>
        <w:rPr>
          <w:rFonts w:hAnsi="宋体"/>
          <w:b/>
          <w:sz w:val="24"/>
          <w:szCs w:val="24"/>
          <w:u w:val="single"/>
        </w:rPr>
      </w:pPr>
      <w:r>
        <w:rPr>
          <w:rFonts w:hint="eastAsia" w:hAnsi="宋体"/>
          <w:sz w:val="24"/>
          <w:szCs w:val="24"/>
        </w:rPr>
        <w:t>法定代表人：   （</w:t>
      </w:r>
      <w:r>
        <w:rPr>
          <w:rFonts w:hint="eastAsia" w:hAnsi="宋体"/>
          <w:bCs/>
          <w:sz w:val="24"/>
          <w:szCs w:val="24"/>
        </w:rPr>
        <w:t>电子签章</w:t>
      </w:r>
      <w:r>
        <w:rPr>
          <w:rFonts w:hint="eastAsia" w:hAnsi="宋体"/>
          <w:sz w:val="24"/>
          <w:szCs w:val="24"/>
        </w:rPr>
        <w:t>）</w:t>
      </w:r>
    </w:p>
    <w:p w14:paraId="7C425122">
      <w:pPr>
        <w:spacing w:line="360" w:lineRule="auto"/>
        <w:ind w:firstLine="4658" w:firstLineChars="1925"/>
        <w:jc w:val="right"/>
        <w:rPr>
          <w:rFonts w:hAnsi="宋体"/>
          <w:sz w:val="24"/>
          <w:szCs w:val="24"/>
        </w:rPr>
      </w:pPr>
      <w:r>
        <w:rPr>
          <w:rFonts w:hint="eastAsia" w:hAnsi="宋体"/>
          <w:sz w:val="24"/>
          <w:szCs w:val="24"/>
        </w:rPr>
        <w:t>供应商全称：   （</w:t>
      </w:r>
      <w:r>
        <w:rPr>
          <w:rFonts w:hint="eastAsia" w:hAnsi="宋体"/>
          <w:bCs/>
          <w:sz w:val="24"/>
          <w:szCs w:val="24"/>
        </w:rPr>
        <w:t>电子签章</w:t>
      </w:r>
      <w:r>
        <w:rPr>
          <w:rFonts w:hint="eastAsia" w:hAnsi="宋体"/>
          <w:sz w:val="24"/>
          <w:szCs w:val="24"/>
        </w:rPr>
        <w:t>）</w:t>
      </w:r>
    </w:p>
    <w:p w14:paraId="051368EF">
      <w:pPr>
        <w:spacing w:line="360" w:lineRule="auto"/>
        <w:ind w:firstLine="5142" w:firstLineChars="2125"/>
        <w:jc w:val="right"/>
        <w:rPr>
          <w:rFonts w:hAnsi="宋体"/>
          <w:sz w:val="24"/>
          <w:szCs w:val="24"/>
        </w:rPr>
      </w:pPr>
      <w:r>
        <w:rPr>
          <w:rFonts w:hint="eastAsia" w:hAnsi="宋体"/>
          <w:sz w:val="24"/>
          <w:szCs w:val="24"/>
        </w:rPr>
        <w:t>年   月   日</w:t>
      </w:r>
    </w:p>
    <w:p w14:paraId="2BD597A5">
      <w:pPr>
        <w:autoSpaceDE w:val="0"/>
        <w:autoSpaceDN w:val="0"/>
        <w:adjustRightInd w:val="0"/>
        <w:jc w:val="right"/>
        <w:rPr>
          <w:rFonts w:ascii="宋体" w:hAnsi="宋体" w:cs="宋体"/>
          <w:b/>
          <w:kern w:val="0"/>
          <w:sz w:val="28"/>
          <w:szCs w:val="28"/>
        </w:rPr>
      </w:pPr>
    </w:p>
    <w:p w14:paraId="6727B67F">
      <w:pPr>
        <w:autoSpaceDE w:val="0"/>
        <w:autoSpaceDN w:val="0"/>
        <w:adjustRightInd w:val="0"/>
        <w:jc w:val="left"/>
        <w:rPr>
          <w:rFonts w:ascii="宋体" w:hAnsi="宋体" w:cs="宋体"/>
          <w:b/>
          <w:kern w:val="0"/>
          <w:sz w:val="28"/>
          <w:szCs w:val="28"/>
        </w:rPr>
      </w:pPr>
    </w:p>
    <w:p w14:paraId="3DCB3AE9">
      <w:pPr>
        <w:autoSpaceDE w:val="0"/>
        <w:autoSpaceDN w:val="0"/>
        <w:adjustRightInd w:val="0"/>
        <w:jc w:val="left"/>
        <w:rPr>
          <w:rFonts w:ascii="宋体" w:hAnsi="宋体" w:cs="宋体"/>
          <w:b/>
          <w:kern w:val="0"/>
          <w:sz w:val="28"/>
          <w:szCs w:val="28"/>
        </w:rPr>
      </w:pPr>
    </w:p>
    <w:p w14:paraId="0B86009A">
      <w:pPr>
        <w:autoSpaceDE w:val="0"/>
        <w:autoSpaceDN w:val="0"/>
        <w:adjustRightInd w:val="0"/>
        <w:jc w:val="left"/>
        <w:rPr>
          <w:rFonts w:ascii="宋体" w:hAnsi="宋体" w:cs="宋体"/>
          <w:b/>
          <w:kern w:val="0"/>
          <w:sz w:val="28"/>
          <w:szCs w:val="28"/>
        </w:rPr>
      </w:pPr>
    </w:p>
    <w:p w14:paraId="76ABC4E3">
      <w:pPr>
        <w:autoSpaceDE w:val="0"/>
        <w:autoSpaceDN w:val="0"/>
        <w:adjustRightInd w:val="0"/>
        <w:jc w:val="left"/>
        <w:rPr>
          <w:rFonts w:ascii="宋体" w:hAnsi="宋体" w:cs="TimesNewRomanPS-BoldMT"/>
          <w:b/>
          <w:bCs/>
          <w:kern w:val="0"/>
          <w:sz w:val="28"/>
          <w:szCs w:val="28"/>
        </w:rPr>
      </w:pPr>
      <w:r>
        <w:rPr>
          <w:rFonts w:hint="eastAsia" w:ascii="宋体" w:hAnsi="宋体" w:cs="宋体"/>
          <w:b/>
          <w:kern w:val="0"/>
          <w:sz w:val="28"/>
          <w:szCs w:val="28"/>
        </w:rPr>
        <w:t>附件</w:t>
      </w:r>
      <w:r>
        <w:rPr>
          <w:rFonts w:hint="eastAsia" w:ascii="宋体" w:hAnsi="宋体" w:cs="TimesNewRomanPS-BoldMT"/>
          <w:b/>
          <w:bCs/>
          <w:kern w:val="0"/>
          <w:sz w:val="28"/>
          <w:szCs w:val="28"/>
        </w:rPr>
        <w:t>3</w:t>
      </w:r>
      <w:r>
        <w:rPr>
          <w:rFonts w:hint="eastAsia" w:ascii="宋体" w:hAnsi="宋体" w:cs="宋体"/>
          <w:b/>
          <w:kern w:val="0"/>
          <w:sz w:val="28"/>
          <w:szCs w:val="28"/>
        </w:rPr>
        <w:t>（参考格式）</w:t>
      </w:r>
      <w:r>
        <w:rPr>
          <w:rFonts w:ascii="宋体" w:hAnsi="宋体" w:cs="TimesNewRomanPS-BoldMT"/>
          <w:b/>
          <w:bCs/>
          <w:kern w:val="0"/>
          <w:sz w:val="28"/>
          <w:szCs w:val="28"/>
        </w:rPr>
        <w:t>:</w:t>
      </w:r>
    </w:p>
    <w:p w14:paraId="2A2F5B17">
      <w:pPr>
        <w:spacing w:line="600" w:lineRule="exact"/>
        <w:jc w:val="center"/>
        <w:rPr>
          <w:rFonts w:hAnsi="宋体"/>
          <w:b/>
          <w:sz w:val="36"/>
          <w:szCs w:val="36"/>
        </w:rPr>
      </w:pPr>
      <w:r>
        <w:rPr>
          <w:rFonts w:hint="eastAsia" w:hAnsi="宋体"/>
          <w:b/>
          <w:sz w:val="36"/>
          <w:szCs w:val="36"/>
        </w:rPr>
        <w:t>法定代表人身份证明</w:t>
      </w:r>
    </w:p>
    <w:p w14:paraId="5F44C086">
      <w:pPr>
        <w:autoSpaceDE w:val="0"/>
        <w:autoSpaceDN w:val="0"/>
        <w:adjustRightInd w:val="0"/>
        <w:spacing w:line="600" w:lineRule="auto"/>
        <w:jc w:val="left"/>
        <w:rPr>
          <w:rFonts w:ascii="宋体" w:hAnsi="宋体" w:cs="宋体"/>
          <w:kern w:val="0"/>
          <w:sz w:val="24"/>
          <w:szCs w:val="24"/>
          <w:u w:val="single"/>
        </w:rPr>
      </w:pPr>
      <w:r>
        <w:rPr>
          <w:rFonts w:hint="eastAsia" w:ascii="宋体" w:hAnsi="宋体" w:cs="宋体"/>
          <w:kern w:val="0"/>
          <w:sz w:val="24"/>
          <w:szCs w:val="24"/>
        </w:rPr>
        <w:t>致：</w:t>
      </w:r>
      <w:r>
        <w:rPr>
          <w:rFonts w:hint="eastAsia" w:ascii="宋体" w:hAnsi="宋体" w:cs="宋体"/>
          <w:kern w:val="0"/>
          <w:sz w:val="24"/>
          <w:szCs w:val="24"/>
          <w:u w:val="single"/>
        </w:rPr>
        <w:t>贵州星诚同创项目管理有限公司</w:t>
      </w:r>
    </w:p>
    <w:p w14:paraId="7FB32B63">
      <w:pPr>
        <w:autoSpaceDE w:val="0"/>
        <w:autoSpaceDN w:val="0"/>
        <w:adjustRightInd w:val="0"/>
        <w:spacing w:line="600" w:lineRule="auto"/>
        <w:jc w:val="left"/>
        <w:rPr>
          <w:rFonts w:ascii="宋体" w:hAnsi="宋体" w:cs="宋体"/>
          <w:kern w:val="0"/>
          <w:sz w:val="24"/>
          <w:szCs w:val="24"/>
        </w:rPr>
      </w:pPr>
      <w:r>
        <w:rPr>
          <w:rFonts w:hint="eastAsia" w:ascii="宋体" w:hAnsi="宋体" w:cs="宋体"/>
          <w:kern w:val="0"/>
          <w:sz w:val="24"/>
          <w:szCs w:val="24"/>
        </w:rPr>
        <w:t xml:space="preserve">    供应商名称：</w:t>
      </w:r>
      <w:r>
        <w:rPr>
          <w:rFonts w:hint="eastAsia" w:ascii="宋体" w:hAnsi="宋体" w:cs="宋体"/>
          <w:kern w:val="0"/>
          <w:sz w:val="24"/>
          <w:szCs w:val="24"/>
          <w:u w:val="single"/>
        </w:rPr>
        <w:t xml:space="preserve">    </w:t>
      </w:r>
      <w:r>
        <w:rPr>
          <w:rFonts w:ascii="宋体" w:hAnsi="宋体" w:cs="宋体"/>
          <w:kern w:val="0"/>
          <w:sz w:val="24"/>
          <w:szCs w:val="24"/>
          <w:u w:val="single"/>
        </w:rPr>
        <w:t xml:space="preserve">   </w:t>
      </w:r>
      <w:r>
        <w:rPr>
          <w:rFonts w:hint="eastAsia" w:ascii="宋体" w:hAnsi="宋体" w:cs="宋体"/>
          <w:kern w:val="0"/>
          <w:sz w:val="24"/>
          <w:szCs w:val="24"/>
        </w:rPr>
        <w:t>姓名：</w:t>
      </w:r>
      <w:r>
        <w:rPr>
          <w:rFonts w:hint="eastAsia" w:ascii="宋体" w:hAnsi="宋体" w:cs="宋体"/>
          <w:kern w:val="0"/>
          <w:sz w:val="24"/>
          <w:szCs w:val="24"/>
          <w:u w:val="single"/>
        </w:rPr>
        <w:t xml:space="preserve">    </w:t>
      </w:r>
      <w:r>
        <w:rPr>
          <w:rFonts w:hint="eastAsia" w:ascii="宋体" w:hAnsi="宋体" w:cs="宋体"/>
          <w:kern w:val="0"/>
          <w:sz w:val="24"/>
          <w:szCs w:val="24"/>
        </w:rPr>
        <w:t>性别：</w:t>
      </w:r>
      <w:r>
        <w:rPr>
          <w:rFonts w:hint="eastAsia" w:ascii="宋体" w:hAnsi="宋体" w:cs="宋体"/>
          <w:kern w:val="0"/>
          <w:sz w:val="24"/>
          <w:szCs w:val="24"/>
          <w:u w:val="single"/>
        </w:rPr>
        <w:t xml:space="preserve">    </w:t>
      </w:r>
      <w:r>
        <w:rPr>
          <w:rFonts w:hint="eastAsia" w:ascii="宋体" w:hAnsi="宋体" w:cs="宋体"/>
          <w:kern w:val="0"/>
          <w:sz w:val="24"/>
          <w:szCs w:val="24"/>
        </w:rPr>
        <w:t>年龄：</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职务：</w:t>
      </w:r>
      <w:r>
        <w:rPr>
          <w:rFonts w:hint="eastAsia" w:ascii="宋体" w:hAnsi="宋体" w:cs="宋体"/>
          <w:kern w:val="0"/>
          <w:sz w:val="24"/>
          <w:szCs w:val="24"/>
          <w:u w:val="single"/>
        </w:rPr>
        <w:t xml:space="preserve">    </w:t>
      </w:r>
      <w:r>
        <w:rPr>
          <w:rFonts w:hint="eastAsia" w:ascii="宋体" w:hAnsi="宋体" w:cs="宋体"/>
          <w:kern w:val="0"/>
          <w:sz w:val="24"/>
          <w:szCs w:val="24"/>
        </w:rPr>
        <w:t>系</w:t>
      </w:r>
      <w:r>
        <w:rPr>
          <w:rFonts w:hint="eastAsia" w:ascii="宋体" w:hAnsi="宋体" w:cs="宋体"/>
          <w:kern w:val="0"/>
          <w:sz w:val="24"/>
          <w:szCs w:val="24"/>
          <w:u w:val="single"/>
        </w:rPr>
        <w:t xml:space="preserve">    （投标人名称）</w:t>
      </w:r>
      <w:r>
        <w:rPr>
          <w:rFonts w:hint="eastAsia" w:ascii="宋体" w:hAnsi="宋体" w:cs="宋体"/>
          <w:kern w:val="0"/>
          <w:sz w:val="24"/>
          <w:szCs w:val="24"/>
        </w:rPr>
        <w:t xml:space="preserve">的法定代表人。 </w:t>
      </w:r>
      <w:r>
        <w:rPr>
          <w:rFonts w:ascii="宋体" w:hAnsi="宋体" w:cs="宋体"/>
          <w:kern w:val="0"/>
          <w:sz w:val="24"/>
          <w:szCs w:val="24"/>
        </w:rPr>
        <w:t xml:space="preserve"> </w:t>
      </w:r>
    </w:p>
    <w:p w14:paraId="25BEDF2C">
      <w:pPr>
        <w:autoSpaceDE w:val="0"/>
        <w:autoSpaceDN w:val="0"/>
        <w:adjustRightInd w:val="0"/>
        <w:spacing w:line="600" w:lineRule="auto"/>
        <w:ind w:firstLine="645"/>
        <w:jc w:val="left"/>
        <w:rPr>
          <w:rFonts w:ascii="宋体" w:hAnsi="宋体" w:cs="宋体"/>
          <w:kern w:val="0"/>
          <w:sz w:val="24"/>
          <w:szCs w:val="24"/>
        </w:rPr>
      </w:pPr>
      <w:r>
        <w:rPr>
          <w:rFonts w:hint="eastAsia" w:ascii="宋体" w:hAnsi="宋体" w:cs="宋体"/>
          <w:kern w:val="0"/>
          <w:sz w:val="24"/>
          <w:szCs w:val="24"/>
        </w:rPr>
        <w:t>特此证明</w:t>
      </w:r>
    </w:p>
    <w:p w14:paraId="45716378">
      <w:pPr>
        <w:autoSpaceDE w:val="0"/>
        <w:autoSpaceDN w:val="0"/>
        <w:adjustRightInd w:val="0"/>
        <w:spacing w:line="600" w:lineRule="auto"/>
        <w:ind w:firstLine="645"/>
        <w:jc w:val="left"/>
        <w:rPr>
          <w:rFonts w:ascii="宋体" w:hAnsi="宋体" w:cs="宋体"/>
          <w:kern w:val="0"/>
          <w:sz w:val="24"/>
          <w:szCs w:val="24"/>
        </w:rPr>
      </w:pPr>
      <w:r>
        <w:rPr>
          <w:rFonts w:hint="eastAsia" w:ascii="宋体" w:hAnsi="宋体" w:cs="宋体"/>
          <w:kern w:val="0"/>
          <w:sz w:val="24"/>
          <w:szCs w:val="24"/>
        </w:rPr>
        <w:t>附法定代表人身份证正、反面扫描件</w:t>
      </w:r>
    </w:p>
    <w:p w14:paraId="3F1AF03D">
      <w:pPr>
        <w:autoSpaceDE w:val="0"/>
        <w:autoSpaceDN w:val="0"/>
        <w:adjustRightInd w:val="0"/>
        <w:spacing w:line="600" w:lineRule="auto"/>
        <w:ind w:firstLine="645"/>
        <w:jc w:val="left"/>
        <w:rPr>
          <w:rFonts w:ascii="宋体" w:hAnsi="宋体" w:cs="宋体"/>
          <w:kern w:val="0"/>
          <w:sz w:val="24"/>
          <w:szCs w:val="24"/>
        </w:rPr>
      </w:pPr>
    </w:p>
    <w:p w14:paraId="6B2F91EB">
      <w:pPr>
        <w:autoSpaceDE w:val="0"/>
        <w:autoSpaceDN w:val="0"/>
        <w:adjustRightInd w:val="0"/>
        <w:spacing w:line="600" w:lineRule="auto"/>
        <w:ind w:firstLine="645"/>
        <w:jc w:val="left"/>
        <w:rPr>
          <w:rFonts w:ascii="宋体" w:hAnsi="宋体" w:cs="宋体"/>
          <w:kern w:val="0"/>
          <w:sz w:val="24"/>
          <w:szCs w:val="24"/>
        </w:rPr>
      </w:pPr>
    </w:p>
    <w:p w14:paraId="34997DE6">
      <w:pPr>
        <w:autoSpaceDE w:val="0"/>
        <w:autoSpaceDN w:val="0"/>
        <w:adjustRightInd w:val="0"/>
        <w:spacing w:line="600" w:lineRule="auto"/>
        <w:ind w:firstLine="645"/>
        <w:jc w:val="left"/>
        <w:rPr>
          <w:rFonts w:ascii="宋体" w:hAnsi="宋体" w:cs="宋体"/>
          <w:kern w:val="0"/>
          <w:sz w:val="24"/>
          <w:szCs w:val="24"/>
        </w:rPr>
      </w:pPr>
    </w:p>
    <w:p w14:paraId="0A1E556A">
      <w:pPr>
        <w:autoSpaceDE w:val="0"/>
        <w:autoSpaceDN w:val="0"/>
        <w:adjustRightInd w:val="0"/>
        <w:spacing w:line="600" w:lineRule="auto"/>
        <w:ind w:firstLine="645"/>
        <w:jc w:val="left"/>
        <w:rPr>
          <w:rFonts w:ascii="宋体" w:hAnsi="宋体" w:cs="宋体"/>
          <w:kern w:val="0"/>
          <w:sz w:val="24"/>
          <w:szCs w:val="24"/>
        </w:rPr>
      </w:pPr>
    </w:p>
    <w:p w14:paraId="20413ABD">
      <w:pPr>
        <w:autoSpaceDE w:val="0"/>
        <w:autoSpaceDN w:val="0"/>
        <w:adjustRightInd w:val="0"/>
        <w:spacing w:line="600" w:lineRule="auto"/>
        <w:ind w:firstLine="645"/>
        <w:jc w:val="left"/>
        <w:rPr>
          <w:rFonts w:ascii="宋体" w:hAnsi="宋体" w:cs="宋体"/>
          <w:kern w:val="0"/>
          <w:sz w:val="24"/>
          <w:szCs w:val="24"/>
        </w:rPr>
      </w:pPr>
    </w:p>
    <w:p w14:paraId="1EBCD4B4">
      <w:pPr>
        <w:autoSpaceDE w:val="0"/>
        <w:autoSpaceDN w:val="0"/>
        <w:adjustRightInd w:val="0"/>
        <w:spacing w:line="600" w:lineRule="auto"/>
        <w:ind w:firstLine="645"/>
        <w:jc w:val="left"/>
        <w:rPr>
          <w:rFonts w:ascii="宋体" w:hAnsi="宋体" w:cs="宋体"/>
          <w:kern w:val="0"/>
          <w:sz w:val="24"/>
          <w:szCs w:val="24"/>
        </w:rPr>
      </w:pPr>
    </w:p>
    <w:p w14:paraId="3C974B76">
      <w:pPr>
        <w:autoSpaceDE w:val="0"/>
        <w:autoSpaceDN w:val="0"/>
        <w:adjustRightInd w:val="0"/>
        <w:spacing w:line="600" w:lineRule="auto"/>
        <w:ind w:firstLine="645"/>
        <w:jc w:val="left"/>
        <w:rPr>
          <w:rFonts w:ascii="宋体" w:hAnsi="宋体" w:cs="宋体"/>
          <w:kern w:val="0"/>
          <w:sz w:val="24"/>
          <w:szCs w:val="24"/>
        </w:rPr>
      </w:pPr>
    </w:p>
    <w:p w14:paraId="0CD6A02D">
      <w:pPr>
        <w:autoSpaceDE w:val="0"/>
        <w:autoSpaceDN w:val="0"/>
        <w:adjustRightInd w:val="0"/>
        <w:spacing w:line="600" w:lineRule="auto"/>
        <w:ind w:left="4240" w:leftChars="2000"/>
        <w:jc w:val="right"/>
        <w:rPr>
          <w:rFonts w:ascii="宋体" w:cs="宋体"/>
          <w:kern w:val="0"/>
          <w:sz w:val="24"/>
          <w:szCs w:val="24"/>
        </w:rPr>
      </w:pPr>
      <w:r>
        <w:rPr>
          <w:rFonts w:hint="eastAsia" w:ascii="宋体" w:cs="宋体"/>
          <w:kern w:val="0"/>
          <w:sz w:val="24"/>
          <w:szCs w:val="24"/>
        </w:rPr>
        <w:t>法定代表人：       （电子签章）</w:t>
      </w:r>
    </w:p>
    <w:p w14:paraId="41BB537D">
      <w:pPr>
        <w:autoSpaceDE w:val="0"/>
        <w:autoSpaceDN w:val="0"/>
        <w:adjustRightInd w:val="0"/>
        <w:spacing w:line="600" w:lineRule="auto"/>
        <w:ind w:firstLine="3630" w:firstLineChars="1500"/>
        <w:jc w:val="right"/>
        <w:rPr>
          <w:rFonts w:ascii="宋体" w:cs="宋体"/>
          <w:kern w:val="0"/>
          <w:sz w:val="24"/>
          <w:szCs w:val="24"/>
        </w:rPr>
      </w:pPr>
      <w:r>
        <w:rPr>
          <w:rFonts w:hint="eastAsia" w:ascii="宋体" w:cs="宋体"/>
          <w:kern w:val="0"/>
          <w:sz w:val="24"/>
          <w:szCs w:val="24"/>
        </w:rPr>
        <w:t>供应商全称：      （电子签章）</w:t>
      </w:r>
    </w:p>
    <w:p w14:paraId="7BC2A906">
      <w:pPr>
        <w:autoSpaceDE w:val="0"/>
        <w:autoSpaceDN w:val="0"/>
        <w:adjustRightInd w:val="0"/>
        <w:spacing w:line="600" w:lineRule="auto"/>
        <w:ind w:left="4240" w:leftChars="2000" w:firstLine="968" w:firstLineChars="400"/>
        <w:jc w:val="right"/>
        <w:rPr>
          <w:rFonts w:ascii="宋体" w:hAnsi="宋体" w:cs="宋体"/>
          <w:kern w:val="0"/>
          <w:sz w:val="24"/>
          <w:szCs w:val="24"/>
        </w:rPr>
      </w:pPr>
      <w:r>
        <w:rPr>
          <w:rFonts w:hint="eastAsia" w:ascii="宋体" w:hAnsi="宋体" w:cs="宋体"/>
          <w:kern w:val="0"/>
          <w:sz w:val="24"/>
          <w:szCs w:val="24"/>
        </w:rPr>
        <w:t>年    月   日</w:t>
      </w:r>
      <w:bookmarkEnd w:id="31"/>
      <w:bookmarkEnd w:id="32"/>
      <w:bookmarkEnd w:id="33"/>
    </w:p>
    <w:p w14:paraId="2AD3AA0A">
      <w:pPr>
        <w:autoSpaceDE w:val="0"/>
        <w:autoSpaceDN w:val="0"/>
        <w:adjustRightInd w:val="0"/>
        <w:jc w:val="left"/>
        <w:rPr>
          <w:rFonts w:ascii="宋体" w:hAnsi="宋体" w:cs="宋体"/>
          <w:b/>
          <w:kern w:val="0"/>
          <w:sz w:val="28"/>
          <w:szCs w:val="28"/>
        </w:rPr>
      </w:pPr>
    </w:p>
    <w:p w14:paraId="4D8135A6">
      <w:pPr>
        <w:spacing w:line="360" w:lineRule="auto"/>
        <w:rPr>
          <w:rFonts w:hAnsi="宋体" w:cs="宋体"/>
          <w:sz w:val="24"/>
          <w:szCs w:val="24"/>
        </w:rPr>
      </w:pPr>
      <w:r>
        <w:rPr>
          <w:rFonts w:hint="eastAsia" w:ascii="宋体" w:hAnsi="宋体" w:cs="宋体"/>
          <w:b/>
          <w:kern w:val="0"/>
          <w:sz w:val="28"/>
          <w:szCs w:val="28"/>
        </w:rPr>
        <w:t>附件</w:t>
      </w:r>
      <w:r>
        <w:rPr>
          <w:rFonts w:hint="eastAsia" w:ascii="宋体" w:hAnsi="宋体" w:cs="TimesNewRomanPS-BoldMT"/>
          <w:b/>
          <w:bCs/>
          <w:kern w:val="0"/>
          <w:sz w:val="28"/>
          <w:szCs w:val="28"/>
        </w:rPr>
        <w:t>4</w:t>
      </w:r>
      <w:r>
        <w:rPr>
          <w:rFonts w:ascii="宋体" w:hAnsi="宋体" w:cs="TimesNewRomanPS-BoldMT"/>
          <w:b/>
          <w:bCs/>
          <w:kern w:val="0"/>
          <w:sz w:val="28"/>
          <w:szCs w:val="28"/>
        </w:rPr>
        <w:t>:</w:t>
      </w:r>
      <w:r>
        <w:rPr>
          <w:rFonts w:hint="eastAsia" w:ascii="宋体" w:hAnsi="宋体" w:cs="TimesNewRomanPS-BoldMT"/>
          <w:b/>
          <w:bCs/>
          <w:kern w:val="0"/>
          <w:sz w:val="28"/>
          <w:szCs w:val="28"/>
        </w:rPr>
        <w:t>采购工程量清单</w:t>
      </w:r>
    </w:p>
    <w:p w14:paraId="35B647CD">
      <w:pPr>
        <w:spacing w:line="360" w:lineRule="auto"/>
        <w:rPr>
          <w:rFonts w:hAnsi="宋体" w:cs="宋体"/>
          <w:sz w:val="24"/>
          <w:szCs w:val="24"/>
        </w:rPr>
      </w:pPr>
      <w:r>
        <w:rPr>
          <w:rFonts w:hint="eastAsia" w:hAnsi="宋体" w:cs="宋体"/>
          <w:sz w:val="24"/>
          <w:szCs w:val="24"/>
        </w:rPr>
        <w:drawing>
          <wp:inline distT="0" distB="0" distL="114300" distR="114300">
            <wp:extent cx="6182360" cy="8822690"/>
            <wp:effectExtent l="0" t="0" r="8890" b="16510"/>
            <wp:docPr id="14" name="图片 14" descr="维修改造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维修改造项目工程量清单_03"/>
                    <pic:cNvPicPr>
                      <a:picLocks noChangeAspect="1"/>
                    </pic:cNvPicPr>
                  </pic:nvPicPr>
                  <pic:blipFill>
                    <a:blip r:embed="rId6"/>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13" name="图片 13" descr="维修改造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维修改造项目工程量清单_04"/>
                    <pic:cNvPicPr>
                      <a:picLocks noChangeAspect="1"/>
                    </pic:cNvPicPr>
                  </pic:nvPicPr>
                  <pic:blipFill>
                    <a:blip r:embed="rId7"/>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12" name="图片 12" descr="维修改造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维修改造项目工程量清单_05"/>
                    <pic:cNvPicPr>
                      <a:picLocks noChangeAspect="1"/>
                    </pic:cNvPicPr>
                  </pic:nvPicPr>
                  <pic:blipFill>
                    <a:blip r:embed="rId8"/>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11" name="图片 11" descr="维修改造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维修改造项目工程量清单_06"/>
                    <pic:cNvPicPr>
                      <a:picLocks noChangeAspect="1"/>
                    </pic:cNvPicPr>
                  </pic:nvPicPr>
                  <pic:blipFill>
                    <a:blip r:embed="rId9"/>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9" name="图片 9" descr="维修改造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维修改造项目工程量清单_08"/>
                    <pic:cNvPicPr>
                      <a:picLocks noChangeAspect="1"/>
                    </pic:cNvPicPr>
                  </pic:nvPicPr>
                  <pic:blipFill>
                    <a:blip r:embed="rId10"/>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8" name="图片 8" descr="维修改造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维修改造项目工程量清单_09"/>
                    <pic:cNvPicPr>
                      <a:picLocks noChangeAspect="1"/>
                    </pic:cNvPicPr>
                  </pic:nvPicPr>
                  <pic:blipFill>
                    <a:blip r:embed="rId11"/>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7" name="图片 7" descr="维修改造项目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维修改造项目工程量清单_10"/>
                    <pic:cNvPicPr>
                      <a:picLocks noChangeAspect="1"/>
                    </pic:cNvPicPr>
                  </pic:nvPicPr>
                  <pic:blipFill>
                    <a:blip r:embed="rId12"/>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6" name="图片 6" descr="维修改造项目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维修改造项目工程量清单_11"/>
                    <pic:cNvPicPr>
                      <a:picLocks noChangeAspect="1"/>
                    </pic:cNvPicPr>
                  </pic:nvPicPr>
                  <pic:blipFill>
                    <a:blip r:embed="rId13"/>
                    <a:stretch>
                      <a:fillRect/>
                    </a:stretch>
                  </pic:blipFill>
                  <pic:spPr>
                    <a:xfrm>
                      <a:off x="0" y="0"/>
                      <a:ext cx="6182360" cy="8822690"/>
                    </a:xfrm>
                    <a:prstGeom prst="rect">
                      <a:avLst/>
                    </a:prstGeom>
                  </pic:spPr>
                </pic:pic>
              </a:graphicData>
            </a:graphic>
          </wp:inline>
        </w:drawing>
      </w:r>
      <w:r>
        <w:rPr>
          <w:rFonts w:hint="eastAsia" w:hAnsi="宋体" w:cs="宋体"/>
          <w:sz w:val="24"/>
          <w:szCs w:val="24"/>
        </w:rPr>
        <w:drawing>
          <wp:inline distT="0" distB="0" distL="114300" distR="114300">
            <wp:extent cx="6182360" cy="8822690"/>
            <wp:effectExtent l="0" t="0" r="8890" b="16510"/>
            <wp:docPr id="2" name="图片 2" descr="维修改造项目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维修改造项目工程量清单_12"/>
                    <pic:cNvPicPr>
                      <a:picLocks noChangeAspect="1"/>
                    </pic:cNvPicPr>
                  </pic:nvPicPr>
                  <pic:blipFill>
                    <a:blip r:embed="rId14"/>
                    <a:stretch>
                      <a:fillRect/>
                    </a:stretch>
                  </pic:blipFill>
                  <pic:spPr>
                    <a:xfrm>
                      <a:off x="0" y="0"/>
                      <a:ext cx="6182360" cy="8822690"/>
                    </a:xfrm>
                    <a:prstGeom prst="rect">
                      <a:avLst/>
                    </a:prstGeom>
                  </pic:spPr>
                </pic:pic>
              </a:graphicData>
            </a:graphic>
          </wp:inline>
        </w:drawing>
      </w:r>
    </w:p>
    <w:p w14:paraId="24F781BB">
      <w:pPr>
        <w:spacing w:line="360" w:lineRule="auto"/>
        <w:rPr>
          <w:rFonts w:hAnsi="宋体" w:cs="宋体"/>
          <w:sz w:val="24"/>
          <w:szCs w:val="24"/>
        </w:rPr>
      </w:pPr>
    </w:p>
    <w:p w14:paraId="29896454">
      <w:pPr>
        <w:spacing w:line="360" w:lineRule="auto"/>
        <w:rPr>
          <w:rFonts w:hAnsi="宋体" w:cs="宋体"/>
          <w:sz w:val="24"/>
          <w:szCs w:val="24"/>
        </w:rPr>
      </w:pPr>
      <w:r>
        <w:rPr>
          <w:rFonts w:hint="eastAsia" w:hAnsi="宋体" w:cs="宋体"/>
          <w:sz w:val="24"/>
          <w:szCs w:val="24"/>
        </w:rPr>
        <w:t>工程量清单说明：</w:t>
      </w:r>
    </w:p>
    <w:p w14:paraId="1589B728">
      <w:pPr>
        <w:spacing w:line="360" w:lineRule="auto"/>
        <w:rPr>
          <w:rFonts w:hAnsi="宋体" w:cs="宋体"/>
          <w:b/>
          <w:sz w:val="24"/>
          <w:szCs w:val="24"/>
        </w:rPr>
      </w:pPr>
      <w:r>
        <w:rPr>
          <w:rFonts w:hint="eastAsia" w:hAnsi="宋体" w:cs="宋体"/>
          <w:sz w:val="24"/>
          <w:szCs w:val="24"/>
        </w:rPr>
        <w:t xml:space="preserve">    1.已标价工程量清单表格样式不作强制要求，已标价工程量清单封面、扉页及内容无需造价人员签字或盖章均有效。</w:t>
      </w:r>
    </w:p>
    <w:p w14:paraId="277C5A74">
      <w:pPr>
        <w:spacing w:beforeLines="50" w:afterLines="100" w:line="360" w:lineRule="auto"/>
      </w:pPr>
    </w:p>
    <w:p w14:paraId="4E6E7573">
      <w:pPr>
        <w:spacing w:beforeLines="50" w:afterLines="100" w:line="360" w:lineRule="auto"/>
      </w:pPr>
    </w:p>
    <w:p w14:paraId="7C442D34">
      <w:pPr>
        <w:spacing w:beforeLines="50" w:afterLines="100" w:line="360" w:lineRule="auto"/>
      </w:pPr>
    </w:p>
    <w:p w14:paraId="7EFB38C4">
      <w:pPr>
        <w:spacing w:beforeLines="50" w:afterLines="100" w:line="360" w:lineRule="auto"/>
      </w:pPr>
    </w:p>
    <w:p w14:paraId="7C526FC8">
      <w:pPr>
        <w:spacing w:beforeLines="50" w:afterLines="100" w:line="360" w:lineRule="auto"/>
      </w:pPr>
    </w:p>
    <w:p w14:paraId="4F2D298F">
      <w:pPr>
        <w:spacing w:beforeLines="50" w:afterLines="100" w:line="360" w:lineRule="auto"/>
      </w:pPr>
    </w:p>
    <w:p w14:paraId="6F1815B0">
      <w:pPr>
        <w:pStyle w:val="2"/>
        <w:rPr>
          <w:color w:val="auto"/>
        </w:rPr>
      </w:pPr>
    </w:p>
    <w:p w14:paraId="4E56112F"/>
    <w:p w14:paraId="3D0F94CE">
      <w:pPr>
        <w:pStyle w:val="2"/>
        <w:rPr>
          <w:color w:val="auto"/>
        </w:rPr>
      </w:pPr>
    </w:p>
    <w:p w14:paraId="3907CCD7"/>
    <w:p w14:paraId="67309152">
      <w:pPr>
        <w:pStyle w:val="2"/>
        <w:rPr>
          <w:color w:val="auto"/>
        </w:rPr>
      </w:pPr>
    </w:p>
    <w:p w14:paraId="752AA12D"/>
    <w:p w14:paraId="38DAA402">
      <w:pPr>
        <w:pStyle w:val="2"/>
        <w:rPr>
          <w:color w:val="auto"/>
        </w:rPr>
      </w:pPr>
    </w:p>
    <w:p w14:paraId="1F87E810"/>
    <w:p w14:paraId="5FD782D9">
      <w:pPr>
        <w:pStyle w:val="2"/>
        <w:rPr>
          <w:color w:val="auto"/>
        </w:rPr>
      </w:pPr>
    </w:p>
    <w:p w14:paraId="469B5BC3"/>
    <w:p w14:paraId="41928D97">
      <w:pPr>
        <w:spacing w:beforeLines="50" w:afterLines="100" w:line="360" w:lineRule="auto"/>
        <w:rPr>
          <w:rFonts w:ascii="宋体" w:hAnsi="宋体" w:cs="宋体"/>
          <w:b/>
        </w:rPr>
      </w:pPr>
      <w:r>
        <w:rPr>
          <w:rFonts w:hint="eastAsia" w:ascii="宋体" w:hAnsi="宋体" w:cs="宋体"/>
          <w:b/>
        </w:rPr>
        <w:t>附件5：适用于政府采购工程建设项目</w:t>
      </w:r>
    </w:p>
    <w:p w14:paraId="2ED44185">
      <w:pPr>
        <w:widowControl/>
        <w:spacing w:line="360" w:lineRule="auto"/>
        <w:jc w:val="center"/>
        <w:rPr>
          <w:rFonts w:ascii="宋体" w:hAnsi="宋体" w:cs="宋体"/>
        </w:rPr>
      </w:pPr>
      <w:r>
        <w:rPr>
          <w:rFonts w:hint="eastAsia" w:ascii="宋体" w:hAnsi="宋体" w:cs="宋体"/>
          <w:b/>
        </w:rPr>
        <w:t>中小企业声明函（工程）</w:t>
      </w:r>
    </w:p>
    <w:p w14:paraId="40E785BA">
      <w:pPr>
        <w:widowControl/>
        <w:spacing w:line="360" w:lineRule="auto"/>
        <w:ind w:firstLine="424" w:firstLineChars="200"/>
        <w:rPr>
          <w:rFonts w:ascii="宋体" w:hAnsi="宋体" w:cs="宋体"/>
          <w:u w:val="single"/>
        </w:rPr>
      </w:pPr>
      <w:r>
        <w:rPr>
          <w:rFonts w:hint="eastAsia" w:ascii="宋体" w:hAnsi="宋体" w:cs="宋体"/>
        </w:rPr>
        <w:t>本公司（联合体）郑重声明，根据《政府采购促进中小企业发展管理办法》（财库﹝2020﹞46 号）的规定，本公司（联合体）参加</w:t>
      </w:r>
      <w:r>
        <w:rPr>
          <w:rFonts w:hint="eastAsia" w:ascii="宋体" w:hAnsi="宋体" w:cs="宋体"/>
          <w:u w:val="single"/>
        </w:rPr>
        <w:t xml:space="preserve">      （单位名称）</w:t>
      </w:r>
      <w:r>
        <w:rPr>
          <w:rFonts w:hint="eastAsia" w:ascii="宋体" w:hAnsi="宋体" w:cs="宋体"/>
        </w:rPr>
        <w:t>的</w:t>
      </w:r>
      <w:r>
        <w:rPr>
          <w:rFonts w:hint="eastAsia" w:ascii="宋体" w:hAnsi="宋体" w:cs="宋体"/>
          <w:u w:val="single"/>
        </w:rPr>
        <w:t xml:space="preserve"> </w:t>
      </w:r>
    </w:p>
    <w:p w14:paraId="61C32E93">
      <w:pPr>
        <w:widowControl/>
        <w:spacing w:line="360" w:lineRule="auto"/>
        <w:rPr>
          <w:rFonts w:ascii="宋体" w:hAnsi="宋体" w:cs="宋体"/>
        </w:rPr>
      </w:pPr>
      <w:r>
        <w:rPr>
          <w:rFonts w:hint="eastAsia" w:ascii="宋体" w:hAnsi="宋体" w:cs="宋体"/>
          <w:u w:val="single"/>
        </w:rPr>
        <w:t xml:space="preserve">        （项目名称）</w:t>
      </w:r>
      <w:r>
        <w:rPr>
          <w:rFonts w:hint="eastAsia" w:ascii="宋体" w:hAnsi="宋体" w:cs="宋体"/>
        </w:rPr>
        <w:t>采购活动，工程的施工单位全部为符合政策要求的中小企业（或者：服务全部由符合政策要求的中小企业承接）。相关企业（含联合体中的中小企业、签订分包意向协议的中小企业）的具体情况如下：</w:t>
      </w:r>
    </w:p>
    <w:p w14:paraId="736ED7CE">
      <w:pPr>
        <w:widowControl/>
        <w:spacing w:line="360" w:lineRule="auto"/>
        <w:ind w:firstLine="636" w:firstLineChars="300"/>
        <w:rPr>
          <w:rFonts w:ascii="宋体" w:hAnsi="宋体" w:cs="宋体"/>
          <w:u w:val="single"/>
        </w:rPr>
      </w:pPr>
      <w:r>
        <w:rPr>
          <w:rFonts w:hint="eastAsia" w:ascii="宋体" w:hAnsi="宋体" w:cs="宋体"/>
        </w:rPr>
        <w:t xml:space="preserve">1. </w:t>
      </w:r>
      <w:r>
        <w:rPr>
          <w:rFonts w:hint="eastAsia" w:ascii="宋体" w:hAnsi="宋体" w:cs="宋体"/>
          <w:u w:val="single"/>
        </w:rPr>
        <w:t xml:space="preserve">      （标的名称）</w:t>
      </w:r>
      <w:r>
        <w:rPr>
          <w:rFonts w:hint="eastAsia" w:ascii="宋体" w:hAnsi="宋体" w:cs="宋体"/>
        </w:rPr>
        <w:t>，属于</w:t>
      </w:r>
      <w:r>
        <w:rPr>
          <w:rFonts w:hint="eastAsia" w:ascii="宋体" w:hAnsi="宋体" w:cs="宋体"/>
          <w:u w:val="single"/>
        </w:rPr>
        <w:t xml:space="preserve">      （采购文件中明确的所属行业）</w:t>
      </w:r>
      <w:r>
        <w:rPr>
          <w:rFonts w:hint="eastAsia" w:ascii="宋体" w:hAnsi="宋体" w:cs="宋体"/>
        </w:rPr>
        <w:t>；承建（承接）企业为</w:t>
      </w:r>
      <w:r>
        <w:rPr>
          <w:rFonts w:hint="eastAsia" w:ascii="宋体" w:hAnsi="宋体" w:cs="宋体"/>
          <w:u w:val="single"/>
        </w:rPr>
        <w:t xml:space="preserve">      （企业名称）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w:t>
      </w:r>
      <w:r>
        <w:rPr>
          <w:rFonts w:hint="eastAsia" w:ascii="宋体" w:hAnsi="宋体" w:cs="宋体"/>
          <w:vertAlign w:val="superscript"/>
        </w:rPr>
        <w:t>1</w:t>
      </w:r>
      <w:r>
        <w:rPr>
          <w:rFonts w:hint="eastAsia" w:ascii="宋体" w:hAnsi="宋体" w:cs="宋体"/>
        </w:rPr>
        <w:t>，属于</w:t>
      </w:r>
      <w:r>
        <w:rPr>
          <w:rFonts w:hint="eastAsia" w:ascii="宋体" w:hAnsi="宋体" w:cs="宋体"/>
          <w:u w:val="single"/>
        </w:rPr>
        <w:t xml:space="preserve">      （中型企业、小型企业、微型企业）</w:t>
      </w:r>
      <w:r>
        <w:rPr>
          <w:rFonts w:hint="eastAsia" w:ascii="宋体" w:hAnsi="宋体" w:cs="宋体"/>
        </w:rPr>
        <w:t>；</w:t>
      </w:r>
    </w:p>
    <w:p w14:paraId="1303423F">
      <w:pPr>
        <w:widowControl/>
        <w:spacing w:line="360" w:lineRule="auto"/>
        <w:ind w:firstLine="424" w:firstLineChars="200"/>
        <w:rPr>
          <w:rFonts w:ascii="宋体" w:hAnsi="宋体" w:cs="宋体"/>
        </w:rPr>
      </w:pPr>
      <w:r>
        <w:rPr>
          <w:rFonts w:hint="eastAsia" w:ascii="宋体" w:hAnsi="宋体" w:cs="宋体"/>
        </w:rPr>
        <w:t xml:space="preserve">2. </w:t>
      </w:r>
      <w:r>
        <w:rPr>
          <w:rFonts w:hint="eastAsia" w:ascii="宋体" w:hAnsi="宋体" w:cs="宋体"/>
          <w:u w:val="single"/>
        </w:rPr>
        <w:t xml:space="preserve">      （标的名称）</w:t>
      </w:r>
      <w:r>
        <w:rPr>
          <w:rFonts w:hint="eastAsia" w:ascii="宋体" w:hAnsi="宋体" w:cs="宋体"/>
        </w:rPr>
        <w:t>，属于</w:t>
      </w:r>
      <w:r>
        <w:rPr>
          <w:rFonts w:hint="eastAsia" w:ascii="宋体" w:hAnsi="宋体" w:cs="宋体"/>
          <w:u w:val="single"/>
        </w:rPr>
        <w:t xml:space="preserve">      （采购文件中明确的所属行业）</w:t>
      </w:r>
      <w:r>
        <w:rPr>
          <w:rFonts w:hint="eastAsia" w:ascii="宋体" w:hAnsi="宋体" w:cs="宋体"/>
        </w:rPr>
        <w:t>；承建（承接）企业为</w:t>
      </w:r>
      <w:r>
        <w:rPr>
          <w:rFonts w:hint="eastAsia" w:ascii="宋体" w:hAnsi="宋体" w:cs="宋体"/>
          <w:u w:val="single"/>
        </w:rPr>
        <w:t xml:space="preserve">      （企业名称）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（中型企业、小型企业、微型企业）</w:t>
      </w:r>
      <w:r>
        <w:rPr>
          <w:rFonts w:hint="eastAsia" w:ascii="宋体" w:hAnsi="宋体" w:cs="宋体"/>
        </w:rPr>
        <w:t>；</w:t>
      </w:r>
    </w:p>
    <w:p w14:paraId="2A2B5D45">
      <w:pPr>
        <w:widowControl/>
        <w:spacing w:line="360" w:lineRule="auto"/>
        <w:rPr>
          <w:rFonts w:ascii="宋体" w:hAnsi="宋体" w:cs="宋体"/>
        </w:rPr>
      </w:pPr>
      <w:r>
        <w:rPr>
          <w:rFonts w:hint="eastAsia" w:ascii="宋体" w:hAnsi="宋体" w:cs="宋体"/>
        </w:rPr>
        <w:t>……</w:t>
      </w:r>
    </w:p>
    <w:p w14:paraId="18A03987">
      <w:pPr>
        <w:widowControl/>
        <w:spacing w:line="360" w:lineRule="auto"/>
        <w:ind w:firstLine="424" w:firstLineChars="200"/>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2294C1F9">
      <w:pPr>
        <w:widowControl/>
        <w:spacing w:line="360" w:lineRule="auto"/>
        <w:ind w:firstLine="424" w:firstLineChars="200"/>
        <w:rPr>
          <w:rFonts w:ascii="宋体" w:hAnsi="宋体" w:cs="宋体"/>
        </w:rPr>
      </w:pPr>
      <w:r>
        <w:rPr>
          <w:rFonts w:hint="eastAsia" w:ascii="宋体" w:hAnsi="宋体" w:cs="宋体"/>
        </w:rPr>
        <w:t>本企业对上述声明内容的真实性负责。如有虚假，将依法承担相应责任。</w:t>
      </w:r>
    </w:p>
    <w:p w14:paraId="0C16DB8D">
      <w:pPr>
        <w:pBdr>
          <w:top w:val="none" w:color="auto" w:sz="0" w:space="1"/>
          <w:left w:val="none" w:color="auto" w:sz="0" w:space="4"/>
          <w:bottom w:val="none" w:color="auto" w:sz="0" w:space="1"/>
          <w:right w:val="none" w:color="auto" w:sz="0" w:space="4"/>
        </w:pBdr>
        <w:spacing w:line="360" w:lineRule="auto"/>
        <w:ind w:firstLine="424" w:firstLineChars="200"/>
        <w:rPr>
          <w:rFonts w:ascii="宋体" w:hAnsi="宋体" w:cs="宋体"/>
          <w:u w:val="single"/>
        </w:rPr>
      </w:pPr>
      <w:r>
        <w:rPr>
          <w:rFonts w:hint="eastAsia" w:ascii="宋体" w:hAnsi="宋体" w:cs="宋体"/>
        </w:rPr>
        <w:t>企业名称(电子公章)：</w:t>
      </w:r>
    </w:p>
    <w:p w14:paraId="410B615D">
      <w:pPr>
        <w:pBdr>
          <w:top w:val="none" w:color="auto" w:sz="0" w:space="1"/>
          <w:left w:val="none" w:color="auto" w:sz="0" w:space="4"/>
          <w:bottom w:val="none" w:color="auto" w:sz="0" w:space="1"/>
          <w:right w:val="none" w:color="auto" w:sz="0" w:space="4"/>
        </w:pBdr>
        <w:spacing w:line="360" w:lineRule="auto"/>
        <w:ind w:firstLine="424" w:firstLineChars="200"/>
        <w:rPr>
          <w:rFonts w:ascii="宋体" w:hAnsi="宋体" w:cs="宋体"/>
        </w:rPr>
      </w:pPr>
      <w:r>
        <w:rPr>
          <w:rFonts w:hint="eastAsia" w:ascii="宋体" w:hAnsi="宋体" w:cs="宋体"/>
        </w:rPr>
        <w:t>日期：</w:t>
      </w:r>
    </w:p>
    <w:p w14:paraId="195B9C17">
      <w:pPr>
        <w:widowControl/>
        <w:rPr>
          <w:rFonts w:ascii="宋体" w:hAnsi="宋体" w:cs="宋体"/>
        </w:rPr>
      </w:pPr>
      <w:r>
        <w:rPr>
          <w:rFonts w:hint="eastAsia" w:ascii="宋体" w:hAnsi="宋体" w:cs="宋体"/>
        </w:rPr>
        <w:t>注：1、符合政策的单位，声明函须盖电子公章；</w:t>
      </w:r>
    </w:p>
    <w:p w14:paraId="267A1EEE">
      <w:pPr>
        <w:widowControl/>
        <w:ind w:firstLine="424" w:firstLineChars="200"/>
        <w:rPr>
          <w:rFonts w:ascii="宋体" w:hAnsi="宋体" w:cs="宋体"/>
        </w:rPr>
      </w:pPr>
      <w:r>
        <w:rPr>
          <w:rFonts w:hint="eastAsia" w:ascii="宋体" w:hAnsi="宋体" w:cs="宋体"/>
        </w:rPr>
        <w:t>2、</w:t>
      </w:r>
      <w:r>
        <w:rPr>
          <w:rFonts w:hint="eastAsia" w:ascii="宋体" w:hAnsi="宋体" w:cs="宋体"/>
          <w:vertAlign w:val="superscript"/>
        </w:rPr>
        <w:t>1</w:t>
      </w:r>
      <w:r>
        <w:rPr>
          <w:rFonts w:hint="eastAsia" w:ascii="宋体" w:hAnsi="宋体" w:cs="宋体"/>
        </w:rPr>
        <w:t>从业人员、营业收入、资产总额填报上一年度数据，无上一年度数据的新成立企业可不填报。</w:t>
      </w:r>
    </w:p>
    <w:p w14:paraId="270A5EFF">
      <w:pPr>
        <w:widowControl/>
        <w:ind w:firstLine="424" w:firstLineChars="200"/>
        <w:rPr>
          <w:rFonts w:ascii="宋体" w:hAnsi="宋体" w:cs="宋体"/>
        </w:rPr>
      </w:pPr>
      <w:r>
        <w:rPr>
          <w:rFonts w:hint="eastAsia" w:ascii="宋体" w:hAnsi="宋体" w:cs="宋体"/>
        </w:rPr>
        <w:t>3、供应商提供声明内容不实的，属于弄虚作假骗取中标，依照《中华人民共和国政府采购法》等国家有关规定追究相应责任。</w:t>
      </w:r>
    </w:p>
    <w:p w14:paraId="659B092D">
      <w:pPr>
        <w:widowControl/>
        <w:jc w:val="left"/>
        <w:rPr>
          <w:rFonts w:ascii="宋体" w:hAnsi="宋体" w:cs="宋体"/>
          <w:b/>
        </w:rPr>
      </w:pPr>
      <w:r>
        <w:rPr>
          <w:rFonts w:ascii="宋体" w:hAnsi="宋体" w:cs="宋体"/>
          <w:b/>
        </w:rPr>
        <w:br w:type="page"/>
      </w:r>
    </w:p>
    <w:p w14:paraId="78729379">
      <w:pPr>
        <w:spacing w:beforeLines="50" w:afterLines="100" w:line="360" w:lineRule="auto"/>
        <w:rPr>
          <w:rFonts w:ascii="宋体" w:hAnsi="宋体" w:cs="宋体"/>
          <w:b/>
        </w:rPr>
      </w:pPr>
      <w:r>
        <w:rPr>
          <w:rFonts w:hint="eastAsia" w:ascii="宋体" w:hAnsi="宋体" w:cs="宋体"/>
          <w:b/>
        </w:rPr>
        <w:t>附件5.1：</w:t>
      </w:r>
      <w:r>
        <w:rPr>
          <w:rFonts w:hint="eastAsia" w:ascii="宋体" w:hAnsi="宋体" w:cs="宋体"/>
          <w:b/>
          <w:bCs/>
        </w:rPr>
        <w:t>指定格式</w:t>
      </w:r>
    </w:p>
    <w:p w14:paraId="57772865">
      <w:pPr>
        <w:spacing w:line="360" w:lineRule="auto"/>
        <w:jc w:val="center"/>
        <w:rPr>
          <w:rFonts w:ascii="宋体" w:hAnsi="宋体" w:cs="宋体"/>
          <w:b/>
        </w:rPr>
      </w:pPr>
      <w:r>
        <w:rPr>
          <w:rFonts w:hint="eastAsia" w:ascii="宋体" w:hAnsi="宋体" w:cs="宋体"/>
          <w:b/>
        </w:rPr>
        <w:t>残疾人福利性单位声明函</w:t>
      </w:r>
    </w:p>
    <w:p w14:paraId="6E723BE7">
      <w:pPr>
        <w:spacing w:line="360" w:lineRule="auto"/>
        <w:ind w:firstLine="448" w:firstLineChars="200"/>
        <w:rPr>
          <w:rFonts w:ascii="宋体" w:hAnsi="宋体" w:cs="宋体"/>
          <w:u w:val="single"/>
        </w:rPr>
      </w:pPr>
      <w:r>
        <w:rPr>
          <w:rFonts w:hint="eastAsia" w:ascii="宋体" w:hAnsi="宋体" w:cs="宋体"/>
          <w:spacing w:val="6"/>
        </w:rPr>
        <w:t>本单位郑重声明，根据《财政部、民政部、中国残疾人联合会关于促进残疾人就业政府采购政策的通知》(财库</w:t>
      </w:r>
      <w:r>
        <w:rPr>
          <w:rFonts w:hint="eastAsia" w:ascii="宋体" w:hAnsi="宋体" w:cs="宋体"/>
        </w:rPr>
        <w:t>〔2017〕141</w:t>
      </w:r>
      <w:r>
        <w:rPr>
          <w:rFonts w:hint="eastAsia" w:ascii="宋体" w:hAnsi="宋体" w:cs="宋体"/>
          <w:spacing w:val="6"/>
        </w:rPr>
        <w:t>号)的规定，本单位为符合条件的残疾人福利性单位，且本单位参加</w:t>
      </w:r>
      <w:r>
        <w:rPr>
          <w:rFonts w:hint="eastAsia" w:ascii="宋体" w:hAnsi="宋体" w:cs="宋体"/>
          <w:u w:val="single"/>
        </w:rPr>
        <w:t xml:space="preserve">         </w:t>
      </w:r>
      <w:r>
        <w:rPr>
          <w:rFonts w:hint="eastAsia" w:ascii="宋体" w:hAnsi="宋体" w:cs="宋体"/>
          <w:spacing w:val="6"/>
        </w:rPr>
        <w:t>（采购人名称）的</w:t>
      </w:r>
    </w:p>
    <w:p w14:paraId="2E600B1F">
      <w:pPr>
        <w:spacing w:line="360" w:lineRule="auto"/>
        <w:rPr>
          <w:rFonts w:ascii="宋体" w:hAnsi="宋体" w:cs="宋体"/>
          <w:spacing w:val="6"/>
        </w:rPr>
      </w:pPr>
      <w:r>
        <w:rPr>
          <w:rFonts w:hint="eastAsia" w:ascii="宋体" w:hAnsi="宋体" w:cs="宋体"/>
          <w:u w:val="single"/>
        </w:rPr>
        <w:t xml:space="preserve">          </w:t>
      </w:r>
      <w:r>
        <w:rPr>
          <w:rFonts w:hint="eastAsia" w:ascii="宋体" w:hAnsi="宋体" w:cs="宋体"/>
          <w:spacing w:val="6"/>
        </w:rPr>
        <w:t>（项目名称）采购活动提供本单位制造的货物(由本单位承担工程/提供服务)，或者提供其他残疾人福利性单位制造的货物(不包括使用非残疾人福利性单位注册商标的货物)。</w:t>
      </w:r>
    </w:p>
    <w:p w14:paraId="5E87CC5E">
      <w:pPr>
        <w:spacing w:line="360" w:lineRule="auto"/>
        <w:ind w:firstLine="448" w:firstLineChars="200"/>
        <w:rPr>
          <w:rFonts w:ascii="宋体" w:hAnsi="宋体" w:cs="宋体"/>
          <w:spacing w:val="6"/>
        </w:rPr>
      </w:pPr>
      <w:r>
        <w:rPr>
          <w:rFonts w:hint="eastAsia" w:ascii="宋体" w:hAnsi="宋体" w:cs="宋体"/>
          <w:spacing w:val="6"/>
        </w:rPr>
        <w:t>本单位对上述声明的真实性负责。如有虚假，将依法承担相应责任。</w:t>
      </w:r>
    </w:p>
    <w:p w14:paraId="4F18E839">
      <w:pPr>
        <w:spacing w:line="360" w:lineRule="auto"/>
        <w:ind w:firstLine="448" w:firstLineChars="200"/>
        <w:rPr>
          <w:rFonts w:ascii="宋体" w:hAnsi="宋体" w:cs="宋体"/>
          <w:spacing w:val="6"/>
        </w:rPr>
      </w:pPr>
    </w:p>
    <w:p w14:paraId="41DF19CB">
      <w:pPr>
        <w:pBdr>
          <w:top w:val="none" w:color="auto" w:sz="0" w:space="1"/>
          <w:left w:val="none" w:color="auto" w:sz="0" w:space="4"/>
          <w:bottom w:val="none" w:color="auto" w:sz="0" w:space="1"/>
          <w:right w:val="none" w:color="auto" w:sz="0" w:space="4"/>
        </w:pBdr>
        <w:spacing w:line="360" w:lineRule="auto"/>
        <w:rPr>
          <w:rFonts w:ascii="宋体" w:hAnsi="宋体" w:cs="宋体"/>
          <w:spacing w:val="6"/>
        </w:rPr>
      </w:pPr>
    </w:p>
    <w:p w14:paraId="639A732B">
      <w:pPr>
        <w:pBdr>
          <w:top w:val="none" w:color="auto" w:sz="0" w:space="1"/>
          <w:left w:val="none" w:color="auto" w:sz="0" w:space="4"/>
          <w:bottom w:val="none" w:color="auto" w:sz="0" w:space="1"/>
          <w:right w:val="none" w:color="auto" w:sz="0" w:space="4"/>
        </w:pBdr>
        <w:spacing w:line="360" w:lineRule="auto"/>
        <w:ind w:firstLine="1792" w:firstLineChars="800"/>
        <w:rPr>
          <w:rFonts w:ascii="宋体" w:hAnsi="宋体" w:cs="宋体"/>
          <w:spacing w:val="6"/>
        </w:rPr>
      </w:pPr>
      <w:r>
        <w:rPr>
          <w:rFonts w:hint="eastAsia" w:ascii="宋体" w:hAnsi="宋体" w:cs="宋体"/>
          <w:spacing w:val="6"/>
        </w:rPr>
        <w:t>单位名称(电子公章)：</w:t>
      </w:r>
    </w:p>
    <w:p w14:paraId="779C07BA">
      <w:pPr>
        <w:pBdr>
          <w:top w:val="none" w:color="auto" w:sz="0" w:space="1"/>
          <w:left w:val="none" w:color="auto" w:sz="0" w:space="4"/>
          <w:bottom w:val="none" w:color="auto" w:sz="0" w:space="1"/>
          <w:right w:val="none" w:color="auto" w:sz="0" w:space="4"/>
        </w:pBdr>
        <w:spacing w:line="360" w:lineRule="auto"/>
        <w:ind w:firstLine="2688" w:firstLineChars="1200"/>
        <w:rPr>
          <w:rFonts w:ascii="宋体" w:hAnsi="宋体" w:cs="宋体"/>
        </w:rPr>
      </w:pPr>
      <w:r>
        <w:rPr>
          <w:rFonts w:hint="eastAsia" w:ascii="宋体" w:hAnsi="宋体" w:cs="宋体"/>
          <w:spacing w:val="6"/>
        </w:rPr>
        <w:t>日期：</w:t>
      </w:r>
    </w:p>
    <w:p w14:paraId="2D3183B1">
      <w:pPr>
        <w:pStyle w:val="2"/>
        <w:rPr>
          <w:color w:val="auto"/>
        </w:rPr>
      </w:pPr>
    </w:p>
    <w:p w14:paraId="074438A8"/>
    <w:p w14:paraId="4DB76A2D">
      <w:pPr>
        <w:pStyle w:val="2"/>
        <w:rPr>
          <w:color w:val="auto"/>
        </w:rPr>
      </w:pPr>
    </w:p>
    <w:p w14:paraId="7A027002"/>
    <w:p w14:paraId="5055CC28">
      <w:pPr>
        <w:pStyle w:val="2"/>
        <w:rPr>
          <w:color w:val="auto"/>
        </w:rPr>
      </w:pPr>
    </w:p>
    <w:p w14:paraId="6D56BF3C"/>
    <w:p w14:paraId="4D358CDF">
      <w:pPr>
        <w:pStyle w:val="2"/>
        <w:rPr>
          <w:color w:val="auto"/>
        </w:rPr>
      </w:pPr>
    </w:p>
    <w:p w14:paraId="32876DA6"/>
    <w:p w14:paraId="282BC989">
      <w:pPr>
        <w:pStyle w:val="2"/>
        <w:rPr>
          <w:color w:val="auto"/>
        </w:rPr>
      </w:pPr>
    </w:p>
    <w:p w14:paraId="6D42D049"/>
    <w:p w14:paraId="15498F2E">
      <w:pPr>
        <w:pStyle w:val="2"/>
        <w:rPr>
          <w:color w:val="auto"/>
        </w:rPr>
      </w:pPr>
      <w:r>
        <w:rPr>
          <w:rFonts w:hint="eastAsia"/>
          <w:color w:val="auto"/>
        </w:rPr>
        <w:t>附件6：保证金承诺函</w:t>
      </w:r>
    </w:p>
    <w:p w14:paraId="4A8F904D"/>
    <w:p w14:paraId="27962FD1"/>
    <w:p w14:paraId="5E034286">
      <w:pPr>
        <w:pStyle w:val="2"/>
        <w:rPr>
          <w:color w:val="auto"/>
        </w:rPr>
      </w:pPr>
    </w:p>
    <w:p w14:paraId="58748DE4">
      <w:pPr>
        <w:widowControl/>
        <w:shd w:val="clear" w:color="auto" w:fill="FFFFFF"/>
        <w:spacing w:line="480" w:lineRule="auto"/>
        <w:jc w:val="center"/>
        <w:rPr>
          <w:rFonts w:ascii="微软雅黑" w:hAnsi="微软雅黑" w:eastAsia="微软雅黑" w:cs="宋体"/>
          <w:spacing w:val="10"/>
          <w:sz w:val="30"/>
          <w:szCs w:val="30"/>
        </w:rPr>
      </w:pPr>
      <w:r>
        <w:rPr>
          <w:rFonts w:hint="eastAsia" w:ascii="微软雅黑" w:hAnsi="微软雅黑" w:eastAsia="微软雅黑" w:cs="宋体"/>
          <w:spacing w:val="10"/>
          <w:sz w:val="30"/>
          <w:szCs w:val="30"/>
        </w:rPr>
        <w:t>投标保证金承诺函</w:t>
      </w:r>
    </w:p>
    <w:p w14:paraId="4BFDBC1E">
      <w:pPr>
        <w:widowControl/>
        <w:shd w:val="clear" w:color="auto" w:fill="FFFFFF"/>
        <w:spacing w:line="480" w:lineRule="auto"/>
        <w:jc w:val="center"/>
        <w:rPr>
          <w:rFonts w:ascii="微软雅黑" w:hAnsi="微软雅黑" w:eastAsia="微软雅黑" w:cs="宋体"/>
          <w:spacing w:val="10"/>
          <w:sz w:val="30"/>
          <w:szCs w:val="30"/>
        </w:rPr>
      </w:pPr>
    </w:p>
    <w:p w14:paraId="7D8F2855">
      <w:pPr>
        <w:widowControl/>
        <w:shd w:val="clear" w:color="auto" w:fill="FFFFFF"/>
        <w:spacing w:line="480" w:lineRule="auto"/>
        <w:rPr>
          <w:rFonts w:ascii="仿宋_GB2312" w:hAnsi="微软雅黑" w:eastAsia="仿宋_GB2312" w:cs="宋体"/>
          <w:spacing w:val="10"/>
          <w:sz w:val="30"/>
          <w:szCs w:val="30"/>
        </w:rPr>
      </w:pPr>
      <w:r>
        <w:rPr>
          <w:rFonts w:hint="eastAsia" w:ascii="仿宋_GB2312" w:hAnsi="微软雅黑" w:eastAsia="仿宋_GB2312" w:cs="宋体"/>
          <w:spacing w:val="10"/>
          <w:sz w:val="30"/>
          <w:szCs w:val="30"/>
        </w:rPr>
        <w:t>（招标单位名称）：</w:t>
      </w:r>
    </w:p>
    <w:p w14:paraId="3D654728">
      <w:pPr>
        <w:widowControl/>
        <w:shd w:val="clear" w:color="auto" w:fill="FFFFFF"/>
        <w:spacing w:line="480" w:lineRule="auto"/>
        <w:rPr>
          <w:rFonts w:ascii="微软雅黑" w:hAnsi="微软雅黑" w:eastAsia="微软雅黑" w:cs="宋体"/>
          <w:spacing w:val="10"/>
          <w:sz w:val="30"/>
          <w:szCs w:val="30"/>
        </w:rPr>
      </w:pPr>
    </w:p>
    <w:p w14:paraId="7002D8AC">
      <w:pPr>
        <w:widowControl/>
        <w:spacing w:line="480" w:lineRule="auto"/>
        <w:ind w:firstLine="604" w:firstLineChars="200"/>
        <w:rPr>
          <w:rFonts w:ascii="MS Mincho" w:hAnsi="MS Mincho" w:cs="MS Mincho"/>
          <w:sz w:val="30"/>
          <w:szCs w:val="30"/>
        </w:rPr>
      </w:pPr>
      <w:r>
        <w:rPr>
          <w:rFonts w:hint="eastAsia" w:ascii="仿宋_GB2312" w:hAnsi="宋体" w:eastAsia="仿宋_GB2312" w:cs="宋体"/>
          <w:sz w:val="30"/>
          <w:szCs w:val="30"/>
        </w:rPr>
        <w:t>我公司参加</w:t>
      </w:r>
      <w:r>
        <w:rPr>
          <w:rFonts w:hint="eastAsia" w:ascii="MS Mincho" w:hAnsi="MS Mincho" w:eastAsia="MS Mincho" w:cs="MS Mincho"/>
          <w:sz w:val="30"/>
          <w:szCs w:val="30"/>
          <w:u w:val="single"/>
        </w:rPr>
        <w:t> </w:t>
      </w:r>
      <w:r>
        <w:rPr>
          <w:rFonts w:hint="eastAsia" w:ascii="仿宋_GB2312" w:hAnsi="宋体" w:eastAsia="仿宋_GB2312" w:cs="宋体"/>
          <w:sz w:val="30"/>
          <w:szCs w:val="30"/>
          <w:u w:val="single"/>
        </w:rPr>
        <w:t>   </w:t>
      </w:r>
      <w:r>
        <w:rPr>
          <w:rFonts w:hint="eastAsia" w:ascii="仿宋_GB2312" w:hAnsi="宋体" w:eastAsia="仿宋_GB2312" w:cs="宋体"/>
          <w:sz w:val="30"/>
          <w:szCs w:val="30"/>
        </w:rPr>
        <w:t>（采购工程项目名称）投标活动，特承诺将按照采购文件要求依法履行投标人义务。如有违反，我公司将依约于</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rPr>
        <w:t>年</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rPr>
        <w:t>月</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rPr>
        <w:t>日前全额付清违约投标保证金</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rPr>
        <w:t>元。  </w:t>
      </w:r>
      <w:r>
        <w:rPr>
          <w:rFonts w:hint="eastAsia" w:ascii="MS Mincho" w:hAnsi="MS Mincho" w:eastAsia="MS Mincho" w:cs="MS Mincho"/>
          <w:sz w:val="30"/>
          <w:szCs w:val="30"/>
        </w:rPr>
        <w:t>  </w:t>
      </w:r>
    </w:p>
    <w:p w14:paraId="41266FF2">
      <w:pPr>
        <w:widowControl/>
        <w:shd w:val="clear" w:color="auto" w:fill="FFFFFF"/>
        <w:spacing w:line="480" w:lineRule="auto"/>
        <w:outlineLvl w:val="1"/>
        <w:rPr>
          <w:rFonts w:ascii="微软雅黑" w:hAnsi="微软雅黑" w:eastAsia="微软雅黑" w:cs="宋体"/>
          <w:spacing w:val="6"/>
          <w:sz w:val="30"/>
          <w:szCs w:val="30"/>
        </w:rPr>
      </w:pPr>
      <w:r>
        <w:rPr>
          <w:rFonts w:hint="eastAsia" w:ascii="仿宋_GB2312" w:hAnsi="微软雅黑" w:eastAsia="仿宋_GB2312" w:cs="宋体"/>
          <w:b/>
          <w:bCs/>
          <w:spacing w:val="6"/>
          <w:sz w:val="30"/>
          <w:szCs w:val="30"/>
        </w:rPr>
        <w:t>   </w:t>
      </w:r>
      <w:r>
        <w:rPr>
          <w:rFonts w:hint="eastAsia" w:ascii="仿宋_GB2312" w:hAnsi="微软雅黑" w:eastAsia="仿宋_GB2312" w:cs="宋体"/>
          <w:spacing w:val="6"/>
          <w:sz w:val="30"/>
          <w:szCs w:val="30"/>
        </w:rPr>
        <w:t>  如我公司未依约全额付清违约投标保证金，采购人可提交行政监督部门处理，我公司自愿接受行政监督部门作出的一切行政处罚，并依法依规将我公司纳入失信黑名单。</w:t>
      </w:r>
    </w:p>
    <w:p w14:paraId="5696FB65">
      <w:pPr>
        <w:widowControl/>
        <w:shd w:val="clear" w:color="auto" w:fill="FFFFFF"/>
        <w:spacing w:line="480" w:lineRule="auto"/>
        <w:rPr>
          <w:rFonts w:ascii="微软雅黑" w:hAnsi="微软雅黑" w:eastAsia="微软雅黑" w:cs="宋体"/>
          <w:spacing w:val="6"/>
          <w:sz w:val="30"/>
          <w:szCs w:val="30"/>
        </w:rPr>
      </w:pPr>
      <w:r>
        <w:rPr>
          <w:rFonts w:hint="eastAsia" w:ascii="MS Mincho" w:hAnsi="MS Mincho" w:eastAsia="MS Mincho" w:cs="MS Mincho"/>
          <w:spacing w:val="6"/>
          <w:sz w:val="30"/>
          <w:szCs w:val="30"/>
        </w:rPr>
        <w:t> </w:t>
      </w:r>
    </w:p>
    <w:p w14:paraId="072FBBA5">
      <w:pPr>
        <w:widowControl/>
        <w:shd w:val="clear" w:color="auto" w:fill="FFFFFF"/>
        <w:spacing w:line="480" w:lineRule="auto"/>
        <w:rPr>
          <w:rFonts w:ascii="微软雅黑" w:hAnsi="微软雅黑" w:eastAsia="微软雅黑" w:cs="宋体"/>
          <w:spacing w:val="6"/>
          <w:sz w:val="30"/>
          <w:szCs w:val="30"/>
        </w:rPr>
      </w:pPr>
      <w:r>
        <w:rPr>
          <w:rFonts w:hint="eastAsia" w:ascii="仿宋_GB2312" w:hAnsi="微软雅黑" w:eastAsia="仿宋_GB2312" w:cs="宋体"/>
          <w:spacing w:val="6"/>
          <w:sz w:val="30"/>
          <w:szCs w:val="30"/>
        </w:rPr>
        <w:t>                              投标人单位名称：（电子公章）</w:t>
      </w:r>
    </w:p>
    <w:p w14:paraId="6E5F4D14">
      <w:pPr>
        <w:widowControl/>
        <w:shd w:val="clear" w:color="auto" w:fill="FFFFFF"/>
        <w:spacing w:line="480" w:lineRule="auto"/>
        <w:rPr>
          <w:rFonts w:ascii="微软雅黑" w:hAnsi="微软雅黑" w:eastAsia="微软雅黑" w:cs="宋体"/>
          <w:spacing w:val="6"/>
          <w:sz w:val="30"/>
          <w:szCs w:val="30"/>
        </w:rPr>
      </w:pPr>
      <w:r>
        <w:rPr>
          <w:rFonts w:hint="eastAsia" w:ascii="仿宋_GB2312" w:hAnsi="微软雅黑" w:eastAsia="仿宋_GB2312" w:cs="宋体"/>
          <w:spacing w:val="6"/>
          <w:sz w:val="30"/>
          <w:szCs w:val="30"/>
        </w:rPr>
        <w:t xml:space="preserve">                                     年 </w:t>
      </w:r>
      <w:r>
        <w:rPr>
          <w:rFonts w:hint="eastAsia" w:ascii="MS Mincho" w:hAnsi="MS Mincho" w:eastAsia="MS Mincho" w:cs="MS Mincho"/>
          <w:spacing w:val="6"/>
          <w:sz w:val="30"/>
          <w:szCs w:val="30"/>
        </w:rPr>
        <w:t> </w:t>
      </w:r>
      <w:r>
        <w:rPr>
          <w:rFonts w:hint="eastAsia" w:ascii="仿宋_GB2312" w:hAnsi="微软雅黑" w:eastAsia="仿宋_GB2312" w:cs="宋体"/>
          <w:spacing w:val="6"/>
          <w:sz w:val="30"/>
          <w:szCs w:val="30"/>
        </w:rPr>
        <w:t>月</w:t>
      </w:r>
      <w:r>
        <w:rPr>
          <w:rFonts w:hint="eastAsia" w:ascii="MS Mincho" w:hAnsi="MS Mincho" w:cs="MS Mincho"/>
          <w:spacing w:val="6"/>
          <w:sz w:val="30"/>
          <w:szCs w:val="30"/>
        </w:rPr>
        <w:t xml:space="preserve">   </w:t>
      </w:r>
      <w:r>
        <w:rPr>
          <w:rFonts w:hint="eastAsia" w:ascii="仿宋_GB2312" w:hAnsi="微软雅黑" w:eastAsia="仿宋_GB2312" w:cs="宋体"/>
          <w:spacing w:val="6"/>
          <w:sz w:val="30"/>
          <w:szCs w:val="30"/>
        </w:rPr>
        <w:t>日</w:t>
      </w:r>
    </w:p>
    <w:p w14:paraId="29F3F744"/>
    <w:sectPr>
      <w:footerReference r:id="rId4" w:type="first"/>
      <w:footerReference r:id="rId3" w:type="default"/>
      <w:pgSz w:w="11906" w:h="16838"/>
      <w:pgMar w:top="1440" w:right="1080" w:bottom="1440" w:left="1080" w:header="851" w:footer="992" w:gutter="0"/>
      <w:cols w:space="720" w:num="1"/>
      <w:titlePg/>
      <w:docGrid w:type="linesAndChars" w:linePitch="312" w:charSpace="5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文鼎CS魏碑">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18030">
    <w:altName w:val="宋体"/>
    <w:panose1 w:val="00000000000000000000"/>
    <w:charset w:val="7A"/>
    <w:family w:val="auto"/>
    <w:pitch w:val="default"/>
    <w:sig w:usb0="00000000" w:usb1="00000000" w:usb2="0000001E" w:usb3="00000000" w:csb0="003C004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MS Mincho">
    <w:altName w:val="仓耳渔阳体 W05"/>
    <w:panose1 w:val="02020609040205080304"/>
    <w:charset w:val="80"/>
    <w:family w:val="modern"/>
    <w:pitch w:val="default"/>
    <w:sig w:usb0="00000000" w:usb1="00000000" w:usb2="00000010" w:usb3="00000000" w:csb0="0002009F" w:csb1="00000000"/>
  </w:font>
  <w:font w:name="仓耳渔阳体 W05">
    <w:panose1 w:val="02020400000000000000"/>
    <w:charset w:val="80"/>
    <w:family w:val="auto"/>
    <w:pitch w:val="default"/>
    <w:sig w:usb0="80000023" w:usb1="08C10458" w:usb2="00000012" w:usb3="00000000" w:csb0="00020001" w:csb1="00000000"/>
  </w:font>
  <w:font w:name="宋体-18030">
    <w:altName w:val="宋体"/>
    <w:panose1 w:val="00000000000000000000"/>
    <w:charset w:val="86"/>
    <w:family w:val="auto"/>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5EAB">
    <w:pPr>
      <w:pStyle w:val="27"/>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joinstyle="miter"/>
          <v:imagedata o:title=""/>
          <o:lock v:ext="edit"/>
          <v:textbox inset="0mm,0mm,0mm,0mm" style="mso-fit-shape-to-text:t;">
            <w:txbxContent>
              <w:sdt>
                <w:sdtPr>
                  <w:id w:val="29861961"/>
                </w:sdtPr>
                <w:sdtContent>
                  <w:p w14:paraId="4D4E9426">
                    <w:pPr>
                      <w:pStyle w:val="27"/>
                      <w:jc w:val="center"/>
                    </w:pPr>
                    <w:r>
                      <w:fldChar w:fldCharType="begin"/>
                    </w:r>
                    <w:r>
                      <w:instrText xml:space="preserve"> PAGE   \* MERGEFORMAT </w:instrText>
                    </w:r>
                    <w:r>
                      <w:fldChar w:fldCharType="separate"/>
                    </w:r>
                    <w:r>
                      <w:rPr>
                        <w:lang w:val="zh-CN"/>
                      </w:rPr>
                      <w:t>18</w:t>
                    </w:r>
                    <w:r>
                      <w:rPr>
                        <w:lang w:val="zh-CN"/>
                      </w:rPr>
                      <w:fldChar w:fldCharType="end"/>
                    </w:r>
                  </w:p>
                </w:sdtContent>
              </w:sdt>
              <w:p w14:paraId="387F18A4"/>
            </w:txbxContent>
          </v:textbox>
        </v:shape>
      </w:pict>
    </w:r>
  </w:p>
  <w:p w14:paraId="2FC9BE4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7193F">
    <w:pPr>
      <w:pStyle w:val="27"/>
      <w:jc w:val="center"/>
    </w:pPr>
    <w: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path/>
          <v:fill on="f" focussize="0,0"/>
          <v:stroke on="f" weight="0.5pt" joinstyle="miter"/>
          <v:imagedata o:title=""/>
          <o:lock v:ext="edit"/>
          <v:textbox inset="0mm,0mm,0mm,0mm" style="mso-fit-shape-to-text:t;">
            <w:txbxContent>
              <w:sdt>
                <w:sdtPr>
                  <w:id w:val="29861962"/>
                </w:sdtPr>
                <w:sdtContent>
                  <w:p w14:paraId="0ABBD2F1">
                    <w:pPr>
                      <w:pStyle w:val="27"/>
                      <w:jc w:val="center"/>
                    </w:pPr>
                    <w:r>
                      <w:fldChar w:fldCharType="begin"/>
                    </w:r>
                    <w:r>
                      <w:instrText xml:space="preserve"> PAGE   \* MERGEFORMAT </w:instrText>
                    </w:r>
                    <w:r>
                      <w:fldChar w:fldCharType="separate"/>
                    </w:r>
                    <w:r>
                      <w:rPr>
                        <w:lang w:val="zh-CN"/>
                      </w:rPr>
                      <w:t>1</w:t>
                    </w:r>
                    <w:r>
                      <w:rPr>
                        <w:lang w:val="zh-CN"/>
                      </w:rPr>
                      <w:fldChar w:fldCharType="end"/>
                    </w:r>
                  </w:p>
                </w:sdtContent>
              </w:sdt>
              <w:p w14:paraId="6F544459"/>
            </w:txbxContent>
          </v:textbox>
        </v:shape>
      </w:pict>
    </w:r>
  </w:p>
  <w:p w14:paraId="04C6CD29">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F6739E"/>
    <w:multiLevelType w:val="singleLevel"/>
    <w:tmpl w:val="2EF6739E"/>
    <w:lvl w:ilvl="0" w:tentative="0">
      <w:start w:val="2"/>
      <w:numFmt w:val="decimal"/>
      <w:suff w:val="nothing"/>
      <w:lvlText w:val="%1）"/>
      <w:lvlJc w:val="left"/>
    </w:lvl>
  </w:abstractNum>
  <w:abstractNum w:abstractNumId="1">
    <w:nsid w:val="369709A3"/>
    <w:multiLevelType w:val="multilevel"/>
    <w:tmpl w:val="369709A3"/>
    <w:lvl w:ilvl="0" w:tentative="0">
      <w:start w:val="1"/>
      <w:numFmt w:val="decimal"/>
      <w:pStyle w:val="97"/>
      <w:lvlText w:val="%1."/>
      <w:lvlJc w:val="left"/>
      <w:pPr>
        <w:tabs>
          <w:tab w:val="left" w:pos="420"/>
        </w:tabs>
        <w:ind w:left="430" w:hanging="430"/>
      </w:pPr>
      <w:rPr>
        <w:rFonts w:hint="eastAsia" w:cs="Times New Roman"/>
      </w:rPr>
    </w:lvl>
    <w:lvl w:ilvl="1" w:tentative="0">
      <w:start w:val="1"/>
      <w:numFmt w:val="decimal"/>
      <w:lvlText w:val="%1.%2"/>
      <w:lvlJc w:val="left"/>
      <w:pPr>
        <w:tabs>
          <w:tab w:val="left" w:pos="700"/>
        </w:tabs>
        <w:ind w:left="700" w:hanging="700"/>
      </w:pPr>
      <w:rPr>
        <w:rFonts w:hint="eastAsia" w:ascii="宋体" w:hAnsi="宋体" w:eastAsia="宋体" w:cs="Times New Roman"/>
        <w:b w:val="0"/>
      </w:rPr>
    </w:lvl>
    <w:lvl w:ilvl="2" w:tentative="0">
      <w:start w:val="1"/>
      <w:numFmt w:val="decimal"/>
      <w:pStyle w:val="123"/>
      <w:lvlText w:val="%1.%2.%3"/>
      <w:lvlJc w:val="left"/>
      <w:pPr>
        <w:tabs>
          <w:tab w:val="left" w:pos="1000"/>
        </w:tabs>
        <w:ind w:left="1000" w:hanging="1000"/>
      </w:pPr>
      <w:rPr>
        <w:rFonts w:hint="eastAsia" w:cs="Times New Roman"/>
      </w:rPr>
    </w:lvl>
    <w:lvl w:ilvl="3" w:tentative="0">
      <w:start w:val="1"/>
      <w:numFmt w:val="decimal"/>
      <w:lvlText w:val="%1.%2.%3.%4"/>
      <w:lvlJc w:val="left"/>
      <w:pPr>
        <w:tabs>
          <w:tab w:val="left" w:pos="0"/>
        </w:tabs>
        <w:ind w:left="1984" w:hanging="1984"/>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
    <w:nsid w:val="562F446A"/>
    <w:multiLevelType w:val="singleLevel"/>
    <w:tmpl w:val="562F446A"/>
    <w:lvl w:ilvl="0" w:tentative="0">
      <w:start w:val="1"/>
      <w:numFmt w:val="decimal"/>
      <w:suff w:val="nothing"/>
      <w:lvlText w:val="%1."/>
      <w:lvlJc w:val="left"/>
    </w:lvl>
  </w:abstractNum>
  <w:abstractNum w:abstractNumId="3">
    <w:nsid w:val="7E8F04B3"/>
    <w:multiLevelType w:val="multilevel"/>
    <w:tmpl w:val="7E8F04B3"/>
    <w:lvl w:ilvl="0" w:tentative="0">
      <w:start w:val="0"/>
      <w:numFmt w:val="decimal"/>
      <w:pStyle w:val="3"/>
      <w:lvlText w:val=""/>
      <w:lvlJc w:val="left"/>
      <w:pPr>
        <w:tabs>
          <w:tab w:val="left" w:pos="0"/>
        </w:tabs>
      </w:pPr>
      <w:rPr>
        <w:rFonts w:cs="Times New Roman"/>
      </w:rPr>
    </w:lvl>
    <w:lvl w:ilvl="1" w:tentative="0">
      <w:start w:val="0"/>
      <w:numFmt w:val="decimal"/>
      <w:pStyle w:val="4"/>
      <w:lvlText w:val=""/>
      <w:lvlJc w:val="left"/>
      <w:pPr>
        <w:tabs>
          <w:tab w:val="left" w:pos="0"/>
        </w:tabs>
      </w:pPr>
      <w:rPr>
        <w:rFonts w:cs="Times New Roman"/>
      </w:rPr>
    </w:lvl>
    <w:lvl w:ilvl="2" w:tentative="0">
      <w:start w:val="0"/>
      <w:numFmt w:val="decimal"/>
      <w:pStyle w:val="5"/>
      <w:lvlText w:val=""/>
      <w:lvlJc w:val="left"/>
      <w:pPr>
        <w:tabs>
          <w:tab w:val="left" w:pos="0"/>
        </w:tabs>
      </w:pPr>
      <w:rPr>
        <w:rFonts w:cs="Times New Roman"/>
      </w:rPr>
    </w:lvl>
    <w:lvl w:ilvl="3" w:tentative="0">
      <w:start w:val="0"/>
      <w:numFmt w:val="decimal"/>
      <w:pStyle w:val="7"/>
      <w:lvlText w:val=""/>
      <w:lvlJc w:val="left"/>
      <w:pPr>
        <w:tabs>
          <w:tab w:val="left" w:pos="0"/>
        </w:tabs>
      </w:pPr>
      <w:rPr>
        <w:rFonts w:cs="Times New Roman"/>
      </w:rPr>
    </w:lvl>
    <w:lvl w:ilvl="4" w:tentative="0">
      <w:start w:val="0"/>
      <w:numFmt w:val="decimal"/>
      <w:pStyle w:val="8"/>
      <w:lvlText w:val=""/>
      <w:lvlJc w:val="left"/>
      <w:pPr>
        <w:tabs>
          <w:tab w:val="left" w:pos="0"/>
        </w:tabs>
      </w:pPr>
      <w:rPr>
        <w:rFonts w:cs="Times New Roman"/>
      </w:rPr>
    </w:lvl>
    <w:lvl w:ilvl="5" w:tentative="0">
      <w:start w:val="0"/>
      <w:numFmt w:val="decimal"/>
      <w:pStyle w:val="9"/>
      <w:lvlText w:val=""/>
      <w:lvlJc w:val="left"/>
      <w:pPr>
        <w:tabs>
          <w:tab w:val="left" w:pos="0"/>
        </w:tabs>
      </w:pPr>
      <w:rPr>
        <w:rFonts w:cs="Times New Roman"/>
      </w:rPr>
    </w:lvl>
    <w:lvl w:ilvl="6" w:tentative="0">
      <w:start w:val="0"/>
      <w:numFmt w:val="decimal"/>
      <w:pStyle w:val="10"/>
      <w:lvlText w:val=""/>
      <w:lvlJc w:val="left"/>
      <w:pPr>
        <w:tabs>
          <w:tab w:val="left" w:pos="0"/>
        </w:tabs>
      </w:pPr>
      <w:rPr>
        <w:rFonts w:cs="Times New Roman"/>
      </w:rPr>
    </w:lvl>
    <w:lvl w:ilvl="7" w:tentative="0">
      <w:start w:val="0"/>
      <w:numFmt w:val="decimal"/>
      <w:pStyle w:val="11"/>
      <w:lvlText w:val=""/>
      <w:lvlJc w:val="left"/>
      <w:pPr>
        <w:tabs>
          <w:tab w:val="left" w:pos="0"/>
        </w:tabs>
      </w:pPr>
      <w:rPr>
        <w:rFonts w:cs="Times New Roman"/>
      </w:rPr>
    </w:lvl>
    <w:lvl w:ilvl="8" w:tentative="0">
      <w:start w:val="0"/>
      <w:numFmt w:val="decimal"/>
      <w:pStyle w:val="12"/>
      <w:lvlText w:val=""/>
      <w:lvlJc w:val="left"/>
      <w:pPr>
        <w:tabs>
          <w:tab w:val="left" w:pos="0"/>
        </w:tabs>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documentProtection w:enforcement="0"/>
  <w:defaultTabStop w:val="420"/>
  <w:drawingGridHorizontalSpacing w:val="213"/>
  <w:drawingGridVerticalSpacing w:val="156"/>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UwMjk5OTk2ZjE2ZDM3ZDk4ZWE5MGM5OGFlNjBiN2MifQ=="/>
  </w:docVars>
  <w:rsids>
    <w:rsidRoot w:val="00534B39"/>
    <w:rsid w:val="000014DA"/>
    <w:rsid w:val="000014DC"/>
    <w:rsid w:val="00002488"/>
    <w:rsid w:val="000039C7"/>
    <w:rsid w:val="00004296"/>
    <w:rsid w:val="000050D5"/>
    <w:rsid w:val="000054D3"/>
    <w:rsid w:val="000068F5"/>
    <w:rsid w:val="00006E79"/>
    <w:rsid w:val="000110E5"/>
    <w:rsid w:val="000124C1"/>
    <w:rsid w:val="00012BCA"/>
    <w:rsid w:val="00012D53"/>
    <w:rsid w:val="000149BE"/>
    <w:rsid w:val="000155A4"/>
    <w:rsid w:val="000159A7"/>
    <w:rsid w:val="00020B7E"/>
    <w:rsid w:val="00022546"/>
    <w:rsid w:val="00022B62"/>
    <w:rsid w:val="00022F8F"/>
    <w:rsid w:val="0002317C"/>
    <w:rsid w:val="00024824"/>
    <w:rsid w:val="000269E3"/>
    <w:rsid w:val="00027687"/>
    <w:rsid w:val="0003195B"/>
    <w:rsid w:val="0003427E"/>
    <w:rsid w:val="00034F2B"/>
    <w:rsid w:val="00040FFA"/>
    <w:rsid w:val="00041F9E"/>
    <w:rsid w:val="00042ECA"/>
    <w:rsid w:val="000430EC"/>
    <w:rsid w:val="0004345D"/>
    <w:rsid w:val="000445BD"/>
    <w:rsid w:val="000446B7"/>
    <w:rsid w:val="000449CB"/>
    <w:rsid w:val="00044C13"/>
    <w:rsid w:val="00046248"/>
    <w:rsid w:val="000468DB"/>
    <w:rsid w:val="00046D59"/>
    <w:rsid w:val="000478FD"/>
    <w:rsid w:val="00052823"/>
    <w:rsid w:val="00052AFE"/>
    <w:rsid w:val="00052CAE"/>
    <w:rsid w:val="0005402B"/>
    <w:rsid w:val="000559E5"/>
    <w:rsid w:val="00056672"/>
    <w:rsid w:val="000566E6"/>
    <w:rsid w:val="00056E03"/>
    <w:rsid w:val="000607FA"/>
    <w:rsid w:val="00061D55"/>
    <w:rsid w:val="000625D9"/>
    <w:rsid w:val="00062788"/>
    <w:rsid w:val="0006324D"/>
    <w:rsid w:val="0006578C"/>
    <w:rsid w:val="00066617"/>
    <w:rsid w:val="00066819"/>
    <w:rsid w:val="000672CC"/>
    <w:rsid w:val="000676EC"/>
    <w:rsid w:val="00070093"/>
    <w:rsid w:val="00071FFB"/>
    <w:rsid w:val="0007212B"/>
    <w:rsid w:val="00072A9D"/>
    <w:rsid w:val="00072FA8"/>
    <w:rsid w:val="000733D5"/>
    <w:rsid w:val="0007416A"/>
    <w:rsid w:val="0007436F"/>
    <w:rsid w:val="00074A2D"/>
    <w:rsid w:val="00074BD8"/>
    <w:rsid w:val="00074D94"/>
    <w:rsid w:val="0007648A"/>
    <w:rsid w:val="00076C3D"/>
    <w:rsid w:val="00076E36"/>
    <w:rsid w:val="00081789"/>
    <w:rsid w:val="00081983"/>
    <w:rsid w:val="000825DE"/>
    <w:rsid w:val="000831DC"/>
    <w:rsid w:val="0008586B"/>
    <w:rsid w:val="00090E09"/>
    <w:rsid w:val="00090E77"/>
    <w:rsid w:val="00091383"/>
    <w:rsid w:val="00092E47"/>
    <w:rsid w:val="00093C28"/>
    <w:rsid w:val="000955CA"/>
    <w:rsid w:val="00096DCA"/>
    <w:rsid w:val="00096F34"/>
    <w:rsid w:val="0009796A"/>
    <w:rsid w:val="000A0769"/>
    <w:rsid w:val="000A07C2"/>
    <w:rsid w:val="000A0AA3"/>
    <w:rsid w:val="000A14C1"/>
    <w:rsid w:val="000A47D9"/>
    <w:rsid w:val="000A577A"/>
    <w:rsid w:val="000A5F0A"/>
    <w:rsid w:val="000A77C9"/>
    <w:rsid w:val="000B0BB8"/>
    <w:rsid w:val="000B1EBA"/>
    <w:rsid w:val="000B2A71"/>
    <w:rsid w:val="000B3AE7"/>
    <w:rsid w:val="000B43AC"/>
    <w:rsid w:val="000B4EC6"/>
    <w:rsid w:val="000B63CB"/>
    <w:rsid w:val="000B7316"/>
    <w:rsid w:val="000C0FF9"/>
    <w:rsid w:val="000C1A82"/>
    <w:rsid w:val="000C28CD"/>
    <w:rsid w:val="000C2AAC"/>
    <w:rsid w:val="000C2BC9"/>
    <w:rsid w:val="000C3657"/>
    <w:rsid w:val="000C470D"/>
    <w:rsid w:val="000C606E"/>
    <w:rsid w:val="000D0B86"/>
    <w:rsid w:val="000D0F12"/>
    <w:rsid w:val="000D325C"/>
    <w:rsid w:val="000D4161"/>
    <w:rsid w:val="000D4B13"/>
    <w:rsid w:val="000D4B4A"/>
    <w:rsid w:val="000D4E47"/>
    <w:rsid w:val="000D7A71"/>
    <w:rsid w:val="000E000E"/>
    <w:rsid w:val="000E01EF"/>
    <w:rsid w:val="000E1AE6"/>
    <w:rsid w:val="000E203F"/>
    <w:rsid w:val="000E20FE"/>
    <w:rsid w:val="000E3126"/>
    <w:rsid w:val="000E37B8"/>
    <w:rsid w:val="000E3FF3"/>
    <w:rsid w:val="000E5E85"/>
    <w:rsid w:val="000E63BE"/>
    <w:rsid w:val="000E64CF"/>
    <w:rsid w:val="000E658F"/>
    <w:rsid w:val="000E6BA6"/>
    <w:rsid w:val="000E7989"/>
    <w:rsid w:val="000F016E"/>
    <w:rsid w:val="000F1207"/>
    <w:rsid w:val="000F3BE4"/>
    <w:rsid w:val="000F5587"/>
    <w:rsid w:val="000F6161"/>
    <w:rsid w:val="000F7536"/>
    <w:rsid w:val="001016B4"/>
    <w:rsid w:val="00102DC1"/>
    <w:rsid w:val="00102EFC"/>
    <w:rsid w:val="00104117"/>
    <w:rsid w:val="001044AD"/>
    <w:rsid w:val="001070C3"/>
    <w:rsid w:val="00107E8F"/>
    <w:rsid w:val="0011046B"/>
    <w:rsid w:val="001104D1"/>
    <w:rsid w:val="0011098D"/>
    <w:rsid w:val="001110A3"/>
    <w:rsid w:val="00112CF4"/>
    <w:rsid w:val="00112DA7"/>
    <w:rsid w:val="00113E54"/>
    <w:rsid w:val="001161AD"/>
    <w:rsid w:val="001167CA"/>
    <w:rsid w:val="00116E8E"/>
    <w:rsid w:val="0011721E"/>
    <w:rsid w:val="00117563"/>
    <w:rsid w:val="00117B04"/>
    <w:rsid w:val="00120436"/>
    <w:rsid w:val="0012110A"/>
    <w:rsid w:val="001216C0"/>
    <w:rsid w:val="00122169"/>
    <w:rsid w:val="0012313D"/>
    <w:rsid w:val="001242C7"/>
    <w:rsid w:val="001246A7"/>
    <w:rsid w:val="001272AF"/>
    <w:rsid w:val="00127C8E"/>
    <w:rsid w:val="001300D1"/>
    <w:rsid w:val="001303D7"/>
    <w:rsid w:val="001311B1"/>
    <w:rsid w:val="0013120D"/>
    <w:rsid w:val="001318FE"/>
    <w:rsid w:val="00132F02"/>
    <w:rsid w:val="001333A4"/>
    <w:rsid w:val="0013373A"/>
    <w:rsid w:val="0013467F"/>
    <w:rsid w:val="00134EAF"/>
    <w:rsid w:val="00134F60"/>
    <w:rsid w:val="00135BE2"/>
    <w:rsid w:val="0013624A"/>
    <w:rsid w:val="0013683F"/>
    <w:rsid w:val="001368EC"/>
    <w:rsid w:val="00136BBC"/>
    <w:rsid w:val="00137D05"/>
    <w:rsid w:val="001405CA"/>
    <w:rsid w:val="0014148B"/>
    <w:rsid w:val="00142CD6"/>
    <w:rsid w:val="00143061"/>
    <w:rsid w:val="001438B9"/>
    <w:rsid w:val="00143DD3"/>
    <w:rsid w:val="0014571A"/>
    <w:rsid w:val="001458ED"/>
    <w:rsid w:val="00145A74"/>
    <w:rsid w:val="00146D02"/>
    <w:rsid w:val="0015044C"/>
    <w:rsid w:val="00150526"/>
    <w:rsid w:val="001510FF"/>
    <w:rsid w:val="00151116"/>
    <w:rsid w:val="00151B04"/>
    <w:rsid w:val="00151EA4"/>
    <w:rsid w:val="00152730"/>
    <w:rsid w:val="001531F7"/>
    <w:rsid w:val="0015354C"/>
    <w:rsid w:val="00156727"/>
    <w:rsid w:val="00156850"/>
    <w:rsid w:val="001603A0"/>
    <w:rsid w:val="001604B9"/>
    <w:rsid w:val="0016199D"/>
    <w:rsid w:val="00163850"/>
    <w:rsid w:val="00163F05"/>
    <w:rsid w:val="001650DD"/>
    <w:rsid w:val="001668F0"/>
    <w:rsid w:val="00167082"/>
    <w:rsid w:val="00170386"/>
    <w:rsid w:val="00170980"/>
    <w:rsid w:val="001729B4"/>
    <w:rsid w:val="001746C4"/>
    <w:rsid w:val="00175359"/>
    <w:rsid w:val="00175377"/>
    <w:rsid w:val="00175383"/>
    <w:rsid w:val="00175DC0"/>
    <w:rsid w:val="00177694"/>
    <w:rsid w:val="00177EDE"/>
    <w:rsid w:val="0018132B"/>
    <w:rsid w:val="00182001"/>
    <w:rsid w:val="00182D0A"/>
    <w:rsid w:val="001836AF"/>
    <w:rsid w:val="0018393E"/>
    <w:rsid w:val="00184126"/>
    <w:rsid w:val="00184324"/>
    <w:rsid w:val="00184CFB"/>
    <w:rsid w:val="00184E0E"/>
    <w:rsid w:val="00185132"/>
    <w:rsid w:val="0018543C"/>
    <w:rsid w:val="001875F5"/>
    <w:rsid w:val="001909D1"/>
    <w:rsid w:val="0019164F"/>
    <w:rsid w:val="001924B6"/>
    <w:rsid w:val="001942D3"/>
    <w:rsid w:val="001945D0"/>
    <w:rsid w:val="00195099"/>
    <w:rsid w:val="001A2421"/>
    <w:rsid w:val="001A278D"/>
    <w:rsid w:val="001A2CAE"/>
    <w:rsid w:val="001A2FDC"/>
    <w:rsid w:val="001A4060"/>
    <w:rsid w:val="001A45C0"/>
    <w:rsid w:val="001A4BF0"/>
    <w:rsid w:val="001A4F47"/>
    <w:rsid w:val="001A6337"/>
    <w:rsid w:val="001A6EBE"/>
    <w:rsid w:val="001A704A"/>
    <w:rsid w:val="001B0657"/>
    <w:rsid w:val="001B068E"/>
    <w:rsid w:val="001B084C"/>
    <w:rsid w:val="001B1D50"/>
    <w:rsid w:val="001B2A3F"/>
    <w:rsid w:val="001B3791"/>
    <w:rsid w:val="001B44BB"/>
    <w:rsid w:val="001B549F"/>
    <w:rsid w:val="001B77E7"/>
    <w:rsid w:val="001B7A52"/>
    <w:rsid w:val="001C22F2"/>
    <w:rsid w:val="001C27F4"/>
    <w:rsid w:val="001C2810"/>
    <w:rsid w:val="001C2A4E"/>
    <w:rsid w:val="001C2B5D"/>
    <w:rsid w:val="001C40C5"/>
    <w:rsid w:val="001C493A"/>
    <w:rsid w:val="001C5716"/>
    <w:rsid w:val="001C5FCF"/>
    <w:rsid w:val="001C68B9"/>
    <w:rsid w:val="001D0F82"/>
    <w:rsid w:val="001D1077"/>
    <w:rsid w:val="001D1AED"/>
    <w:rsid w:val="001D1E4B"/>
    <w:rsid w:val="001D3067"/>
    <w:rsid w:val="001D3104"/>
    <w:rsid w:val="001D31E4"/>
    <w:rsid w:val="001D3B12"/>
    <w:rsid w:val="001D78C9"/>
    <w:rsid w:val="001E01FD"/>
    <w:rsid w:val="001E0993"/>
    <w:rsid w:val="001E142F"/>
    <w:rsid w:val="001E17CC"/>
    <w:rsid w:val="001E3DD5"/>
    <w:rsid w:val="001E486F"/>
    <w:rsid w:val="001E56DA"/>
    <w:rsid w:val="001E6E57"/>
    <w:rsid w:val="001E7069"/>
    <w:rsid w:val="001E728C"/>
    <w:rsid w:val="001E78B5"/>
    <w:rsid w:val="001F0D69"/>
    <w:rsid w:val="001F135F"/>
    <w:rsid w:val="001F2506"/>
    <w:rsid w:val="001F2C98"/>
    <w:rsid w:val="001F346F"/>
    <w:rsid w:val="001F3FA5"/>
    <w:rsid w:val="001F40DD"/>
    <w:rsid w:val="001F452F"/>
    <w:rsid w:val="001F4968"/>
    <w:rsid w:val="001F54E0"/>
    <w:rsid w:val="001F6527"/>
    <w:rsid w:val="001F6A73"/>
    <w:rsid w:val="001F70C9"/>
    <w:rsid w:val="001F77D7"/>
    <w:rsid w:val="00200435"/>
    <w:rsid w:val="00203160"/>
    <w:rsid w:val="0020566C"/>
    <w:rsid w:val="002063ED"/>
    <w:rsid w:val="00206856"/>
    <w:rsid w:val="00207D48"/>
    <w:rsid w:val="00212B9C"/>
    <w:rsid w:val="0021425A"/>
    <w:rsid w:val="00215579"/>
    <w:rsid w:val="002175AF"/>
    <w:rsid w:val="00217720"/>
    <w:rsid w:val="002179C9"/>
    <w:rsid w:val="00220730"/>
    <w:rsid w:val="00220C87"/>
    <w:rsid w:val="00221B9E"/>
    <w:rsid w:val="00222B09"/>
    <w:rsid w:val="00225645"/>
    <w:rsid w:val="002269C6"/>
    <w:rsid w:val="002307B7"/>
    <w:rsid w:val="00231379"/>
    <w:rsid w:val="00232C0A"/>
    <w:rsid w:val="00233618"/>
    <w:rsid w:val="002347A9"/>
    <w:rsid w:val="00235157"/>
    <w:rsid w:val="00235A96"/>
    <w:rsid w:val="00235F3A"/>
    <w:rsid w:val="0023678C"/>
    <w:rsid w:val="00236EE7"/>
    <w:rsid w:val="002375A1"/>
    <w:rsid w:val="002378DD"/>
    <w:rsid w:val="0024301E"/>
    <w:rsid w:val="002441DC"/>
    <w:rsid w:val="00245D73"/>
    <w:rsid w:val="00245F65"/>
    <w:rsid w:val="002461E7"/>
    <w:rsid w:val="00246489"/>
    <w:rsid w:val="002470E1"/>
    <w:rsid w:val="00250CBE"/>
    <w:rsid w:val="00252661"/>
    <w:rsid w:val="00252FDF"/>
    <w:rsid w:val="00254604"/>
    <w:rsid w:val="00254865"/>
    <w:rsid w:val="0025507B"/>
    <w:rsid w:val="00256BDA"/>
    <w:rsid w:val="00256C35"/>
    <w:rsid w:val="00257DA2"/>
    <w:rsid w:val="00257E84"/>
    <w:rsid w:val="002625E5"/>
    <w:rsid w:val="00262D71"/>
    <w:rsid w:val="00262DA5"/>
    <w:rsid w:val="00264067"/>
    <w:rsid w:val="002641B2"/>
    <w:rsid w:val="002645A3"/>
    <w:rsid w:val="00264813"/>
    <w:rsid w:val="00264FE9"/>
    <w:rsid w:val="0026780E"/>
    <w:rsid w:val="00270163"/>
    <w:rsid w:val="0027358D"/>
    <w:rsid w:val="00274F8C"/>
    <w:rsid w:val="002814E6"/>
    <w:rsid w:val="002827C1"/>
    <w:rsid w:val="00283627"/>
    <w:rsid w:val="00283DFD"/>
    <w:rsid w:val="00285E93"/>
    <w:rsid w:val="00290FC4"/>
    <w:rsid w:val="002932FC"/>
    <w:rsid w:val="00293D18"/>
    <w:rsid w:val="002963CF"/>
    <w:rsid w:val="002A0E38"/>
    <w:rsid w:val="002A1E98"/>
    <w:rsid w:val="002A4349"/>
    <w:rsid w:val="002A58DC"/>
    <w:rsid w:val="002A5E4A"/>
    <w:rsid w:val="002A62E0"/>
    <w:rsid w:val="002A66F8"/>
    <w:rsid w:val="002A69EC"/>
    <w:rsid w:val="002A6A1E"/>
    <w:rsid w:val="002B0162"/>
    <w:rsid w:val="002B235E"/>
    <w:rsid w:val="002B3165"/>
    <w:rsid w:val="002B32A0"/>
    <w:rsid w:val="002B3C38"/>
    <w:rsid w:val="002B3EC5"/>
    <w:rsid w:val="002B4188"/>
    <w:rsid w:val="002B472F"/>
    <w:rsid w:val="002B50AD"/>
    <w:rsid w:val="002B5502"/>
    <w:rsid w:val="002B595F"/>
    <w:rsid w:val="002B5F26"/>
    <w:rsid w:val="002B777E"/>
    <w:rsid w:val="002C0C65"/>
    <w:rsid w:val="002C1248"/>
    <w:rsid w:val="002C2AAD"/>
    <w:rsid w:val="002C516F"/>
    <w:rsid w:val="002C5DB8"/>
    <w:rsid w:val="002C674C"/>
    <w:rsid w:val="002C6F98"/>
    <w:rsid w:val="002D2F61"/>
    <w:rsid w:val="002D4A71"/>
    <w:rsid w:val="002D77C4"/>
    <w:rsid w:val="002D786F"/>
    <w:rsid w:val="002D7DE6"/>
    <w:rsid w:val="002E08F8"/>
    <w:rsid w:val="002E1B47"/>
    <w:rsid w:val="002E3793"/>
    <w:rsid w:val="002E3ABA"/>
    <w:rsid w:val="002E465B"/>
    <w:rsid w:val="002E5957"/>
    <w:rsid w:val="002E5C51"/>
    <w:rsid w:val="002E5EFB"/>
    <w:rsid w:val="002E6918"/>
    <w:rsid w:val="002E6959"/>
    <w:rsid w:val="002F058D"/>
    <w:rsid w:val="002F0BF8"/>
    <w:rsid w:val="002F1575"/>
    <w:rsid w:val="002F20A6"/>
    <w:rsid w:val="002F4D98"/>
    <w:rsid w:val="002F5CFF"/>
    <w:rsid w:val="002F6178"/>
    <w:rsid w:val="002F6F13"/>
    <w:rsid w:val="003001B5"/>
    <w:rsid w:val="00300411"/>
    <w:rsid w:val="003043C1"/>
    <w:rsid w:val="0030777D"/>
    <w:rsid w:val="0030794E"/>
    <w:rsid w:val="00310211"/>
    <w:rsid w:val="003110C3"/>
    <w:rsid w:val="00311AB1"/>
    <w:rsid w:val="00312354"/>
    <w:rsid w:val="00312665"/>
    <w:rsid w:val="0031283F"/>
    <w:rsid w:val="00313A55"/>
    <w:rsid w:val="003162B0"/>
    <w:rsid w:val="00316A43"/>
    <w:rsid w:val="00317538"/>
    <w:rsid w:val="0032079C"/>
    <w:rsid w:val="003209C8"/>
    <w:rsid w:val="00321B14"/>
    <w:rsid w:val="00323427"/>
    <w:rsid w:val="00324627"/>
    <w:rsid w:val="00325298"/>
    <w:rsid w:val="00326DF0"/>
    <w:rsid w:val="003270AE"/>
    <w:rsid w:val="0033086C"/>
    <w:rsid w:val="003338D8"/>
    <w:rsid w:val="0033559C"/>
    <w:rsid w:val="00336A61"/>
    <w:rsid w:val="00340F07"/>
    <w:rsid w:val="003413D1"/>
    <w:rsid w:val="003453DE"/>
    <w:rsid w:val="00345510"/>
    <w:rsid w:val="00345F37"/>
    <w:rsid w:val="00346546"/>
    <w:rsid w:val="00346EB2"/>
    <w:rsid w:val="00346FE7"/>
    <w:rsid w:val="00347256"/>
    <w:rsid w:val="0034791E"/>
    <w:rsid w:val="00347A17"/>
    <w:rsid w:val="00347E69"/>
    <w:rsid w:val="00350568"/>
    <w:rsid w:val="00351034"/>
    <w:rsid w:val="00351297"/>
    <w:rsid w:val="0035327E"/>
    <w:rsid w:val="00353E91"/>
    <w:rsid w:val="00354EEB"/>
    <w:rsid w:val="00355C23"/>
    <w:rsid w:val="0035630D"/>
    <w:rsid w:val="00356DE4"/>
    <w:rsid w:val="00357BA4"/>
    <w:rsid w:val="00357DB9"/>
    <w:rsid w:val="00362367"/>
    <w:rsid w:val="003638BC"/>
    <w:rsid w:val="00364289"/>
    <w:rsid w:val="0037060D"/>
    <w:rsid w:val="00370A43"/>
    <w:rsid w:val="0037101F"/>
    <w:rsid w:val="00371408"/>
    <w:rsid w:val="00371C25"/>
    <w:rsid w:val="00372F51"/>
    <w:rsid w:val="003737FD"/>
    <w:rsid w:val="0037482E"/>
    <w:rsid w:val="00374B09"/>
    <w:rsid w:val="00375D4B"/>
    <w:rsid w:val="00376C0D"/>
    <w:rsid w:val="00376CC5"/>
    <w:rsid w:val="003772D8"/>
    <w:rsid w:val="0037770A"/>
    <w:rsid w:val="00380413"/>
    <w:rsid w:val="00381293"/>
    <w:rsid w:val="00381514"/>
    <w:rsid w:val="00382690"/>
    <w:rsid w:val="00384D0C"/>
    <w:rsid w:val="003859C1"/>
    <w:rsid w:val="00386EC6"/>
    <w:rsid w:val="00386F69"/>
    <w:rsid w:val="00387508"/>
    <w:rsid w:val="00387834"/>
    <w:rsid w:val="00387C91"/>
    <w:rsid w:val="00387EC4"/>
    <w:rsid w:val="003900F8"/>
    <w:rsid w:val="003907F5"/>
    <w:rsid w:val="00390E0F"/>
    <w:rsid w:val="003927AC"/>
    <w:rsid w:val="003936B7"/>
    <w:rsid w:val="00393C00"/>
    <w:rsid w:val="00393FC1"/>
    <w:rsid w:val="003963F2"/>
    <w:rsid w:val="00397511"/>
    <w:rsid w:val="003975AE"/>
    <w:rsid w:val="00397A2B"/>
    <w:rsid w:val="00397C9E"/>
    <w:rsid w:val="003A1573"/>
    <w:rsid w:val="003A1DB1"/>
    <w:rsid w:val="003A5210"/>
    <w:rsid w:val="003A6550"/>
    <w:rsid w:val="003A68B8"/>
    <w:rsid w:val="003B2167"/>
    <w:rsid w:val="003B4896"/>
    <w:rsid w:val="003B4F29"/>
    <w:rsid w:val="003B6093"/>
    <w:rsid w:val="003B678F"/>
    <w:rsid w:val="003B6C4D"/>
    <w:rsid w:val="003B7025"/>
    <w:rsid w:val="003C022B"/>
    <w:rsid w:val="003C28E1"/>
    <w:rsid w:val="003C3AE8"/>
    <w:rsid w:val="003C3C20"/>
    <w:rsid w:val="003C4CFD"/>
    <w:rsid w:val="003C5CD2"/>
    <w:rsid w:val="003C5D8C"/>
    <w:rsid w:val="003C6AA3"/>
    <w:rsid w:val="003C7D04"/>
    <w:rsid w:val="003D1165"/>
    <w:rsid w:val="003D1593"/>
    <w:rsid w:val="003D1719"/>
    <w:rsid w:val="003D18A6"/>
    <w:rsid w:val="003D40F7"/>
    <w:rsid w:val="003D5883"/>
    <w:rsid w:val="003D6190"/>
    <w:rsid w:val="003D6339"/>
    <w:rsid w:val="003D6C11"/>
    <w:rsid w:val="003D78F7"/>
    <w:rsid w:val="003E0FBD"/>
    <w:rsid w:val="003E12AD"/>
    <w:rsid w:val="003E14CC"/>
    <w:rsid w:val="003E261F"/>
    <w:rsid w:val="003E27D8"/>
    <w:rsid w:val="003E2CC8"/>
    <w:rsid w:val="003E2E2E"/>
    <w:rsid w:val="003E37F7"/>
    <w:rsid w:val="003E6574"/>
    <w:rsid w:val="003E67E8"/>
    <w:rsid w:val="003E7153"/>
    <w:rsid w:val="003E77A2"/>
    <w:rsid w:val="003E7E88"/>
    <w:rsid w:val="003F019F"/>
    <w:rsid w:val="003F1B27"/>
    <w:rsid w:val="003F28CA"/>
    <w:rsid w:val="003F32BC"/>
    <w:rsid w:val="003F35DA"/>
    <w:rsid w:val="003F4346"/>
    <w:rsid w:val="003F53A9"/>
    <w:rsid w:val="003F7FB8"/>
    <w:rsid w:val="004003B8"/>
    <w:rsid w:val="004012FE"/>
    <w:rsid w:val="00401367"/>
    <w:rsid w:val="00402952"/>
    <w:rsid w:val="00403C1E"/>
    <w:rsid w:val="00404B26"/>
    <w:rsid w:val="004059FF"/>
    <w:rsid w:val="00407201"/>
    <w:rsid w:val="00411435"/>
    <w:rsid w:val="00411A8C"/>
    <w:rsid w:val="00411BDB"/>
    <w:rsid w:val="004120F7"/>
    <w:rsid w:val="0041262B"/>
    <w:rsid w:val="00415244"/>
    <w:rsid w:val="00416A41"/>
    <w:rsid w:val="00416D3F"/>
    <w:rsid w:val="00417475"/>
    <w:rsid w:val="004178F9"/>
    <w:rsid w:val="0042336A"/>
    <w:rsid w:val="00424AD7"/>
    <w:rsid w:val="00424D56"/>
    <w:rsid w:val="004271D5"/>
    <w:rsid w:val="00432231"/>
    <w:rsid w:val="00432B71"/>
    <w:rsid w:val="00434320"/>
    <w:rsid w:val="00440B06"/>
    <w:rsid w:val="0044331B"/>
    <w:rsid w:val="00445531"/>
    <w:rsid w:val="00445B61"/>
    <w:rsid w:val="00445D87"/>
    <w:rsid w:val="0044633B"/>
    <w:rsid w:val="00446CB9"/>
    <w:rsid w:val="00446F13"/>
    <w:rsid w:val="00450BAA"/>
    <w:rsid w:val="00451C88"/>
    <w:rsid w:val="004522DD"/>
    <w:rsid w:val="00452878"/>
    <w:rsid w:val="00452D63"/>
    <w:rsid w:val="00453750"/>
    <w:rsid w:val="004554F1"/>
    <w:rsid w:val="00457A27"/>
    <w:rsid w:val="004626C9"/>
    <w:rsid w:val="004631A6"/>
    <w:rsid w:val="00464946"/>
    <w:rsid w:val="0046504C"/>
    <w:rsid w:val="004659C0"/>
    <w:rsid w:val="004662F7"/>
    <w:rsid w:val="004671B3"/>
    <w:rsid w:val="00470A4C"/>
    <w:rsid w:val="00470B23"/>
    <w:rsid w:val="00472BD9"/>
    <w:rsid w:val="00473B88"/>
    <w:rsid w:val="004755A3"/>
    <w:rsid w:val="00476490"/>
    <w:rsid w:val="00477BE8"/>
    <w:rsid w:val="00477E41"/>
    <w:rsid w:val="00481B46"/>
    <w:rsid w:val="00482FC4"/>
    <w:rsid w:val="0048449E"/>
    <w:rsid w:val="00484B5B"/>
    <w:rsid w:val="00484F3D"/>
    <w:rsid w:val="00485778"/>
    <w:rsid w:val="00485F5E"/>
    <w:rsid w:val="00485F88"/>
    <w:rsid w:val="004865FD"/>
    <w:rsid w:val="004867AE"/>
    <w:rsid w:val="00487D5D"/>
    <w:rsid w:val="0049174F"/>
    <w:rsid w:val="004917C7"/>
    <w:rsid w:val="00491BDF"/>
    <w:rsid w:val="004924A3"/>
    <w:rsid w:val="004927B3"/>
    <w:rsid w:val="00492A27"/>
    <w:rsid w:val="00493EAB"/>
    <w:rsid w:val="00493EC2"/>
    <w:rsid w:val="00494484"/>
    <w:rsid w:val="00494AE8"/>
    <w:rsid w:val="0049586A"/>
    <w:rsid w:val="00496EB7"/>
    <w:rsid w:val="00497345"/>
    <w:rsid w:val="00497498"/>
    <w:rsid w:val="004A150A"/>
    <w:rsid w:val="004A235A"/>
    <w:rsid w:val="004A2588"/>
    <w:rsid w:val="004A53BD"/>
    <w:rsid w:val="004A6D4D"/>
    <w:rsid w:val="004A7368"/>
    <w:rsid w:val="004A7810"/>
    <w:rsid w:val="004B02E9"/>
    <w:rsid w:val="004B1FBE"/>
    <w:rsid w:val="004B2FBA"/>
    <w:rsid w:val="004B35D3"/>
    <w:rsid w:val="004B4477"/>
    <w:rsid w:val="004B5604"/>
    <w:rsid w:val="004B5AE2"/>
    <w:rsid w:val="004B6B1D"/>
    <w:rsid w:val="004B7B66"/>
    <w:rsid w:val="004C0CBA"/>
    <w:rsid w:val="004C0DBE"/>
    <w:rsid w:val="004C3102"/>
    <w:rsid w:val="004C314B"/>
    <w:rsid w:val="004C3EDD"/>
    <w:rsid w:val="004C4626"/>
    <w:rsid w:val="004C575F"/>
    <w:rsid w:val="004C688B"/>
    <w:rsid w:val="004C699E"/>
    <w:rsid w:val="004D0B1D"/>
    <w:rsid w:val="004D2CBF"/>
    <w:rsid w:val="004D2F9E"/>
    <w:rsid w:val="004D39DA"/>
    <w:rsid w:val="004D3B13"/>
    <w:rsid w:val="004D4645"/>
    <w:rsid w:val="004D65E3"/>
    <w:rsid w:val="004D67B5"/>
    <w:rsid w:val="004D707C"/>
    <w:rsid w:val="004E0004"/>
    <w:rsid w:val="004E0799"/>
    <w:rsid w:val="004E0995"/>
    <w:rsid w:val="004E0B59"/>
    <w:rsid w:val="004E28E2"/>
    <w:rsid w:val="004E2F34"/>
    <w:rsid w:val="004E3918"/>
    <w:rsid w:val="004E3FDB"/>
    <w:rsid w:val="004E49D3"/>
    <w:rsid w:val="004E7AD1"/>
    <w:rsid w:val="004F06EB"/>
    <w:rsid w:val="004F0DDC"/>
    <w:rsid w:val="004F0F87"/>
    <w:rsid w:val="004F2433"/>
    <w:rsid w:val="004F2577"/>
    <w:rsid w:val="004F294A"/>
    <w:rsid w:val="004F2DDA"/>
    <w:rsid w:val="004F36A9"/>
    <w:rsid w:val="004F3F3A"/>
    <w:rsid w:val="004F5395"/>
    <w:rsid w:val="004F683E"/>
    <w:rsid w:val="004F743A"/>
    <w:rsid w:val="004F7BC7"/>
    <w:rsid w:val="00500103"/>
    <w:rsid w:val="00500FB9"/>
    <w:rsid w:val="005028AC"/>
    <w:rsid w:val="0050334A"/>
    <w:rsid w:val="00503519"/>
    <w:rsid w:val="00504B2B"/>
    <w:rsid w:val="00505ECC"/>
    <w:rsid w:val="0050655C"/>
    <w:rsid w:val="005104CB"/>
    <w:rsid w:val="00510B9E"/>
    <w:rsid w:val="00510BD5"/>
    <w:rsid w:val="00510D71"/>
    <w:rsid w:val="00510D9A"/>
    <w:rsid w:val="00512AA4"/>
    <w:rsid w:val="00512C9E"/>
    <w:rsid w:val="00513649"/>
    <w:rsid w:val="00514D63"/>
    <w:rsid w:val="00514E93"/>
    <w:rsid w:val="00516829"/>
    <w:rsid w:val="005168B4"/>
    <w:rsid w:val="00517B8A"/>
    <w:rsid w:val="00517CF8"/>
    <w:rsid w:val="005207CB"/>
    <w:rsid w:val="00521336"/>
    <w:rsid w:val="00521B34"/>
    <w:rsid w:val="00521C7C"/>
    <w:rsid w:val="00522186"/>
    <w:rsid w:val="00522A3D"/>
    <w:rsid w:val="00522D19"/>
    <w:rsid w:val="00522F1D"/>
    <w:rsid w:val="00523267"/>
    <w:rsid w:val="005238C6"/>
    <w:rsid w:val="00523A89"/>
    <w:rsid w:val="00524157"/>
    <w:rsid w:val="00524275"/>
    <w:rsid w:val="005248F0"/>
    <w:rsid w:val="00524F37"/>
    <w:rsid w:val="00526D9E"/>
    <w:rsid w:val="005274FC"/>
    <w:rsid w:val="00527C94"/>
    <w:rsid w:val="00527FB1"/>
    <w:rsid w:val="00530656"/>
    <w:rsid w:val="00531514"/>
    <w:rsid w:val="0053219A"/>
    <w:rsid w:val="00532455"/>
    <w:rsid w:val="00532F47"/>
    <w:rsid w:val="00533BC4"/>
    <w:rsid w:val="00534B39"/>
    <w:rsid w:val="00534B47"/>
    <w:rsid w:val="00537A3D"/>
    <w:rsid w:val="00540D5F"/>
    <w:rsid w:val="005422C6"/>
    <w:rsid w:val="00544522"/>
    <w:rsid w:val="0054514C"/>
    <w:rsid w:val="00546220"/>
    <w:rsid w:val="005464F6"/>
    <w:rsid w:val="0054654E"/>
    <w:rsid w:val="00547B14"/>
    <w:rsid w:val="005509CC"/>
    <w:rsid w:val="00550CDC"/>
    <w:rsid w:val="0055188D"/>
    <w:rsid w:val="005530B5"/>
    <w:rsid w:val="00553975"/>
    <w:rsid w:val="005545F6"/>
    <w:rsid w:val="00554828"/>
    <w:rsid w:val="005548AF"/>
    <w:rsid w:val="005563F2"/>
    <w:rsid w:val="00556936"/>
    <w:rsid w:val="0055772B"/>
    <w:rsid w:val="00560AC1"/>
    <w:rsid w:val="005612EA"/>
    <w:rsid w:val="00562D7A"/>
    <w:rsid w:val="005665B3"/>
    <w:rsid w:val="00571504"/>
    <w:rsid w:val="00571BEA"/>
    <w:rsid w:val="0057230E"/>
    <w:rsid w:val="005732E8"/>
    <w:rsid w:val="00573364"/>
    <w:rsid w:val="005734C0"/>
    <w:rsid w:val="005737BB"/>
    <w:rsid w:val="005741BD"/>
    <w:rsid w:val="005753CB"/>
    <w:rsid w:val="00576498"/>
    <w:rsid w:val="005806EA"/>
    <w:rsid w:val="00580C13"/>
    <w:rsid w:val="00581965"/>
    <w:rsid w:val="00581A19"/>
    <w:rsid w:val="00581B57"/>
    <w:rsid w:val="00581FF6"/>
    <w:rsid w:val="00582094"/>
    <w:rsid w:val="00582A50"/>
    <w:rsid w:val="00582CBF"/>
    <w:rsid w:val="0058318E"/>
    <w:rsid w:val="0058392B"/>
    <w:rsid w:val="00584615"/>
    <w:rsid w:val="005850D7"/>
    <w:rsid w:val="00586FE5"/>
    <w:rsid w:val="00587BA7"/>
    <w:rsid w:val="00590061"/>
    <w:rsid w:val="00590E02"/>
    <w:rsid w:val="00591547"/>
    <w:rsid w:val="005935CB"/>
    <w:rsid w:val="00594544"/>
    <w:rsid w:val="0059602F"/>
    <w:rsid w:val="00596A7E"/>
    <w:rsid w:val="00596AE5"/>
    <w:rsid w:val="005A0AC5"/>
    <w:rsid w:val="005A0D3C"/>
    <w:rsid w:val="005A1532"/>
    <w:rsid w:val="005A18FE"/>
    <w:rsid w:val="005A1A73"/>
    <w:rsid w:val="005A24E9"/>
    <w:rsid w:val="005A2A03"/>
    <w:rsid w:val="005A2B40"/>
    <w:rsid w:val="005A373E"/>
    <w:rsid w:val="005A4AE9"/>
    <w:rsid w:val="005A5AC0"/>
    <w:rsid w:val="005A61D0"/>
    <w:rsid w:val="005A638A"/>
    <w:rsid w:val="005B0B98"/>
    <w:rsid w:val="005B2838"/>
    <w:rsid w:val="005B2D62"/>
    <w:rsid w:val="005B4454"/>
    <w:rsid w:val="005B4812"/>
    <w:rsid w:val="005B5C37"/>
    <w:rsid w:val="005B6E92"/>
    <w:rsid w:val="005B6EE8"/>
    <w:rsid w:val="005B7004"/>
    <w:rsid w:val="005C23BC"/>
    <w:rsid w:val="005C3C7D"/>
    <w:rsid w:val="005C7884"/>
    <w:rsid w:val="005D0873"/>
    <w:rsid w:val="005D0F27"/>
    <w:rsid w:val="005D1388"/>
    <w:rsid w:val="005D139D"/>
    <w:rsid w:val="005D1E87"/>
    <w:rsid w:val="005D2B8A"/>
    <w:rsid w:val="005D41BE"/>
    <w:rsid w:val="005D4B3B"/>
    <w:rsid w:val="005D5061"/>
    <w:rsid w:val="005D6440"/>
    <w:rsid w:val="005D646E"/>
    <w:rsid w:val="005D6979"/>
    <w:rsid w:val="005E11AD"/>
    <w:rsid w:val="005E14BC"/>
    <w:rsid w:val="005E1D4E"/>
    <w:rsid w:val="005E1FCD"/>
    <w:rsid w:val="005E27A4"/>
    <w:rsid w:val="005E4DDE"/>
    <w:rsid w:val="005E52EB"/>
    <w:rsid w:val="005E5FBE"/>
    <w:rsid w:val="005E7D44"/>
    <w:rsid w:val="005F0306"/>
    <w:rsid w:val="005F0762"/>
    <w:rsid w:val="005F0D49"/>
    <w:rsid w:val="005F0FD9"/>
    <w:rsid w:val="005F2B18"/>
    <w:rsid w:val="005F43F3"/>
    <w:rsid w:val="005F470A"/>
    <w:rsid w:val="005F666B"/>
    <w:rsid w:val="005F67ED"/>
    <w:rsid w:val="005F6E5F"/>
    <w:rsid w:val="005F74E5"/>
    <w:rsid w:val="00601357"/>
    <w:rsid w:val="00601803"/>
    <w:rsid w:val="00602F6B"/>
    <w:rsid w:val="00604084"/>
    <w:rsid w:val="006052A8"/>
    <w:rsid w:val="00606A69"/>
    <w:rsid w:val="006071C2"/>
    <w:rsid w:val="0060793B"/>
    <w:rsid w:val="00613476"/>
    <w:rsid w:val="0061387F"/>
    <w:rsid w:val="006143F8"/>
    <w:rsid w:val="00615170"/>
    <w:rsid w:val="006167FC"/>
    <w:rsid w:val="00617402"/>
    <w:rsid w:val="00621A41"/>
    <w:rsid w:val="006221DE"/>
    <w:rsid w:val="00624010"/>
    <w:rsid w:val="0062423B"/>
    <w:rsid w:val="006272BE"/>
    <w:rsid w:val="00627E51"/>
    <w:rsid w:val="00630E41"/>
    <w:rsid w:val="00630F42"/>
    <w:rsid w:val="006318B9"/>
    <w:rsid w:val="00631DFF"/>
    <w:rsid w:val="00631E45"/>
    <w:rsid w:val="006332C9"/>
    <w:rsid w:val="00634F1C"/>
    <w:rsid w:val="00635491"/>
    <w:rsid w:val="006357FD"/>
    <w:rsid w:val="00635FCB"/>
    <w:rsid w:val="0063650D"/>
    <w:rsid w:val="00640CFF"/>
    <w:rsid w:val="00642900"/>
    <w:rsid w:val="006451CC"/>
    <w:rsid w:val="00645B92"/>
    <w:rsid w:val="00645EC0"/>
    <w:rsid w:val="00646B38"/>
    <w:rsid w:val="00646F95"/>
    <w:rsid w:val="00647F85"/>
    <w:rsid w:val="00650916"/>
    <w:rsid w:val="00651958"/>
    <w:rsid w:val="00651EF9"/>
    <w:rsid w:val="00653335"/>
    <w:rsid w:val="006534E0"/>
    <w:rsid w:val="006550DC"/>
    <w:rsid w:val="00655196"/>
    <w:rsid w:val="0065534E"/>
    <w:rsid w:val="0065698D"/>
    <w:rsid w:val="00657BE0"/>
    <w:rsid w:val="00657CAE"/>
    <w:rsid w:val="006612B1"/>
    <w:rsid w:val="006623D3"/>
    <w:rsid w:val="0066419D"/>
    <w:rsid w:val="00664C6B"/>
    <w:rsid w:val="006709DE"/>
    <w:rsid w:val="00670D51"/>
    <w:rsid w:val="0067154D"/>
    <w:rsid w:val="00671AC8"/>
    <w:rsid w:val="00671EB0"/>
    <w:rsid w:val="006729E5"/>
    <w:rsid w:val="00672AE7"/>
    <w:rsid w:val="00674265"/>
    <w:rsid w:val="006742AB"/>
    <w:rsid w:val="00674B8A"/>
    <w:rsid w:val="0067517D"/>
    <w:rsid w:val="00675A59"/>
    <w:rsid w:val="006767B6"/>
    <w:rsid w:val="00677BCD"/>
    <w:rsid w:val="00680A56"/>
    <w:rsid w:val="006816B8"/>
    <w:rsid w:val="006827F2"/>
    <w:rsid w:val="0068393E"/>
    <w:rsid w:val="00683CDF"/>
    <w:rsid w:val="00683D4B"/>
    <w:rsid w:val="0068445C"/>
    <w:rsid w:val="00684494"/>
    <w:rsid w:val="00684540"/>
    <w:rsid w:val="00684727"/>
    <w:rsid w:val="00685188"/>
    <w:rsid w:val="006855A4"/>
    <w:rsid w:val="00686DC9"/>
    <w:rsid w:val="006905C7"/>
    <w:rsid w:val="00690BEB"/>
    <w:rsid w:val="0069171B"/>
    <w:rsid w:val="00692913"/>
    <w:rsid w:val="00693481"/>
    <w:rsid w:val="00694D63"/>
    <w:rsid w:val="006952C4"/>
    <w:rsid w:val="0069613F"/>
    <w:rsid w:val="006A09CF"/>
    <w:rsid w:val="006A1075"/>
    <w:rsid w:val="006A27E2"/>
    <w:rsid w:val="006A35CF"/>
    <w:rsid w:val="006A38A9"/>
    <w:rsid w:val="006A70C4"/>
    <w:rsid w:val="006B0774"/>
    <w:rsid w:val="006B0ED9"/>
    <w:rsid w:val="006B1EC5"/>
    <w:rsid w:val="006B3E5E"/>
    <w:rsid w:val="006B425E"/>
    <w:rsid w:val="006B4CC9"/>
    <w:rsid w:val="006B4ECC"/>
    <w:rsid w:val="006B4ECD"/>
    <w:rsid w:val="006B6360"/>
    <w:rsid w:val="006B7BB2"/>
    <w:rsid w:val="006C0013"/>
    <w:rsid w:val="006C1D0D"/>
    <w:rsid w:val="006C2B0F"/>
    <w:rsid w:val="006C35E8"/>
    <w:rsid w:val="006C4E2E"/>
    <w:rsid w:val="006C6D6C"/>
    <w:rsid w:val="006C6F64"/>
    <w:rsid w:val="006C7283"/>
    <w:rsid w:val="006D1C02"/>
    <w:rsid w:val="006D24F4"/>
    <w:rsid w:val="006D2637"/>
    <w:rsid w:val="006D405D"/>
    <w:rsid w:val="006D4107"/>
    <w:rsid w:val="006D4B9C"/>
    <w:rsid w:val="006D4F4E"/>
    <w:rsid w:val="006D7A17"/>
    <w:rsid w:val="006E1C66"/>
    <w:rsid w:val="006E1EFD"/>
    <w:rsid w:val="006E208B"/>
    <w:rsid w:val="006E2CEB"/>
    <w:rsid w:val="006E3EC0"/>
    <w:rsid w:val="006E42FB"/>
    <w:rsid w:val="006E52CB"/>
    <w:rsid w:val="006E5ED9"/>
    <w:rsid w:val="006E622C"/>
    <w:rsid w:val="006E698E"/>
    <w:rsid w:val="006E6D5B"/>
    <w:rsid w:val="006E7BA8"/>
    <w:rsid w:val="006F015A"/>
    <w:rsid w:val="006F113C"/>
    <w:rsid w:val="006F2720"/>
    <w:rsid w:val="006F2C1E"/>
    <w:rsid w:val="006F2F4C"/>
    <w:rsid w:val="006F4395"/>
    <w:rsid w:val="006F4503"/>
    <w:rsid w:val="006F4B34"/>
    <w:rsid w:val="00700A52"/>
    <w:rsid w:val="00701D81"/>
    <w:rsid w:val="00702EC9"/>
    <w:rsid w:val="007031AC"/>
    <w:rsid w:val="00703FC4"/>
    <w:rsid w:val="00705593"/>
    <w:rsid w:val="00705FBF"/>
    <w:rsid w:val="0070636F"/>
    <w:rsid w:val="00706670"/>
    <w:rsid w:val="007076F3"/>
    <w:rsid w:val="0070798D"/>
    <w:rsid w:val="00710A80"/>
    <w:rsid w:val="00710F77"/>
    <w:rsid w:val="00711CBA"/>
    <w:rsid w:val="00713913"/>
    <w:rsid w:val="007145E6"/>
    <w:rsid w:val="0071523A"/>
    <w:rsid w:val="00716906"/>
    <w:rsid w:val="00716BE1"/>
    <w:rsid w:val="00717135"/>
    <w:rsid w:val="007173B1"/>
    <w:rsid w:val="007204D0"/>
    <w:rsid w:val="00720613"/>
    <w:rsid w:val="007210DD"/>
    <w:rsid w:val="00721336"/>
    <w:rsid w:val="007236D5"/>
    <w:rsid w:val="007263E8"/>
    <w:rsid w:val="0072660C"/>
    <w:rsid w:val="00733160"/>
    <w:rsid w:val="00733B15"/>
    <w:rsid w:val="00734700"/>
    <w:rsid w:val="0073651C"/>
    <w:rsid w:val="00741C73"/>
    <w:rsid w:val="00743769"/>
    <w:rsid w:val="00743998"/>
    <w:rsid w:val="00743AD2"/>
    <w:rsid w:val="00743E30"/>
    <w:rsid w:val="00744959"/>
    <w:rsid w:val="00745698"/>
    <w:rsid w:val="007475A2"/>
    <w:rsid w:val="00747D27"/>
    <w:rsid w:val="0075068F"/>
    <w:rsid w:val="00750DF5"/>
    <w:rsid w:val="007520B5"/>
    <w:rsid w:val="00752782"/>
    <w:rsid w:val="00752C41"/>
    <w:rsid w:val="00753976"/>
    <w:rsid w:val="00754060"/>
    <w:rsid w:val="00754440"/>
    <w:rsid w:val="00756E19"/>
    <w:rsid w:val="00756F1C"/>
    <w:rsid w:val="00757A44"/>
    <w:rsid w:val="007611E2"/>
    <w:rsid w:val="00761CC1"/>
    <w:rsid w:val="007659DD"/>
    <w:rsid w:val="00770267"/>
    <w:rsid w:val="00770523"/>
    <w:rsid w:val="007707F8"/>
    <w:rsid w:val="00771797"/>
    <w:rsid w:val="00775C8E"/>
    <w:rsid w:val="007762A1"/>
    <w:rsid w:val="00777869"/>
    <w:rsid w:val="00777ED2"/>
    <w:rsid w:val="00780BDB"/>
    <w:rsid w:val="0078127F"/>
    <w:rsid w:val="00781532"/>
    <w:rsid w:val="007833CD"/>
    <w:rsid w:val="00783598"/>
    <w:rsid w:val="00784244"/>
    <w:rsid w:val="0078568B"/>
    <w:rsid w:val="00785C70"/>
    <w:rsid w:val="00790369"/>
    <w:rsid w:val="00791DC5"/>
    <w:rsid w:val="007923D5"/>
    <w:rsid w:val="007934F7"/>
    <w:rsid w:val="007938FF"/>
    <w:rsid w:val="00794B09"/>
    <w:rsid w:val="007953D2"/>
    <w:rsid w:val="007954FF"/>
    <w:rsid w:val="00795F46"/>
    <w:rsid w:val="00796595"/>
    <w:rsid w:val="007A0EC0"/>
    <w:rsid w:val="007A29FF"/>
    <w:rsid w:val="007A3957"/>
    <w:rsid w:val="007A4038"/>
    <w:rsid w:val="007A42AE"/>
    <w:rsid w:val="007A6DC6"/>
    <w:rsid w:val="007A6F43"/>
    <w:rsid w:val="007B12EA"/>
    <w:rsid w:val="007B2592"/>
    <w:rsid w:val="007B4851"/>
    <w:rsid w:val="007B6437"/>
    <w:rsid w:val="007C1C3A"/>
    <w:rsid w:val="007C3239"/>
    <w:rsid w:val="007C4366"/>
    <w:rsid w:val="007C44E4"/>
    <w:rsid w:val="007C493A"/>
    <w:rsid w:val="007C682C"/>
    <w:rsid w:val="007C7B42"/>
    <w:rsid w:val="007D2D7D"/>
    <w:rsid w:val="007D403A"/>
    <w:rsid w:val="007D4450"/>
    <w:rsid w:val="007D4907"/>
    <w:rsid w:val="007D4B23"/>
    <w:rsid w:val="007D7247"/>
    <w:rsid w:val="007D7C8C"/>
    <w:rsid w:val="007E1BF5"/>
    <w:rsid w:val="007E23BD"/>
    <w:rsid w:val="007E24AD"/>
    <w:rsid w:val="007E2B6C"/>
    <w:rsid w:val="007E31F4"/>
    <w:rsid w:val="007E38A8"/>
    <w:rsid w:val="007E6A44"/>
    <w:rsid w:val="007E7321"/>
    <w:rsid w:val="007E768D"/>
    <w:rsid w:val="007E7CD1"/>
    <w:rsid w:val="007F04EE"/>
    <w:rsid w:val="007F071B"/>
    <w:rsid w:val="007F0AFB"/>
    <w:rsid w:val="007F1DA6"/>
    <w:rsid w:val="007F37B1"/>
    <w:rsid w:val="007F63BF"/>
    <w:rsid w:val="007F640E"/>
    <w:rsid w:val="007F7773"/>
    <w:rsid w:val="00801563"/>
    <w:rsid w:val="00801CB4"/>
    <w:rsid w:val="0080295C"/>
    <w:rsid w:val="00803486"/>
    <w:rsid w:val="00803CD8"/>
    <w:rsid w:val="00806A2A"/>
    <w:rsid w:val="00806D42"/>
    <w:rsid w:val="00806DF8"/>
    <w:rsid w:val="0080746D"/>
    <w:rsid w:val="00807686"/>
    <w:rsid w:val="00810432"/>
    <w:rsid w:val="008111FC"/>
    <w:rsid w:val="00811D0B"/>
    <w:rsid w:val="0081281D"/>
    <w:rsid w:val="00812EA4"/>
    <w:rsid w:val="00813710"/>
    <w:rsid w:val="008145FD"/>
    <w:rsid w:val="008151A6"/>
    <w:rsid w:val="00815B25"/>
    <w:rsid w:val="008170E3"/>
    <w:rsid w:val="008206B6"/>
    <w:rsid w:val="00820B42"/>
    <w:rsid w:val="00824ED9"/>
    <w:rsid w:val="00825434"/>
    <w:rsid w:val="00825FC1"/>
    <w:rsid w:val="00827D1B"/>
    <w:rsid w:val="00830F98"/>
    <w:rsid w:val="0083110C"/>
    <w:rsid w:val="0083126C"/>
    <w:rsid w:val="00832B7F"/>
    <w:rsid w:val="00832BAE"/>
    <w:rsid w:val="00832FBB"/>
    <w:rsid w:val="00833D73"/>
    <w:rsid w:val="008343EB"/>
    <w:rsid w:val="00834528"/>
    <w:rsid w:val="00834A26"/>
    <w:rsid w:val="00835E7B"/>
    <w:rsid w:val="008367D6"/>
    <w:rsid w:val="0083694A"/>
    <w:rsid w:val="00836B46"/>
    <w:rsid w:val="00836D61"/>
    <w:rsid w:val="00840767"/>
    <w:rsid w:val="008411E5"/>
    <w:rsid w:val="008413D1"/>
    <w:rsid w:val="00841FB5"/>
    <w:rsid w:val="00845AFE"/>
    <w:rsid w:val="008460A8"/>
    <w:rsid w:val="00847BA2"/>
    <w:rsid w:val="00847EFF"/>
    <w:rsid w:val="0085022E"/>
    <w:rsid w:val="00850959"/>
    <w:rsid w:val="008538A9"/>
    <w:rsid w:val="008544EE"/>
    <w:rsid w:val="00854AC5"/>
    <w:rsid w:val="00854DF4"/>
    <w:rsid w:val="00855B73"/>
    <w:rsid w:val="0085694F"/>
    <w:rsid w:val="00857CFC"/>
    <w:rsid w:val="00860A50"/>
    <w:rsid w:val="00861A37"/>
    <w:rsid w:val="00862E0A"/>
    <w:rsid w:val="00863064"/>
    <w:rsid w:val="00863BB8"/>
    <w:rsid w:val="00864275"/>
    <w:rsid w:val="008646AF"/>
    <w:rsid w:val="00864F82"/>
    <w:rsid w:val="008656C5"/>
    <w:rsid w:val="00865F75"/>
    <w:rsid w:val="00867D8B"/>
    <w:rsid w:val="00867FBE"/>
    <w:rsid w:val="0087002A"/>
    <w:rsid w:val="00870A70"/>
    <w:rsid w:val="008730C6"/>
    <w:rsid w:val="008737D9"/>
    <w:rsid w:val="00874F0E"/>
    <w:rsid w:val="00876A52"/>
    <w:rsid w:val="00876C61"/>
    <w:rsid w:val="00877FEA"/>
    <w:rsid w:val="00880B10"/>
    <w:rsid w:val="00881492"/>
    <w:rsid w:val="0088361D"/>
    <w:rsid w:val="00883C53"/>
    <w:rsid w:val="00886CE7"/>
    <w:rsid w:val="00887694"/>
    <w:rsid w:val="008878AE"/>
    <w:rsid w:val="008904E1"/>
    <w:rsid w:val="00890C79"/>
    <w:rsid w:val="00890C9A"/>
    <w:rsid w:val="008966FA"/>
    <w:rsid w:val="00896DF8"/>
    <w:rsid w:val="008A0078"/>
    <w:rsid w:val="008A0A6A"/>
    <w:rsid w:val="008A15FB"/>
    <w:rsid w:val="008A2B88"/>
    <w:rsid w:val="008A46C2"/>
    <w:rsid w:val="008A6DD6"/>
    <w:rsid w:val="008A71FC"/>
    <w:rsid w:val="008B0B45"/>
    <w:rsid w:val="008B17A5"/>
    <w:rsid w:val="008B2053"/>
    <w:rsid w:val="008B31D1"/>
    <w:rsid w:val="008B3471"/>
    <w:rsid w:val="008B3757"/>
    <w:rsid w:val="008B3B2E"/>
    <w:rsid w:val="008B6AE7"/>
    <w:rsid w:val="008B6F49"/>
    <w:rsid w:val="008B6F89"/>
    <w:rsid w:val="008B75D8"/>
    <w:rsid w:val="008C0A87"/>
    <w:rsid w:val="008C181D"/>
    <w:rsid w:val="008C284F"/>
    <w:rsid w:val="008C2A32"/>
    <w:rsid w:val="008C2DBD"/>
    <w:rsid w:val="008C3BD4"/>
    <w:rsid w:val="008C4A65"/>
    <w:rsid w:val="008C52F8"/>
    <w:rsid w:val="008C53CC"/>
    <w:rsid w:val="008C6640"/>
    <w:rsid w:val="008D0137"/>
    <w:rsid w:val="008D11CA"/>
    <w:rsid w:val="008D31EC"/>
    <w:rsid w:val="008D321C"/>
    <w:rsid w:val="008D41C0"/>
    <w:rsid w:val="008D570C"/>
    <w:rsid w:val="008D57CB"/>
    <w:rsid w:val="008D59BB"/>
    <w:rsid w:val="008D6CA4"/>
    <w:rsid w:val="008D7428"/>
    <w:rsid w:val="008D7F3E"/>
    <w:rsid w:val="008E078E"/>
    <w:rsid w:val="008E15EE"/>
    <w:rsid w:val="008E1A76"/>
    <w:rsid w:val="008E1D73"/>
    <w:rsid w:val="008E2FF7"/>
    <w:rsid w:val="008E3DDC"/>
    <w:rsid w:val="008E40CD"/>
    <w:rsid w:val="008E456C"/>
    <w:rsid w:val="008E495E"/>
    <w:rsid w:val="008E54E0"/>
    <w:rsid w:val="008E61CC"/>
    <w:rsid w:val="008E6D34"/>
    <w:rsid w:val="008E7652"/>
    <w:rsid w:val="008F1A9F"/>
    <w:rsid w:val="008F27AC"/>
    <w:rsid w:val="008F368F"/>
    <w:rsid w:val="008F4A99"/>
    <w:rsid w:val="008F693C"/>
    <w:rsid w:val="008F741B"/>
    <w:rsid w:val="008F7C98"/>
    <w:rsid w:val="0090126A"/>
    <w:rsid w:val="00902E0B"/>
    <w:rsid w:val="00902F4E"/>
    <w:rsid w:val="009038F7"/>
    <w:rsid w:val="00904F63"/>
    <w:rsid w:val="0090504D"/>
    <w:rsid w:val="00905270"/>
    <w:rsid w:val="00907073"/>
    <w:rsid w:val="009071F5"/>
    <w:rsid w:val="009073BF"/>
    <w:rsid w:val="009076E2"/>
    <w:rsid w:val="00907EB6"/>
    <w:rsid w:val="0091005D"/>
    <w:rsid w:val="0091030C"/>
    <w:rsid w:val="00910503"/>
    <w:rsid w:val="009114BB"/>
    <w:rsid w:val="009116B0"/>
    <w:rsid w:val="00912E96"/>
    <w:rsid w:val="009134DC"/>
    <w:rsid w:val="00913AA9"/>
    <w:rsid w:val="00913ABC"/>
    <w:rsid w:val="0091425A"/>
    <w:rsid w:val="00914919"/>
    <w:rsid w:val="00914F24"/>
    <w:rsid w:val="00915032"/>
    <w:rsid w:val="00915338"/>
    <w:rsid w:val="00915FE1"/>
    <w:rsid w:val="0091678D"/>
    <w:rsid w:val="00920679"/>
    <w:rsid w:val="00920CA3"/>
    <w:rsid w:val="009214E4"/>
    <w:rsid w:val="009242F4"/>
    <w:rsid w:val="009245C0"/>
    <w:rsid w:val="00925267"/>
    <w:rsid w:val="009273D1"/>
    <w:rsid w:val="00930523"/>
    <w:rsid w:val="00931103"/>
    <w:rsid w:val="00931241"/>
    <w:rsid w:val="009338A6"/>
    <w:rsid w:val="00933F66"/>
    <w:rsid w:val="00934831"/>
    <w:rsid w:val="0093489B"/>
    <w:rsid w:val="00935201"/>
    <w:rsid w:val="00936BF2"/>
    <w:rsid w:val="00940156"/>
    <w:rsid w:val="00941649"/>
    <w:rsid w:val="009417E9"/>
    <w:rsid w:val="009427B3"/>
    <w:rsid w:val="00944408"/>
    <w:rsid w:val="0094592E"/>
    <w:rsid w:val="00945971"/>
    <w:rsid w:val="00946312"/>
    <w:rsid w:val="009503EC"/>
    <w:rsid w:val="0095184C"/>
    <w:rsid w:val="00952411"/>
    <w:rsid w:val="00952B8D"/>
    <w:rsid w:val="00954B2B"/>
    <w:rsid w:val="00955D53"/>
    <w:rsid w:val="00955D83"/>
    <w:rsid w:val="00955E9B"/>
    <w:rsid w:val="009561F7"/>
    <w:rsid w:val="00961E1C"/>
    <w:rsid w:val="009625A8"/>
    <w:rsid w:val="00962B6E"/>
    <w:rsid w:val="00962F42"/>
    <w:rsid w:val="009639CD"/>
    <w:rsid w:val="0096474E"/>
    <w:rsid w:val="00964FBD"/>
    <w:rsid w:val="00965522"/>
    <w:rsid w:val="009662B0"/>
    <w:rsid w:val="0096754B"/>
    <w:rsid w:val="00970471"/>
    <w:rsid w:val="009706D9"/>
    <w:rsid w:val="00970735"/>
    <w:rsid w:val="00970DF5"/>
    <w:rsid w:val="009751D5"/>
    <w:rsid w:val="00975ED3"/>
    <w:rsid w:val="009763CB"/>
    <w:rsid w:val="00977428"/>
    <w:rsid w:val="009778CD"/>
    <w:rsid w:val="0098173A"/>
    <w:rsid w:val="00981F4D"/>
    <w:rsid w:val="00985207"/>
    <w:rsid w:val="00986081"/>
    <w:rsid w:val="0098671F"/>
    <w:rsid w:val="00986D1A"/>
    <w:rsid w:val="00987DC5"/>
    <w:rsid w:val="00987F61"/>
    <w:rsid w:val="00990AA6"/>
    <w:rsid w:val="00994B6A"/>
    <w:rsid w:val="00995CA4"/>
    <w:rsid w:val="00996B2A"/>
    <w:rsid w:val="00997AE6"/>
    <w:rsid w:val="009A09BA"/>
    <w:rsid w:val="009A2073"/>
    <w:rsid w:val="009A2785"/>
    <w:rsid w:val="009A54F8"/>
    <w:rsid w:val="009A7158"/>
    <w:rsid w:val="009A7AC4"/>
    <w:rsid w:val="009B054B"/>
    <w:rsid w:val="009B0EEB"/>
    <w:rsid w:val="009B1449"/>
    <w:rsid w:val="009B2C50"/>
    <w:rsid w:val="009B366B"/>
    <w:rsid w:val="009B4099"/>
    <w:rsid w:val="009B4291"/>
    <w:rsid w:val="009B437E"/>
    <w:rsid w:val="009B6214"/>
    <w:rsid w:val="009B685A"/>
    <w:rsid w:val="009B71B3"/>
    <w:rsid w:val="009B7398"/>
    <w:rsid w:val="009B7B6D"/>
    <w:rsid w:val="009C0C1F"/>
    <w:rsid w:val="009C1C91"/>
    <w:rsid w:val="009C4CE5"/>
    <w:rsid w:val="009C6C26"/>
    <w:rsid w:val="009C7268"/>
    <w:rsid w:val="009C7C57"/>
    <w:rsid w:val="009C7E4C"/>
    <w:rsid w:val="009D21FE"/>
    <w:rsid w:val="009D31E4"/>
    <w:rsid w:val="009D3973"/>
    <w:rsid w:val="009D41CF"/>
    <w:rsid w:val="009D608B"/>
    <w:rsid w:val="009D6417"/>
    <w:rsid w:val="009E08D4"/>
    <w:rsid w:val="009E1E09"/>
    <w:rsid w:val="009E214C"/>
    <w:rsid w:val="009E2565"/>
    <w:rsid w:val="009E40E7"/>
    <w:rsid w:val="009E44F0"/>
    <w:rsid w:val="009E4585"/>
    <w:rsid w:val="009E59DA"/>
    <w:rsid w:val="009E639F"/>
    <w:rsid w:val="009E726E"/>
    <w:rsid w:val="009F04A2"/>
    <w:rsid w:val="009F097F"/>
    <w:rsid w:val="009F15F6"/>
    <w:rsid w:val="009F23E3"/>
    <w:rsid w:val="009F348F"/>
    <w:rsid w:val="009F44B3"/>
    <w:rsid w:val="009F482D"/>
    <w:rsid w:val="009F487D"/>
    <w:rsid w:val="009F6550"/>
    <w:rsid w:val="009F6BE0"/>
    <w:rsid w:val="009F6EB9"/>
    <w:rsid w:val="00A00926"/>
    <w:rsid w:val="00A012F4"/>
    <w:rsid w:val="00A01C82"/>
    <w:rsid w:val="00A027F5"/>
    <w:rsid w:val="00A043D3"/>
    <w:rsid w:val="00A0573A"/>
    <w:rsid w:val="00A077D1"/>
    <w:rsid w:val="00A11115"/>
    <w:rsid w:val="00A11B1C"/>
    <w:rsid w:val="00A11DD1"/>
    <w:rsid w:val="00A12679"/>
    <w:rsid w:val="00A127BB"/>
    <w:rsid w:val="00A12AC7"/>
    <w:rsid w:val="00A13EAB"/>
    <w:rsid w:val="00A1444A"/>
    <w:rsid w:val="00A147A3"/>
    <w:rsid w:val="00A1676E"/>
    <w:rsid w:val="00A16CE6"/>
    <w:rsid w:val="00A17214"/>
    <w:rsid w:val="00A20DFA"/>
    <w:rsid w:val="00A215DC"/>
    <w:rsid w:val="00A21949"/>
    <w:rsid w:val="00A21BE6"/>
    <w:rsid w:val="00A244C0"/>
    <w:rsid w:val="00A25CF3"/>
    <w:rsid w:val="00A26480"/>
    <w:rsid w:val="00A265DC"/>
    <w:rsid w:val="00A2751E"/>
    <w:rsid w:val="00A275C5"/>
    <w:rsid w:val="00A31CFE"/>
    <w:rsid w:val="00A31DFD"/>
    <w:rsid w:val="00A31F08"/>
    <w:rsid w:val="00A32A54"/>
    <w:rsid w:val="00A32A8C"/>
    <w:rsid w:val="00A331D2"/>
    <w:rsid w:val="00A34039"/>
    <w:rsid w:val="00A34623"/>
    <w:rsid w:val="00A349A9"/>
    <w:rsid w:val="00A35210"/>
    <w:rsid w:val="00A35584"/>
    <w:rsid w:val="00A3665C"/>
    <w:rsid w:val="00A36A62"/>
    <w:rsid w:val="00A41CC9"/>
    <w:rsid w:val="00A422EE"/>
    <w:rsid w:val="00A427B6"/>
    <w:rsid w:val="00A42B5F"/>
    <w:rsid w:val="00A42CEF"/>
    <w:rsid w:val="00A437A7"/>
    <w:rsid w:val="00A43B2E"/>
    <w:rsid w:val="00A43E13"/>
    <w:rsid w:val="00A4402C"/>
    <w:rsid w:val="00A46B6F"/>
    <w:rsid w:val="00A46CE0"/>
    <w:rsid w:val="00A504BB"/>
    <w:rsid w:val="00A51357"/>
    <w:rsid w:val="00A513E3"/>
    <w:rsid w:val="00A51839"/>
    <w:rsid w:val="00A52D4D"/>
    <w:rsid w:val="00A5369E"/>
    <w:rsid w:val="00A55B31"/>
    <w:rsid w:val="00A561A5"/>
    <w:rsid w:val="00A569D9"/>
    <w:rsid w:val="00A5764B"/>
    <w:rsid w:val="00A5793D"/>
    <w:rsid w:val="00A60F72"/>
    <w:rsid w:val="00A61598"/>
    <w:rsid w:val="00A64E2C"/>
    <w:rsid w:val="00A65A4E"/>
    <w:rsid w:val="00A65FFF"/>
    <w:rsid w:val="00A703E0"/>
    <w:rsid w:val="00A71566"/>
    <w:rsid w:val="00A719D2"/>
    <w:rsid w:val="00A71B50"/>
    <w:rsid w:val="00A727A1"/>
    <w:rsid w:val="00A73461"/>
    <w:rsid w:val="00A75CFC"/>
    <w:rsid w:val="00A76356"/>
    <w:rsid w:val="00A7662F"/>
    <w:rsid w:val="00A77D08"/>
    <w:rsid w:val="00A81367"/>
    <w:rsid w:val="00A818CD"/>
    <w:rsid w:val="00A81C8F"/>
    <w:rsid w:val="00A81D97"/>
    <w:rsid w:val="00A8240F"/>
    <w:rsid w:val="00A85C87"/>
    <w:rsid w:val="00A86137"/>
    <w:rsid w:val="00A875DB"/>
    <w:rsid w:val="00A877CA"/>
    <w:rsid w:val="00A900AE"/>
    <w:rsid w:val="00A933D9"/>
    <w:rsid w:val="00A93A07"/>
    <w:rsid w:val="00A94206"/>
    <w:rsid w:val="00A97898"/>
    <w:rsid w:val="00A97AA5"/>
    <w:rsid w:val="00AA0033"/>
    <w:rsid w:val="00AA07A3"/>
    <w:rsid w:val="00AA2255"/>
    <w:rsid w:val="00AA39F8"/>
    <w:rsid w:val="00AA3A63"/>
    <w:rsid w:val="00AA4EDE"/>
    <w:rsid w:val="00AA53AC"/>
    <w:rsid w:val="00AA5D9F"/>
    <w:rsid w:val="00AA639C"/>
    <w:rsid w:val="00AA6604"/>
    <w:rsid w:val="00AB0A2E"/>
    <w:rsid w:val="00AB0F7D"/>
    <w:rsid w:val="00AB2255"/>
    <w:rsid w:val="00AB27B4"/>
    <w:rsid w:val="00AB366B"/>
    <w:rsid w:val="00AB3ADA"/>
    <w:rsid w:val="00AB3FF4"/>
    <w:rsid w:val="00AB409F"/>
    <w:rsid w:val="00AB4FCF"/>
    <w:rsid w:val="00AB50D9"/>
    <w:rsid w:val="00AB5B81"/>
    <w:rsid w:val="00AC0BBF"/>
    <w:rsid w:val="00AC2AB1"/>
    <w:rsid w:val="00AC367B"/>
    <w:rsid w:val="00AC5B79"/>
    <w:rsid w:val="00AC7323"/>
    <w:rsid w:val="00AD1826"/>
    <w:rsid w:val="00AD1B1B"/>
    <w:rsid w:val="00AD26C8"/>
    <w:rsid w:val="00AD2C4A"/>
    <w:rsid w:val="00AD2F8C"/>
    <w:rsid w:val="00AD34E1"/>
    <w:rsid w:val="00AD4149"/>
    <w:rsid w:val="00AD5557"/>
    <w:rsid w:val="00AD5AEA"/>
    <w:rsid w:val="00AD5DD9"/>
    <w:rsid w:val="00AD6192"/>
    <w:rsid w:val="00AD7414"/>
    <w:rsid w:val="00AD78E5"/>
    <w:rsid w:val="00AE0117"/>
    <w:rsid w:val="00AE0A3E"/>
    <w:rsid w:val="00AE0E1B"/>
    <w:rsid w:val="00AE108F"/>
    <w:rsid w:val="00AE1922"/>
    <w:rsid w:val="00AE6E2D"/>
    <w:rsid w:val="00AE6F78"/>
    <w:rsid w:val="00AF0DF9"/>
    <w:rsid w:val="00AF16B9"/>
    <w:rsid w:val="00AF21EB"/>
    <w:rsid w:val="00AF288C"/>
    <w:rsid w:val="00AF3F9C"/>
    <w:rsid w:val="00AF5518"/>
    <w:rsid w:val="00AF59D0"/>
    <w:rsid w:val="00AF715E"/>
    <w:rsid w:val="00AF730D"/>
    <w:rsid w:val="00AF7363"/>
    <w:rsid w:val="00AF73D4"/>
    <w:rsid w:val="00AF786C"/>
    <w:rsid w:val="00B0093F"/>
    <w:rsid w:val="00B00B56"/>
    <w:rsid w:val="00B034AD"/>
    <w:rsid w:val="00B04414"/>
    <w:rsid w:val="00B04884"/>
    <w:rsid w:val="00B061D7"/>
    <w:rsid w:val="00B0685D"/>
    <w:rsid w:val="00B06F64"/>
    <w:rsid w:val="00B11861"/>
    <w:rsid w:val="00B12142"/>
    <w:rsid w:val="00B12835"/>
    <w:rsid w:val="00B150DE"/>
    <w:rsid w:val="00B15A8D"/>
    <w:rsid w:val="00B1723A"/>
    <w:rsid w:val="00B17E79"/>
    <w:rsid w:val="00B20821"/>
    <w:rsid w:val="00B22C88"/>
    <w:rsid w:val="00B26205"/>
    <w:rsid w:val="00B2635F"/>
    <w:rsid w:val="00B26627"/>
    <w:rsid w:val="00B305D8"/>
    <w:rsid w:val="00B305FE"/>
    <w:rsid w:val="00B30B2D"/>
    <w:rsid w:val="00B313AE"/>
    <w:rsid w:val="00B33FDD"/>
    <w:rsid w:val="00B340AC"/>
    <w:rsid w:val="00B346AD"/>
    <w:rsid w:val="00B36835"/>
    <w:rsid w:val="00B368D5"/>
    <w:rsid w:val="00B402D4"/>
    <w:rsid w:val="00B40C04"/>
    <w:rsid w:val="00B43D9C"/>
    <w:rsid w:val="00B45A3E"/>
    <w:rsid w:val="00B45B2B"/>
    <w:rsid w:val="00B47770"/>
    <w:rsid w:val="00B50808"/>
    <w:rsid w:val="00B53BA9"/>
    <w:rsid w:val="00B56C46"/>
    <w:rsid w:val="00B57C1D"/>
    <w:rsid w:val="00B61C85"/>
    <w:rsid w:val="00B638FE"/>
    <w:rsid w:val="00B65784"/>
    <w:rsid w:val="00B674B0"/>
    <w:rsid w:val="00B67DC9"/>
    <w:rsid w:val="00B706F6"/>
    <w:rsid w:val="00B709B4"/>
    <w:rsid w:val="00B715AC"/>
    <w:rsid w:val="00B72458"/>
    <w:rsid w:val="00B740C1"/>
    <w:rsid w:val="00B74BDB"/>
    <w:rsid w:val="00B768EE"/>
    <w:rsid w:val="00B76D4C"/>
    <w:rsid w:val="00B7712D"/>
    <w:rsid w:val="00B7725E"/>
    <w:rsid w:val="00B80B2B"/>
    <w:rsid w:val="00B820E4"/>
    <w:rsid w:val="00B82C26"/>
    <w:rsid w:val="00B83830"/>
    <w:rsid w:val="00B84824"/>
    <w:rsid w:val="00B86AA7"/>
    <w:rsid w:val="00B87E50"/>
    <w:rsid w:val="00B90326"/>
    <w:rsid w:val="00B90947"/>
    <w:rsid w:val="00B91932"/>
    <w:rsid w:val="00B91BE4"/>
    <w:rsid w:val="00B93247"/>
    <w:rsid w:val="00B95211"/>
    <w:rsid w:val="00B971C1"/>
    <w:rsid w:val="00B97906"/>
    <w:rsid w:val="00B97D32"/>
    <w:rsid w:val="00BA09C7"/>
    <w:rsid w:val="00BA2B20"/>
    <w:rsid w:val="00BA4269"/>
    <w:rsid w:val="00BA475D"/>
    <w:rsid w:val="00BA4EF3"/>
    <w:rsid w:val="00BA4F55"/>
    <w:rsid w:val="00BA57FE"/>
    <w:rsid w:val="00BA683C"/>
    <w:rsid w:val="00BA7C51"/>
    <w:rsid w:val="00BA7E07"/>
    <w:rsid w:val="00BB056C"/>
    <w:rsid w:val="00BB1235"/>
    <w:rsid w:val="00BB142B"/>
    <w:rsid w:val="00BB1B59"/>
    <w:rsid w:val="00BB1D84"/>
    <w:rsid w:val="00BB2A00"/>
    <w:rsid w:val="00BB2F9E"/>
    <w:rsid w:val="00BB33CC"/>
    <w:rsid w:val="00BB3581"/>
    <w:rsid w:val="00BB4AB0"/>
    <w:rsid w:val="00BB5391"/>
    <w:rsid w:val="00BB54F2"/>
    <w:rsid w:val="00BB76E9"/>
    <w:rsid w:val="00BB7CE7"/>
    <w:rsid w:val="00BC0302"/>
    <w:rsid w:val="00BC03E0"/>
    <w:rsid w:val="00BC2482"/>
    <w:rsid w:val="00BC35BD"/>
    <w:rsid w:val="00BC3BC7"/>
    <w:rsid w:val="00BC55FF"/>
    <w:rsid w:val="00BC5E3D"/>
    <w:rsid w:val="00BC7224"/>
    <w:rsid w:val="00BC7799"/>
    <w:rsid w:val="00BD01A4"/>
    <w:rsid w:val="00BD077B"/>
    <w:rsid w:val="00BD1679"/>
    <w:rsid w:val="00BD2B4D"/>
    <w:rsid w:val="00BD329C"/>
    <w:rsid w:val="00BD32FB"/>
    <w:rsid w:val="00BD51EC"/>
    <w:rsid w:val="00BD641C"/>
    <w:rsid w:val="00BD6AA6"/>
    <w:rsid w:val="00BE0235"/>
    <w:rsid w:val="00BE0359"/>
    <w:rsid w:val="00BE096C"/>
    <w:rsid w:val="00BE1AFD"/>
    <w:rsid w:val="00BE1B77"/>
    <w:rsid w:val="00BE1E10"/>
    <w:rsid w:val="00BE1F5D"/>
    <w:rsid w:val="00BE20CB"/>
    <w:rsid w:val="00BE2C17"/>
    <w:rsid w:val="00BE6412"/>
    <w:rsid w:val="00BE74DA"/>
    <w:rsid w:val="00BF11DD"/>
    <w:rsid w:val="00BF3A7C"/>
    <w:rsid w:val="00BF3B33"/>
    <w:rsid w:val="00BF4324"/>
    <w:rsid w:val="00BF512A"/>
    <w:rsid w:val="00BF73CD"/>
    <w:rsid w:val="00C025A7"/>
    <w:rsid w:val="00C044B7"/>
    <w:rsid w:val="00C0501D"/>
    <w:rsid w:val="00C057C1"/>
    <w:rsid w:val="00C06757"/>
    <w:rsid w:val="00C10E88"/>
    <w:rsid w:val="00C10EE0"/>
    <w:rsid w:val="00C111D9"/>
    <w:rsid w:val="00C11656"/>
    <w:rsid w:val="00C116A8"/>
    <w:rsid w:val="00C11850"/>
    <w:rsid w:val="00C13412"/>
    <w:rsid w:val="00C202B9"/>
    <w:rsid w:val="00C20668"/>
    <w:rsid w:val="00C225BD"/>
    <w:rsid w:val="00C23764"/>
    <w:rsid w:val="00C25337"/>
    <w:rsid w:val="00C27EF3"/>
    <w:rsid w:val="00C27FB2"/>
    <w:rsid w:val="00C30F05"/>
    <w:rsid w:val="00C3289F"/>
    <w:rsid w:val="00C3292F"/>
    <w:rsid w:val="00C3450C"/>
    <w:rsid w:val="00C3740D"/>
    <w:rsid w:val="00C40320"/>
    <w:rsid w:val="00C42BE5"/>
    <w:rsid w:val="00C42D6A"/>
    <w:rsid w:val="00C43842"/>
    <w:rsid w:val="00C45524"/>
    <w:rsid w:val="00C4669C"/>
    <w:rsid w:val="00C50963"/>
    <w:rsid w:val="00C51B07"/>
    <w:rsid w:val="00C51FB5"/>
    <w:rsid w:val="00C52BD0"/>
    <w:rsid w:val="00C52CA4"/>
    <w:rsid w:val="00C56F5E"/>
    <w:rsid w:val="00C61720"/>
    <w:rsid w:val="00C62DA3"/>
    <w:rsid w:val="00C62FD0"/>
    <w:rsid w:val="00C64F9E"/>
    <w:rsid w:val="00C660FD"/>
    <w:rsid w:val="00C66501"/>
    <w:rsid w:val="00C66A66"/>
    <w:rsid w:val="00C67EC2"/>
    <w:rsid w:val="00C71891"/>
    <w:rsid w:val="00C718CE"/>
    <w:rsid w:val="00C72C00"/>
    <w:rsid w:val="00C73E6A"/>
    <w:rsid w:val="00C7655A"/>
    <w:rsid w:val="00C81B60"/>
    <w:rsid w:val="00C8291E"/>
    <w:rsid w:val="00C82C0D"/>
    <w:rsid w:val="00C82E45"/>
    <w:rsid w:val="00C8385B"/>
    <w:rsid w:val="00C8448B"/>
    <w:rsid w:val="00C84B7D"/>
    <w:rsid w:val="00C8604B"/>
    <w:rsid w:val="00C87F29"/>
    <w:rsid w:val="00C92042"/>
    <w:rsid w:val="00C9259B"/>
    <w:rsid w:val="00C927FE"/>
    <w:rsid w:val="00C92DF2"/>
    <w:rsid w:val="00C95160"/>
    <w:rsid w:val="00C951BF"/>
    <w:rsid w:val="00C968A6"/>
    <w:rsid w:val="00CA17FD"/>
    <w:rsid w:val="00CA2F54"/>
    <w:rsid w:val="00CA39BE"/>
    <w:rsid w:val="00CA593D"/>
    <w:rsid w:val="00CB155F"/>
    <w:rsid w:val="00CB219E"/>
    <w:rsid w:val="00CB5392"/>
    <w:rsid w:val="00CB5975"/>
    <w:rsid w:val="00CB736E"/>
    <w:rsid w:val="00CB7676"/>
    <w:rsid w:val="00CC03E4"/>
    <w:rsid w:val="00CC053F"/>
    <w:rsid w:val="00CC074D"/>
    <w:rsid w:val="00CC1E13"/>
    <w:rsid w:val="00CC2F5E"/>
    <w:rsid w:val="00CC3BE9"/>
    <w:rsid w:val="00CC471C"/>
    <w:rsid w:val="00CC5E59"/>
    <w:rsid w:val="00CC7834"/>
    <w:rsid w:val="00CD1A46"/>
    <w:rsid w:val="00CD2226"/>
    <w:rsid w:val="00CD3494"/>
    <w:rsid w:val="00CD433E"/>
    <w:rsid w:val="00CD4CE4"/>
    <w:rsid w:val="00CD5418"/>
    <w:rsid w:val="00CD5A7A"/>
    <w:rsid w:val="00CD74E6"/>
    <w:rsid w:val="00CD7FED"/>
    <w:rsid w:val="00CE0E1B"/>
    <w:rsid w:val="00CE27D4"/>
    <w:rsid w:val="00CE28D5"/>
    <w:rsid w:val="00CE31CD"/>
    <w:rsid w:val="00CE3ABF"/>
    <w:rsid w:val="00CE3F2C"/>
    <w:rsid w:val="00CE46C2"/>
    <w:rsid w:val="00CE5259"/>
    <w:rsid w:val="00CE74E0"/>
    <w:rsid w:val="00CE7B10"/>
    <w:rsid w:val="00CF05B6"/>
    <w:rsid w:val="00CF1D30"/>
    <w:rsid w:val="00CF2115"/>
    <w:rsid w:val="00CF53E1"/>
    <w:rsid w:val="00CF6530"/>
    <w:rsid w:val="00CF6E79"/>
    <w:rsid w:val="00D0070F"/>
    <w:rsid w:val="00D00AC3"/>
    <w:rsid w:val="00D02891"/>
    <w:rsid w:val="00D02EE9"/>
    <w:rsid w:val="00D04024"/>
    <w:rsid w:val="00D04387"/>
    <w:rsid w:val="00D044A8"/>
    <w:rsid w:val="00D04585"/>
    <w:rsid w:val="00D05992"/>
    <w:rsid w:val="00D066A1"/>
    <w:rsid w:val="00D06F59"/>
    <w:rsid w:val="00D073F9"/>
    <w:rsid w:val="00D07CDA"/>
    <w:rsid w:val="00D10CE3"/>
    <w:rsid w:val="00D12BF7"/>
    <w:rsid w:val="00D13116"/>
    <w:rsid w:val="00D17206"/>
    <w:rsid w:val="00D17746"/>
    <w:rsid w:val="00D20258"/>
    <w:rsid w:val="00D20B10"/>
    <w:rsid w:val="00D21491"/>
    <w:rsid w:val="00D21BC5"/>
    <w:rsid w:val="00D21CE0"/>
    <w:rsid w:val="00D2403C"/>
    <w:rsid w:val="00D24B2B"/>
    <w:rsid w:val="00D24CD4"/>
    <w:rsid w:val="00D24E41"/>
    <w:rsid w:val="00D26A48"/>
    <w:rsid w:val="00D30A1D"/>
    <w:rsid w:val="00D30B36"/>
    <w:rsid w:val="00D31074"/>
    <w:rsid w:val="00D32D36"/>
    <w:rsid w:val="00D333AF"/>
    <w:rsid w:val="00D34566"/>
    <w:rsid w:val="00D35D13"/>
    <w:rsid w:val="00D35E8B"/>
    <w:rsid w:val="00D36EF0"/>
    <w:rsid w:val="00D41C1B"/>
    <w:rsid w:val="00D43FB5"/>
    <w:rsid w:val="00D445AE"/>
    <w:rsid w:val="00D47028"/>
    <w:rsid w:val="00D472E0"/>
    <w:rsid w:val="00D479CA"/>
    <w:rsid w:val="00D50F81"/>
    <w:rsid w:val="00D510A2"/>
    <w:rsid w:val="00D539BF"/>
    <w:rsid w:val="00D557FF"/>
    <w:rsid w:val="00D55C21"/>
    <w:rsid w:val="00D5716E"/>
    <w:rsid w:val="00D60615"/>
    <w:rsid w:val="00D60F35"/>
    <w:rsid w:val="00D6113A"/>
    <w:rsid w:val="00D621AC"/>
    <w:rsid w:val="00D62E22"/>
    <w:rsid w:val="00D62F41"/>
    <w:rsid w:val="00D63286"/>
    <w:rsid w:val="00D6406B"/>
    <w:rsid w:val="00D65F30"/>
    <w:rsid w:val="00D664D6"/>
    <w:rsid w:val="00D66791"/>
    <w:rsid w:val="00D66B43"/>
    <w:rsid w:val="00D66E7E"/>
    <w:rsid w:val="00D670CC"/>
    <w:rsid w:val="00D672DB"/>
    <w:rsid w:val="00D673BF"/>
    <w:rsid w:val="00D7017B"/>
    <w:rsid w:val="00D71F1C"/>
    <w:rsid w:val="00D7436C"/>
    <w:rsid w:val="00D7586E"/>
    <w:rsid w:val="00D76CA6"/>
    <w:rsid w:val="00D772AD"/>
    <w:rsid w:val="00D81D1A"/>
    <w:rsid w:val="00D83C41"/>
    <w:rsid w:val="00D8465A"/>
    <w:rsid w:val="00D849BD"/>
    <w:rsid w:val="00D84C76"/>
    <w:rsid w:val="00D86B09"/>
    <w:rsid w:val="00D873A1"/>
    <w:rsid w:val="00D905B0"/>
    <w:rsid w:val="00D9145A"/>
    <w:rsid w:val="00D91540"/>
    <w:rsid w:val="00D92A55"/>
    <w:rsid w:val="00D93BA7"/>
    <w:rsid w:val="00D94F79"/>
    <w:rsid w:val="00D95B43"/>
    <w:rsid w:val="00D96C4F"/>
    <w:rsid w:val="00D97F0D"/>
    <w:rsid w:val="00D97F63"/>
    <w:rsid w:val="00DA172D"/>
    <w:rsid w:val="00DA1BA4"/>
    <w:rsid w:val="00DA2E06"/>
    <w:rsid w:val="00DA48E6"/>
    <w:rsid w:val="00DA64CD"/>
    <w:rsid w:val="00DA7FCC"/>
    <w:rsid w:val="00DB003E"/>
    <w:rsid w:val="00DB15B7"/>
    <w:rsid w:val="00DB1C32"/>
    <w:rsid w:val="00DB3C9F"/>
    <w:rsid w:val="00DB506B"/>
    <w:rsid w:val="00DB5E27"/>
    <w:rsid w:val="00DB66AC"/>
    <w:rsid w:val="00DC1F5F"/>
    <w:rsid w:val="00DC314B"/>
    <w:rsid w:val="00DC3CC0"/>
    <w:rsid w:val="00DC5E45"/>
    <w:rsid w:val="00DD0182"/>
    <w:rsid w:val="00DD38AB"/>
    <w:rsid w:val="00DD420E"/>
    <w:rsid w:val="00DD46A5"/>
    <w:rsid w:val="00DD4934"/>
    <w:rsid w:val="00DD5A3C"/>
    <w:rsid w:val="00DD5C7D"/>
    <w:rsid w:val="00DD6A8D"/>
    <w:rsid w:val="00DE01D7"/>
    <w:rsid w:val="00DE14FE"/>
    <w:rsid w:val="00DE1B23"/>
    <w:rsid w:val="00DE1D33"/>
    <w:rsid w:val="00DE2E43"/>
    <w:rsid w:val="00DE363F"/>
    <w:rsid w:val="00DE5267"/>
    <w:rsid w:val="00DE6D05"/>
    <w:rsid w:val="00DF059E"/>
    <w:rsid w:val="00DF0733"/>
    <w:rsid w:val="00DF1868"/>
    <w:rsid w:val="00DF18BD"/>
    <w:rsid w:val="00DF1A98"/>
    <w:rsid w:val="00DF1CA0"/>
    <w:rsid w:val="00DF26E5"/>
    <w:rsid w:val="00DF379C"/>
    <w:rsid w:val="00DF3C84"/>
    <w:rsid w:val="00DF4DB8"/>
    <w:rsid w:val="00DF5369"/>
    <w:rsid w:val="00DF74A9"/>
    <w:rsid w:val="00E03057"/>
    <w:rsid w:val="00E03CDF"/>
    <w:rsid w:val="00E07A4E"/>
    <w:rsid w:val="00E11A87"/>
    <w:rsid w:val="00E11BD4"/>
    <w:rsid w:val="00E12825"/>
    <w:rsid w:val="00E14F80"/>
    <w:rsid w:val="00E21AE5"/>
    <w:rsid w:val="00E22DC9"/>
    <w:rsid w:val="00E231B6"/>
    <w:rsid w:val="00E23E16"/>
    <w:rsid w:val="00E23E3C"/>
    <w:rsid w:val="00E24546"/>
    <w:rsid w:val="00E259D4"/>
    <w:rsid w:val="00E27878"/>
    <w:rsid w:val="00E312AE"/>
    <w:rsid w:val="00E31D65"/>
    <w:rsid w:val="00E321BD"/>
    <w:rsid w:val="00E33334"/>
    <w:rsid w:val="00E342A7"/>
    <w:rsid w:val="00E3657E"/>
    <w:rsid w:val="00E41B8B"/>
    <w:rsid w:val="00E41BFB"/>
    <w:rsid w:val="00E42069"/>
    <w:rsid w:val="00E429DA"/>
    <w:rsid w:val="00E42DC5"/>
    <w:rsid w:val="00E433BF"/>
    <w:rsid w:val="00E43578"/>
    <w:rsid w:val="00E43F3F"/>
    <w:rsid w:val="00E44E9F"/>
    <w:rsid w:val="00E45DD2"/>
    <w:rsid w:val="00E534DD"/>
    <w:rsid w:val="00E5353A"/>
    <w:rsid w:val="00E53FFC"/>
    <w:rsid w:val="00E55F1F"/>
    <w:rsid w:val="00E60163"/>
    <w:rsid w:val="00E6045A"/>
    <w:rsid w:val="00E6083A"/>
    <w:rsid w:val="00E62454"/>
    <w:rsid w:val="00E62E2D"/>
    <w:rsid w:val="00E62F0E"/>
    <w:rsid w:val="00E63EF1"/>
    <w:rsid w:val="00E64AB0"/>
    <w:rsid w:val="00E663BB"/>
    <w:rsid w:val="00E66DDB"/>
    <w:rsid w:val="00E67374"/>
    <w:rsid w:val="00E70FD6"/>
    <w:rsid w:val="00E71404"/>
    <w:rsid w:val="00E718A2"/>
    <w:rsid w:val="00E72A6E"/>
    <w:rsid w:val="00E73A61"/>
    <w:rsid w:val="00E7435F"/>
    <w:rsid w:val="00E747F5"/>
    <w:rsid w:val="00E74D9B"/>
    <w:rsid w:val="00E75B86"/>
    <w:rsid w:val="00E75E91"/>
    <w:rsid w:val="00E76193"/>
    <w:rsid w:val="00E76C74"/>
    <w:rsid w:val="00E76E30"/>
    <w:rsid w:val="00E8005B"/>
    <w:rsid w:val="00E80C0B"/>
    <w:rsid w:val="00E81081"/>
    <w:rsid w:val="00E81DDA"/>
    <w:rsid w:val="00E82936"/>
    <w:rsid w:val="00E82BA8"/>
    <w:rsid w:val="00E84A86"/>
    <w:rsid w:val="00E84D9E"/>
    <w:rsid w:val="00E84E5C"/>
    <w:rsid w:val="00E85C7B"/>
    <w:rsid w:val="00E86A0E"/>
    <w:rsid w:val="00E87105"/>
    <w:rsid w:val="00E87FE2"/>
    <w:rsid w:val="00E90936"/>
    <w:rsid w:val="00E92253"/>
    <w:rsid w:val="00E92601"/>
    <w:rsid w:val="00E9334B"/>
    <w:rsid w:val="00E93558"/>
    <w:rsid w:val="00E949E6"/>
    <w:rsid w:val="00E9566E"/>
    <w:rsid w:val="00E957E4"/>
    <w:rsid w:val="00E95C7F"/>
    <w:rsid w:val="00E95DBA"/>
    <w:rsid w:val="00E9677A"/>
    <w:rsid w:val="00E971B8"/>
    <w:rsid w:val="00E974D2"/>
    <w:rsid w:val="00EA0E99"/>
    <w:rsid w:val="00EA1151"/>
    <w:rsid w:val="00EA289C"/>
    <w:rsid w:val="00EA32BD"/>
    <w:rsid w:val="00EA40CF"/>
    <w:rsid w:val="00EA4520"/>
    <w:rsid w:val="00EA45E7"/>
    <w:rsid w:val="00EA47E1"/>
    <w:rsid w:val="00EA6FA2"/>
    <w:rsid w:val="00EB2518"/>
    <w:rsid w:val="00EB3957"/>
    <w:rsid w:val="00EB53CD"/>
    <w:rsid w:val="00EC2009"/>
    <w:rsid w:val="00EC2723"/>
    <w:rsid w:val="00EC2EBC"/>
    <w:rsid w:val="00EC343B"/>
    <w:rsid w:val="00EC362E"/>
    <w:rsid w:val="00EC5865"/>
    <w:rsid w:val="00EC619D"/>
    <w:rsid w:val="00EC6709"/>
    <w:rsid w:val="00EC6832"/>
    <w:rsid w:val="00EC7491"/>
    <w:rsid w:val="00EC7B45"/>
    <w:rsid w:val="00ED0981"/>
    <w:rsid w:val="00ED1DB2"/>
    <w:rsid w:val="00ED219D"/>
    <w:rsid w:val="00ED2AA9"/>
    <w:rsid w:val="00ED3A90"/>
    <w:rsid w:val="00ED3F37"/>
    <w:rsid w:val="00ED645A"/>
    <w:rsid w:val="00ED67C4"/>
    <w:rsid w:val="00ED71E7"/>
    <w:rsid w:val="00ED7FA1"/>
    <w:rsid w:val="00EE102C"/>
    <w:rsid w:val="00EE1F7F"/>
    <w:rsid w:val="00EE35B7"/>
    <w:rsid w:val="00EE407C"/>
    <w:rsid w:val="00EE46D2"/>
    <w:rsid w:val="00EE5780"/>
    <w:rsid w:val="00EE592F"/>
    <w:rsid w:val="00EF0991"/>
    <w:rsid w:val="00EF319F"/>
    <w:rsid w:val="00EF3BD0"/>
    <w:rsid w:val="00EF508D"/>
    <w:rsid w:val="00EF5D07"/>
    <w:rsid w:val="00EF61CF"/>
    <w:rsid w:val="00EF6E56"/>
    <w:rsid w:val="00EF717F"/>
    <w:rsid w:val="00F004C6"/>
    <w:rsid w:val="00F00882"/>
    <w:rsid w:val="00F00D86"/>
    <w:rsid w:val="00F02A14"/>
    <w:rsid w:val="00F03336"/>
    <w:rsid w:val="00F060CA"/>
    <w:rsid w:val="00F066AA"/>
    <w:rsid w:val="00F1052B"/>
    <w:rsid w:val="00F121C1"/>
    <w:rsid w:val="00F128E8"/>
    <w:rsid w:val="00F12D12"/>
    <w:rsid w:val="00F13A7C"/>
    <w:rsid w:val="00F13E7F"/>
    <w:rsid w:val="00F16AD7"/>
    <w:rsid w:val="00F17B86"/>
    <w:rsid w:val="00F21914"/>
    <w:rsid w:val="00F223E6"/>
    <w:rsid w:val="00F235B2"/>
    <w:rsid w:val="00F238E1"/>
    <w:rsid w:val="00F24E81"/>
    <w:rsid w:val="00F25B9E"/>
    <w:rsid w:val="00F25BF8"/>
    <w:rsid w:val="00F26093"/>
    <w:rsid w:val="00F260A3"/>
    <w:rsid w:val="00F27EEE"/>
    <w:rsid w:val="00F27EF7"/>
    <w:rsid w:val="00F30F30"/>
    <w:rsid w:val="00F332FD"/>
    <w:rsid w:val="00F33DB6"/>
    <w:rsid w:val="00F341F6"/>
    <w:rsid w:val="00F4113C"/>
    <w:rsid w:val="00F41BA4"/>
    <w:rsid w:val="00F4389D"/>
    <w:rsid w:val="00F455CD"/>
    <w:rsid w:val="00F46266"/>
    <w:rsid w:val="00F468D4"/>
    <w:rsid w:val="00F46D68"/>
    <w:rsid w:val="00F46EA3"/>
    <w:rsid w:val="00F47543"/>
    <w:rsid w:val="00F47EBB"/>
    <w:rsid w:val="00F50011"/>
    <w:rsid w:val="00F5172C"/>
    <w:rsid w:val="00F51A3F"/>
    <w:rsid w:val="00F51FE1"/>
    <w:rsid w:val="00F53357"/>
    <w:rsid w:val="00F53508"/>
    <w:rsid w:val="00F539BF"/>
    <w:rsid w:val="00F53CBE"/>
    <w:rsid w:val="00F53D58"/>
    <w:rsid w:val="00F53E72"/>
    <w:rsid w:val="00F552FA"/>
    <w:rsid w:val="00F5532E"/>
    <w:rsid w:val="00F55C61"/>
    <w:rsid w:val="00F56BCB"/>
    <w:rsid w:val="00F57213"/>
    <w:rsid w:val="00F57AE5"/>
    <w:rsid w:val="00F57DF3"/>
    <w:rsid w:val="00F60F9D"/>
    <w:rsid w:val="00F6213B"/>
    <w:rsid w:val="00F63407"/>
    <w:rsid w:val="00F6474F"/>
    <w:rsid w:val="00F647D1"/>
    <w:rsid w:val="00F655F8"/>
    <w:rsid w:val="00F66ADA"/>
    <w:rsid w:val="00F67468"/>
    <w:rsid w:val="00F674FA"/>
    <w:rsid w:val="00F70832"/>
    <w:rsid w:val="00F70AD5"/>
    <w:rsid w:val="00F70EC2"/>
    <w:rsid w:val="00F71262"/>
    <w:rsid w:val="00F718B2"/>
    <w:rsid w:val="00F72A60"/>
    <w:rsid w:val="00F73A37"/>
    <w:rsid w:val="00F75219"/>
    <w:rsid w:val="00F768DA"/>
    <w:rsid w:val="00F77583"/>
    <w:rsid w:val="00F775AE"/>
    <w:rsid w:val="00F80BD5"/>
    <w:rsid w:val="00F80D99"/>
    <w:rsid w:val="00F82419"/>
    <w:rsid w:val="00F82462"/>
    <w:rsid w:val="00F832D5"/>
    <w:rsid w:val="00F906A1"/>
    <w:rsid w:val="00F906F4"/>
    <w:rsid w:val="00F937C1"/>
    <w:rsid w:val="00F939AF"/>
    <w:rsid w:val="00F94C69"/>
    <w:rsid w:val="00F95738"/>
    <w:rsid w:val="00F95C61"/>
    <w:rsid w:val="00F973F8"/>
    <w:rsid w:val="00FA09F0"/>
    <w:rsid w:val="00FA0BE7"/>
    <w:rsid w:val="00FA1434"/>
    <w:rsid w:val="00FA16CB"/>
    <w:rsid w:val="00FA1BC3"/>
    <w:rsid w:val="00FA2D8B"/>
    <w:rsid w:val="00FA36DF"/>
    <w:rsid w:val="00FA4034"/>
    <w:rsid w:val="00FA51E8"/>
    <w:rsid w:val="00FA573D"/>
    <w:rsid w:val="00FA611F"/>
    <w:rsid w:val="00FA7B57"/>
    <w:rsid w:val="00FB022C"/>
    <w:rsid w:val="00FB416D"/>
    <w:rsid w:val="00FB45CB"/>
    <w:rsid w:val="00FB6EFA"/>
    <w:rsid w:val="00FB7FDE"/>
    <w:rsid w:val="00FC050B"/>
    <w:rsid w:val="00FC05D4"/>
    <w:rsid w:val="00FC1442"/>
    <w:rsid w:val="00FC4359"/>
    <w:rsid w:val="00FC4948"/>
    <w:rsid w:val="00FC6177"/>
    <w:rsid w:val="00FC617C"/>
    <w:rsid w:val="00FC7BA9"/>
    <w:rsid w:val="00FC7E93"/>
    <w:rsid w:val="00FD2FC5"/>
    <w:rsid w:val="00FD3786"/>
    <w:rsid w:val="00FD4773"/>
    <w:rsid w:val="00FD5572"/>
    <w:rsid w:val="00FD57C1"/>
    <w:rsid w:val="00FE0812"/>
    <w:rsid w:val="00FE09DC"/>
    <w:rsid w:val="00FE1673"/>
    <w:rsid w:val="00FE176C"/>
    <w:rsid w:val="00FE18C7"/>
    <w:rsid w:val="00FE28F4"/>
    <w:rsid w:val="00FE41C3"/>
    <w:rsid w:val="00FE4230"/>
    <w:rsid w:val="00FE6E72"/>
    <w:rsid w:val="00FF01A1"/>
    <w:rsid w:val="00FF0B4B"/>
    <w:rsid w:val="00FF10EB"/>
    <w:rsid w:val="00FF2859"/>
    <w:rsid w:val="00FF298B"/>
    <w:rsid w:val="00FF2F9B"/>
    <w:rsid w:val="00FF377D"/>
    <w:rsid w:val="00FF4D32"/>
    <w:rsid w:val="00FF5484"/>
    <w:rsid w:val="00FF5CC9"/>
    <w:rsid w:val="00FF64F3"/>
    <w:rsid w:val="00FF6F90"/>
    <w:rsid w:val="014939A9"/>
    <w:rsid w:val="01AD27A2"/>
    <w:rsid w:val="02556193"/>
    <w:rsid w:val="025A704C"/>
    <w:rsid w:val="030736C0"/>
    <w:rsid w:val="03916E13"/>
    <w:rsid w:val="03A90300"/>
    <w:rsid w:val="03DA1979"/>
    <w:rsid w:val="04674CD3"/>
    <w:rsid w:val="04775A08"/>
    <w:rsid w:val="04783145"/>
    <w:rsid w:val="0492334D"/>
    <w:rsid w:val="04AC14C2"/>
    <w:rsid w:val="05115361"/>
    <w:rsid w:val="05115FAD"/>
    <w:rsid w:val="05C41217"/>
    <w:rsid w:val="060C68AF"/>
    <w:rsid w:val="06D53145"/>
    <w:rsid w:val="073738A6"/>
    <w:rsid w:val="07E70396"/>
    <w:rsid w:val="08A16C12"/>
    <w:rsid w:val="08D062B9"/>
    <w:rsid w:val="08E22734"/>
    <w:rsid w:val="08ED364F"/>
    <w:rsid w:val="094E0606"/>
    <w:rsid w:val="096030AD"/>
    <w:rsid w:val="098647DE"/>
    <w:rsid w:val="09B51D7E"/>
    <w:rsid w:val="0AC01A1C"/>
    <w:rsid w:val="0AD031F0"/>
    <w:rsid w:val="0B723658"/>
    <w:rsid w:val="0B8B02CB"/>
    <w:rsid w:val="0BDB2929"/>
    <w:rsid w:val="0C554849"/>
    <w:rsid w:val="0C807FF6"/>
    <w:rsid w:val="0C833FB7"/>
    <w:rsid w:val="0CA74842"/>
    <w:rsid w:val="0D4863D9"/>
    <w:rsid w:val="0D505F74"/>
    <w:rsid w:val="0D913B3D"/>
    <w:rsid w:val="0DF26CD2"/>
    <w:rsid w:val="0EA71B01"/>
    <w:rsid w:val="0EFD6ADB"/>
    <w:rsid w:val="0F1D0B70"/>
    <w:rsid w:val="0F3E2F47"/>
    <w:rsid w:val="0F9067A2"/>
    <w:rsid w:val="0FC607EE"/>
    <w:rsid w:val="0FF93978"/>
    <w:rsid w:val="10046D97"/>
    <w:rsid w:val="104D73ED"/>
    <w:rsid w:val="108C7D96"/>
    <w:rsid w:val="10A857A0"/>
    <w:rsid w:val="10B152A3"/>
    <w:rsid w:val="10EC56C5"/>
    <w:rsid w:val="11140C72"/>
    <w:rsid w:val="11F16ADD"/>
    <w:rsid w:val="12534A6F"/>
    <w:rsid w:val="126E5435"/>
    <w:rsid w:val="128D521B"/>
    <w:rsid w:val="12A860F6"/>
    <w:rsid w:val="12FC410C"/>
    <w:rsid w:val="13120ADA"/>
    <w:rsid w:val="13C92283"/>
    <w:rsid w:val="13E47868"/>
    <w:rsid w:val="14123C2A"/>
    <w:rsid w:val="146574F4"/>
    <w:rsid w:val="1536181A"/>
    <w:rsid w:val="15D4376F"/>
    <w:rsid w:val="163A7FC9"/>
    <w:rsid w:val="16A0432B"/>
    <w:rsid w:val="16AB53BD"/>
    <w:rsid w:val="16D248E7"/>
    <w:rsid w:val="16FD447D"/>
    <w:rsid w:val="1727204F"/>
    <w:rsid w:val="172B0237"/>
    <w:rsid w:val="17544559"/>
    <w:rsid w:val="175B2D63"/>
    <w:rsid w:val="17710B6B"/>
    <w:rsid w:val="17A0765F"/>
    <w:rsid w:val="17A14D5F"/>
    <w:rsid w:val="1808223A"/>
    <w:rsid w:val="18F746C4"/>
    <w:rsid w:val="194D300E"/>
    <w:rsid w:val="196335AF"/>
    <w:rsid w:val="19C4164A"/>
    <w:rsid w:val="19E006C0"/>
    <w:rsid w:val="19EB442D"/>
    <w:rsid w:val="1A437E52"/>
    <w:rsid w:val="1AB05CD0"/>
    <w:rsid w:val="1AEC04A7"/>
    <w:rsid w:val="1B2341F3"/>
    <w:rsid w:val="1B41251E"/>
    <w:rsid w:val="1B623A0E"/>
    <w:rsid w:val="1B7E7DF7"/>
    <w:rsid w:val="1BBA2066"/>
    <w:rsid w:val="1C04014A"/>
    <w:rsid w:val="1C055E22"/>
    <w:rsid w:val="1C7729BA"/>
    <w:rsid w:val="1C9F6F93"/>
    <w:rsid w:val="1CD53A47"/>
    <w:rsid w:val="1CF306D5"/>
    <w:rsid w:val="1D0165EA"/>
    <w:rsid w:val="1D0B7468"/>
    <w:rsid w:val="1D1B7A2F"/>
    <w:rsid w:val="1D5D2084"/>
    <w:rsid w:val="1D714A63"/>
    <w:rsid w:val="1D951B3B"/>
    <w:rsid w:val="1DB85609"/>
    <w:rsid w:val="1E216F88"/>
    <w:rsid w:val="1E641956"/>
    <w:rsid w:val="1E845C6B"/>
    <w:rsid w:val="1E933AF1"/>
    <w:rsid w:val="1ED311BB"/>
    <w:rsid w:val="1ED66692"/>
    <w:rsid w:val="1FC2329F"/>
    <w:rsid w:val="1FEB532F"/>
    <w:rsid w:val="202251F5"/>
    <w:rsid w:val="20976E78"/>
    <w:rsid w:val="20DD111C"/>
    <w:rsid w:val="20F34AF5"/>
    <w:rsid w:val="21623838"/>
    <w:rsid w:val="217952E8"/>
    <w:rsid w:val="221A1DB5"/>
    <w:rsid w:val="221D71CF"/>
    <w:rsid w:val="22421683"/>
    <w:rsid w:val="224217DE"/>
    <w:rsid w:val="22504165"/>
    <w:rsid w:val="2265433B"/>
    <w:rsid w:val="226B2BE8"/>
    <w:rsid w:val="22F719E6"/>
    <w:rsid w:val="22FF35CB"/>
    <w:rsid w:val="236773C3"/>
    <w:rsid w:val="244C7CE2"/>
    <w:rsid w:val="247022A7"/>
    <w:rsid w:val="24937300"/>
    <w:rsid w:val="24D8188C"/>
    <w:rsid w:val="24DE0EB7"/>
    <w:rsid w:val="251417FD"/>
    <w:rsid w:val="25340AEF"/>
    <w:rsid w:val="25550DC0"/>
    <w:rsid w:val="25590F2E"/>
    <w:rsid w:val="25884C61"/>
    <w:rsid w:val="258B7398"/>
    <w:rsid w:val="25D36F91"/>
    <w:rsid w:val="25EB691C"/>
    <w:rsid w:val="262A4290"/>
    <w:rsid w:val="263527CB"/>
    <w:rsid w:val="26623B8C"/>
    <w:rsid w:val="26D835CE"/>
    <w:rsid w:val="27741940"/>
    <w:rsid w:val="27B91850"/>
    <w:rsid w:val="27D43C48"/>
    <w:rsid w:val="27D66B2F"/>
    <w:rsid w:val="27F33891"/>
    <w:rsid w:val="27F76F67"/>
    <w:rsid w:val="281C4E0A"/>
    <w:rsid w:val="283D4C85"/>
    <w:rsid w:val="284E3EEC"/>
    <w:rsid w:val="28B8348F"/>
    <w:rsid w:val="29D87D2A"/>
    <w:rsid w:val="2A005017"/>
    <w:rsid w:val="2A107FB5"/>
    <w:rsid w:val="2A37518F"/>
    <w:rsid w:val="2AA505B3"/>
    <w:rsid w:val="2AB92391"/>
    <w:rsid w:val="2AEB2687"/>
    <w:rsid w:val="2AF673EE"/>
    <w:rsid w:val="2B3004F0"/>
    <w:rsid w:val="2B6F2615"/>
    <w:rsid w:val="2B9200A2"/>
    <w:rsid w:val="2C725BF8"/>
    <w:rsid w:val="2C7C7A3B"/>
    <w:rsid w:val="2C820DC9"/>
    <w:rsid w:val="2CF41CC7"/>
    <w:rsid w:val="2CF47C54"/>
    <w:rsid w:val="2D0B4997"/>
    <w:rsid w:val="2D1568BB"/>
    <w:rsid w:val="2D424954"/>
    <w:rsid w:val="2DA95F7C"/>
    <w:rsid w:val="2DCF6290"/>
    <w:rsid w:val="2E552C39"/>
    <w:rsid w:val="2E930AE4"/>
    <w:rsid w:val="2F034443"/>
    <w:rsid w:val="2F0E5507"/>
    <w:rsid w:val="2FEA3EFA"/>
    <w:rsid w:val="30D2231F"/>
    <w:rsid w:val="30E036C4"/>
    <w:rsid w:val="31150356"/>
    <w:rsid w:val="31D9148B"/>
    <w:rsid w:val="32AC0876"/>
    <w:rsid w:val="32AC7519"/>
    <w:rsid w:val="32C11B9E"/>
    <w:rsid w:val="333B24EE"/>
    <w:rsid w:val="33A37FA3"/>
    <w:rsid w:val="345340E6"/>
    <w:rsid w:val="34646FCB"/>
    <w:rsid w:val="34726230"/>
    <w:rsid w:val="3480214C"/>
    <w:rsid w:val="34993CAA"/>
    <w:rsid w:val="34CE44F6"/>
    <w:rsid w:val="35537A80"/>
    <w:rsid w:val="356A1EFF"/>
    <w:rsid w:val="356B2D42"/>
    <w:rsid w:val="35703FF9"/>
    <w:rsid w:val="35B32642"/>
    <w:rsid w:val="360C27BF"/>
    <w:rsid w:val="36662B4E"/>
    <w:rsid w:val="368B2562"/>
    <w:rsid w:val="36AE737C"/>
    <w:rsid w:val="371D5602"/>
    <w:rsid w:val="37E10EB8"/>
    <w:rsid w:val="381F79CB"/>
    <w:rsid w:val="388617DC"/>
    <w:rsid w:val="38BC497F"/>
    <w:rsid w:val="38E17950"/>
    <w:rsid w:val="39374DF7"/>
    <w:rsid w:val="393C0CDD"/>
    <w:rsid w:val="394A385E"/>
    <w:rsid w:val="398A7F33"/>
    <w:rsid w:val="3992791C"/>
    <w:rsid w:val="39A85528"/>
    <w:rsid w:val="39D20F88"/>
    <w:rsid w:val="39D553D5"/>
    <w:rsid w:val="39F12611"/>
    <w:rsid w:val="39F239CB"/>
    <w:rsid w:val="3A0B1D53"/>
    <w:rsid w:val="3A362667"/>
    <w:rsid w:val="3ABD7ADF"/>
    <w:rsid w:val="3AD42D70"/>
    <w:rsid w:val="3B45043D"/>
    <w:rsid w:val="3BBA56FE"/>
    <w:rsid w:val="3BBD1E1E"/>
    <w:rsid w:val="3C681D8A"/>
    <w:rsid w:val="3C8934AF"/>
    <w:rsid w:val="3D023F8C"/>
    <w:rsid w:val="3D1E069A"/>
    <w:rsid w:val="3D6311E5"/>
    <w:rsid w:val="3D9253E5"/>
    <w:rsid w:val="3DD42A13"/>
    <w:rsid w:val="3E2C35C1"/>
    <w:rsid w:val="3E386C3A"/>
    <w:rsid w:val="3E4A4D81"/>
    <w:rsid w:val="3E627EA5"/>
    <w:rsid w:val="3E6B3722"/>
    <w:rsid w:val="3EB54540"/>
    <w:rsid w:val="3EC51715"/>
    <w:rsid w:val="3EE32960"/>
    <w:rsid w:val="3EE6168C"/>
    <w:rsid w:val="3F1502D5"/>
    <w:rsid w:val="3F24039A"/>
    <w:rsid w:val="3F7C677A"/>
    <w:rsid w:val="3F880B47"/>
    <w:rsid w:val="3FDA6322"/>
    <w:rsid w:val="40010E57"/>
    <w:rsid w:val="400973E0"/>
    <w:rsid w:val="40296E95"/>
    <w:rsid w:val="4048201C"/>
    <w:rsid w:val="40845CE2"/>
    <w:rsid w:val="40922D12"/>
    <w:rsid w:val="40966F37"/>
    <w:rsid w:val="410D05C8"/>
    <w:rsid w:val="416845DA"/>
    <w:rsid w:val="418C4EB6"/>
    <w:rsid w:val="4202058A"/>
    <w:rsid w:val="424630E4"/>
    <w:rsid w:val="42A61E33"/>
    <w:rsid w:val="42C75C12"/>
    <w:rsid w:val="42EE6E49"/>
    <w:rsid w:val="439F73EC"/>
    <w:rsid w:val="43A1430A"/>
    <w:rsid w:val="4412022F"/>
    <w:rsid w:val="44577806"/>
    <w:rsid w:val="446F2231"/>
    <w:rsid w:val="44C3142C"/>
    <w:rsid w:val="44F96A9A"/>
    <w:rsid w:val="45114B75"/>
    <w:rsid w:val="452C5BF5"/>
    <w:rsid w:val="45596ACD"/>
    <w:rsid w:val="4562370E"/>
    <w:rsid w:val="45B34EC6"/>
    <w:rsid w:val="45BF2944"/>
    <w:rsid w:val="45F60406"/>
    <w:rsid w:val="4604209C"/>
    <w:rsid w:val="46141560"/>
    <w:rsid w:val="462040B5"/>
    <w:rsid w:val="467557CF"/>
    <w:rsid w:val="46F30DEA"/>
    <w:rsid w:val="47347F6F"/>
    <w:rsid w:val="473D7AE2"/>
    <w:rsid w:val="477A0E97"/>
    <w:rsid w:val="47995898"/>
    <w:rsid w:val="482C0425"/>
    <w:rsid w:val="48623B31"/>
    <w:rsid w:val="49652E4C"/>
    <w:rsid w:val="4A070293"/>
    <w:rsid w:val="4A3603A0"/>
    <w:rsid w:val="4AA15018"/>
    <w:rsid w:val="4AD8632C"/>
    <w:rsid w:val="4AF018C8"/>
    <w:rsid w:val="4BAD20AF"/>
    <w:rsid w:val="4BC948B9"/>
    <w:rsid w:val="4BF90C50"/>
    <w:rsid w:val="4C0C2044"/>
    <w:rsid w:val="4C115201"/>
    <w:rsid w:val="4C3A5C20"/>
    <w:rsid w:val="4C5B786B"/>
    <w:rsid w:val="4C7A0B2E"/>
    <w:rsid w:val="4D1B6342"/>
    <w:rsid w:val="4D445EFB"/>
    <w:rsid w:val="4D802EC0"/>
    <w:rsid w:val="4E72331D"/>
    <w:rsid w:val="4EBF5639"/>
    <w:rsid w:val="4F835629"/>
    <w:rsid w:val="50330A1A"/>
    <w:rsid w:val="508C7426"/>
    <w:rsid w:val="51436FC1"/>
    <w:rsid w:val="51711289"/>
    <w:rsid w:val="519C1A53"/>
    <w:rsid w:val="52880638"/>
    <w:rsid w:val="529B220C"/>
    <w:rsid w:val="534A1D91"/>
    <w:rsid w:val="535D3873"/>
    <w:rsid w:val="53782C7D"/>
    <w:rsid w:val="53AB66F7"/>
    <w:rsid w:val="545C3670"/>
    <w:rsid w:val="54736F50"/>
    <w:rsid w:val="54944D4B"/>
    <w:rsid w:val="54A23863"/>
    <w:rsid w:val="54A24506"/>
    <w:rsid w:val="54BD2C6E"/>
    <w:rsid w:val="54C372D7"/>
    <w:rsid w:val="550146D2"/>
    <w:rsid w:val="55B23667"/>
    <w:rsid w:val="55D637EA"/>
    <w:rsid w:val="55E57BEB"/>
    <w:rsid w:val="56EC6A80"/>
    <w:rsid w:val="56F3460A"/>
    <w:rsid w:val="57303606"/>
    <w:rsid w:val="573803F9"/>
    <w:rsid w:val="5779600C"/>
    <w:rsid w:val="57A2219C"/>
    <w:rsid w:val="57B91DA5"/>
    <w:rsid w:val="57F55C32"/>
    <w:rsid w:val="584B6260"/>
    <w:rsid w:val="584C1AE1"/>
    <w:rsid w:val="5863140C"/>
    <w:rsid w:val="5875268E"/>
    <w:rsid w:val="58774ABD"/>
    <w:rsid w:val="58861673"/>
    <w:rsid w:val="590771D4"/>
    <w:rsid w:val="590A1327"/>
    <w:rsid w:val="591A762D"/>
    <w:rsid w:val="594F5DDA"/>
    <w:rsid w:val="59503CAF"/>
    <w:rsid w:val="59E45A4F"/>
    <w:rsid w:val="59EA52A0"/>
    <w:rsid w:val="59F864C2"/>
    <w:rsid w:val="5A20384C"/>
    <w:rsid w:val="5AA4622B"/>
    <w:rsid w:val="5ACD41E3"/>
    <w:rsid w:val="5AEE74A6"/>
    <w:rsid w:val="5B8F35B7"/>
    <w:rsid w:val="5C3407B4"/>
    <w:rsid w:val="5C797243"/>
    <w:rsid w:val="5C935C5C"/>
    <w:rsid w:val="5C9D07D4"/>
    <w:rsid w:val="5C9D5D5E"/>
    <w:rsid w:val="5CD73C7D"/>
    <w:rsid w:val="5CE2128D"/>
    <w:rsid w:val="5D3A6DFF"/>
    <w:rsid w:val="5D3C50B8"/>
    <w:rsid w:val="5D543F38"/>
    <w:rsid w:val="5DAD1DCA"/>
    <w:rsid w:val="5E342441"/>
    <w:rsid w:val="5E3E72CF"/>
    <w:rsid w:val="5E99597B"/>
    <w:rsid w:val="5F5C5326"/>
    <w:rsid w:val="5F61293D"/>
    <w:rsid w:val="5F863859"/>
    <w:rsid w:val="5F926F9A"/>
    <w:rsid w:val="5FB41DB6"/>
    <w:rsid w:val="5FB41F81"/>
    <w:rsid w:val="5FD014CD"/>
    <w:rsid w:val="5FE51753"/>
    <w:rsid w:val="5FE9463E"/>
    <w:rsid w:val="5FF070EC"/>
    <w:rsid w:val="605B3830"/>
    <w:rsid w:val="609B1DDB"/>
    <w:rsid w:val="60B36F1B"/>
    <w:rsid w:val="61710F45"/>
    <w:rsid w:val="61730705"/>
    <w:rsid w:val="61747DFF"/>
    <w:rsid w:val="61903A07"/>
    <w:rsid w:val="62411DEE"/>
    <w:rsid w:val="625C5B39"/>
    <w:rsid w:val="62854B94"/>
    <w:rsid w:val="63515E6F"/>
    <w:rsid w:val="63827216"/>
    <w:rsid w:val="639E52FB"/>
    <w:rsid w:val="63F90E29"/>
    <w:rsid w:val="644D74CB"/>
    <w:rsid w:val="645073B6"/>
    <w:rsid w:val="64570CFA"/>
    <w:rsid w:val="64AF57BD"/>
    <w:rsid w:val="64B824DA"/>
    <w:rsid w:val="6515621B"/>
    <w:rsid w:val="65323E6B"/>
    <w:rsid w:val="654F3237"/>
    <w:rsid w:val="65A90293"/>
    <w:rsid w:val="65EA6991"/>
    <w:rsid w:val="65EB2D92"/>
    <w:rsid w:val="66483617"/>
    <w:rsid w:val="665948C3"/>
    <w:rsid w:val="66A6149A"/>
    <w:rsid w:val="66AA0714"/>
    <w:rsid w:val="66CC646B"/>
    <w:rsid w:val="67327D0F"/>
    <w:rsid w:val="67562EFF"/>
    <w:rsid w:val="675D0CF5"/>
    <w:rsid w:val="676034DA"/>
    <w:rsid w:val="676B04FE"/>
    <w:rsid w:val="67985F53"/>
    <w:rsid w:val="67CF3800"/>
    <w:rsid w:val="684F7520"/>
    <w:rsid w:val="68F8353D"/>
    <w:rsid w:val="68F90581"/>
    <w:rsid w:val="691F5FF6"/>
    <w:rsid w:val="696B2697"/>
    <w:rsid w:val="6998689A"/>
    <w:rsid w:val="69BC1229"/>
    <w:rsid w:val="69BE286E"/>
    <w:rsid w:val="69DA7573"/>
    <w:rsid w:val="69E71C90"/>
    <w:rsid w:val="69ED272A"/>
    <w:rsid w:val="69F10D61"/>
    <w:rsid w:val="6A6F1133"/>
    <w:rsid w:val="6A9217ED"/>
    <w:rsid w:val="6AE02814"/>
    <w:rsid w:val="6AE14B29"/>
    <w:rsid w:val="6AF9711D"/>
    <w:rsid w:val="6B180C64"/>
    <w:rsid w:val="6B371E11"/>
    <w:rsid w:val="6B401CBE"/>
    <w:rsid w:val="6BAD6B93"/>
    <w:rsid w:val="6BEA3CBA"/>
    <w:rsid w:val="6C807271"/>
    <w:rsid w:val="6CC664D5"/>
    <w:rsid w:val="6CDD4B99"/>
    <w:rsid w:val="6CFE73FC"/>
    <w:rsid w:val="6D0A5C4B"/>
    <w:rsid w:val="6D0D7C60"/>
    <w:rsid w:val="6D1810DE"/>
    <w:rsid w:val="6D2F7BD6"/>
    <w:rsid w:val="6D5F5EB3"/>
    <w:rsid w:val="6DE760A9"/>
    <w:rsid w:val="6DEB1699"/>
    <w:rsid w:val="6E800E22"/>
    <w:rsid w:val="6E8C3A21"/>
    <w:rsid w:val="6E9939E2"/>
    <w:rsid w:val="6EC52BFF"/>
    <w:rsid w:val="6EEB494B"/>
    <w:rsid w:val="6F2D283B"/>
    <w:rsid w:val="6F675452"/>
    <w:rsid w:val="6FA344FE"/>
    <w:rsid w:val="700C3F9B"/>
    <w:rsid w:val="700C5EB5"/>
    <w:rsid w:val="7023000B"/>
    <w:rsid w:val="70244711"/>
    <w:rsid w:val="706A0FA9"/>
    <w:rsid w:val="706D7DD0"/>
    <w:rsid w:val="711D75FD"/>
    <w:rsid w:val="713F68A9"/>
    <w:rsid w:val="717E2687"/>
    <w:rsid w:val="719618F9"/>
    <w:rsid w:val="71BB5EDC"/>
    <w:rsid w:val="71E358D4"/>
    <w:rsid w:val="721E3ADB"/>
    <w:rsid w:val="72DD1D66"/>
    <w:rsid w:val="72F7664E"/>
    <w:rsid w:val="732B52E4"/>
    <w:rsid w:val="73351CBE"/>
    <w:rsid w:val="73C75D96"/>
    <w:rsid w:val="73D8123F"/>
    <w:rsid w:val="747243FD"/>
    <w:rsid w:val="7476258E"/>
    <w:rsid w:val="74BA0DC7"/>
    <w:rsid w:val="74E02D72"/>
    <w:rsid w:val="752828EF"/>
    <w:rsid w:val="756D1CEE"/>
    <w:rsid w:val="7663130F"/>
    <w:rsid w:val="77125960"/>
    <w:rsid w:val="776F6F3F"/>
    <w:rsid w:val="77A7166C"/>
    <w:rsid w:val="77EE2F0C"/>
    <w:rsid w:val="78101E22"/>
    <w:rsid w:val="78690F56"/>
    <w:rsid w:val="7883447B"/>
    <w:rsid w:val="78A739C4"/>
    <w:rsid w:val="78BB59D0"/>
    <w:rsid w:val="78C85923"/>
    <w:rsid w:val="79CB377D"/>
    <w:rsid w:val="79F71A6B"/>
    <w:rsid w:val="79F9316A"/>
    <w:rsid w:val="7A2953EE"/>
    <w:rsid w:val="7A883E6E"/>
    <w:rsid w:val="7AEB68E1"/>
    <w:rsid w:val="7B2F370E"/>
    <w:rsid w:val="7B8E433D"/>
    <w:rsid w:val="7BC96AA1"/>
    <w:rsid w:val="7BE62AF4"/>
    <w:rsid w:val="7CEA7BEA"/>
    <w:rsid w:val="7D065F1E"/>
    <w:rsid w:val="7D235FA7"/>
    <w:rsid w:val="7D782EA8"/>
    <w:rsid w:val="7D923784"/>
    <w:rsid w:val="7D994232"/>
    <w:rsid w:val="7E10135E"/>
    <w:rsid w:val="7E134E71"/>
    <w:rsid w:val="7EA74D62"/>
    <w:rsid w:val="7F207CC7"/>
    <w:rsid w:val="7F267B0D"/>
    <w:rsid w:val="7FA9548B"/>
    <w:rsid w:val="7FFF73F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ocked="1"/>
    <w:lsdException w:uiPriority="0" w:name="toc 5" w:locked="1"/>
    <w:lsdException w:uiPriority="0" w:name="toc 6" w:locked="1"/>
    <w:lsdException w:qFormat="1" w:unhideWhenUsed="0" w:uiPriority="0" w:semiHidden="0" w:name="toc 7" w:locked="1"/>
    <w:lsdException w:uiPriority="0" w:name="toc 8" w:locked="1"/>
    <w:lsdException w:uiPriority="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qFormat="1" w:unhideWhenUsed="0" w:uiPriority="99"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iPriority="0" w:name="HTML Code"/>
    <w:lsdException w:qFormat="1" w:uiPriority="0" w:name="HTML Definition"/>
    <w:lsdException w:qFormat="1" w:uiPriority="0" w:name="HTML Keyboard"/>
    <w:lsdException w:qFormat="1" w:unhideWhenUsed="0" w:uiPriority="99"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30"/>
    <w:autoRedefine/>
    <w:qFormat/>
    <w:uiPriority w:val="0"/>
    <w:pPr>
      <w:keepNext/>
      <w:keepLines/>
      <w:numPr>
        <w:ilvl w:val="0"/>
        <w:numId w:val="1"/>
      </w:numPr>
      <w:spacing w:before="340" w:after="330" w:line="576" w:lineRule="auto"/>
      <w:outlineLvl w:val="0"/>
    </w:pPr>
    <w:rPr>
      <w:b/>
      <w:bCs/>
      <w:kern w:val="44"/>
      <w:sz w:val="44"/>
      <w:szCs w:val="44"/>
    </w:rPr>
  </w:style>
  <w:style w:type="paragraph" w:styleId="4">
    <w:name w:val="heading 2"/>
    <w:basedOn w:val="1"/>
    <w:next w:val="1"/>
    <w:link w:val="131"/>
    <w:autoRedefine/>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5">
    <w:name w:val="heading 3"/>
    <w:basedOn w:val="1"/>
    <w:next w:val="6"/>
    <w:link w:val="132"/>
    <w:autoRedefine/>
    <w:qFormat/>
    <w:uiPriority w:val="0"/>
    <w:pPr>
      <w:keepNext/>
      <w:keepLines/>
      <w:numPr>
        <w:ilvl w:val="2"/>
        <w:numId w:val="1"/>
      </w:numPr>
      <w:spacing w:before="260" w:after="260" w:line="415" w:lineRule="auto"/>
      <w:outlineLvl w:val="2"/>
    </w:pPr>
    <w:rPr>
      <w:b/>
      <w:bCs/>
      <w:sz w:val="32"/>
      <w:szCs w:val="32"/>
    </w:rPr>
  </w:style>
  <w:style w:type="paragraph" w:styleId="7">
    <w:name w:val="heading 4"/>
    <w:basedOn w:val="1"/>
    <w:next w:val="6"/>
    <w:link w:val="133"/>
    <w:autoRedefine/>
    <w:qFormat/>
    <w:uiPriority w:val="0"/>
    <w:pPr>
      <w:keepNext/>
      <w:keepLines/>
      <w:numPr>
        <w:ilvl w:val="3"/>
        <w:numId w:val="1"/>
      </w:numPr>
      <w:spacing w:before="280" w:after="290" w:line="374" w:lineRule="auto"/>
      <w:outlineLvl w:val="3"/>
    </w:pPr>
    <w:rPr>
      <w:rFonts w:ascii="Arial" w:hAnsi="Arial" w:eastAsia="黑体"/>
      <w:b/>
      <w:bCs/>
      <w:sz w:val="28"/>
      <w:szCs w:val="28"/>
    </w:rPr>
  </w:style>
  <w:style w:type="paragraph" w:styleId="8">
    <w:name w:val="heading 5"/>
    <w:basedOn w:val="1"/>
    <w:next w:val="1"/>
    <w:link w:val="134"/>
    <w:autoRedefine/>
    <w:qFormat/>
    <w:uiPriority w:val="0"/>
    <w:pPr>
      <w:keepNext/>
      <w:keepLines/>
      <w:numPr>
        <w:ilvl w:val="4"/>
        <w:numId w:val="1"/>
      </w:numPr>
      <w:spacing w:before="280" w:after="290" w:line="374" w:lineRule="auto"/>
      <w:outlineLvl w:val="4"/>
    </w:pPr>
    <w:rPr>
      <w:b/>
      <w:bCs/>
      <w:sz w:val="28"/>
      <w:szCs w:val="28"/>
    </w:rPr>
  </w:style>
  <w:style w:type="paragraph" w:styleId="9">
    <w:name w:val="heading 6"/>
    <w:basedOn w:val="1"/>
    <w:next w:val="1"/>
    <w:link w:val="135"/>
    <w:autoRedefine/>
    <w:qFormat/>
    <w:uiPriority w:val="99"/>
    <w:pPr>
      <w:keepNext/>
      <w:keepLines/>
      <w:numPr>
        <w:ilvl w:val="5"/>
        <w:numId w:val="1"/>
      </w:numPr>
      <w:spacing w:before="240" w:after="64" w:line="319" w:lineRule="auto"/>
      <w:outlineLvl w:val="5"/>
    </w:pPr>
    <w:rPr>
      <w:rFonts w:ascii="Arial" w:hAnsi="Arial" w:eastAsia="黑体"/>
      <w:b/>
      <w:bCs/>
      <w:sz w:val="24"/>
      <w:szCs w:val="24"/>
    </w:rPr>
  </w:style>
  <w:style w:type="paragraph" w:styleId="10">
    <w:name w:val="heading 7"/>
    <w:basedOn w:val="1"/>
    <w:next w:val="1"/>
    <w:link w:val="136"/>
    <w:autoRedefine/>
    <w:qFormat/>
    <w:uiPriority w:val="99"/>
    <w:pPr>
      <w:keepNext/>
      <w:keepLines/>
      <w:numPr>
        <w:ilvl w:val="6"/>
        <w:numId w:val="1"/>
      </w:numPr>
      <w:spacing w:before="240" w:after="64" w:line="319" w:lineRule="auto"/>
      <w:outlineLvl w:val="6"/>
    </w:pPr>
    <w:rPr>
      <w:b/>
      <w:bCs/>
      <w:sz w:val="24"/>
      <w:szCs w:val="24"/>
    </w:rPr>
  </w:style>
  <w:style w:type="paragraph" w:styleId="11">
    <w:name w:val="heading 8"/>
    <w:basedOn w:val="1"/>
    <w:next w:val="1"/>
    <w:link w:val="137"/>
    <w:autoRedefine/>
    <w:qFormat/>
    <w:uiPriority w:val="99"/>
    <w:pPr>
      <w:keepNext/>
      <w:keepLines/>
      <w:numPr>
        <w:ilvl w:val="7"/>
        <w:numId w:val="1"/>
      </w:numPr>
      <w:spacing w:before="240" w:after="64" w:line="319" w:lineRule="auto"/>
      <w:outlineLvl w:val="7"/>
    </w:pPr>
    <w:rPr>
      <w:rFonts w:ascii="Arial" w:hAnsi="Arial" w:eastAsia="黑体"/>
      <w:sz w:val="24"/>
      <w:szCs w:val="24"/>
    </w:rPr>
  </w:style>
  <w:style w:type="paragraph" w:styleId="12">
    <w:name w:val="heading 9"/>
    <w:basedOn w:val="1"/>
    <w:next w:val="1"/>
    <w:link w:val="138"/>
    <w:autoRedefine/>
    <w:qFormat/>
    <w:uiPriority w:val="99"/>
    <w:pPr>
      <w:keepNext/>
      <w:keepLines/>
      <w:numPr>
        <w:ilvl w:val="8"/>
        <w:numId w:val="1"/>
      </w:numPr>
      <w:spacing w:before="240" w:after="64" w:line="319"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3"/>
    <w:next w:val="1"/>
    <w:autoRedefine/>
    <w:qFormat/>
    <w:uiPriority w:val="39"/>
    <w:pPr>
      <w:keepLines w:val="0"/>
      <w:numPr>
        <w:numId w:val="0"/>
      </w:numPr>
      <w:tabs>
        <w:tab w:val="clear" w:pos="0"/>
      </w:tabs>
      <w:autoSpaceDE w:val="0"/>
      <w:autoSpaceDN w:val="0"/>
      <w:adjustRightInd w:val="0"/>
      <w:spacing w:before="480" w:after="0" w:line="276" w:lineRule="auto"/>
      <w:jc w:val="left"/>
      <w:textAlignment w:val="baseline"/>
      <w:outlineLvl w:val="9"/>
    </w:pPr>
    <w:rPr>
      <w:rFonts w:ascii="仿宋" w:hAnsi="仿宋" w:eastAsia="仿宋"/>
      <w:bCs w:val="0"/>
      <w:color w:val="000000"/>
      <w:kern w:val="0"/>
      <w:sz w:val="32"/>
      <w:szCs w:val="32"/>
    </w:rPr>
  </w:style>
  <w:style w:type="paragraph" w:styleId="6">
    <w:name w:val="Normal Indent"/>
    <w:basedOn w:val="1"/>
    <w:link w:val="197"/>
    <w:autoRedefine/>
    <w:qFormat/>
    <w:uiPriority w:val="0"/>
    <w:pPr>
      <w:ind w:firstLine="420"/>
    </w:pPr>
    <w:rPr>
      <w:szCs w:val="20"/>
    </w:rPr>
  </w:style>
  <w:style w:type="paragraph" w:styleId="13">
    <w:name w:val="toc 7"/>
    <w:basedOn w:val="1"/>
    <w:next w:val="1"/>
    <w:autoRedefine/>
    <w:qFormat/>
    <w:locked/>
    <w:uiPriority w:val="0"/>
    <w:pPr>
      <w:autoSpaceDE w:val="0"/>
      <w:autoSpaceDN w:val="0"/>
      <w:adjustRightInd w:val="0"/>
      <w:ind w:left="1700"/>
      <w:jc w:val="left"/>
      <w:textAlignment w:val="baseline"/>
    </w:pPr>
    <w:rPr>
      <w:rFonts w:hAnsi="Calibri"/>
      <w:kern w:val="0"/>
      <w:sz w:val="20"/>
      <w:szCs w:val="20"/>
    </w:rPr>
  </w:style>
  <w:style w:type="paragraph" w:styleId="14">
    <w:name w:val="table of authorities"/>
    <w:basedOn w:val="1"/>
    <w:next w:val="1"/>
    <w:autoRedefine/>
    <w:unhideWhenUsed/>
    <w:qFormat/>
    <w:uiPriority w:val="99"/>
    <w:pPr>
      <w:ind w:left="420" w:leftChars="200"/>
    </w:pPr>
    <w:rPr>
      <w:rFonts w:eastAsiaTheme="minorEastAsia"/>
      <w:sz w:val="28"/>
      <w:szCs w:val="28"/>
    </w:rPr>
  </w:style>
  <w:style w:type="paragraph" w:styleId="15">
    <w:name w:val="Document Map"/>
    <w:basedOn w:val="1"/>
    <w:link w:val="198"/>
    <w:autoRedefine/>
    <w:qFormat/>
    <w:uiPriority w:val="0"/>
    <w:pPr>
      <w:shd w:val="clear" w:color="auto" w:fill="000080"/>
    </w:pPr>
    <w:rPr>
      <w:rFonts w:ascii="Calibri" w:hAnsi="Calibri" w:cstheme="minorBidi"/>
      <w:szCs w:val="20"/>
    </w:rPr>
  </w:style>
  <w:style w:type="paragraph" w:styleId="16">
    <w:name w:val="annotation text"/>
    <w:basedOn w:val="1"/>
    <w:link w:val="163"/>
    <w:autoRedefine/>
    <w:qFormat/>
    <w:uiPriority w:val="0"/>
    <w:pPr>
      <w:jc w:val="left"/>
    </w:pPr>
  </w:style>
  <w:style w:type="paragraph" w:styleId="17">
    <w:name w:val="Body Text 3"/>
    <w:basedOn w:val="1"/>
    <w:link w:val="188"/>
    <w:autoRedefine/>
    <w:qFormat/>
    <w:uiPriority w:val="0"/>
    <w:pPr>
      <w:spacing w:after="120"/>
    </w:pPr>
    <w:rPr>
      <w:sz w:val="16"/>
      <w:szCs w:val="16"/>
    </w:rPr>
  </w:style>
  <w:style w:type="paragraph" w:styleId="18">
    <w:name w:val="Body Text"/>
    <w:basedOn w:val="1"/>
    <w:link w:val="166"/>
    <w:autoRedefine/>
    <w:qFormat/>
    <w:uiPriority w:val="0"/>
    <w:pPr>
      <w:spacing w:after="120"/>
    </w:pPr>
  </w:style>
  <w:style w:type="paragraph" w:styleId="19">
    <w:name w:val="Body Text Indent"/>
    <w:basedOn w:val="1"/>
    <w:link w:val="172"/>
    <w:autoRedefine/>
    <w:qFormat/>
    <w:uiPriority w:val="0"/>
    <w:pPr>
      <w:ind w:left="840"/>
    </w:pPr>
    <w:rPr>
      <w:kern w:val="0"/>
      <w:sz w:val="24"/>
      <w:szCs w:val="24"/>
    </w:rPr>
  </w:style>
  <w:style w:type="paragraph" w:styleId="20">
    <w:name w:val="List 2"/>
    <w:basedOn w:val="1"/>
    <w:autoRedefine/>
    <w:qFormat/>
    <w:uiPriority w:val="99"/>
    <w:pPr>
      <w:ind w:left="400" w:leftChars="200" w:hanging="200" w:hangingChars="200"/>
    </w:pPr>
  </w:style>
  <w:style w:type="paragraph" w:styleId="21">
    <w:name w:val="Block Text"/>
    <w:basedOn w:val="1"/>
    <w:autoRedefine/>
    <w:qFormat/>
    <w:uiPriority w:val="0"/>
    <w:pPr>
      <w:spacing w:line="312" w:lineRule="auto"/>
      <w:ind w:left="481" w:leftChars="229" w:right="-159" w:rightChars="-159" w:firstLine="320" w:firstLineChars="100"/>
    </w:pPr>
    <w:rPr>
      <w:spacing w:val="20"/>
      <w:sz w:val="28"/>
      <w:szCs w:val="20"/>
    </w:rPr>
  </w:style>
  <w:style w:type="paragraph" w:styleId="22">
    <w:name w:val="toc 3"/>
    <w:basedOn w:val="1"/>
    <w:next w:val="1"/>
    <w:autoRedefine/>
    <w:qFormat/>
    <w:uiPriority w:val="0"/>
    <w:pPr>
      <w:widowControl/>
      <w:spacing w:after="100" w:line="276" w:lineRule="auto"/>
      <w:ind w:left="440"/>
      <w:jc w:val="left"/>
    </w:pPr>
    <w:rPr>
      <w:rFonts w:ascii="Calibri" w:hAnsi="Calibri" w:eastAsia="仿宋_GB2312" w:cs="Calibri"/>
      <w:kern w:val="0"/>
      <w:sz w:val="22"/>
      <w:szCs w:val="22"/>
    </w:rPr>
  </w:style>
  <w:style w:type="paragraph" w:styleId="23">
    <w:name w:val="Plain Text"/>
    <w:basedOn w:val="1"/>
    <w:link w:val="174"/>
    <w:autoRedefine/>
    <w:qFormat/>
    <w:uiPriority w:val="0"/>
    <w:rPr>
      <w:rFonts w:ascii="宋体" w:hAnsi="Courier New"/>
      <w:kern w:val="0"/>
      <w:sz w:val="20"/>
      <w:szCs w:val="20"/>
    </w:rPr>
  </w:style>
  <w:style w:type="paragraph" w:styleId="24">
    <w:name w:val="Date"/>
    <w:basedOn w:val="1"/>
    <w:next w:val="1"/>
    <w:link w:val="176"/>
    <w:autoRedefine/>
    <w:qFormat/>
    <w:uiPriority w:val="0"/>
    <w:pPr>
      <w:ind w:left="100" w:leftChars="2500"/>
    </w:pPr>
    <w:rPr>
      <w:kern w:val="0"/>
      <w:sz w:val="24"/>
      <w:szCs w:val="24"/>
    </w:rPr>
  </w:style>
  <w:style w:type="paragraph" w:styleId="25">
    <w:name w:val="Body Text Indent 2"/>
    <w:basedOn w:val="1"/>
    <w:link w:val="178"/>
    <w:autoRedefine/>
    <w:qFormat/>
    <w:uiPriority w:val="0"/>
    <w:pPr>
      <w:spacing w:line="900" w:lineRule="exact"/>
      <w:ind w:firstLine="1940" w:firstLineChars="168"/>
    </w:pPr>
    <w:rPr>
      <w:rFonts w:ascii="文鼎CS魏碑" w:eastAsia="文鼎CS魏碑"/>
      <w:b/>
      <w:bCs/>
      <w:w w:val="80"/>
      <w:kern w:val="0"/>
      <w:sz w:val="96"/>
      <w:szCs w:val="96"/>
    </w:rPr>
  </w:style>
  <w:style w:type="paragraph" w:styleId="26">
    <w:name w:val="Balloon Text"/>
    <w:basedOn w:val="1"/>
    <w:link w:val="180"/>
    <w:autoRedefine/>
    <w:qFormat/>
    <w:uiPriority w:val="0"/>
    <w:rPr>
      <w:kern w:val="0"/>
      <w:sz w:val="18"/>
      <w:szCs w:val="18"/>
    </w:rPr>
  </w:style>
  <w:style w:type="paragraph" w:styleId="27">
    <w:name w:val="footer"/>
    <w:basedOn w:val="1"/>
    <w:link w:val="140"/>
    <w:autoRedefine/>
    <w:qFormat/>
    <w:uiPriority w:val="0"/>
    <w:pPr>
      <w:tabs>
        <w:tab w:val="center" w:pos="4153"/>
        <w:tab w:val="right" w:pos="8306"/>
      </w:tabs>
      <w:snapToGrid w:val="0"/>
      <w:jc w:val="left"/>
    </w:pPr>
    <w:rPr>
      <w:sz w:val="18"/>
      <w:szCs w:val="18"/>
    </w:rPr>
  </w:style>
  <w:style w:type="paragraph" w:styleId="28">
    <w:name w:val="header"/>
    <w:basedOn w:val="1"/>
    <w:link w:val="139"/>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qFormat/>
    <w:uiPriority w:val="0"/>
    <w:pPr>
      <w:spacing w:line="360" w:lineRule="auto"/>
    </w:pPr>
    <w:rPr>
      <w:sz w:val="30"/>
    </w:rPr>
  </w:style>
  <w:style w:type="paragraph" w:styleId="30">
    <w:name w:val="List"/>
    <w:basedOn w:val="1"/>
    <w:autoRedefine/>
    <w:qFormat/>
    <w:uiPriority w:val="99"/>
    <w:pPr>
      <w:ind w:left="200" w:hanging="200" w:hangingChars="200"/>
    </w:pPr>
  </w:style>
  <w:style w:type="paragraph" w:styleId="31">
    <w:name w:val="footnote text"/>
    <w:basedOn w:val="1"/>
    <w:link w:val="199"/>
    <w:autoRedefine/>
    <w:qFormat/>
    <w:uiPriority w:val="0"/>
    <w:pPr>
      <w:snapToGrid w:val="0"/>
      <w:jc w:val="left"/>
    </w:pPr>
    <w:rPr>
      <w:rFonts w:ascii="Calibri" w:hAnsi="Calibri" w:cstheme="minorBidi"/>
      <w:sz w:val="18"/>
      <w:szCs w:val="18"/>
    </w:rPr>
  </w:style>
  <w:style w:type="paragraph" w:styleId="32">
    <w:name w:val="Body Text Indent 3"/>
    <w:basedOn w:val="1"/>
    <w:link w:val="170"/>
    <w:autoRedefine/>
    <w:qFormat/>
    <w:uiPriority w:val="0"/>
    <w:pPr>
      <w:widowControl/>
      <w:adjustRightInd w:val="0"/>
      <w:spacing w:line="560" w:lineRule="exact"/>
      <w:ind w:firstLine="198" w:firstLineChars="198"/>
      <w:jc w:val="left"/>
    </w:pPr>
    <w:rPr>
      <w:rFonts w:ascii="宋体"/>
      <w:spacing w:val="16"/>
      <w:kern w:val="0"/>
      <w:sz w:val="20"/>
      <w:szCs w:val="20"/>
    </w:rPr>
  </w:style>
  <w:style w:type="paragraph" w:styleId="33">
    <w:name w:val="toc 2"/>
    <w:basedOn w:val="1"/>
    <w:next w:val="1"/>
    <w:autoRedefine/>
    <w:qFormat/>
    <w:uiPriority w:val="0"/>
    <w:pPr>
      <w:spacing w:line="360" w:lineRule="auto"/>
      <w:ind w:left="200" w:leftChars="200"/>
    </w:pPr>
    <w:rPr>
      <w:rFonts w:eastAsia="仿宋_GB2312"/>
      <w:sz w:val="28"/>
    </w:rPr>
  </w:style>
  <w:style w:type="paragraph" w:styleId="34">
    <w:name w:val="Body Text 2"/>
    <w:basedOn w:val="1"/>
    <w:link w:val="182"/>
    <w:autoRedefine/>
    <w:qFormat/>
    <w:uiPriority w:val="0"/>
    <w:pPr>
      <w:spacing w:line="500" w:lineRule="exact"/>
    </w:pPr>
    <w:rPr>
      <w:rFonts w:ascii="宋体"/>
      <w:spacing w:val="16"/>
      <w:kern w:val="0"/>
      <w:sz w:val="20"/>
      <w:szCs w:val="20"/>
    </w:rPr>
  </w:style>
  <w:style w:type="paragraph" w:styleId="35">
    <w:name w:val="HTML Preformatted"/>
    <w:basedOn w:val="1"/>
    <w:link w:val="18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6">
    <w:name w:val="Normal (Web)"/>
    <w:basedOn w:val="1"/>
    <w:autoRedefine/>
    <w:qFormat/>
    <w:uiPriority w:val="0"/>
    <w:rPr>
      <w:sz w:val="24"/>
      <w:szCs w:val="24"/>
    </w:rPr>
  </w:style>
  <w:style w:type="paragraph" w:styleId="37">
    <w:name w:val="Title"/>
    <w:basedOn w:val="1"/>
    <w:next w:val="1"/>
    <w:link w:val="186"/>
    <w:autoRedefine/>
    <w:qFormat/>
    <w:uiPriority w:val="0"/>
    <w:pPr>
      <w:spacing w:before="240" w:after="60"/>
      <w:jc w:val="center"/>
      <w:outlineLvl w:val="0"/>
    </w:pPr>
    <w:rPr>
      <w:rFonts w:ascii="Cambria" w:hAnsi="Cambria"/>
      <w:b/>
      <w:bCs/>
      <w:kern w:val="0"/>
      <w:sz w:val="32"/>
      <w:szCs w:val="32"/>
    </w:rPr>
  </w:style>
  <w:style w:type="paragraph" w:styleId="38">
    <w:name w:val="annotation subject"/>
    <w:basedOn w:val="16"/>
    <w:next w:val="16"/>
    <w:link w:val="165"/>
    <w:autoRedefine/>
    <w:qFormat/>
    <w:uiPriority w:val="0"/>
    <w:rPr>
      <w:b/>
      <w:bCs/>
      <w:kern w:val="0"/>
      <w:sz w:val="24"/>
      <w:szCs w:val="24"/>
    </w:rPr>
  </w:style>
  <w:style w:type="paragraph" w:styleId="39">
    <w:name w:val="Body Text First Indent"/>
    <w:basedOn w:val="18"/>
    <w:link w:val="168"/>
    <w:autoRedefine/>
    <w:qFormat/>
    <w:uiPriority w:val="0"/>
    <w:pPr>
      <w:ind w:firstLine="420" w:firstLineChars="100"/>
    </w:pPr>
    <w:rPr>
      <w:kern w:val="0"/>
      <w:sz w:val="24"/>
      <w:szCs w:val="24"/>
    </w:rPr>
  </w:style>
  <w:style w:type="table" w:styleId="41">
    <w:name w:val="Table Grid"/>
    <w:basedOn w:val="4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3">
    <w:name w:val="Strong"/>
    <w:basedOn w:val="42"/>
    <w:autoRedefine/>
    <w:qFormat/>
    <w:uiPriority w:val="0"/>
    <w:rPr>
      <w:rFonts w:cs="Times New Roman"/>
      <w:b/>
    </w:rPr>
  </w:style>
  <w:style w:type="character" w:styleId="44">
    <w:name w:val="page number"/>
    <w:basedOn w:val="42"/>
    <w:autoRedefine/>
    <w:qFormat/>
    <w:uiPriority w:val="0"/>
    <w:rPr>
      <w:rFonts w:cs="Times New Roman"/>
    </w:rPr>
  </w:style>
  <w:style w:type="character" w:styleId="45">
    <w:name w:val="FollowedHyperlink"/>
    <w:basedOn w:val="42"/>
    <w:autoRedefine/>
    <w:qFormat/>
    <w:uiPriority w:val="99"/>
    <w:rPr>
      <w:rFonts w:cs="Times New Roman"/>
      <w:color w:val="800080"/>
      <w:u w:val="single"/>
    </w:rPr>
  </w:style>
  <w:style w:type="character" w:styleId="46">
    <w:name w:val="Emphasis"/>
    <w:basedOn w:val="42"/>
    <w:autoRedefine/>
    <w:qFormat/>
    <w:locked/>
    <w:uiPriority w:val="0"/>
  </w:style>
  <w:style w:type="character" w:styleId="47">
    <w:name w:val="HTML Definition"/>
    <w:basedOn w:val="42"/>
    <w:autoRedefine/>
    <w:semiHidden/>
    <w:unhideWhenUsed/>
    <w:qFormat/>
    <w:uiPriority w:val="0"/>
    <w:rPr>
      <w:i/>
      <w:iCs/>
    </w:rPr>
  </w:style>
  <w:style w:type="character" w:styleId="48">
    <w:name w:val="Hyperlink"/>
    <w:basedOn w:val="42"/>
    <w:autoRedefine/>
    <w:qFormat/>
    <w:uiPriority w:val="99"/>
    <w:rPr>
      <w:rFonts w:cs="Times New Roman"/>
      <w:color w:val="0000FF"/>
      <w:u w:val="single"/>
    </w:rPr>
  </w:style>
  <w:style w:type="character" w:styleId="49">
    <w:name w:val="HTML Code"/>
    <w:basedOn w:val="42"/>
    <w:autoRedefine/>
    <w:semiHidden/>
    <w:unhideWhenUsed/>
    <w:qFormat/>
    <w:uiPriority w:val="0"/>
    <w:rPr>
      <w:rFonts w:hint="default" w:ascii="Consolas" w:hAnsi="Consolas" w:eastAsia="Consolas" w:cs="Consolas"/>
      <w:color w:val="C7254E"/>
      <w:sz w:val="21"/>
      <w:szCs w:val="21"/>
      <w:shd w:val="clear" w:color="auto" w:fill="F9F2F4"/>
    </w:rPr>
  </w:style>
  <w:style w:type="character" w:styleId="50">
    <w:name w:val="annotation reference"/>
    <w:basedOn w:val="42"/>
    <w:autoRedefine/>
    <w:qFormat/>
    <w:uiPriority w:val="0"/>
    <w:rPr>
      <w:rFonts w:cs="Times New Roman"/>
      <w:sz w:val="21"/>
    </w:rPr>
  </w:style>
  <w:style w:type="character" w:styleId="51">
    <w:name w:val="footnote reference"/>
    <w:autoRedefine/>
    <w:qFormat/>
    <w:uiPriority w:val="0"/>
    <w:rPr>
      <w:rFonts w:ascii="Times New Roman" w:hAnsi="Times New Roman" w:eastAsia="宋体"/>
      <w:vertAlign w:val="superscript"/>
    </w:rPr>
  </w:style>
  <w:style w:type="character" w:styleId="52">
    <w:name w:val="HTML Keyboard"/>
    <w:basedOn w:val="42"/>
    <w:autoRedefine/>
    <w:semiHidden/>
    <w:unhideWhenUsed/>
    <w:qFormat/>
    <w:uiPriority w:val="0"/>
    <w:rPr>
      <w:rFonts w:ascii="Consolas" w:hAnsi="Consolas" w:eastAsia="Consolas" w:cs="Consolas"/>
      <w:color w:val="FFFFFF"/>
      <w:sz w:val="21"/>
      <w:szCs w:val="21"/>
      <w:shd w:val="clear" w:color="auto" w:fill="333333"/>
    </w:rPr>
  </w:style>
  <w:style w:type="character" w:styleId="53">
    <w:name w:val="HTML Sample"/>
    <w:basedOn w:val="42"/>
    <w:autoRedefine/>
    <w:semiHidden/>
    <w:unhideWhenUsed/>
    <w:qFormat/>
    <w:uiPriority w:val="0"/>
    <w:rPr>
      <w:rFonts w:hint="default" w:ascii="Consolas" w:hAnsi="Consolas" w:eastAsia="Consolas" w:cs="Consolas"/>
      <w:sz w:val="21"/>
      <w:szCs w:val="21"/>
    </w:rPr>
  </w:style>
  <w:style w:type="paragraph" w:customStyle="1" w:styleId="54">
    <w:name w:val="(符号)标书正文"/>
    <w:basedOn w:val="1"/>
    <w:link w:val="156"/>
    <w:autoRedefine/>
    <w:qFormat/>
    <w:uiPriority w:val="99"/>
    <w:pPr>
      <w:spacing w:line="440" w:lineRule="exact"/>
      <w:ind w:left="709"/>
    </w:pPr>
    <w:rPr>
      <w:rFonts w:ascii="宋体" w:hAnsi="Calibri"/>
      <w:kern w:val="0"/>
      <w:sz w:val="24"/>
      <w:szCs w:val="20"/>
    </w:rPr>
  </w:style>
  <w:style w:type="paragraph" w:customStyle="1" w:styleId="55">
    <w:name w:val="列出段落1"/>
    <w:basedOn w:val="1"/>
    <w:link w:val="160"/>
    <w:autoRedefine/>
    <w:qFormat/>
    <w:uiPriority w:val="99"/>
    <w:pPr>
      <w:ind w:firstLine="420" w:firstLineChars="200"/>
    </w:pPr>
    <w:rPr>
      <w:rFonts w:ascii="Calibri" w:hAnsi="Calibri"/>
      <w:kern w:val="0"/>
      <w:szCs w:val="20"/>
    </w:rPr>
  </w:style>
  <w:style w:type="paragraph" w:customStyle="1" w:styleId="56">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7">
    <w:name w:val="xl35"/>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rPr>
  </w:style>
  <w:style w:type="paragraph" w:customStyle="1" w:styleId="58">
    <w:name w:val="style0"/>
    <w:basedOn w:val="1"/>
    <w:autoRedefine/>
    <w:qFormat/>
    <w:uiPriority w:val="99"/>
    <w:pPr>
      <w:widowControl/>
      <w:spacing w:before="100" w:beforeAutospacing="1" w:after="100" w:afterAutospacing="1"/>
      <w:jc w:val="left"/>
    </w:pPr>
    <w:rPr>
      <w:rFonts w:ascii="Arial Unicode MS" w:hAnsi="Arial Unicode MS" w:cs="Arial Unicode MS"/>
      <w:kern w:val="0"/>
      <w:sz w:val="24"/>
      <w:szCs w:val="24"/>
    </w:rPr>
  </w:style>
  <w:style w:type="paragraph" w:customStyle="1" w:styleId="59">
    <w:name w:val="Char"/>
    <w:basedOn w:val="1"/>
    <w:autoRedefine/>
    <w:qFormat/>
    <w:uiPriority w:val="99"/>
    <w:pPr>
      <w:tabs>
        <w:tab w:val="left" w:pos="360"/>
      </w:tabs>
      <w:ind w:firstLine="420"/>
    </w:pPr>
    <w:rPr>
      <w:rFonts w:ascii="Arial" w:hAnsi="Arial" w:cs="Arial"/>
      <w:sz w:val="20"/>
      <w:szCs w:val="20"/>
    </w:rPr>
  </w:style>
  <w:style w:type="paragraph" w:customStyle="1" w:styleId="60">
    <w:name w:val="无间隔1"/>
    <w:autoRedefine/>
    <w:qFormat/>
    <w:uiPriority w:val="99"/>
    <w:pPr>
      <w:adjustRightInd w:val="0"/>
      <w:snapToGrid w:val="0"/>
    </w:pPr>
    <w:rPr>
      <w:rFonts w:ascii="Tahoma" w:hAnsi="Tahoma" w:eastAsia="微软雅黑" w:cs="黑体"/>
      <w:sz w:val="22"/>
      <w:szCs w:val="22"/>
      <w:lang w:val="en-US" w:eastAsia="zh-CN" w:bidi="ar-SA"/>
    </w:rPr>
  </w:style>
  <w:style w:type="paragraph" w:customStyle="1" w:styleId="61">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62">
    <w:name w:val="xl26"/>
    <w:basedOn w:val="58"/>
    <w:autoRedefine/>
    <w:qFormat/>
    <w:uiPriority w:val="0"/>
    <w:pPr>
      <w:pBdr>
        <w:bottom w:val="single" w:color="auto" w:sz="4" w:space="0"/>
      </w:pBdr>
      <w:jc w:val="center"/>
      <w:textAlignment w:val="center"/>
    </w:pPr>
    <w:rPr>
      <w:rFonts w:ascii="仿宋_GB2312" w:eastAsia="仿宋_GB2312" w:cs="仿宋_GB2312"/>
      <w:b/>
      <w:bCs/>
      <w:sz w:val="36"/>
      <w:szCs w:val="36"/>
    </w:rPr>
  </w:style>
  <w:style w:type="paragraph" w:customStyle="1" w:styleId="63">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64">
    <w:name w:val="xl9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65">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6">
    <w:name w:val="xl36"/>
    <w:basedOn w:val="58"/>
    <w:autoRedefine/>
    <w:qFormat/>
    <w:uiPriority w:val="0"/>
    <w:pPr>
      <w:pBdr>
        <w:left w:val="single" w:color="auto" w:sz="4" w:space="0"/>
        <w:bottom w:val="single" w:color="auto" w:sz="4" w:space="0"/>
        <w:right w:val="single" w:color="auto" w:sz="4" w:space="0"/>
      </w:pBdr>
      <w:jc w:val="center"/>
    </w:pPr>
    <w:rPr>
      <w:rFonts w:ascii="仿宋_GB2312" w:eastAsia="仿宋_GB2312"/>
    </w:rPr>
  </w:style>
  <w:style w:type="paragraph" w:customStyle="1" w:styleId="6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68">
    <w:name w:val="xl32"/>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69">
    <w:name w:val="xl9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7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71">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2">
    <w:name w:val="xl41"/>
    <w:basedOn w:val="58"/>
    <w:autoRedefine/>
    <w:qFormat/>
    <w:uiPriority w:val="0"/>
    <w:pPr>
      <w:pBdr>
        <w:left w:val="single" w:color="auto" w:sz="4" w:space="0"/>
        <w:bottom w:val="single" w:color="auto" w:sz="4" w:space="0"/>
        <w:right w:val="single" w:color="auto" w:sz="4" w:space="0"/>
      </w:pBdr>
      <w:jc w:val="center"/>
      <w:textAlignment w:val="center"/>
    </w:pPr>
    <w:rPr>
      <w:rFonts w:ascii="仿宋_GB2312" w:eastAsia="仿宋_GB2312" w:cs="仿宋_GB2312"/>
    </w:rPr>
  </w:style>
  <w:style w:type="paragraph" w:customStyle="1" w:styleId="73">
    <w:name w:val="tabletex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74">
    <w:name w:val="xl31"/>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75">
    <w:name w:val="xl38"/>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sz w:val="22"/>
      <w:szCs w:val="22"/>
    </w:rPr>
  </w:style>
  <w:style w:type="paragraph" w:customStyle="1" w:styleId="76">
    <w:name w:val="xl94"/>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7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78">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9">
    <w:name w:val="xl25"/>
    <w:basedOn w:val="58"/>
    <w:autoRedefine/>
    <w:qFormat/>
    <w:uiPriority w:val="0"/>
    <w:pPr>
      <w:jc w:val="center"/>
    </w:pPr>
    <w:rPr>
      <w:rFonts w:ascii="仿宋_GB2312" w:eastAsia="仿宋_GB2312"/>
      <w:sz w:val="22"/>
      <w:szCs w:val="22"/>
    </w:rPr>
  </w:style>
  <w:style w:type="paragraph" w:customStyle="1" w:styleId="80">
    <w:name w:val="xl30"/>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81">
    <w:name w:val="常规"/>
    <w:basedOn w:val="1"/>
    <w:autoRedefine/>
    <w:qFormat/>
    <w:uiPriority w:val="99"/>
    <w:pPr>
      <w:widowControl/>
      <w:spacing w:before="100" w:beforeAutospacing="1" w:after="100" w:afterAutospacing="1"/>
      <w:jc w:val="left"/>
    </w:pPr>
    <w:rPr>
      <w:rFonts w:ascii="宋体" w:hAnsi="宋体" w:cs="Arial Unicode MS"/>
      <w:kern w:val="0"/>
      <w:sz w:val="24"/>
      <w:szCs w:val="24"/>
    </w:rPr>
  </w:style>
  <w:style w:type="paragraph" w:customStyle="1" w:styleId="82">
    <w:name w:val="图内文字"/>
    <w:basedOn w:val="83"/>
    <w:autoRedefine/>
    <w:qFormat/>
    <w:uiPriority w:val="99"/>
  </w:style>
  <w:style w:type="paragraph" w:customStyle="1" w:styleId="83">
    <w:name w:val="正文居中"/>
    <w:basedOn w:val="1"/>
    <w:autoRedefine/>
    <w:qFormat/>
    <w:uiPriority w:val="99"/>
    <w:pPr>
      <w:jc w:val="center"/>
    </w:pPr>
    <w:rPr>
      <w:szCs w:val="20"/>
    </w:rPr>
  </w:style>
  <w:style w:type="paragraph" w:customStyle="1" w:styleId="84">
    <w:name w:val="Char Char Char Char Char Char Char Char Char1"/>
    <w:basedOn w:val="1"/>
    <w:autoRedefine/>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85">
    <w:name w:val="Char Char Char Char Char 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86">
    <w:name w:val="font1"/>
    <w:basedOn w:val="1"/>
    <w:autoRedefine/>
    <w:qFormat/>
    <w:uiPriority w:val="99"/>
    <w:pPr>
      <w:widowControl/>
      <w:spacing w:before="100" w:beforeAutospacing="1" w:after="100" w:afterAutospacing="1"/>
      <w:jc w:val="left"/>
    </w:pPr>
    <w:rPr>
      <w:rFonts w:ascii="宋体" w:hAnsi="宋体" w:cs="Arial Unicode MS"/>
      <w:kern w:val="0"/>
      <w:sz w:val="24"/>
      <w:szCs w:val="24"/>
    </w:rPr>
  </w:style>
  <w:style w:type="paragraph" w:customStyle="1" w:styleId="8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88">
    <w:name w:val="xl37"/>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sz w:val="22"/>
      <w:szCs w:val="22"/>
    </w:rPr>
  </w:style>
  <w:style w:type="paragraph" w:customStyle="1" w:styleId="89">
    <w:name w:val="（符号）三标题1.1"/>
    <w:basedOn w:val="1"/>
    <w:autoRedefine/>
    <w:qFormat/>
    <w:uiPriority w:val="99"/>
    <w:pPr>
      <w:tabs>
        <w:tab w:val="left" w:pos="1140"/>
      </w:tabs>
      <w:spacing w:line="500" w:lineRule="exact"/>
      <w:ind w:left="1140" w:hanging="720"/>
    </w:pPr>
    <w:rPr>
      <w:rFonts w:ascii="宋体" w:hAnsi="宋体" w:cs="宋体"/>
      <w:sz w:val="24"/>
      <w:szCs w:val="24"/>
    </w:rPr>
  </w:style>
  <w:style w:type="paragraph" w:customStyle="1" w:styleId="90">
    <w:name w:val="font10"/>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4"/>
      <w:szCs w:val="24"/>
    </w:rPr>
  </w:style>
  <w:style w:type="paragraph" w:customStyle="1" w:styleId="91">
    <w:name w:val="font9"/>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92">
    <w:name w:val="font8"/>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4"/>
      <w:szCs w:val="24"/>
    </w:rPr>
  </w:style>
  <w:style w:type="paragraph" w:customStyle="1" w:styleId="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94">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5">
    <w:name w:val="xl9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9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97">
    <w:name w:val="(符号)三标题1.1"/>
    <w:basedOn w:val="1"/>
    <w:autoRedefine/>
    <w:qFormat/>
    <w:uiPriority w:val="99"/>
    <w:pPr>
      <w:numPr>
        <w:ilvl w:val="0"/>
        <w:numId w:val="2"/>
      </w:numPr>
      <w:spacing w:before="140" w:after="140" w:line="500" w:lineRule="exact"/>
      <w:outlineLvl w:val="2"/>
    </w:pPr>
    <w:rPr>
      <w:rFonts w:ascii="楷体_GB2312" w:hAnsi="宋体" w:eastAsia="楷体_GB2312" w:cs="宋体"/>
      <w:b/>
      <w:bCs/>
      <w:sz w:val="28"/>
      <w:szCs w:val="20"/>
    </w:rPr>
  </w:style>
  <w:style w:type="paragraph" w:customStyle="1" w:styleId="98">
    <w:name w:val="xl40"/>
    <w:basedOn w:val="58"/>
    <w:autoRedefine/>
    <w:qFormat/>
    <w:uiPriority w:val="0"/>
    <w:pPr>
      <w:pBdr>
        <w:top w:val="single" w:color="auto" w:sz="4" w:space="0"/>
        <w:left w:val="single" w:color="auto" w:sz="4" w:space="0"/>
        <w:right w:val="single" w:color="auto" w:sz="4" w:space="0"/>
      </w:pBdr>
      <w:jc w:val="center"/>
    </w:pPr>
    <w:rPr>
      <w:rFonts w:ascii="仿宋_GB2312" w:eastAsia="仿宋_GB2312"/>
    </w:rPr>
  </w:style>
  <w:style w:type="paragraph" w:customStyle="1" w:styleId="99">
    <w:name w:val="xl34"/>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100">
    <w:name w:val="xl84"/>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40"/>
      <w:szCs w:val="40"/>
    </w:rPr>
  </w:style>
  <w:style w:type="paragraph" w:customStyle="1" w:styleId="101">
    <w:name w:val="xl88"/>
    <w:basedOn w:val="1"/>
    <w:autoRedefine/>
    <w:qFormat/>
    <w:uiPriority w:val="0"/>
    <w:pPr>
      <w:widowControl/>
      <w:spacing w:before="100" w:beforeAutospacing="1" w:after="100" w:afterAutospacing="1"/>
      <w:jc w:val="center"/>
      <w:textAlignment w:val="center"/>
    </w:pPr>
    <w:rPr>
      <w:rFonts w:ascii="宋体" w:hAnsi="宋体" w:cs="宋体"/>
      <w:kern w:val="0"/>
      <w:sz w:val="18"/>
      <w:szCs w:val="18"/>
    </w:rPr>
  </w:style>
  <w:style w:type="paragraph" w:customStyle="1" w:styleId="102">
    <w:name w:val="table_1stline"/>
    <w:basedOn w:val="1"/>
    <w:autoRedefine/>
    <w:qFormat/>
    <w:uiPriority w:val="99"/>
    <w:pPr>
      <w:widowControl/>
      <w:spacing w:before="120"/>
      <w:jc w:val="left"/>
    </w:pPr>
    <w:rPr>
      <w:bCs/>
      <w:kern w:val="0"/>
      <w:sz w:val="20"/>
      <w:szCs w:val="20"/>
    </w:rPr>
  </w:style>
  <w:style w:type="paragraph" w:customStyle="1" w:styleId="103">
    <w:name w:val="xl83"/>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04">
    <w:name w:val="xl90"/>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05">
    <w:name w:val="xl77"/>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06">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07">
    <w:name w:val="p0"/>
    <w:basedOn w:val="1"/>
    <w:autoRedefine/>
    <w:qFormat/>
    <w:uiPriority w:val="99"/>
    <w:pPr>
      <w:widowControl/>
    </w:pPr>
    <w:rPr>
      <w:rFonts w:ascii="Calibri" w:hAnsi="Calibri" w:cs="宋体"/>
      <w:kern w:val="0"/>
    </w:rPr>
  </w:style>
  <w:style w:type="paragraph" w:customStyle="1" w:styleId="108">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09">
    <w:name w:val="Char Char Char Char Char Char Char Char Char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10">
    <w:name w:val="xl33"/>
    <w:basedOn w:val="58"/>
    <w:autoRedefine/>
    <w:qFormat/>
    <w:uiPriority w:val="0"/>
    <w:pPr>
      <w:jc w:val="center"/>
    </w:pPr>
    <w:rPr>
      <w:rFonts w:ascii="仿宋_GB2312" w:eastAsia="仿宋_GB2312"/>
    </w:rPr>
  </w:style>
  <w:style w:type="paragraph" w:customStyle="1" w:styleId="111">
    <w:name w:val="xl24"/>
    <w:basedOn w:val="58"/>
    <w:autoRedefine/>
    <w:qFormat/>
    <w:uiPriority w:val="99"/>
    <w:pPr>
      <w:jc w:val="center"/>
    </w:pPr>
    <w:rPr>
      <w:rFonts w:ascii="仿宋_GB2312" w:eastAsia="仿宋_GB2312"/>
      <w:b/>
      <w:bCs/>
      <w:sz w:val="36"/>
      <w:szCs w:val="36"/>
    </w:rPr>
  </w:style>
  <w:style w:type="paragraph" w:customStyle="1" w:styleId="11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14">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xl9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6">
    <w:name w:val="xl86"/>
    <w:basedOn w:val="1"/>
    <w:autoRedefine/>
    <w:qFormat/>
    <w:uiPriority w:val="0"/>
    <w:pPr>
      <w:widowControl/>
      <w:spacing w:before="100" w:beforeAutospacing="1" w:after="100" w:afterAutospacing="1"/>
      <w:jc w:val="left"/>
    </w:pPr>
    <w:rPr>
      <w:rFonts w:ascii="宋体" w:hAnsi="宋体" w:cs="宋体"/>
      <w:kern w:val="0"/>
      <w:sz w:val="40"/>
      <w:szCs w:val="40"/>
    </w:rPr>
  </w:style>
  <w:style w:type="paragraph" w:customStyle="1" w:styleId="117">
    <w:name w:val="xl29"/>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Courier New" w:hAnsi="Courier New" w:cs="Courier New"/>
    </w:rPr>
  </w:style>
  <w:style w:type="paragraph" w:customStyle="1" w:styleId="118">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20">
    <w:name w:val="xl39"/>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sz w:val="18"/>
      <w:szCs w:val="18"/>
    </w:rPr>
  </w:style>
  <w:style w:type="paragraph" w:customStyle="1" w:styleId="121">
    <w:name w:val="xl27"/>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rPr>
  </w:style>
  <w:style w:type="paragraph" w:customStyle="1" w:styleId="122">
    <w:name w:val="Char Char Char"/>
    <w:basedOn w:val="1"/>
    <w:autoRedefine/>
    <w:qFormat/>
    <w:uiPriority w:val="99"/>
    <w:rPr>
      <w:rFonts w:ascii="Tahoma" w:hAnsi="Tahoma" w:cs="Tahoma"/>
      <w:sz w:val="24"/>
      <w:szCs w:val="24"/>
    </w:rPr>
  </w:style>
  <w:style w:type="paragraph" w:customStyle="1" w:styleId="123">
    <w:name w:val="(符号)五标题1.1.1"/>
    <w:basedOn w:val="1"/>
    <w:autoRedefine/>
    <w:qFormat/>
    <w:uiPriority w:val="99"/>
    <w:pPr>
      <w:numPr>
        <w:ilvl w:val="2"/>
        <w:numId w:val="2"/>
      </w:numPr>
      <w:tabs>
        <w:tab w:val="left" w:pos="420"/>
        <w:tab w:val="clear" w:pos="1000"/>
      </w:tabs>
      <w:spacing w:line="500" w:lineRule="exact"/>
    </w:pPr>
    <w:rPr>
      <w:rFonts w:ascii="宋体" w:hAnsi="宋体" w:cs="宋体"/>
      <w:color w:val="000000"/>
      <w:sz w:val="24"/>
      <w:szCs w:val="20"/>
    </w:rPr>
  </w:style>
  <w:style w:type="paragraph" w:customStyle="1" w:styleId="124">
    <w:name w:val="font11"/>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2"/>
      <w:szCs w:val="22"/>
    </w:rPr>
  </w:style>
  <w:style w:type="paragraph" w:customStyle="1" w:styleId="125">
    <w:name w:val="xl85"/>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126">
    <w:name w:val="TOC 标题1"/>
    <w:basedOn w:val="3"/>
    <w:next w:val="1"/>
    <w:autoRedefine/>
    <w:qFormat/>
    <w:uiPriority w:val="99"/>
    <w:pPr>
      <w:widowControl/>
      <w:numPr>
        <w:numId w:val="0"/>
      </w:numPr>
      <w:spacing w:before="480" w:after="0" w:line="276" w:lineRule="auto"/>
      <w:jc w:val="left"/>
      <w:outlineLvl w:val="9"/>
    </w:pPr>
    <w:rPr>
      <w:rFonts w:ascii="Cambria" w:hAnsi="Cambria" w:cs="Cambria"/>
      <w:color w:val="365F91"/>
      <w:kern w:val="0"/>
      <w:sz w:val="28"/>
      <w:szCs w:val="28"/>
    </w:rPr>
  </w:style>
  <w:style w:type="paragraph" w:customStyle="1" w:styleId="127">
    <w:name w:val="xl28"/>
    <w:basedOn w:val="58"/>
    <w:autoRedefine/>
    <w:qFormat/>
    <w:uiPriority w:val="0"/>
    <w:pPr>
      <w:jc w:val="center"/>
    </w:pPr>
    <w:rPr>
      <w:rFonts w:ascii="仿宋_GB2312" w:eastAsia="仿宋_GB2312"/>
    </w:rPr>
  </w:style>
  <w:style w:type="paragraph" w:customStyle="1" w:styleId="128">
    <w:name w:val="列出段落2"/>
    <w:basedOn w:val="1"/>
    <w:autoRedefine/>
    <w:qFormat/>
    <w:uiPriority w:val="34"/>
    <w:pPr>
      <w:ind w:firstLine="420" w:firstLineChars="200"/>
    </w:pPr>
    <w:rPr>
      <w:szCs w:val="20"/>
    </w:rPr>
  </w:style>
  <w:style w:type="paragraph" w:customStyle="1" w:styleId="129">
    <w:name w:val="dash6b63-6587"/>
    <w:basedOn w:val="1"/>
    <w:autoRedefine/>
    <w:qFormat/>
    <w:uiPriority w:val="0"/>
    <w:pPr>
      <w:widowControl/>
      <w:spacing w:before="100" w:beforeAutospacing="1" w:after="100" w:afterAutospacing="1"/>
      <w:jc w:val="left"/>
    </w:pPr>
    <w:rPr>
      <w:rFonts w:ascii="Arial Unicode MS" w:hAnsi="Arial Unicode MS"/>
      <w:kern w:val="0"/>
      <w:sz w:val="24"/>
    </w:rPr>
  </w:style>
  <w:style w:type="character" w:customStyle="1" w:styleId="130">
    <w:name w:val="标题 1 Char"/>
    <w:basedOn w:val="42"/>
    <w:link w:val="3"/>
    <w:autoRedefine/>
    <w:qFormat/>
    <w:locked/>
    <w:uiPriority w:val="0"/>
    <w:rPr>
      <w:rFonts w:ascii="Times New Roman" w:hAnsi="Times New Roman" w:eastAsia="宋体" w:cs="Times New Roman"/>
      <w:b/>
      <w:bCs/>
      <w:kern w:val="44"/>
      <w:sz w:val="44"/>
      <w:szCs w:val="44"/>
    </w:rPr>
  </w:style>
  <w:style w:type="character" w:customStyle="1" w:styleId="131">
    <w:name w:val="标题 2 Char"/>
    <w:basedOn w:val="42"/>
    <w:link w:val="4"/>
    <w:autoRedefine/>
    <w:qFormat/>
    <w:locked/>
    <w:uiPriority w:val="0"/>
    <w:rPr>
      <w:rFonts w:ascii="Arial" w:hAnsi="Arial" w:eastAsia="黑体"/>
      <w:b/>
      <w:bCs/>
      <w:kern w:val="2"/>
      <w:sz w:val="32"/>
      <w:szCs w:val="32"/>
    </w:rPr>
  </w:style>
  <w:style w:type="character" w:customStyle="1" w:styleId="132">
    <w:name w:val="标题 3 Char"/>
    <w:basedOn w:val="42"/>
    <w:link w:val="5"/>
    <w:autoRedefine/>
    <w:qFormat/>
    <w:locked/>
    <w:uiPriority w:val="0"/>
    <w:rPr>
      <w:rFonts w:ascii="Times New Roman" w:hAnsi="Times New Roman" w:eastAsia="宋体" w:cs="Times New Roman"/>
      <w:b/>
      <w:bCs/>
      <w:sz w:val="32"/>
      <w:szCs w:val="32"/>
    </w:rPr>
  </w:style>
  <w:style w:type="character" w:customStyle="1" w:styleId="133">
    <w:name w:val="标题 4 Char"/>
    <w:basedOn w:val="42"/>
    <w:link w:val="7"/>
    <w:autoRedefine/>
    <w:qFormat/>
    <w:locked/>
    <w:uiPriority w:val="9"/>
    <w:rPr>
      <w:rFonts w:ascii="Arial" w:hAnsi="Arial" w:eastAsia="黑体" w:cs="Times New Roman"/>
      <w:b/>
      <w:bCs/>
      <w:sz w:val="28"/>
      <w:szCs w:val="28"/>
    </w:rPr>
  </w:style>
  <w:style w:type="character" w:customStyle="1" w:styleId="134">
    <w:name w:val="标题 5 Char"/>
    <w:basedOn w:val="42"/>
    <w:link w:val="8"/>
    <w:autoRedefine/>
    <w:qFormat/>
    <w:locked/>
    <w:uiPriority w:val="9"/>
    <w:rPr>
      <w:rFonts w:ascii="Times New Roman" w:hAnsi="Times New Roman" w:eastAsia="宋体" w:cs="Times New Roman"/>
      <w:b/>
      <w:bCs/>
      <w:sz w:val="28"/>
      <w:szCs w:val="28"/>
    </w:rPr>
  </w:style>
  <w:style w:type="character" w:customStyle="1" w:styleId="135">
    <w:name w:val="标题 6 Char"/>
    <w:basedOn w:val="42"/>
    <w:link w:val="9"/>
    <w:autoRedefine/>
    <w:qFormat/>
    <w:locked/>
    <w:uiPriority w:val="99"/>
    <w:rPr>
      <w:rFonts w:ascii="Arial" w:hAnsi="Arial" w:eastAsia="黑体" w:cs="Times New Roman"/>
      <w:b/>
      <w:bCs/>
      <w:sz w:val="24"/>
      <w:szCs w:val="24"/>
    </w:rPr>
  </w:style>
  <w:style w:type="character" w:customStyle="1" w:styleId="136">
    <w:name w:val="标题 7 Char"/>
    <w:basedOn w:val="42"/>
    <w:link w:val="10"/>
    <w:autoRedefine/>
    <w:qFormat/>
    <w:locked/>
    <w:uiPriority w:val="99"/>
    <w:rPr>
      <w:rFonts w:ascii="Times New Roman" w:hAnsi="Times New Roman" w:eastAsia="宋体" w:cs="Times New Roman"/>
      <w:b/>
      <w:bCs/>
      <w:sz w:val="24"/>
      <w:szCs w:val="24"/>
    </w:rPr>
  </w:style>
  <w:style w:type="character" w:customStyle="1" w:styleId="137">
    <w:name w:val="标题 8 Char"/>
    <w:basedOn w:val="42"/>
    <w:link w:val="11"/>
    <w:autoRedefine/>
    <w:qFormat/>
    <w:locked/>
    <w:uiPriority w:val="99"/>
    <w:rPr>
      <w:rFonts w:ascii="Arial" w:hAnsi="Arial" w:eastAsia="黑体" w:cs="Times New Roman"/>
      <w:sz w:val="24"/>
      <w:szCs w:val="24"/>
    </w:rPr>
  </w:style>
  <w:style w:type="character" w:customStyle="1" w:styleId="138">
    <w:name w:val="标题 9 Char"/>
    <w:basedOn w:val="42"/>
    <w:link w:val="12"/>
    <w:autoRedefine/>
    <w:qFormat/>
    <w:locked/>
    <w:uiPriority w:val="99"/>
    <w:rPr>
      <w:rFonts w:ascii="Arial" w:hAnsi="Arial" w:eastAsia="黑体" w:cs="Times New Roman"/>
      <w:sz w:val="21"/>
      <w:szCs w:val="21"/>
    </w:rPr>
  </w:style>
  <w:style w:type="character" w:customStyle="1" w:styleId="139">
    <w:name w:val="页眉 Char"/>
    <w:basedOn w:val="42"/>
    <w:link w:val="28"/>
    <w:autoRedefine/>
    <w:qFormat/>
    <w:locked/>
    <w:uiPriority w:val="0"/>
    <w:rPr>
      <w:rFonts w:cs="Times New Roman"/>
      <w:sz w:val="18"/>
      <w:szCs w:val="18"/>
    </w:rPr>
  </w:style>
  <w:style w:type="character" w:customStyle="1" w:styleId="140">
    <w:name w:val="页脚 Char"/>
    <w:basedOn w:val="42"/>
    <w:link w:val="27"/>
    <w:autoRedefine/>
    <w:qFormat/>
    <w:locked/>
    <w:uiPriority w:val="0"/>
    <w:rPr>
      <w:rFonts w:cs="Times New Roman"/>
      <w:sz w:val="18"/>
      <w:szCs w:val="18"/>
    </w:rPr>
  </w:style>
  <w:style w:type="character" w:customStyle="1" w:styleId="141">
    <w:name w:val="font21"/>
    <w:autoRedefine/>
    <w:qFormat/>
    <w:uiPriority w:val="0"/>
    <w:rPr>
      <w:rFonts w:ascii="宋体" w:hAnsi="宋体" w:eastAsia="宋体"/>
      <w:color w:val="000000"/>
      <w:sz w:val="22"/>
      <w:u w:val="none"/>
    </w:rPr>
  </w:style>
  <w:style w:type="character" w:customStyle="1" w:styleId="142">
    <w:name w:val="case3"/>
    <w:autoRedefine/>
    <w:qFormat/>
    <w:uiPriority w:val="99"/>
  </w:style>
  <w:style w:type="character" w:customStyle="1" w:styleId="143">
    <w:name w:val="HTML Preformatted Char"/>
    <w:autoRedefine/>
    <w:qFormat/>
    <w:locked/>
    <w:uiPriority w:val="99"/>
    <w:rPr>
      <w:rFonts w:ascii="Arial" w:hAnsi="Arial" w:eastAsia="宋体"/>
      <w:kern w:val="0"/>
      <w:sz w:val="24"/>
    </w:rPr>
  </w:style>
  <w:style w:type="character" w:customStyle="1" w:styleId="144">
    <w:name w:val="Body Text First Indent Char"/>
    <w:autoRedefine/>
    <w:qFormat/>
    <w:locked/>
    <w:uiPriority w:val="99"/>
    <w:rPr>
      <w:rFonts w:ascii="Times New Roman" w:hAnsi="Times New Roman" w:eastAsia="宋体"/>
      <w:sz w:val="24"/>
    </w:rPr>
  </w:style>
  <w:style w:type="character" w:customStyle="1" w:styleId="145">
    <w:name w:val="Comment Subject Char"/>
    <w:autoRedefine/>
    <w:semiHidden/>
    <w:qFormat/>
    <w:locked/>
    <w:uiPriority w:val="99"/>
    <w:rPr>
      <w:rFonts w:ascii="Times New Roman" w:hAnsi="Times New Roman" w:eastAsia="宋体"/>
      <w:b/>
      <w:sz w:val="24"/>
    </w:rPr>
  </w:style>
  <w:style w:type="character" w:customStyle="1" w:styleId="146">
    <w:name w:val="Title Char"/>
    <w:autoRedefine/>
    <w:qFormat/>
    <w:locked/>
    <w:uiPriority w:val="99"/>
    <w:rPr>
      <w:rFonts w:ascii="Cambria" w:hAnsi="Cambria" w:eastAsia="宋体"/>
      <w:b/>
      <w:sz w:val="32"/>
    </w:rPr>
  </w:style>
  <w:style w:type="character" w:customStyle="1" w:styleId="147">
    <w:name w:val="Balloon Text Char"/>
    <w:autoRedefine/>
    <w:semiHidden/>
    <w:qFormat/>
    <w:locked/>
    <w:uiPriority w:val="99"/>
    <w:rPr>
      <w:rFonts w:ascii="Times New Roman" w:hAnsi="Times New Roman" w:eastAsia="宋体"/>
      <w:sz w:val="18"/>
    </w:rPr>
  </w:style>
  <w:style w:type="character" w:customStyle="1" w:styleId="148">
    <w:name w:val="font31"/>
    <w:autoRedefine/>
    <w:qFormat/>
    <w:uiPriority w:val="0"/>
    <w:rPr>
      <w:rFonts w:ascii="宋体" w:hAnsi="宋体" w:eastAsia="宋体"/>
      <w:color w:val="FF0000"/>
      <w:sz w:val="22"/>
      <w:u w:val="none"/>
    </w:rPr>
  </w:style>
  <w:style w:type="character" w:customStyle="1" w:styleId="149">
    <w:name w:val="style4"/>
    <w:autoRedefine/>
    <w:qFormat/>
    <w:uiPriority w:val="99"/>
  </w:style>
  <w:style w:type="character" w:customStyle="1" w:styleId="150">
    <w:name w:val="Date Char"/>
    <w:autoRedefine/>
    <w:qFormat/>
    <w:locked/>
    <w:uiPriority w:val="99"/>
    <w:rPr>
      <w:rFonts w:ascii="Times New Roman" w:hAnsi="Times New Roman" w:eastAsia="宋体"/>
      <w:sz w:val="24"/>
    </w:rPr>
  </w:style>
  <w:style w:type="character" w:customStyle="1" w:styleId="151">
    <w:name w:val="Body Text Indent 2 Char"/>
    <w:autoRedefine/>
    <w:qFormat/>
    <w:locked/>
    <w:uiPriority w:val="99"/>
    <w:rPr>
      <w:rFonts w:ascii="文鼎CS魏碑" w:hAnsi="Times New Roman" w:eastAsia="文鼎CS魏碑"/>
      <w:b/>
      <w:w w:val="80"/>
      <w:sz w:val="96"/>
    </w:rPr>
  </w:style>
  <w:style w:type="character" w:customStyle="1" w:styleId="152">
    <w:name w:val="font41"/>
    <w:autoRedefine/>
    <w:qFormat/>
    <w:uiPriority w:val="0"/>
    <w:rPr>
      <w:rFonts w:ascii="Arial" w:hAnsi="Arial"/>
      <w:color w:val="FF0000"/>
      <w:sz w:val="22"/>
      <w:u w:val="none"/>
    </w:rPr>
  </w:style>
  <w:style w:type="character" w:customStyle="1" w:styleId="153">
    <w:name w:val="（符号）三标题1.1 Char"/>
    <w:autoRedefine/>
    <w:qFormat/>
    <w:uiPriority w:val="99"/>
    <w:rPr>
      <w:rFonts w:ascii="宋体" w:hAnsi="宋体" w:eastAsia="宋体"/>
      <w:kern w:val="2"/>
      <w:sz w:val="24"/>
      <w:lang w:val="en-US" w:eastAsia="zh-CN"/>
    </w:rPr>
  </w:style>
  <w:style w:type="character" w:customStyle="1" w:styleId="154">
    <w:name w:val="Plain Text Char"/>
    <w:autoRedefine/>
    <w:qFormat/>
    <w:locked/>
    <w:uiPriority w:val="99"/>
    <w:rPr>
      <w:rFonts w:ascii="宋体" w:hAnsi="Courier New" w:eastAsia="宋体"/>
      <w:sz w:val="20"/>
    </w:rPr>
  </w:style>
  <w:style w:type="character" w:customStyle="1" w:styleId="155">
    <w:name w:val="Body Text Indent Char"/>
    <w:autoRedefine/>
    <w:qFormat/>
    <w:locked/>
    <w:uiPriority w:val="99"/>
    <w:rPr>
      <w:rFonts w:ascii="Times New Roman" w:hAnsi="Times New Roman" w:eastAsia="宋体"/>
      <w:sz w:val="24"/>
    </w:rPr>
  </w:style>
  <w:style w:type="character" w:customStyle="1" w:styleId="156">
    <w:name w:val="(符号)标书正文 Char"/>
    <w:link w:val="54"/>
    <w:autoRedefine/>
    <w:qFormat/>
    <w:locked/>
    <w:uiPriority w:val="99"/>
    <w:rPr>
      <w:rFonts w:ascii="宋体" w:eastAsia="宋体"/>
      <w:sz w:val="24"/>
    </w:rPr>
  </w:style>
  <w:style w:type="character" w:customStyle="1" w:styleId="157">
    <w:name w:val="批注文字 Char"/>
    <w:autoRedefine/>
    <w:qFormat/>
    <w:locked/>
    <w:uiPriority w:val="0"/>
    <w:rPr>
      <w:rFonts w:ascii="Times New Roman" w:hAnsi="Times New Roman" w:eastAsia="宋体"/>
      <w:sz w:val="24"/>
    </w:rPr>
  </w:style>
  <w:style w:type="character" w:customStyle="1" w:styleId="158">
    <w:name w:val="(符号)标书正文 Char Char"/>
    <w:autoRedefine/>
    <w:qFormat/>
    <w:uiPriority w:val="99"/>
    <w:rPr>
      <w:rFonts w:ascii="宋体" w:hAnsi="宋体" w:eastAsia="宋体"/>
      <w:sz w:val="24"/>
    </w:rPr>
  </w:style>
  <w:style w:type="character" w:customStyle="1" w:styleId="159">
    <w:name w:val="Body Text 2 Char"/>
    <w:autoRedefine/>
    <w:qFormat/>
    <w:locked/>
    <w:uiPriority w:val="99"/>
    <w:rPr>
      <w:rFonts w:ascii="宋体" w:hAnsi="Times New Roman" w:eastAsia="宋体"/>
      <w:spacing w:val="16"/>
      <w:kern w:val="0"/>
      <w:sz w:val="20"/>
    </w:rPr>
  </w:style>
  <w:style w:type="character" w:customStyle="1" w:styleId="160">
    <w:name w:val="列出段落 Char"/>
    <w:link w:val="55"/>
    <w:autoRedefine/>
    <w:qFormat/>
    <w:locked/>
    <w:uiPriority w:val="99"/>
    <w:rPr>
      <w:sz w:val="21"/>
    </w:rPr>
  </w:style>
  <w:style w:type="character" w:customStyle="1" w:styleId="161">
    <w:name w:val="Body Text Indent 3 Char"/>
    <w:autoRedefine/>
    <w:qFormat/>
    <w:locked/>
    <w:uiPriority w:val="99"/>
    <w:rPr>
      <w:rFonts w:ascii="宋体" w:hAnsi="Times New Roman" w:eastAsia="宋体"/>
      <w:spacing w:val="16"/>
      <w:kern w:val="0"/>
      <w:sz w:val="20"/>
    </w:rPr>
  </w:style>
  <w:style w:type="character" w:customStyle="1" w:styleId="162">
    <w:name w:val="正文文本 Char"/>
    <w:autoRedefine/>
    <w:qFormat/>
    <w:locked/>
    <w:uiPriority w:val="0"/>
    <w:rPr>
      <w:rFonts w:ascii="Times New Roman" w:hAnsi="Times New Roman" w:eastAsia="宋体"/>
      <w:sz w:val="24"/>
    </w:rPr>
  </w:style>
  <w:style w:type="character" w:customStyle="1" w:styleId="163">
    <w:name w:val="批注文字 Char1"/>
    <w:basedOn w:val="42"/>
    <w:link w:val="16"/>
    <w:autoRedefine/>
    <w:semiHidden/>
    <w:qFormat/>
    <w:locked/>
    <w:uiPriority w:val="99"/>
    <w:rPr>
      <w:rFonts w:ascii="Times New Roman" w:hAnsi="Times New Roman" w:eastAsia="宋体" w:cs="Times New Roman"/>
      <w:sz w:val="21"/>
      <w:szCs w:val="21"/>
    </w:rPr>
  </w:style>
  <w:style w:type="character" w:customStyle="1" w:styleId="164">
    <w:name w:val="Comment Subject Char1"/>
    <w:basedOn w:val="163"/>
    <w:autoRedefine/>
    <w:semiHidden/>
    <w:qFormat/>
    <w:uiPriority w:val="99"/>
    <w:rPr>
      <w:rFonts w:ascii="Times New Roman" w:hAnsi="Times New Roman" w:eastAsia="宋体" w:cs="Times New Roman"/>
      <w:b/>
      <w:bCs/>
      <w:sz w:val="21"/>
      <w:szCs w:val="21"/>
    </w:rPr>
  </w:style>
  <w:style w:type="character" w:customStyle="1" w:styleId="165">
    <w:name w:val="批注主题 Char"/>
    <w:basedOn w:val="163"/>
    <w:link w:val="38"/>
    <w:autoRedefine/>
    <w:semiHidden/>
    <w:qFormat/>
    <w:locked/>
    <w:uiPriority w:val="99"/>
    <w:rPr>
      <w:rFonts w:ascii="Times New Roman" w:hAnsi="Times New Roman" w:eastAsia="宋体" w:cs="Times New Roman"/>
      <w:b/>
      <w:bCs/>
      <w:sz w:val="21"/>
      <w:szCs w:val="21"/>
    </w:rPr>
  </w:style>
  <w:style w:type="character" w:customStyle="1" w:styleId="166">
    <w:name w:val="正文文本 Char1"/>
    <w:basedOn w:val="42"/>
    <w:link w:val="18"/>
    <w:autoRedefine/>
    <w:semiHidden/>
    <w:qFormat/>
    <w:locked/>
    <w:uiPriority w:val="99"/>
    <w:rPr>
      <w:rFonts w:ascii="Times New Roman" w:hAnsi="Times New Roman" w:eastAsia="宋体" w:cs="Times New Roman"/>
      <w:sz w:val="21"/>
      <w:szCs w:val="21"/>
    </w:rPr>
  </w:style>
  <w:style w:type="character" w:customStyle="1" w:styleId="167">
    <w:name w:val="Body Text First Indent Char1"/>
    <w:basedOn w:val="166"/>
    <w:autoRedefine/>
    <w:semiHidden/>
    <w:qFormat/>
    <w:uiPriority w:val="99"/>
    <w:rPr>
      <w:rFonts w:ascii="Times New Roman" w:hAnsi="Times New Roman" w:eastAsia="宋体" w:cs="Times New Roman"/>
      <w:sz w:val="21"/>
      <w:szCs w:val="21"/>
    </w:rPr>
  </w:style>
  <w:style w:type="character" w:customStyle="1" w:styleId="168">
    <w:name w:val="正文首行缩进 Char"/>
    <w:basedOn w:val="166"/>
    <w:link w:val="39"/>
    <w:autoRedefine/>
    <w:qFormat/>
    <w:locked/>
    <w:uiPriority w:val="0"/>
    <w:rPr>
      <w:rFonts w:ascii="Times New Roman" w:hAnsi="Times New Roman" w:eastAsia="宋体" w:cs="Times New Roman"/>
      <w:sz w:val="21"/>
      <w:szCs w:val="21"/>
    </w:rPr>
  </w:style>
  <w:style w:type="character" w:customStyle="1" w:styleId="169">
    <w:name w:val="Body Text Indent 3 Char1"/>
    <w:basedOn w:val="42"/>
    <w:autoRedefine/>
    <w:semiHidden/>
    <w:qFormat/>
    <w:uiPriority w:val="99"/>
    <w:rPr>
      <w:rFonts w:ascii="Times New Roman" w:hAnsi="Times New Roman"/>
      <w:sz w:val="16"/>
      <w:szCs w:val="16"/>
    </w:rPr>
  </w:style>
  <w:style w:type="character" w:customStyle="1" w:styleId="170">
    <w:name w:val="正文文本缩进 3 Char"/>
    <w:basedOn w:val="42"/>
    <w:link w:val="32"/>
    <w:autoRedefine/>
    <w:qFormat/>
    <w:locked/>
    <w:uiPriority w:val="0"/>
    <w:rPr>
      <w:rFonts w:ascii="Times New Roman" w:hAnsi="Times New Roman" w:eastAsia="宋体" w:cs="Times New Roman"/>
      <w:sz w:val="16"/>
      <w:szCs w:val="16"/>
    </w:rPr>
  </w:style>
  <w:style w:type="character" w:customStyle="1" w:styleId="171">
    <w:name w:val="Body Text Indent Char1"/>
    <w:basedOn w:val="42"/>
    <w:autoRedefine/>
    <w:semiHidden/>
    <w:qFormat/>
    <w:uiPriority w:val="99"/>
    <w:rPr>
      <w:rFonts w:ascii="Times New Roman" w:hAnsi="Times New Roman"/>
      <w:szCs w:val="21"/>
    </w:rPr>
  </w:style>
  <w:style w:type="character" w:customStyle="1" w:styleId="172">
    <w:name w:val="正文文本缩进 Char"/>
    <w:basedOn w:val="42"/>
    <w:link w:val="19"/>
    <w:autoRedefine/>
    <w:qFormat/>
    <w:locked/>
    <w:uiPriority w:val="0"/>
    <w:rPr>
      <w:rFonts w:ascii="Times New Roman" w:hAnsi="Times New Roman" w:eastAsia="宋体" w:cs="Times New Roman"/>
      <w:sz w:val="21"/>
      <w:szCs w:val="21"/>
    </w:rPr>
  </w:style>
  <w:style w:type="character" w:customStyle="1" w:styleId="173">
    <w:name w:val="Plain Text Char1"/>
    <w:basedOn w:val="42"/>
    <w:autoRedefine/>
    <w:semiHidden/>
    <w:qFormat/>
    <w:uiPriority w:val="99"/>
    <w:rPr>
      <w:rFonts w:ascii="宋体" w:hAnsi="Courier New" w:cs="Courier New"/>
      <w:szCs w:val="21"/>
    </w:rPr>
  </w:style>
  <w:style w:type="character" w:customStyle="1" w:styleId="174">
    <w:name w:val="纯文本 Char"/>
    <w:basedOn w:val="42"/>
    <w:link w:val="23"/>
    <w:autoRedefine/>
    <w:qFormat/>
    <w:locked/>
    <w:uiPriority w:val="0"/>
    <w:rPr>
      <w:rFonts w:ascii="宋体" w:hAnsi="Courier New" w:eastAsia="宋体" w:cs="Courier New"/>
      <w:sz w:val="21"/>
      <w:szCs w:val="21"/>
    </w:rPr>
  </w:style>
  <w:style w:type="character" w:customStyle="1" w:styleId="175">
    <w:name w:val="Date Char1"/>
    <w:basedOn w:val="42"/>
    <w:autoRedefine/>
    <w:semiHidden/>
    <w:qFormat/>
    <w:uiPriority w:val="99"/>
    <w:rPr>
      <w:rFonts w:ascii="Times New Roman" w:hAnsi="Times New Roman"/>
      <w:szCs w:val="21"/>
    </w:rPr>
  </w:style>
  <w:style w:type="character" w:customStyle="1" w:styleId="176">
    <w:name w:val="日期 Char"/>
    <w:basedOn w:val="42"/>
    <w:link w:val="24"/>
    <w:autoRedefine/>
    <w:semiHidden/>
    <w:qFormat/>
    <w:locked/>
    <w:uiPriority w:val="99"/>
    <w:rPr>
      <w:rFonts w:ascii="Times New Roman" w:hAnsi="Times New Roman" w:eastAsia="宋体" w:cs="Times New Roman"/>
      <w:sz w:val="21"/>
      <w:szCs w:val="21"/>
    </w:rPr>
  </w:style>
  <w:style w:type="character" w:customStyle="1" w:styleId="177">
    <w:name w:val="Body Text Indent 2 Char1"/>
    <w:basedOn w:val="42"/>
    <w:autoRedefine/>
    <w:semiHidden/>
    <w:qFormat/>
    <w:uiPriority w:val="99"/>
    <w:rPr>
      <w:rFonts w:ascii="Times New Roman" w:hAnsi="Times New Roman"/>
      <w:szCs w:val="21"/>
    </w:rPr>
  </w:style>
  <w:style w:type="character" w:customStyle="1" w:styleId="178">
    <w:name w:val="正文文本缩进 2 Char"/>
    <w:basedOn w:val="42"/>
    <w:link w:val="25"/>
    <w:autoRedefine/>
    <w:qFormat/>
    <w:locked/>
    <w:uiPriority w:val="0"/>
    <w:rPr>
      <w:rFonts w:ascii="Times New Roman" w:hAnsi="Times New Roman" w:eastAsia="宋体" w:cs="Times New Roman"/>
      <w:sz w:val="21"/>
      <w:szCs w:val="21"/>
    </w:rPr>
  </w:style>
  <w:style w:type="character" w:customStyle="1" w:styleId="179">
    <w:name w:val="Balloon Text Char1"/>
    <w:basedOn w:val="42"/>
    <w:autoRedefine/>
    <w:semiHidden/>
    <w:qFormat/>
    <w:uiPriority w:val="99"/>
    <w:rPr>
      <w:rFonts w:ascii="Times New Roman" w:hAnsi="Times New Roman"/>
      <w:sz w:val="16"/>
      <w:szCs w:val="16"/>
    </w:rPr>
  </w:style>
  <w:style w:type="character" w:customStyle="1" w:styleId="180">
    <w:name w:val="批注框文本 Char"/>
    <w:basedOn w:val="42"/>
    <w:link w:val="26"/>
    <w:autoRedefine/>
    <w:qFormat/>
    <w:locked/>
    <w:uiPriority w:val="0"/>
    <w:rPr>
      <w:rFonts w:ascii="Times New Roman" w:hAnsi="Times New Roman" w:eastAsia="宋体" w:cs="Times New Roman"/>
      <w:sz w:val="18"/>
      <w:szCs w:val="18"/>
    </w:rPr>
  </w:style>
  <w:style w:type="character" w:customStyle="1" w:styleId="181">
    <w:name w:val="Body Text 2 Char1"/>
    <w:basedOn w:val="42"/>
    <w:autoRedefine/>
    <w:semiHidden/>
    <w:qFormat/>
    <w:uiPriority w:val="99"/>
    <w:rPr>
      <w:rFonts w:ascii="Times New Roman" w:hAnsi="Times New Roman"/>
      <w:szCs w:val="21"/>
    </w:rPr>
  </w:style>
  <w:style w:type="character" w:customStyle="1" w:styleId="182">
    <w:name w:val="正文文本 2 Char"/>
    <w:basedOn w:val="42"/>
    <w:link w:val="34"/>
    <w:autoRedefine/>
    <w:semiHidden/>
    <w:qFormat/>
    <w:locked/>
    <w:uiPriority w:val="99"/>
    <w:rPr>
      <w:rFonts w:ascii="Times New Roman" w:hAnsi="Times New Roman" w:eastAsia="宋体" w:cs="Times New Roman"/>
      <w:sz w:val="21"/>
      <w:szCs w:val="21"/>
    </w:rPr>
  </w:style>
  <w:style w:type="character" w:customStyle="1" w:styleId="183">
    <w:name w:val="HTML Preformatted Char1"/>
    <w:basedOn w:val="42"/>
    <w:autoRedefine/>
    <w:semiHidden/>
    <w:qFormat/>
    <w:uiPriority w:val="99"/>
    <w:rPr>
      <w:rFonts w:ascii="Courier New" w:hAnsi="Courier New" w:cs="Courier New"/>
      <w:sz w:val="20"/>
      <w:szCs w:val="20"/>
    </w:rPr>
  </w:style>
  <w:style w:type="character" w:customStyle="1" w:styleId="184">
    <w:name w:val="HTML 预设格式 Char"/>
    <w:basedOn w:val="42"/>
    <w:link w:val="35"/>
    <w:autoRedefine/>
    <w:semiHidden/>
    <w:qFormat/>
    <w:locked/>
    <w:uiPriority w:val="99"/>
    <w:rPr>
      <w:rFonts w:ascii="Courier New" w:hAnsi="Courier New" w:eastAsia="宋体" w:cs="Courier New"/>
      <w:sz w:val="20"/>
      <w:szCs w:val="20"/>
    </w:rPr>
  </w:style>
  <w:style w:type="character" w:customStyle="1" w:styleId="185">
    <w:name w:val="Title Char1"/>
    <w:basedOn w:val="42"/>
    <w:autoRedefine/>
    <w:qFormat/>
    <w:uiPriority w:val="10"/>
    <w:rPr>
      <w:rFonts w:ascii="Cambria" w:hAnsi="Cambria" w:cs="Times New Roman"/>
      <w:b/>
      <w:bCs/>
      <w:sz w:val="32"/>
      <w:szCs w:val="32"/>
    </w:rPr>
  </w:style>
  <w:style w:type="character" w:customStyle="1" w:styleId="186">
    <w:name w:val="标题 Char"/>
    <w:basedOn w:val="42"/>
    <w:link w:val="37"/>
    <w:autoRedefine/>
    <w:qFormat/>
    <w:locked/>
    <w:uiPriority w:val="99"/>
    <w:rPr>
      <w:rFonts w:ascii="Cambria" w:hAnsi="Cambria" w:eastAsia="宋体" w:cs="Times New Roman"/>
      <w:b/>
      <w:bCs/>
      <w:sz w:val="32"/>
      <w:szCs w:val="32"/>
    </w:rPr>
  </w:style>
  <w:style w:type="character" w:customStyle="1" w:styleId="187">
    <w:name w:val="icon_no"/>
    <w:basedOn w:val="42"/>
    <w:autoRedefine/>
    <w:qFormat/>
    <w:uiPriority w:val="0"/>
    <w:rPr>
      <w:color w:val="FFFFFF"/>
      <w:u w:val="none"/>
    </w:rPr>
  </w:style>
  <w:style w:type="character" w:customStyle="1" w:styleId="188">
    <w:name w:val="正文文本 3 Char"/>
    <w:basedOn w:val="42"/>
    <w:link w:val="17"/>
    <w:autoRedefine/>
    <w:qFormat/>
    <w:uiPriority w:val="0"/>
    <w:rPr>
      <w:kern w:val="2"/>
      <w:sz w:val="16"/>
      <w:szCs w:val="16"/>
    </w:rPr>
  </w:style>
  <w:style w:type="paragraph" w:styleId="189">
    <w:name w:val="No Spacing"/>
    <w:link w:val="190"/>
    <w:autoRedefine/>
    <w:qFormat/>
    <w:uiPriority w:val="1"/>
    <w:rPr>
      <w:rFonts w:asciiTheme="minorHAnsi" w:hAnsiTheme="minorHAnsi" w:eastAsiaTheme="minorEastAsia" w:cstheme="minorBidi"/>
      <w:sz w:val="22"/>
      <w:szCs w:val="22"/>
      <w:lang w:val="en-US" w:eastAsia="zh-CN" w:bidi="ar-SA"/>
    </w:rPr>
  </w:style>
  <w:style w:type="character" w:customStyle="1" w:styleId="190">
    <w:name w:val="无间隔 Char"/>
    <w:basedOn w:val="42"/>
    <w:link w:val="189"/>
    <w:autoRedefine/>
    <w:qFormat/>
    <w:uiPriority w:val="1"/>
    <w:rPr>
      <w:rFonts w:asciiTheme="minorHAnsi" w:hAnsiTheme="minorHAnsi" w:eastAsiaTheme="minorEastAsia" w:cstheme="minorBidi"/>
      <w:sz w:val="22"/>
      <w:szCs w:val="22"/>
    </w:rPr>
  </w:style>
  <w:style w:type="character" w:customStyle="1" w:styleId="191">
    <w:name w:val="正文首行缩进 Char1"/>
    <w:basedOn w:val="162"/>
    <w:autoRedefine/>
    <w:qFormat/>
    <w:locked/>
    <w:uiPriority w:val="0"/>
    <w:rPr>
      <w:rFonts w:ascii="Times New Roman" w:hAnsi="Times New Roman" w:eastAsia="宋体" w:cs="Times New Roman"/>
      <w:kern w:val="2"/>
      <w:sz w:val="21"/>
    </w:rPr>
  </w:style>
  <w:style w:type="paragraph" w:customStyle="1" w:styleId="192">
    <w:name w:val="p26"/>
    <w:basedOn w:val="1"/>
    <w:autoRedefine/>
    <w:semiHidden/>
    <w:qFormat/>
    <w:uiPriority w:val="99"/>
    <w:pPr>
      <w:widowControl/>
      <w:adjustRightInd w:val="0"/>
      <w:jc w:val="left"/>
    </w:pPr>
    <w:rPr>
      <w:rFonts w:ascii="Calibri" w:hAnsi="Calibri" w:cs="宋体"/>
      <w:kern w:val="0"/>
      <w:sz w:val="18"/>
      <w:szCs w:val="18"/>
    </w:rPr>
  </w:style>
  <w:style w:type="character" w:customStyle="1" w:styleId="193">
    <w:name w:val="fontp1"/>
    <w:autoRedefine/>
    <w:qFormat/>
    <w:uiPriority w:val="0"/>
    <w:rPr>
      <w:rFonts w:hint="eastAsia" w:ascii="宋体" w:hAnsi="宋体" w:eastAsia="宋体"/>
      <w:sz w:val="18"/>
      <w:szCs w:val="18"/>
    </w:rPr>
  </w:style>
  <w:style w:type="character" w:customStyle="1" w:styleId="194">
    <w:name w:val="font01"/>
    <w:basedOn w:val="42"/>
    <w:autoRedefine/>
    <w:qFormat/>
    <w:uiPriority w:val="0"/>
    <w:rPr>
      <w:rFonts w:hint="eastAsia" w:ascii="宋体" w:hAnsi="宋体" w:eastAsia="宋体" w:cs="宋体"/>
      <w:color w:val="000000"/>
      <w:sz w:val="22"/>
      <w:szCs w:val="22"/>
      <w:u w:val="none"/>
      <w:vertAlign w:val="superscript"/>
    </w:rPr>
  </w:style>
  <w:style w:type="character" w:customStyle="1" w:styleId="195">
    <w:name w:val="文档结构图 Char"/>
    <w:basedOn w:val="42"/>
    <w:autoRedefine/>
    <w:qFormat/>
    <w:uiPriority w:val="0"/>
    <w:rPr>
      <w:kern w:val="2"/>
      <w:sz w:val="21"/>
      <w:shd w:val="clear" w:color="auto" w:fill="000080"/>
    </w:rPr>
  </w:style>
  <w:style w:type="character" w:customStyle="1" w:styleId="196">
    <w:name w:val="脚注文本 Char"/>
    <w:basedOn w:val="42"/>
    <w:autoRedefine/>
    <w:qFormat/>
    <w:uiPriority w:val="0"/>
    <w:rPr>
      <w:kern w:val="2"/>
      <w:sz w:val="18"/>
      <w:szCs w:val="18"/>
    </w:rPr>
  </w:style>
  <w:style w:type="character" w:customStyle="1" w:styleId="197">
    <w:name w:val="正文缩进 Char"/>
    <w:link w:val="6"/>
    <w:autoRedefine/>
    <w:qFormat/>
    <w:uiPriority w:val="0"/>
    <w:rPr>
      <w:rFonts w:ascii="Times New Roman" w:hAnsi="Times New Roman" w:cs="Times New Roman"/>
      <w:kern w:val="2"/>
      <w:sz w:val="21"/>
    </w:rPr>
  </w:style>
  <w:style w:type="character" w:customStyle="1" w:styleId="198">
    <w:name w:val="文档结构图 Char1"/>
    <w:basedOn w:val="42"/>
    <w:link w:val="15"/>
    <w:autoRedefine/>
    <w:semiHidden/>
    <w:qFormat/>
    <w:uiPriority w:val="0"/>
    <w:rPr>
      <w:rFonts w:ascii="宋体" w:hAnsi="Times New Roman" w:cs="Times New Roman"/>
      <w:kern w:val="2"/>
      <w:sz w:val="18"/>
      <w:szCs w:val="18"/>
    </w:rPr>
  </w:style>
  <w:style w:type="character" w:customStyle="1" w:styleId="199">
    <w:name w:val="脚注文本 Char1"/>
    <w:basedOn w:val="42"/>
    <w:link w:val="31"/>
    <w:autoRedefine/>
    <w:semiHidden/>
    <w:qFormat/>
    <w:uiPriority w:val="0"/>
    <w:rPr>
      <w:rFonts w:ascii="Times New Roman" w:hAnsi="Times New Roman" w:cs="Times New Roman"/>
      <w:kern w:val="2"/>
      <w:sz w:val="18"/>
      <w:szCs w:val="18"/>
    </w:rPr>
  </w:style>
  <w:style w:type="paragraph" w:styleId="200">
    <w:name w:val="List Paragraph"/>
    <w:basedOn w:val="1"/>
    <w:autoRedefine/>
    <w:qFormat/>
    <w:uiPriority w:val="0"/>
    <w:pPr>
      <w:ind w:firstLine="420" w:firstLineChars="200"/>
    </w:pPr>
    <w:rPr>
      <w:szCs w:val="22"/>
    </w:rPr>
  </w:style>
  <w:style w:type="paragraph" w:customStyle="1" w:styleId="201">
    <w:name w:val="p16"/>
    <w:basedOn w:val="1"/>
    <w:autoRedefine/>
    <w:qFormat/>
    <w:uiPriority w:val="0"/>
    <w:pPr>
      <w:widowControl/>
    </w:pPr>
    <w:rPr>
      <w:rFonts w:hint="eastAsia" w:ascii="宋体" w:hAnsi="宋体"/>
      <w:szCs w:val="20"/>
    </w:rPr>
  </w:style>
  <w:style w:type="paragraph" w:customStyle="1" w:styleId="202">
    <w:name w:val="默认段落字体 Para Char Char Char Char Char Char Char"/>
    <w:basedOn w:val="15"/>
    <w:autoRedefine/>
    <w:qFormat/>
    <w:uiPriority w:val="0"/>
  </w:style>
  <w:style w:type="paragraph" w:customStyle="1" w:styleId="203">
    <w:name w:val="普通(网站)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04">
    <w:name w:val="样式 标题 3 + (中文) 黑体 小四 非加粗 段前: 7.8 磅 段后: 0 磅 行距: 固定值 20 磅"/>
    <w:basedOn w:val="5"/>
    <w:autoRedefine/>
    <w:qFormat/>
    <w:uiPriority w:val="99"/>
    <w:pPr>
      <w:numPr>
        <w:ilvl w:val="0"/>
        <w:numId w:val="0"/>
      </w:numPr>
      <w:tabs>
        <w:tab w:val="clear" w:pos="0"/>
      </w:tabs>
      <w:spacing w:before="0" w:after="0" w:line="400" w:lineRule="exact"/>
    </w:pPr>
    <w:rPr>
      <w:rFonts w:eastAsia="黑体"/>
      <w:b w:val="0"/>
      <w:bCs w:val="0"/>
      <w:sz w:val="24"/>
      <w:szCs w:val="24"/>
    </w:rPr>
  </w:style>
  <w:style w:type="paragraph" w:customStyle="1" w:styleId="205">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206">
    <w:name w:val="Char2 Char Char Char Char Char Char"/>
    <w:basedOn w:val="1"/>
    <w:autoRedefine/>
    <w:qFormat/>
    <w:uiPriority w:val="0"/>
    <w:pPr>
      <w:autoSpaceDE w:val="0"/>
      <w:autoSpaceDN w:val="0"/>
      <w:adjustRightInd w:val="0"/>
      <w:snapToGrid w:val="0"/>
      <w:spacing w:line="500" w:lineRule="exact"/>
      <w:ind w:firstLine="562" w:firstLineChars="200"/>
      <w:jc w:val="center"/>
    </w:pPr>
    <w:rPr>
      <w:szCs w:val="20"/>
    </w:rPr>
  </w:style>
  <w:style w:type="paragraph" w:customStyle="1" w:styleId="207">
    <w:name w:val="_Style 6"/>
    <w:basedOn w:val="3"/>
    <w:next w:val="1"/>
    <w:autoRedefine/>
    <w:qFormat/>
    <w:uiPriority w:val="0"/>
    <w:pPr>
      <w:keepLines w:val="0"/>
      <w:numPr>
        <w:numId w:val="0"/>
      </w:numPr>
      <w:tabs>
        <w:tab w:val="clear" w:pos="0"/>
      </w:tabs>
      <w:adjustRightInd w:val="0"/>
      <w:snapToGrid w:val="0"/>
      <w:spacing w:before="0" w:after="0" w:line="312" w:lineRule="auto"/>
      <w:ind w:right="-159" w:rightChars="-159" w:firstLine="98" w:firstLineChars="35"/>
      <w:outlineLvl w:val="9"/>
    </w:pPr>
    <w:rPr>
      <w:b w:val="0"/>
      <w:bCs w:val="0"/>
      <w:kern w:val="2"/>
      <w:sz w:val="28"/>
      <w:szCs w:val="20"/>
    </w:rPr>
  </w:style>
  <w:style w:type="paragraph" w:customStyle="1" w:styleId="208">
    <w:name w:val="p17"/>
    <w:autoRedefine/>
    <w:qFormat/>
    <w:uiPriority w:val="0"/>
    <w:rPr>
      <w:rFonts w:ascii="宋体" w:hAnsi="宋体" w:eastAsia="宋体" w:cs="宋体"/>
      <w:szCs w:val="21"/>
      <w:lang w:val="en-US" w:eastAsia="zh-CN" w:bidi="ar-SA"/>
    </w:rPr>
  </w:style>
  <w:style w:type="character" w:customStyle="1" w:styleId="209">
    <w:name w:val="纯文本 Char2"/>
    <w:autoRedefine/>
    <w:qFormat/>
    <w:uiPriority w:val="0"/>
    <w:rPr>
      <w:rFonts w:ascii="宋体" w:hAnsi="Courier New" w:eastAsia="宋体" w:cs="Courier New"/>
      <w:sz w:val="34"/>
      <w:szCs w:val="21"/>
      <w:lang w:val="en-US" w:eastAsia="zh-CN" w:bidi="ar-SA"/>
    </w:rPr>
  </w:style>
  <w:style w:type="character" w:customStyle="1" w:styleId="210">
    <w:name w:val="页眉 字符"/>
    <w:autoRedefine/>
    <w:qFormat/>
    <w:uiPriority w:val="0"/>
    <w:rPr>
      <w:rFonts w:ascii="宋体" w:hAnsi="Calibri" w:eastAsia="宋体" w:cs="Times New Roman"/>
      <w:sz w:val="18"/>
      <w:lang w:val="en-US" w:eastAsia="zh-CN" w:bidi="ar-SA"/>
    </w:rPr>
  </w:style>
  <w:style w:type="character" w:customStyle="1" w:styleId="211">
    <w:name w:val="Char Char7"/>
    <w:autoRedefine/>
    <w:qFormat/>
    <w:uiPriority w:val="0"/>
    <w:rPr>
      <w:rFonts w:ascii="宋体" w:hAnsi="Courier New" w:eastAsia="宋体" w:cs="Courier New"/>
      <w:sz w:val="34"/>
      <w:szCs w:val="21"/>
      <w:lang w:val="en-US" w:eastAsia="zh-CN" w:bidi="ar-SA"/>
    </w:rPr>
  </w:style>
  <w:style w:type="character" w:customStyle="1" w:styleId="212">
    <w:name w:val="font71"/>
    <w:autoRedefine/>
    <w:qFormat/>
    <w:uiPriority w:val="0"/>
    <w:rPr>
      <w:rFonts w:hint="eastAsia" w:ascii="宋体" w:hAnsi="宋体" w:eastAsia="宋体" w:cs="宋体"/>
      <w:color w:val="000000"/>
      <w:sz w:val="22"/>
      <w:szCs w:val="22"/>
      <w:u w:val="none"/>
    </w:rPr>
  </w:style>
  <w:style w:type="character" w:customStyle="1" w:styleId="213">
    <w:name w:val="Char Char27"/>
    <w:autoRedefine/>
    <w:qFormat/>
    <w:uiPriority w:val="0"/>
    <w:rPr>
      <w:rFonts w:ascii="宋体" w:hAnsi="Calibri" w:eastAsia="宋体" w:cs="Times New Roman"/>
      <w:b/>
      <w:color w:val="000000"/>
      <w:sz w:val="24"/>
      <w:lang w:val="en-US" w:eastAsia="zh-CN" w:bidi="ar-SA"/>
    </w:rPr>
  </w:style>
  <w:style w:type="character" w:customStyle="1" w:styleId="214">
    <w:name w:val="Date Char Char"/>
    <w:link w:val="215"/>
    <w:autoRedefine/>
    <w:qFormat/>
    <w:uiPriority w:val="0"/>
    <w:rPr>
      <w:rFonts w:ascii="宋体" w:cs="Times New Roman"/>
      <w:sz w:val="34"/>
    </w:rPr>
  </w:style>
  <w:style w:type="paragraph" w:customStyle="1" w:styleId="215">
    <w:name w:val="日期1"/>
    <w:basedOn w:val="1"/>
    <w:next w:val="1"/>
    <w:link w:val="214"/>
    <w:autoRedefine/>
    <w:qFormat/>
    <w:uiPriority w:val="0"/>
    <w:pPr>
      <w:autoSpaceDE w:val="0"/>
      <w:autoSpaceDN w:val="0"/>
      <w:adjustRightInd w:val="0"/>
      <w:textAlignment w:val="baseline"/>
    </w:pPr>
    <w:rPr>
      <w:rFonts w:ascii="宋体" w:hAnsi="Calibri"/>
      <w:kern w:val="0"/>
      <w:sz w:val="34"/>
      <w:szCs w:val="20"/>
    </w:rPr>
  </w:style>
  <w:style w:type="character" w:customStyle="1" w:styleId="216">
    <w:name w:val="ca-231"/>
    <w:basedOn w:val="42"/>
    <w:autoRedefine/>
    <w:qFormat/>
    <w:uiPriority w:val="0"/>
    <w:rPr>
      <w:rFonts w:hint="eastAsia" w:ascii="宋体" w:hAnsi="宋体" w:eastAsia="宋体" w:cs="Times New Roman"/>
      <w:color w:val="FF0000"/>
      <w:sz w:val="24"/>
      <w:szCs w:val="24"/>
    </w:rPr>
  </w:style>
  <w:style w:type="character" w:customStyle="1" w:styleId="217">
    <w:name w:val="标题 1 Char Char"/>
    <w:autoRedefine/>
    <w:qFormat/>
    <w:uiPriority w:val="0"/>
    <w:rPr>
      <w:rFonts w:ascii="Calibri" w:hAnsi="Calibri" w:eastAsia="新宋体-18030" w:cs="Times New Roman"/>
      <w:b/>
      <w:bCs/>
      <w:kern w:val="44"/>
      <w:sz w:val="36"/>
      <w:szCs w:val="44"/>
      <w:lang w:val="en-US" w:eastAsia="zh-CN" w:bidi="ar-SA"/>
    </w:rPr>
  </w:style>
  <w:style w:type="character" w:customStyle="1" w:styleId="218">
    <w:name w:val="Char Char Char Char Char Char Char Char Char Char Char Char Char Char Char Char Char Char Char"/>
    <w:autoRedefine/>
    <w:qFormat/>
    <w:uiPriority w:val="0"/>
    <w:rPr>
      <w:rFonts w:ascii="宋体" w:hAnsi="Calibri" w:eastAsia="宋体" w:cs="Times New Roman"/>
      <w:sz w:val="34"/>
      <w:lang w:val="en-US" w:eastAsia="zh-CN" w:bidi="ar-SA"/>
    </w:rPr>
  </w:style>
  <w:style w:type="character" w:customStyle="1" w:styleId="219">
    <w:name w:val="Plain Text Char Char"/>
    <w:link w:val="220"/>
    <w:autoRedefine/>
    <w:qFormat/>
    <w:uiPriority w:val="0"/>
    <w:rPr>
      <w:rFonts w:ascii="宋体" w:hAnsi="Courier New" w:cs="Times New Roman"/>
      <w:sz w:val="21"/>
    </w:rPr>
  </w:style>
  <w:style w:type="paragraph" w:customStyle="1" w:styleId="220">
    <w:name w:val="纯文本1"/>
    <w:basedOn w:val="1"/>
    <w:link w:val="219"/>
    <w:autoRedefine/>
    <w:qFormat/>
    <w:uiPriority w:val="0"/>
    <w:pPr>
      <w:autoSpaceDE w:val="0"/>
      <w:autoSpaceDN w:val="0"/>
      <w:adjustRightInd w:val="0"/>
      <w:jc w:val="left"/>
      <w:textAlignment w:val="baseline"/>
    </w:pPr>
    <w:rPr>
      <w:rFonts w:ascii="宋体" w:hAnsi="Courier New"/>
      <w:kern w:val="0"/>
      <w:szCs w:val="20"/>
    </w:rPr>
  </w:style>
  <w:style w:type="character" w:customStyle="1" w:styleId="221">
    <w:name w:val="纯文本 Char1"/>
    <w:autoRedefine/>
    <w:qFormat/>
    <w:uiPriority w:val="0"/>
    <w:rPr>
      <w:rFonts w:ascii="Courier New" w:hAnsi="Courier New" w:eastAsia="宋体" w:cs="Times New Roman"/>
      <w:sz w:val="34"/>
      <w:lang w:bidi="ar-SA"/>
    </w:rPr>
  </w:style>
  <w:style w:type="character" w:customStyle="1" w:styleId="222">
    <w:name w:val="font61"/>
    <w:autoRedefine/>
    <w:qFormat/>
    <w:uiPriority w:val="0"/>
    <w:rPr>
      <w:rFonts w:hint="default" w:ascii="Times New Roman" w:hAnsi="Times New Roman" w:eastAsia="宋体" w:cs="Times New Roman"/>
      <w:color w:val="000000"/>
      <w:sz w:val="22"/>
      <w:szCs w:val="22"/>
      <w:u w:val="none"/>
    </w:rPr>
  </w:style>
  <w:style w:type="character" w:customStyle="1" w:styleId="223">
    <w:name w:val="Body Text 2 Char Char"/>
    <w:link w:val="224"/>
    <w:autoRedefine/>
    <w:qFormat/>
    <w:uiPriority w:val="0"/>
    <w:rPr>
      <w:rFonts w:ascii="宋体" w:cs="Times New Roman"/>
      <w:sz w:val="34"/>
    </w:rPr>
  </w:style>
  <w:style w:type="paragraph" w:customStyle="1" w:styleId="224">
    <w:name w:val="正文文本 21"/>
    <w:basedOn w:val="1"/>
    <w:link w:val="223"/>
    <w:autoRedefine/>
    <w:qFormat/>
    <w:uiPriority w:val="0"/>
    <w:pPr>
      <w:autoSpaceDE w:val="0"/>
      <w:autoSpaceDN w:val="0"/>
      <w:adjustRightInd w:val="0"/>
      <w:textAlignment w:val="baseline"/>
    </w:pPr>
    <w:rPr>
      <w:rFonts w:ascii="宋体" w:hAnsi="Calibri"/>
      <w:kern w:val="0"/>
      <w:sz w:val="34"/>
      <w:szCs w:val="20"/>
    </w:rPr>
  </w:style>
  <w:style w:type="character" w:customStyle="1" w:styleId="225">
    <w:name w:val="小 Char"/>
    <w:autoRedefine/>
    <w:qFormat/>
    <w:uiPriority w:val="0"/>
    <w:rPr>
      <w:rFonts w:ascii="宋体" w:hAnsi="Courier New" w:eastAsia="宋体" w:cs="Courier New"/>
      <w:sz w:val="34"/>
      <w:szCs w:val="21"/>
      <w:lang w:val="en-US" w:eastAsia="zh-CN" w:bidi="ar-SA"/>
    </w:rPr>
  </w:style>
  <w:style w:type="paragraph" w:customStyle="1" w:styleId="226">
    <w:name w:val="xl6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27">
    <w:name w:val="style33"/>
    <w:basedOn w:val="1"/>
    <w:autoRedefine/>
    <w:qFormat/>
    <w:uiPriority w:val="0"/>
    <w:pPr>
      <w:widowControl/>
      <w:spacing w:before="100" w:beforeAutospacing="1" w:after="100" w:afterAutospacing="1"/>
      <w:jc w:val="left"/>
    </w:pPr>
    <w:rPr>
      <w:rFonts w:ascii="Calibri" w:hAnsi="宋体" w:cs="宋体"/>
      <w:kern w:val="0"/>
      <w:sz w:val="24"/>
      <w:szCs w:val="24"/>
    </w:rPr>
  </w:style>
  <w:style w:type="paragraph" w:customStyle="1" w:styleId="22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color w:val="FF0000"/>
      <w:kern w:val="0"/>
      <w:sz w:val="20"/>
      <w:szCs w:val="20"/>
    </w:rPr>
  </w:style>
  <w:style w:type="paragraph" w:customStyle="1" w:styleId="229">
    <w:name w:val="? ‡é¢˜3"/>
    <w:basedOn w:val="1"/>
    <w:next w:val="1"/>
    <w:autoRedefine/>
    <w:qFormat/>
    <w:uiPriority w:val="0"/>
    <w:pPr>
      <w:autoSpaceDE w:val="0"/>
      <w:autoSpaceDN w:val="0"/>
      <w:adjustRightInd w:val="0"/>
      <w:spacing w:line="360" w:lineRule="auto"/>
      <w:jc w:val="left"/>
    </w:pPr>
    <w:rPr>
      <w:rFonts w:ascii="Calibri" w:hAnsi="仿宋_GB2312" w:cs="宋体"/>
      <w:b/>
      <w:bCs/>
      <w:kern w:val="0"/>
      <w:sz w:val="24"/>
      <w:szCs w:val="24"/>
      <w:lang w:val="zh-CN"/>
    </w:rPr>
  </w:style>
  <w:style w:type="paragraph" w:customStyle="1" w:styleId="230">
    <w:name w:val="xl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31">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32">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宋体" w:cs="宋体"/>
      <w:kern w:val="0"/>
      <w:sz w:val="20"/>
      <w:szCs w:val="20"/>
    </w:rPr>
  </w:style>
  <w:style w:type="paragraph" w:customStyle="1" w:styleId="233">
    <w:name w:val="xl5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34">
    <w:name w:val="xl4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18"/>
      <w:szCs w:val="18"/>
    </w:rPr>
  </w:style>
  <w:style w:type="paragraph" w:customStyle="1" w:styleId="235">
    <w:name w:val="Char Char Char Char Char Char Char Char Char Char Char Char Char Char"/>
    <w:basedOn w:val="15"/>
    <w:autoRedefine/>
    <w:qFormat/>
    <w:uiPriority w:val="0"/>
    <w:rPr>
      <w:rFonts w:ascii="Tahoma" w:hAnsi="Tahoma" w:cs="Times New Roman"/>
      <w:kern w:val="0"/>
      <w:sz w:val="18"/>
      <w:szCs w:val="24"/>
    </w:rPr>
  </w:style>
  <w:style w:type="paragraph" w:customStyle="1" w:styleId="236">
    <w:name w:val="WPSOffice手动目录 1"/>
    <w:autoRedefine/>
    <w:qFormat/>
    <w:uiPriority w:val="0"/>
    <w:rPr>
      <w:rFonts w:ascii="Calibri" w:hAnsi="Calibri" w:eastAsia="宋体" w:cs="Times New Roman"/>
      <w:lang w:val="en-US" w:eastAsia="zh-CN" w:bidi="ar-SA"/>
    </w:rPr>
  </w:style>
  <w:style w:type="paragraph" w:customStyle="1" w:styleId="237">
    <w:name w:val="Blockquote"/>
    <w:basedOn w:val="1"/>
    <w:autoRedefine/>
    <w:qFormat/>
    <w:uiPriority w:val="0"/>
    <w:pPr>
      <w:autoSpaceDE w:val="0"/>
      <w:autoSpaceDN w:val="0"/>
      <w:adjustRightInd w:val="0"/>
      <w:spacing w:before="100" w:after="100"/>
      <w:ind w:left="360" w:right="360"/>
      <w:jc w:val="left"/>
      <w:textAlignment w:val="baseline"/>
    </w:pPr>
    <w:rPr>
      <w:kern w:val="0"/>
      <w:sz w:val="24"/>
      <w:szCs w:val="20"/>
    </w:rPr>
  </w:style>
  <w:style w:type="paragraph" w:customStyle="1" w:styleId="238">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宋体" w:cs="宋体"/>
      <w:kern w:val="0"/>
      <w:sz w:val="20"/>
      <w:szCs w:val="20"/>
    </w:rPr>
  </w:style>
  <w:style w:type="paragraph" w:customStyle="1" w:styleId="239">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40">
    <w:name w:val="xl5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1">
    <w:name w:val="列出段落3"/>
    <w:basedOn w:val="1"/>
    <w:autoRedefine/>
    <w:qFormat/>
    <w:uiPriority w:val="0"/>
    <w:pPr>
      <w:autoSpaceDE w:val="0"/>
      <w:autoSpaceDN w:val="0"/>
      <w:adjustRightInd w:val="0"/>
      <w:spacing w:line="360" w:lineRule="auto"/>
      <w:ind w:firstLine="420" w:firstLineChars="200"/>
      <w:jc w:val="left"/>
      <w:textAlignment w:val="baseline"/>
    </w:pPr>
    <w:rPr>
      <w:rFonts w:ascii="Verdana" w:hAnsi="Verdana"/>
      <w:spacing w:val="5"/>
      <w:kern w:val="21"/>
      <w:sz w:val="34"/>
    </w:rPr>
  </w:style>
  <w:style w:type="paragraph" w:customStyle="1" w:styleId="242">
    <w:name w:val="western"/>
    <w:basedOn w:val="1"/>
    <w:autoRedefine/>
    <w:qFormat/>
    <w:uiPriority w:val="0"/>
    <w:pPr>
      <w:widowControl/>
      <w:autoSpaceDE w:val="0"/>
      <w:autoSpaceDN w:val="0"/>
      <w:adjustRightInd w:val="0"/>
      <w:spacing w:before="100" w:beforeAutospacing="1" w:after="100" w:afterAutospacing="1"/>
      <w:jc w:val="left"/>
      <w:textAlignment w:val="baseline"/>
    </w:pPr>
    <w:rPr>
      <w:rFonts w:ascii="宋体" w:hAnsi="宋体" w:cs="宋体"/>
      <w:kern w:val="0"/>
      <w:sz w:val="24"/>
      <w:szCs w:val="20"/>
    </w:rPr>
  </w:style>
  <w:style w:type="paragraph" w:customStyle="1" w:styleId="243">
    <w:name w:val="默认段落字体 Para Char Char Char Char"/>
    <w:basedOn w:val="1"/>
    <w:autoRedefine/>
    <w:qFormat/>
    <w:uiPriority w:val="0"/>
    <w:rPr>
      <w:rFonts w:hAnsi="Calibri"/>
      <w:szCs w:val="24"/>
    </w:rPr>
  </w:style>
  <w:style w:type="paragraph" w:customStyle="1" w:styleId="244">
    <w:name w:val="font0"/>
    <w:basedOn w:val="1"/>
    <w:autoRedefine/>
    <w:qFormat/>
    <w:uiPriority w:val="0"/>
    <w:pPr>
      <w:widowControl/>
      <w:spacing w:before="100" w:beforeAutospacing="1" w:after="100" w:afterAutospacing="1"/>
      <w:jc w:val="left"/>
    </w:pPr>
    <w:rPr>
      <w:rFonts w:ascii="Calibri" w:hAnsi="宋体" w:cs="宋体"/>
      <w:kern w:val="0"/>
      <w:sz w:val="24"/>
      <w:szCs w:val="24"/>
    </w:rPr>
  </w:style>
  <w:style w:type="paragraph" w:customStyle="1" w:styleId="245">
    <w:name w:val="xl5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4"/>
      <w:szCs w:val="24"/>
    </w:rPr>
  </w:style>
  <w:style w:type="paragraph" w:customStyle="1" w:styleId="24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4"/>
      <w:szCs w:val="24"/>
    </w:rPr>
  </w:style>
  <w:style w:type="paragraph" w:customStyle="1" w:styleId="247">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8">
    <w:name w:val="xl6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9">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25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51">
    <w:name w:val="Char2 Char Char Char"/>
    <w:basedOn w:val="1"/>
    <w:autoRedefine/>
    <w:qFormat/>
    <w:uiPriority w:val="0"/>
    <w:pPr>
      <w:widowControl/>
      <w:spacing w:beforeLines="100" w:after="160" w:line="240" w:lineRule="exact"/>
      <w:jc w:val="left"/>
    </w:pPr>
    <w:rPr>
      <w:rFonts w:ascii="Verdana" w:hAnsi="Verdana"/>
      <w:kern w:val="0"/>
      <w:sz w:val="20"/>
      <w:szCs w:val="20"/>
      <w:lang w:eastAsia="en-US"/>
    </w:rPr>
  </w:style>
  <w:style w:type="paragraph" w:customStyle="1" w:styleId="252">
    <w:name w:val="xl56"/>
    <w:basedOn w:val="1"/>
    <w:autoRedefine/>
    <w:qFormat/>
    <w:uiPriority w:val="0"/>
    <w:pPr>
      <w:widowControl/>
      <w:shd w:val="clear" w:color="auto" w:fill="FFFFFF"/>
      <w:spacing w:before="100" w:beforeAutospacing="1" w:after="100" w:afterAutospacing="1"/>
      <w:jc w:val="left"/>
    </w:pPr>
    <w:rPr>
      <w:rFonts w:ascii="Calibri" w:hAnsi="宋体" w:cs="宋体"/>
      <w:kern w:val="0"/>
      <w:sz w:val="24"/>
      <w:szCs w:val="24"/>
    </w:rPr>
  </w:style>
  <w:style w:type="paragraph" w:customStyle="1" w:styleId="253">
    <w:name w:val="xl46"/>
    <w:basedOn w:val="1"/>
    <w:autoRedefine/>
    <w:qFormat/>
    <w:uiPriority w:val="0"/>
    <w:pPr>
      <w:widowControl/>
      <w:shd w:val="clear" w:color="auto" w:fill="FFFFFF"/>
      <w:spacing w:before="100" w:beforeAutospacing="1" w:after="100" w:afterAutospacing="1"/>
      <w:jc w:val="left"/>
    </w:pPr>
    <w:rPr>
      <w:rFonts w:ascii="Calibri" w:hAnsi="宋体" w:cs="宋体"/>
      <w:kern w:val="0"/>
      <w:sz w:val="24"/>
      <w:szCs w:val="24"/>
    </w:rPr>
  </w:style>
  <w:style w:type="paragraph" w:customStyle="1" w:styleId="254">
    <w:name w:val="xl5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Calibri" w:hAnsi="宋体" w:cs="宋体"/>
      <w:kern w:val="0"/>
      <w:sz w:val="24"/>
      <w:szCs w:val="24"/>
    </w:rPr>
  </w:style>
  <w:style w:type="paragraph" w:customStyle="1" w:styleId="255">
    <w:name w:val="样式K"/>
    <w:basedOn w:val="18"/>
    <w:autoRedefine/>
    <w:qFormat/>
    <w:uiPriority w:val="0"/>
    <w:pPr>
      <w:spacing w:after="0"/>
      <w:jc w:val="left"/>
    </w:pPr>
    <w:rPr>
      <w:rFonts w:ascii="仿宋_GB2312" w:hAnsi="Book Antiqua" w:eastAsia="仿宋_GB2312"/>
      <w:sz w:val="24"/>
      <w:szCs w:val="24"/>
    </w:rPr>
  </w:style>
  <w:style w:type="paragraph" w:customStyle="1" w:styleId="256">
    <w:name w:val="xl6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57">
    <w:name w:val="xl4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4"/>
      <w:szCs w:val="24"/>
    </w:rPr>
  </w:style>
  <w:style w:type="paragraph" w:customStyle="1" w:styleId="258">
    <w:name w:val="xl5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0"/>
      <w:szCs w:val="20"/>
    </w:rPr>
  </w:style>
  <w:style w:type="paragraph" w:customStyle="1" w:styleId="259">
    <w:name w:val="样式 样式 (符号) 宋体 小四 首行缩进:  0.85 厘米 段后: 6 磅 行距: 固定值 20 磅 + 首行缩进:  2 ..."/>
    <w:basedOn w:val="1"/>
    <w:autoRedefine/>
    <w:qFormat/>
    <w:uiPriority w:val="0"/>
    <w:pPr>
      <w:spacing w:line="360" w:lineRule="auto"/>
      <w:ind w:firstLine="560" w:firstLineChars="200"/>
    </w:pPr>
    <w:rPr>
      <w:rFonts w:ascii="仿宋_GB2312" w:hAnsi="宋体" w:eastAsia="仿宋_GB2312" w:cs="宋体"/>
      <w:kern w:val="24"/>
      <w:sz w:val="28"/>
      <w:szCs w:val="28"/>
    </w:rPr>
  </w:style>
  <w:style w:type="paragraph" w:customStyle="1" w:styleId="260">
    <w:name w:val="xl55"/>
    <w:basedOn w:val="1"/>
    <w:autoRedefine/>
    <w:qFormat/>
    <w:uiPriority w:val="0"/>
    <w:pPr>
      <w:widowControl/>
      <w:shd w:val="clear" w:color="auto" w:fill="FFFFFF"/>
      <w:spacing w:before="100" w:beforeAutospacing="1" w:after="100" w:afterAutospacing="1"/>
      <w:jc w:val="center"/>
      <w:textAlignment w:val="center"/>
    </w:pPr>
    <w:rPr>
      <w:rFonts w:hAnsi="Calibri"/>
      <w:kern w:val="0"/>
      <w:sz w:val="36"/>
      <w:szCs w:val="36"/>
    </w:rPr>
  </w:style>
  <w:style w:type="paragraph" w:customStyle="1" w:styleId="261">
    <w:name w:val="xl4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0"/>
      <w:szCs w:val="20"/>
    </w:rPr>
  </w:style>
  <w:style w:type="paragraph" w:customStyle="1" w:styleId="262">
    <w:name w:val="xl5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6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64">
    <w:name w:val="Table Paragraph"/>
    <w:basedOn w:val="1"/>
    <w:autoRedefine/>
    <w:qFormat/>
    <w:uiPriority w:val="0"/>
    <w:pPr>
      <w:autoSpaceDE w:val="0"/>
      <w:autoSpaceDN w:val="0"/>
      <w:adjustRightInd w:val="0"/>
      <w:jc w:val="left"/>
      <w:textAlignment w:val="baseline"/>
    </w:pPr>
    <w:rPr>
      <w:rFonts w:ascii="宋体" w:hAnsi="宋体" w:cs="宋体"/>
      <w:kern w:val="0"/>
      <w:sz w:val="34"/>
      <w:szCs w:val="20"/>
    </w:rPr>
  </w:style>
  <w:style w:type="paragraph" w:customStyle="1" w:styleId="265">
    <w:name w:val="标题 + 小二"/>
    <w:basedOn w:val="1"/>
    <w:autoRedefine/>
    <w:qFormat/>
    <w:uiPriority w:val="0"/>
    <w:pPr>
      <w:autoSpaceDE w:val="0"/>
      <w:autoSpaceDN w:val="0"/>
      <w:adjustRightInd w:val="0"/>
      <w:spacing w:afterLines="50" w:line="700" w:lineRule="exact"/>
      <w:jc w:val="center"/>
      <w:textAlignment w:val="baseline"/>
      <w:outlineLvl w:val="0"/>
    </w:pPr>
    <w:rPr>
      <w:rFonts w:ascii="Calibri" w:hAnsi="Calibri"/>
      <w:b/>
      <w:kern w:val="0"/>
      <w:sz w:val="36"/>
      <w:szCs w:val="36"/>
    </w:rPr>
  </w:style>
  <w:style w:type="paragraph" w:customStyle="1" w:styleId="266">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Calibri" w:hAnsi="宋体" w:cs="宋体"/>
      <w:kern w:val="0"/>
      <w:sz w:val="24"/>
      <w:szCs w:val="24"/>
    </w:rPr>
  </w:style>
  <w:style w:type="paragraph" w:customStyle="1" w:styleId="267">
    <w:name w:val="?­£æ–‡æ–‡æœ¬"/>
    <w:basedOn w:val="1"/>
    <w:autoRedefine/>
    <w:qFormat/>
    <w:uiPriority w:val="0"/>
    <w:pPr>
      <w:autoSpaceDE w:val="0"/>
      <w:autoSpaceDN w:val="0"/>
      <w:adjustRightInd w:val="0"/>
      <w:spacing w:after="117"/>
    </w:pPr>
    <w:rPr>
      <w:rFonts w:ascii="Calibri" w:hAnsi="仿宋_GB2312" w:cs="宋体"/>
      <w:kern w:val="0"/>
      <w:sz w:val="20"/>
      <w:szCs w:val="20"/>
      <w:lang w:val="zh-CN"/>
    </w:rPr>
  </w:style>
  <w:style w:type="character" w:customStyle="1" w:styleId="268">
    <w:name w:val="icon_lzrz"/>
    <w:basedOn w:val="42"/>
    <w:autoRedefine/>
    <w:qFormat/>
    <w:uiPriority w:val="0"/>
  </w:style>
  <w:style w:type="character" w:customStyle="1" w:styleId="269">
    <w:name w:val="icon_gzkj"/>
    <w:basedOn w:val="42"/>
    <w:autoRedefine/>
    <w:qFormat/>
    <w:uiPriority w:val="0"/>
  </w:style>
  <w:style w:type="character" w:customStyle="1" w:styleId="270">
    <w:name w:val="icon_xzry"/>
    <w:basedOn w:val="42"/>
    <w:autoRedefine/>
    <w:qFormat/>
    <w:uiPriority w:val="0"/>
  </w:style>
  <w:style w:type="character" w:customStyle="1" w:styleId="271">
    <w:name w:val="icon_xglc"/>
    <w:basedOn w:val="42"/>
    <w:autoRedefine/>
    <w:qFormat/>
    <w:uiPriority w:val="0"/>
  </w:style>
  <w:style w:type="paragraph" w:customStyle="1" w:styleId="272">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73">
    <w:name w:val="Table Text"/>
    <w:basedOn w:val="1"/>
    <w:autoRedefine/>
    <w:semiHidden/>
    <w:qFormat/>
    <w:uiPriority w:val="0"/>
    <w:rPr>
      <w:rFonts w:ascii="宋体" w:hAnsi="宋体" w:cs="宋体"/>
      <w:sz w:val="24"/>
      <w:szCs w:val="24"/>
      <w:lang w:eastAsia="en-US"/>
    </w:rPr>
  </w:style>
  <w:style w:type="table" w:customStyle="1" w:styleId="274">
    <w:name w:val="Table Normal"/>
    <w:autoRedefine/>
    <w:semiHidden/>
    <w:unhideWhenUsed/>
    <w:qFormat/>
    <w:uiPriority w:val="0"/>
    <w:tblPr>
      <w:tblCellMar>
        <w:top w:w="0" w:type="dxa"/>
        <w:left w:w="0" w:type="dxa"/>
        <w:bottom w:w="0" w:type="dxa"/>
        <w:right w:w="0" w:type="dxa"/>
      </w:tblCellMar>
    </w:tblPr>
  </w:style>
  <w:style w:type="character" w:customStyle="1" w:styleId="275">
    <w:name w:val="button"/>
    <w:basedOn w:val="42"/>
    <w:autoRedefine/>
    <w:qFormat/>
    <w:uiPriority w:val="0"/>
  </w:style>
  <w:style w:type="character" w:customStyle="1" w:styleId="276">
    <w:name w:val="tmpztreemove_arrow"/>
    <w:basedOn w:val="4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3"/>
    <customShpInfo spid="_x0000_s3074"/>
    <customShpInfo spid="_x0000_s1026"/>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4961F-0FC5-4796-889B-6B924973B8B3}">
  <ds:schemaRefs/>
</ds:datastoreItem>
</file>

<file path=docProps/app.xml><?xml version="1.0" encoding="utf-8"?>
<Properties xmlns="http://schemas.openxmlformats.org/officeDocument/2006/extended-properties" xmlns:vt="http://schemas.openxmlformats.org/officeDocument/2006/docPropsVTypes">
  <Template>Normal</Template>
  <Company>贵州恩方。毕节</Company>
  <Pages>42</Pages>
  <Words>11201</Words>
  <Characters>11967</Characters>
  <Lines>29</Lines>
  <Paragraphs>50</Paragraphs>
  <TotalTime>48</TotalTime>
  <ScaleCrop>false</ScaleCrop>
  <LinksUpToDate>false</LinksUpToDate>
  <CharactersWithSpaces>12219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2022-11-04T09:31:00Z</dcterms:created>
  <dc:creator>贵州万和工程招标代理造价咨询有限责任公司:孔德</dc:creator>
  <cp:lastModifiedBy>琴</cp:lastModifiedBy>
  <cp:lastPrinted>2025-04-25T00:28:00Z</cp:lastPrinted>
  <dcterms:modified xsi:type="dcterms:W3CDTF">2025-07-16T11:04:33Z</dcterms:modified>
  <dc:title>政府采购竞争性谈判文件</dc:title>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6D44D1E14DBD41B2AC5C003AEFE79CCD</vt:lpwstr>
  </property>
  <property fmtid="{D5CDD505-2E9C-101B-9397-08002B2CF9AE}" pid="4" name="KSOTemplateDocerSaveRecord">
    <vt:lpwstr>eyJoZGlkIjoiZWUwMjk5OTk2ZjE2ZDM3ZDk4ZWE5MGM5OGFlNjBiN2MiLCJ1c2VySWQiOiI0MjA1MDQ2NzMifQ==</vt:lpwstr>
  </property>
</Properties>
</file>