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87123">
      <w:pPr>
        <w:spacing w:line="24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5BC56AB4">
      <w:pPr>
        <w:spacing w:before="141" w:line="222" w:lineRule="auto"/>
        <w:ind w:left="4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一、符合政府采购法第二十二条规定</w:t>
      </w:r>
    </w:p>
    <w:p w14:paraId="0F140F5F">
      <w:pPr>
        <w:spacing w:before="143" w:line="360" w:lineRule="auto"/>
        <w:ind w:left="492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rFonts w:ascii="仿宋" w:hAnsi="仿宋" w:eastAsia="仿宋" w:cs="仿宋"/>
          <w:spacing w:val="-2"/>
          <w:sz w:val="24"/>
          <w:szCs w:val="24"/>
        </w:rPr>
        <w:t>具有独立承担民事责任的能力；</w:t>
      </w:r>
    </w:p>
    <w:p w14:paraId="24973581">
      <w:pPr>
        <w:spacing w:before="22" w:line="360" w:lineRule="auto"/>
        <w:ind w:left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: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提供有效的营业执照副本；</w:t>
      </w:r>
    </w:p>
    <w:p w14:paraId="2BD5FCA2">
      <w:pPr>
        <w:spacing w:before="22" w:line="360" w:lineRule="auto"/>
        <w:ind w:left="46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仿宋" w:hAnsi="仿宋" w:eastAsia="仿宋" w:cs="仿宋"/>
          <w:spacing w:val="-1"/>
          <w:sz w:val="24"/>
          <w:szCs w:val="24"/>
        </w:rPr>
        <w:t>具有良好的商业信誉和健全的财务会计制度；</w:t>
      </w:r>
    </w:p>
    <w:p w14:paraId="313F35DE">
      <w:pPr>
        <w:spacing w:before="24" w:line="360" w:lineRule="auto"/>
        <w:ind w:left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:</w:t>
      </w:r>
      <w:r>
        <w:rPr>
          <w:rFonts w:hint="eastAsia" w:ascii="仿宋" w:hAnsi="仿宋" w:eastAsia="仿宋" w:cs="仿宋"/>
          <w:color w:val="0000FF"/>
          <w:spacing w:val="-1"/>
          <w:sz w:val="24"/>
          <w:szCs w:val="24"/>
          <w:lang w:eastAsia="zh-CN"/>
        </w:rPr>
        <w:t>提供202</w:t>
      </w:r>
      <w:r>
        <w:rPr>
          <w:rFonts w:hint="eastAsia" w:ascii="仿宋" w:hAnsi="仿宋" w:eastAsia="仿宋" w:cs="仿宋"/>
          <w:color w:val="0000FF"/>
          <w:spacing w:val="-1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FF"/>
          <w:spacing w:val="-1"/>
          <w:sz w:val="24"/>
          <w:szCs w:val="24"/>
          <w:lang w:eastAsia="zh-CN"/>
        </w:rPr>
        <w:t>年度</w:t>
      </w:r>
      <w:r>
        <w:rPr>
          <w:rFonts w:ascii="仿宋" w:hAnsi="仿宋" w:eastAsia="仿宋" w:cs="仿宋"/>
          <w:color w:val="0000FF"/>
          <w:spacing w:val="-1"/>
          <w:sz w:val="24"/>
          <w:szCs w:val="24"/>
        </w:rPr>
        <w:t>会计师事务所出具的审计报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告或新成立的公司提供银行出具的（有效期内）资信证明</w:t>
      </w:r>
      <w:r>
        <w:rPr>
          <w:rFonts w:hint="eastAsia" w:ascii="仿宋" w:hAnsi="仿宋" w:eastAsia="仿宋" w:cs="仿宋"/>
          <w:color w:val="0000FF"/>
          <w:spacing w:val="-2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color w:val="0000FF"/>
          <w:spacing w:val="-3"/>
          <w:sz w:val="24"/>
          <w:szCs w:val="24"/>
        </w:rPr>
        <w:t>；</w:t>
      </w:r>
    </w:p>
    <w:p w14:paraId="14E26FAF">
      <w:pPr>
        <w:spacing w:before="2" w:line="360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3.</w:t>
      </w:r>
      <w:r>
        <w:rPr>
          <w:rFonts w:ascii="仿宋" w:hAnsi="仿宋" w:eastAsia="仿宋" w:cs="仿宋"/>
          <w:spacing w:val="-1"/>
          <w:sz w:val="24"/>
          <w:szCs w:val="24"/>
        </w:rPr>
        <w:t>具有履行合同所必须的设备和专业技术能力；</w:t>
      </w:r>
    </w:p>
    <w:p w14:paraId="2ABA36CF">
      <w:pPr>
        <w:spacing w:before="25" w:line="360" w:lineRule="auto"/>
        <w:ind w:left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:</w:t>
      </w:r>
      <w:r>
        <w:rPr>
          <w:rFonts w:ascii="仿宋" w:hAnsi="仿宋" w:eastAsia="仿宋" w:cs="仿宋"/>
          <w:color w:val="0000FF"/>
          <w:spacing w:val="-1"/>
          <w:sz w:val="24"/>
          <w:szCs w:val="24"/>
        </w:rPr>
        <w:t>提供具备履行合同所必需的设备和专业技术能力的声明函（格式自拟</w:t>
      </w:r>
      <w:r>
        <w:rPr>
          <w:rFonts w:ascii="仿宋" w:hAnsi="仿宋" w:eastAsia="仿宋" w:cs="仿宋"/>
          <w:color w:val="0000FF"/>
          <w:spacing w:val="5"/>
          <w:sz w:val="24"/>
          <w:szCs w:val="24"/>
        </w:rPr>
        <w:t>）；</w:t>
      </w:r>
    </w:p>
    <w:p w14:paraId="45FF9E36">
      <w:pPr>
        <w:spacing w:before="22" w:line="360" w:lineRule="auto"/>
        <w:ind w:left="468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4.</w:t>
      </w:r>
      <w:r>
        <w:rPr>
          <w:rFonts w:ascii="仿宋" w:hAnsi="仿宋" w:eastAsia="仿宋" w:cs="仿宋"/>
          <w:spacing w:val="-1"/>
          <w:sz w:val="24"/>
          <w:szCs w:val="24"/>
        </w:rPr>
        <w:t>具有依法缴纳税收和社会保障资金的良好记录；</w:t>
      </w:r>
    </w:p>
    <w:p w14:paraId="055F306E">
      <w:pPr>
        <w:spacing w:before="25" w:line="360" w:lineRule="auto"/>
        <w:ind w:left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:</w:t>
      </w:r>
      <w:r>
        <w:rPr>
          <w:rFonts w:hint="eastAsia" w:ascii="仿宋" w:hAnsi="仿宋" w:eastAsia="仿宋" w:cs="仿宋"/>
          <w:color w:val="0000FF"/>
          <w:spacing w:val="-1"/>
          <w:sz w:val="24"/>
          <w:szCs w:val="24"/>
        </w:rPr>
        <w:t>提供 2025 年任意 1个月缴纳税收和社会保障资金的相关材料(如依法免税和依法不需要缴纳社会保障资金的，提供相应证明文件);</w:t>
      </w:r>
    </w:p>
    <w:p w14:paraId="6FE7E2A7">
      <w:pPr>
        <w:spacing w:line="360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仿宋" w:hAnsi="仿宋" w:eastAsia="仿宋" w:cs="仿宋"/>
          <w:sz w:val="24"/>
          <w:szCs w:val="24"/>
        </w:rPr>
        <w:t>参加本次政府采购活动前三年内，在经</w:t>
      </w:r>
      <w:r>
        <w:rPr>
          <w:rFonts w:ascii="仿宋" w:hAnsi="仿宋" w:eastAsia="仿宋" w:cs="仿宋"/>
          <w:spacing w:val="-1"/>
          <w:sz w:val="24"/>
          <w:szCs w:val="24"/>
        </w:rPr>
        <w:t>营活动中没有重大违法记录；</w:t>
      </w:r>
    </w:p>
    <w:p w14:paraId="702B7F45">
      <w:pPr>
        <w:spacing w:before="25" w:line="360" w:lineRule="auto"/>
        <w:ind w:left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: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参加本次政府采购活动前三年内，在经营活动中没有重大违法记录</w:t>
      </w:r>
      <w:r>
        <w:rPr>
          <w:rFonts w:ascii="仿宋" w:hAnsi="仿宋" w:eastAsia="仿宋" w:cs="仿宋"/>
          <w:color w:val="0000FF"/>
          <w:spacing w:val="-3"/>
          <w:sz w:val="24"/>
          <w:szCs w:val="24"/>
        </w:rPr>
        <w:t>；提供声明函；</w:t>
      </w:r>
    </w:p>
    <w:p w14:paraId="55E3D2F9">
      <w:pPr>
        <w:spacing w:before="26" w:line="360" w:lineRule="auto"/>
        <w:ind w:left="475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6.</w:t>
      </w:r>
      <w:r>
        <w:rPr>
          <w:rFonts w:ascii="仿宋" w:hAnsi="仿宋" w:eastAsia="仿宋" w:cs="仿宋"/>
          <w:spacing w:val="-1"/>
          <w:sz w:val="24"/>
          <w:szCs w:val="24"/>
        </w:rPr>
        <w:t>法律、行政法规规定的其他条件。</w:t>
      </w:r>
    </w:p>
    <w:p w14:paraId="6EFBBDC5">
      <w:pPr>
        <w:spacing w:before="129" w:line="360" w:lineRule="auto"/>
        <w:ind w:left="10" w:firstLine="481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:</w:t>
      </w:r>
      <w:r>
        <w:rPr>
          <w:rFonts w:ascii="仿宋" w:hAnsi="仿宋" w:eastAsia="仿宋" w:cs="仿宋"/>
          <w:color w:val="0000FF"/>
          <w:spacing w:val="-1"/>
          <w:sz w:val="24"/>
          <w:szCs w:val="24"/>
        </w:rPr>
        <w:t>供应商须承诺：在“信用中国”网站（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rPr>
          <w:rFonts w:ascii="仿宋" w:hAnsi="仿宋" w:eastAsia="仿宋" w:cs="仿宋"/>
          <w:color w:val="0000FF"/>
          <w:spacing w:val="-1"/>
          <w:sz w:val="24"/>
          <w:szCs w:val="24"/>
        </w:rPr>
        <w:t>www.cred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itchina.gov.cn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fldChar w:fldCharType="end"/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）、中国政府采购</w:t>
      </w:r>
      <w:r>
        <w:rPr>
          <w:rFonts w:ascii="仿宋" w:hAnsi="仿宋" w:eastAsia="仿宋" w:cs="仿宋"/>
          <w:color w:val="0000FF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0000FF"/>
          <w:spacing w:val="2"/>
          <w:sz w:val="24"/>
          <w:szCs w:val="24"/>
        </w:rPr>
        <w:t>网（</w:t>
      </w:r>
      <w:r>
        <w:fldChar w:fldCharType="begin"/>
      </w:r>
      <w:r>
        <w:instrText xml:space="preserve"> HYPERLINK "https://www.ccgp.gov.cn" </w:instrText>
      </w:r>
      <w:r>
        <w:fldChar w:fldCharType="separate"/>
      </w:r>
      <w:r>
        <w:rPr>
          <w:rFonts w:ascii="仿宋" w:hAnsi="仿宋" w:eastAsia="仿宋" w:cs="仿宋"/>
          <w:color w:val="0000FF"/>
          <w:sz w:val="24"/>
          <w:szCs w:val="24"/>
        </w:rPr>
        <w:t>www</w:t>
      </w:r>
      <w:r>
        <w:rPr>
          <w:rFonts w:ascii="仿宋" w:hAnsi="仿宋" w:eastAsia="仿宋" w:cs="仿宋"/>
          <w:color w:val="0000FF"/>
          <w:spacing w:val="2"/>
          <w:sz w:val="24"/>
          <w:szCs w:val="24"/>
        </w:rPr>
        <w:t>.</w:t>
      </w:r>
      <w:r>
        <w:rPr>
          <w:rFonts w:ascii="仿宋" w:hAnsi="仿宋" w:eastAsia="仿宋" w:cs="仿宋"/>
          <w:color w:val="0000FF"/>
          <w:sz w:val="24"/>
          <w:szCs w:val="24"/>
        </w:rPr>
        <w:t>ccgp</w:t>
      </w:r>
      <w:r>
        <w:rPr>
          <w:rFonts w:ascii="仿宋" w:hAnsi="仿宋" w:eastAsia="仿宋" w:cs="仿宋"/>
          <w:color w:val="0000FF"/>
          <w:spacing w:val="2"/>
          <w:sz w:val="24"/>
          <w:szCs w:val="24"/>
        </w:rPr>
        <w:t>.</w:t>
      </w:r>
      <w:r>
        <w:rPr>
          <w:rFonts w:ascii="仿宋" w:hAnsi="仿宋" w:eastAsia="仿宋" w:cs="仿宋"/>
          <w:color w:val="0000FF"/>
          <w:sz w:val="24"/>
          <w:szCs w:val="24"/>
        </w:rPr>
        <w:t>gov</w:t>
      </w:r>
      <w:r>
        <w:rPr>
          <w:rFonts w:ascii="仿宋" w:hAnsi="仿宋" w:eastAsia="仿宋" w:cs="仿宋"/>
          <w:color w:val="0000FF"/>
          <w:spacing w:val="2"/>
          <w:sz w:val="24"/>
          <w:szCs w:val="24"/>
        </w:rPr>
        <w:t>.</w:t>
      </w:r>
      <w:r>
        <w:rPr>
          <w:rFonts w:ascii="仿宋" w:hAnsi="仿宋" w:eastAsia="仿宋" w:cs="仿宋"/>
          <w:color w:val="0000FF"/>
          <w:sz w:val="24"/>
          <w:szCs w:val="24"/>
        </w:rPr>
        <w:t>cn</w:t>
      </w:r>
      <w:r>
        <w:rPr>
          <w:rFonts w:ascii="仿宋" w:hAnsi="仿宋" w:eastAsia="仿宋" w:cs="仿宋"/>
          <w:color w:val="0000FF"/>
          <w:sz w:val="24"/>
          <w:szCs w:val="24"/>
        </w:rPr>
        <w:fldChar w:fldCharType="end"/>
      </w:r>
      <w:r>
        <w:rPr>
          <w:rFonts w:ascii="仿宋" w:hAnsi="仿宋" w:eastAsia="仿宋" w:cs="仿宋"/>
          <w:color w:val="0000FF"/>
          <w:spacing w:val="2"/>
          <w:sz w:val="24"/>
          <w:szCs w:val="24"/>
        </w:rPr>
        <w:t>）等渠道查询中未被列入失信被执行人</w:t>
      </w:r>
      <w:r>
        <w:rPr>
          <w:rFonts w:ascii="仿宋" w:hAnsi="仿宋" w:eastAsia="仿宋" w:cs="仿宋"/>
          <w:color w:val="0000FF"/>
          <w:spacing w:val="1"/>
          <w:sz w:val="24"/>
          <w:szCs w:val="24"/>
        </w:rPr>
        <w:t>名单、重大税收违法案件</w:t>
      </w:r>
      <w:r>
        <w:rPr>
          <w:rFonts w:ascii="仿宋" w:hAnsi="仿宋" w:eastAsia="仿宋" w:cs="仿宋"/>
          <w:color w:val="0000FF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当事人名单、政府采购严重违法失信行为记录名单中，如被列入失信被执行人、重大税</w:t>
      </w:r>
      <w:r>
        <w:rPr>
          <w:rFonts w:ascii="仿宋" w:hAnsi="仿宋" w:eastAsia="仿宋" w:cs="仿宋"/>
          <w:color w:val="0000FF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收违法案件当事人名单、政府采购严重违法失信行为记录名单中的供应商取消其投标资</w:t>
      </w:r>
      <w:r>
        <w:rPr>
          <w:rFonts w:ascii="仿宋" w:hAnsi="仿宋" w:eastAsia="仿宋" w:cs="仿宋"/>
          <w:color w:val="0000FF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格，并承担由此造成的一切法律责任及后果。根据《省发展改革委 省法院 省公共资源</w:t>
      </w:r>
      <w:r>
        <w:rPr>
          <w:rFonts w:ascii="仿宋" w:hAnsi="仿宋" w:eastAsia="仿宋" w:cs="仿宋"/>
          <w:color w:val="0000FF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0000FF"/>
          <w:spacing w:val="5"/>
          <w:sz w:val="24"/>
          <w:szCs w:val="24"/>
        </w:rPr>
        <w:t>交易中心关于推进全省公共资源交易领域对法院失信被执行人</w:t>
      </w:r>
      <w:r>
        <w:rPr>
          <w:rFonts w:ascii="仿宋" w:hAnsi="仿宋" w:eastAsia="仿宋" w:cs="仿宋"/>
          <w:color w:val="0000FF"/>
          <w:spacing w:val="4"/>
          <w:sz w:val="24"/>
          <w:szCs w:val="24"/>
        </w:rPr>
        <w:t>实施信用联合惩戒的通</w:t>
      </w:r>
      <w:r>
        <w:rPr>
          <w:rFonts w:ascii="仿宋" w:hAnsi="仿宋" w:eastAsia="仿宋" w:cs="仿宋"/>
          <w:color w:val="0000FF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0000FF"/>
          <w:spacing w:val="-2"/>
          <w:sz w:val="24"/>
          <w:szCs w:val="24"/>
        </w:rPr>
        <w:t>知》黔发改财金【2020】421 号文件要求，交易系统会自行对失信供应商实施信用联合</w:t>
      </w:r>
      <w:r>
        <w:rPr>
          <w:rFonts w:ascii="仿宋" w:hAnsi="仿宋" w:eastAsia="仿宋" w:cs="仿宋"/>
          <w:color w:val="0000FF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0000FF"/>
          <w:spacing w:val="-6"/>
          <w:sz w:val="24"/>
          <w:szCs w:val="24"/>
        </w:rPr>
        <w:t>惩戒。</w:t>
      </w:r>
    </w:p>
    <w:p w14:paraId="74A1D7A0">
      <w:pPr>
        <w:spacing w:before="236" w:line="239" w:lineRule="auto"/>
        <w:ind w:left="11" w:right="2" w:firstLine="485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注：按照《关于在政府采购活动中试行供应商资格信用承诺制的通知》（黔东</w:t>
      </w:r>
      <w:r>
        <w:rPr>
          <w:rFonts w:ascii="仿宋" w:hAnsi="仿宋" w:eastAsia="仿宋" w:cs="仿宋"/>
          <w:spacing w:val="-3"/>
          <w:sz w:val="24"/>
          <w:szCs w:val="24"/>
        </w:rPr>
        <w:t>南财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采〔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2022</w:t>
      </w:r>
      <w:r>
        <w:rPr>
          <w:rFonts w:ascii="仿宋" w:hAnsi="仿宋" w:eastAsia="仿宋" w:cs="仿宋"/>
          <w:spacing w:val="-2"/>
          <w:sz w:val="24"/>
          <w:szCs w:val="24"/>
        </w:rPr>
        <w:t>〕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号</w:t>
      </w:r>
      <w:r>
        <w:rPr>
          <w:rFonts w:ascii="仿宋" w:hAnsi="仿宋" w:eastAsia="仿宋" w:cs="仿宋"/>
          <w:spacing w:val="19"/>
          <w:sz w:val="24"/>
          <w:szCs w:val="24"/>
        </w:rPr>
        <w:t>），</w:t>
      </w:r>
      <w:r>
        <w:rPr>
          <w:rFonts w:ascii="仿宋" w:hAnsi="仿宋" w:eastAsia="仿宋" w:cs="仿宋"/>
          <w:spacing w:val="-2"/>
          <w:sz w:val="24"/>
          <w:szCs w:val="24"/>
        </w:rPr>
        <w:t>非招标项目的一般资格条件的资格验证材料（上述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1-6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项）仅需提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供《黔东南州政府采购供应商资格信用承诺函》（格式参照投标文件格式</w:t>
      </w:r>
      <w:r>
        <w:rPr>
          <w:rFonts w:ascii="仿宋" w:hAnsi="仿宋" w:eastAsia="仿宋" w:cs="仿宋"/>
          <w:spacing w:val="19"/>
          <w:sz w:val="24"/>
          <w:szCs w:val="24"/>
        </w:rPr>
        <w:t>），</w:t>
      </w:r>
      <w:r>
        <w:rPr>
          <w:rFonts w:ascii="仿宋" w:hAnsi="仿宋" w:eastAsia="仿宋" w:cs="仿宋"/>
          <w:spacing w:val="-3"/>
          <w:sz w:val="24"/>
          <w:szCs w:val="24"/>
        </w:rPr>
        <w:t>中标后再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将资格材料提交采购人或代理机构核验，核验无误后，发出中标（成交）通知书。</w:t>
      </w:r>
    </w:p>
    <w:p w14:paraId="68722852">
      <w:pPr>
        <w:spacing w:before="121" w:line="222" w:lineRule="auto"/>
        <w:ind w:left="48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二、本项目所需特殊行业资质或要求</w:t>
      </w:r>
    </w:p>
    <w:p w14:paraId="08D287A9">
      <w:pPr>
        <w:pStyle w:val="28"/>
        <w:spacing w:line="360" w:lineRule="auto"/>
        <w:ind w:firstLine="464" w:firstLineChars="200"/>
        <w:rPr>
          <w:rFonts w:hint="eastAsia" w:ascii="仿宋" w:hAnsi="仿宋" w:eastAsia="仿宋" w:cs="仿宋"/>
          <w:spacing w:val="-4"/>
          <w:kern w:val="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spacing w:val="-4"/>
          <w:kern w:val="2"/>
          <w:sz w:val="24"/>
          <w:szCs w:val="24"/>
          <w:lang w:val="en-US" w:eastAsia="en-US" w:bidi="ar-SA"/>
        </w:rPr>
        <w:t>1、</w:t>
      </w:r>
      <w:r>
        <w:rPr>
          <w:rFonts w:hint="eastAsia" w:ascii="仿宋" w:hAnsi="仿宋" w:eastAsia="仿宋" w:cs="仿宋"/>
          <w:spacing w:val="-4"/>
          <w:kern w:val="2"/>
          <w:sz w:val="24"/>
          <w:szCs w:val="24"/>
          <w:lang w:val="en-US" w:eastAsia="zh-CN" w:bidi="ar-SA"/>
        </w:rPr>
        <w:t>本次招标要求投标人须具备</w:t>
      </w:r>
      <w:r>
        <w:rPr>
          <w:rFonts w:hint="eastAsia" w:ascii="仿宋" w:hAnsi="仿宋" w:eastAsia="仿宋" w:cs="仿宋"/>
          <w:b/>
          <w:bCs/>
          <w:spacing w:val="-4"/>
          <w:kern w:val="2"/>
          <w:sz w:val="24"/>
          <w:szCs w:val="24"/>
          <w:u w:val="single"/>
          <w:lang w:val="en-US" w:eastAsia="zh-CN" w:bidi="ar-SA"/>
        </w:rPr>
        <w:t>建设行政主管部门核发的建筑工程施工总承包叁级(含叁级)及以上</w:t>
      </w:r>
      <w:r>
        <w:rPr>
          <w:rFonts w:hint="eastAsia" w:ascii="仿宋" w:hAnsi="仿宋" w:eastAsia="仿宋" w:cs="仿宋"/>
          <w:spacing w:val="-4"/>
          <w:kern w:val="2"/>
          <w:sz w:val="24"/>
          <w:szCs w:val="24"/>
          <w:lang w:val="en-US" w:eastAsia="zh-CN" w:bidi="ar-SA"/>
        </w:rPr>
        <w:t>资质，并在人员、设备、资金等方面具备相应的施工能力。其中，投标人拟派项目负责人(项目经理)须具备</w:t>
      </w:r>
      <w:r>
        <w:rPr>
          <w:rFonts w:hint="eastAsia" w:ascii="仿宋" w:hAnsi="仿宋" w:eastAsia="仿宋" w:cs="仿宋"/>
          <w:b/>
          <w:bCs/>
          <w:spacing w:val="-4"/>
          <w:kern w:val="2"/>
          <w:sz w:val="24"/>
          <w:szCs w:val="24"/>
          <w:u w:val="single"/>
          <w:lang w:val="en-US" w:eastAsia="zh-CN" w:bidi="ar-SA"/>
        </w:rPr>
        <w:t>建筑工程</w:t>
      </w:r>
      <w:r>
        <w:rPr>
          <w:rFonts w:hint="eastAsia" w:ascii="仿宋" w:hAnsi="仿宋" w:eastAsia="仿宋" w:cs="仿宋"/>
          <w:spacing w:val="-4"/>
          <w:kern w:val="2"/>
          <w:sz w:val="24"/>
          <w:szCs w:val="24"/>
          <w:lang w:val="en-US" w:eastAsia="zh-CN" w:bidi="ar-SA"/>
        </w:rPr>
        <w:t>专业</w:t>
      </w:r>
      <w:r>
        <w:rPr>
          <w:rFonts w:hint="eastAsia" w:ascii="仿宋" w:hAnsi="仿宋" w:eastAsia="仿宋" w:cs="仿宋"/>
          <w:b/>
          <w:bCs/>
          <w:spacing w:val="-4"/>
          <w:kern w:val="2"/>
          <w:sz w:val="24"/>
          <w:szCs w:val="24"/>
          <w:u w:val="single"/>
          <w:lang w:val="en-US" w:eastAsia="zh-CN" w:bidi="ar-SA"/>
        </w:rPr>
        <w:t>二级</w:t>
      </w:r>
      <w:r>
        <w:rPr>
          <w:rFonts w:hint="eastAsia" w:ascii="仿宋" w:hAnsi="仿宋" w:eastAsia="仿宋" w:cs="仿宋"/>
          <w:spacing w:val="-4"/>
          <w:kern w:val="2"/>
          <w:sz w:val="24"/>
          <w:szCs w:val="24"/>
          <w:lang w:val="en-US" w:eastAsia="zh-CN" w:bidi="ar-SA"/>
        </w:rPr>
        <w:t>及以上注册建造师，具备有效的安全生产考核合格证书，且未担任其他在建设工程项目的项目经理。</w:t>
      </w:r>
    </w:p>
    <w:p w14:paraId="2469B055">
      <w:pPr>
        <w:pStyle w:val="29"/>
        <w:keepNext w:val="0"/>
        <w:keepLines w:val="0"/>
        <w:pageBreakBefore w:val="0"/>
        <w:widowControl w:val="0"/>
        <w:tabs>
          <w:tab w:val="left" w:pos="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0" w:leftChars="0" w:firstLine="464" w:firstLineChars="200"/>
        <w:textAlignment w:val="auto"/>
        <w:rPr>
          <w:rFonts w:ascii="仿宋" w:hAnsi="仿宋" w:eastAsia="仿宋" w:cs="仿宋"/>
          <w:spacing w:val="-4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24"/>
          <w:szCs w:val="24"/>
          <w:u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spacing w:val="-4"/>
          <w:kern w:val="2"/>
          <w:sz w:val="24"/>
          <w:szCs w:val="24"/>
          <w:u w:val="none"/>
          <w:lang w:val="en-US" w:eastAsia="en-US" w:bidi="ar-SA"/>
        </w:rPr>
        <w:t>、供应商须具备</w:t>
      </w:r>
      <w:r>
        <w:rPr>
          <w:rFonts w:hint="eastAsia" w:ascii="仿宋" w:hAnsi="仿宋" w:eastAsia="仿宋" w:cs="仿宋"/>
          <w:b/>
          <w:bCs/>
          <w:spacing w:val="-4"/>
          <w:kern w:val="2"/>
          <w:sz w:val="24"/>
          <w:szCs w:val="24"/>
          <w:u w:val="single"/>
          <w:lang w:val="en-US" w:eastAsia="en-US" w:bidi="ar-SA"/>
        </w:rPr>
        <w:t>有效的安全生产许可证</w:t>
      </w:r>
      <w:r>
        <w:rPr>
          <w:rFonts w:hint="eastAsia" w:ascii="仿宋" w:hAnsi="仿宋" w:eastAsia="仿宋" w:cs="仿宋"/>
          <w:spacing w:val="-4"/>
          <w:kern w:val="2"/>
          <w:sz w:val="24"/>
          <w:szCs w:val="24"/>
          <w:u w:val="none"/>
          <w:lang w:val="en-US" w:eastAsia="en-US" w:bidi="ar-SA"/>
        </w:rPr>
        <w:t>。</w:t>
      </w:r>
    </w:p>
    <w:p w14:paraId="4584C04C">
      <w:pPr>
        <w:spacing w:before="139" w:line="222" w:lineRule="auto"/>
        <w:ind w:left="48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三、本项目</w:t>
      </w:r>
      <w:r>
        <w:rPr>
          <w:rFonts w:ascii="黑体" w:hAnsi="黑体" w:eastAsia="黑体" w:cs="黑体"/>
          <w:color w:val="0000FF"/>
          <w:spacing w:val="-2"/>
          <w:sz w:val="24"/>
          <w:szCs w:val="24"/>
        </w:rPr>
        <w:t>不接受</w:t>
      </w:r>
      <w:r>
        <w:rPr>
          <w:rFonts w:ascii="黑体" w:hAnsi="黑体" w:eastAsia="黑体" w:cs="黑体"/>
          <w:spacing w:val="-2"/>
          <w:sz w:val="24"/>
          <w:szCs w:val="24"/>
        </w:rPr>
        <w:t>联合体投标</w:t>
      </w:r>
    </w:p>
    <w:p w14:paraId="7210580F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EF3C1B1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274D6D1C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111AA4E0">
      <w:pPr>
        <w:spacing w:before="78" w:line="221" w:lineRule="auto"/>
        <w:ind w:left="2947"/>
        <w:outlineLvl w:val="2"/>
        <w:rPr>
          <w:rFonts w:ascii="黑体" w:hAnsi="黑体" w:eastAsia="黑体" w:cs="黑体"/>
          <w:color w:val="auto"/>
          <w:spacing w:val="-1"/>
          <w:sz w:val="24"/>
          <w:szCs w:val="24"/>
        </w:rPr>
      </w:pPr>
      <w:r>
        <w:rPr>
          <w:rFonts w:ascii="黑体" w:hAnsi="黑体" w:eastAsia="黑体" w:cs="黑体"/>
          <w:color w:val="auto"/>
          <w:spacing w:val="-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1"/>
          <w:sz w:val="24"/>
          <w:szCs w:val="24"/>
        </w:rPr>
        <w:t>工程量清单、项目概述</w:t>
      </w:r>
    </w:p>
    <w:tbl>
      <w:tblPr>
        <w:tblStyle w:val="14"/>
        <w:tblW w:w="9960" w:type="dxa"/>
        <w:tblInd w:w="-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40"/>
        <w:gridCol w:w="1067"/>
        <w:gridCol w:w="1848"/>
        <w:gridCol w:w="365"/>
        <w:gridCol w:w="680"/>
        <w:gridCol w:w="867"/>
        <w:gridCol w:w="1000"/>
        <w:gridCol w:w="413"/>
        <w:gridCol w:w="547"/>
        <w:gridCol w:w="1200"/>
      </w:tblGrid>
      <w:tr w14:paraId="298B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9B47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9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DE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30BE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82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工程名称：平略镇2025年鹅圈舍建设项目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450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标段：平略镇2025年鹅圈舍建设项目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34F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4 页</w:t>
            </w:r>
          </w:p>
        </w:tc>
      </w:tr>
      <w:tr w14:paraId="3786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F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E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9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E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8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1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9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6ACE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08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2A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8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99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33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C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B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C3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3AF3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50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88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F2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EC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4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1C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6B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6C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7B19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88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C7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9B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CA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D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8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89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06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408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8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9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FE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1B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室外开挖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F6C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4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3D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0C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A8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9453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94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5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8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010101001001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C1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平整场地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F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1.土壤类别:三、四类土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2.弃土运距:场内平衡无外运，就近处理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7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8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DEF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593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5B7F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D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9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3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96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1#舍区鹅圈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078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B4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03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39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71A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224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F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EF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6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B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鹅圈舍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A4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05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B3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B5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10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13E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A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4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92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B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基础及主体工程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68B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53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4A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927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41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6A0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45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1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6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010101004001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10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挖基坑土方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1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1.土壤类别:三、四类土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2.挖土深度:2m以内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3.人工开挖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2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06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9B8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D9F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D8C4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30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F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010501003001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E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1.混凝土种类:现拌混凝土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5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CC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822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439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CBC5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5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0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8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010402002001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9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砌块柱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14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1.砌块品种、规格、强度等级:标砖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2.墙体类型:24*24*50cm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3.砂浆强度等级:M7.5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8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DD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1BB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A40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F6DA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9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0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6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010603003008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63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主立柱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F4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1.钢材品种:热镀锌矩形钢材；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2.规格:100*100*3mm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0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44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04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56F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FA1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3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4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010604001005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6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钢梁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1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1.钢材品种、规格:热镀锌矩形钢材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2.规格型号:80*80*2.0mm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3.安装高度:5m以内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F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42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9B8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20F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CFFB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E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E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010606002004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E8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F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1.钢材品种:热镀锌矩形钢材；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2.规格:40*40*2mm；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9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93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FE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11A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C73A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E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7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010507004001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台阶（砖砌台阶）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63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1.踏步高、宽:0.16*0.3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2.混凝土强度等级:台阶面1：2防水砂浆抹面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4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04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D5D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22A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8EF9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7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B5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95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1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B55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2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D1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DD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B4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5D1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C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4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D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B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玻璃钢漏粪板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0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1.玻璃钢漏粪板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2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D5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0D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9D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E52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76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010901004001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0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漏粪网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BD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1、漏粪网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F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24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7E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06A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6485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4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F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011503001001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隔栏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7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1、隔栏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C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A9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38A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3F5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8E3F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4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0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E0A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DC7F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E365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2E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89547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注：为记取规费等的使用，可在表中增设其中：“定额人工费”。</w:t>
            </w:r>
          </w:p>
        </w:tc>
      </w:tr>
      <w:tr w14:paraId="3294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527EB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C49F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5D9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表-08</w:t>
            </w:r>
          </w:p>
        </w:tc>
      </w:tr>
      <w:tr w14:paraId="1A86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C4EF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2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56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556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380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工程名称：平略镇2025年鹅圈舍建设项目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67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标段：平略镇2025年鹅圈舍建设项目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7A3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2 页 共 4 页</w:t>
            </w:r>
          </w:p>
        </w:tc>
      </w:tr>
      <w:tr w14:paraId="388D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2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4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8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2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1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9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7A08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C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25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D7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FC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34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31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5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0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ED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1650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C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89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39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EC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E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36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E1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2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4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2459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A0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B2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A47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83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2.不锈钢隔栏1m高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D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8A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45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91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C54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6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B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B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摇膜器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0B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1.名称;摇膜器、摇膜杆、摇膜固定杆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2、材质：韩式、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61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CA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34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06F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3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7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9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1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无滴膜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C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1、规格：8丝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3A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1589.22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F8F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D7B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96F3E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4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E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D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6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1、规格：7.5mm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EA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74A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BAA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B7AB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D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F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C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1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黑白膜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E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1、规格：10丝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1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C7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1080.03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5C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7E2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2F2F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C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C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B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010901002004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7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型材屋面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B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1.型材品种、规格:彩钢板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2.金属檩条材料品种、规格:5mm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7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2E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26E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AF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94F5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8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0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010802002002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1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彩板门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EF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1.门代号及洞口尺寸:M1521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2.门框或扇外围尺寸:彩钢板门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C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9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7B9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220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CDA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A1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3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88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2#舍区鹅圈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402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2A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20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E3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B0D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8884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E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E1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3D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8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鹅圈舍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F45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D5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85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4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A2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D7B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0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E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4F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基础及主体工程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383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E6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35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F6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4D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8AC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B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C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9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010101004002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7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挖基坑土方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E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1.土壤类别:三、四类土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2.挖土深度:2m以内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3.人工开挖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6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9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53C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05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25F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D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6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E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010501003002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C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75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1.混凝土种类:现拌混凝土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C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FB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6F4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54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A727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4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D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E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010402002002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3E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砌块柱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1.砌块品种、规格、强度等级:标砖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2.墙体类型:24*24*50cm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3.砂浆强度等级:M7.5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5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4C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280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6A8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CBA1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A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9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3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010603003009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3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主立柱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8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1.钢材品种:热镀锌矩形钢材；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2.规格:100*100*3mm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0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A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27B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DF7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344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1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0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A90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E4EB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0F4A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E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00E0E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注：为记取规费等的使用，可在表中增设其中：“定额人工费”。</w:t>
            </w:r>
          </w:p>
        </w:tc>
      </w:tr>
      <w:tr w14:paraId="5607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2F7BB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04BC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90A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表-08</w:t>
            </w:r>
          </w:p>
        </w:tc>
      </w:tr>
      <w:tr w14:paraId="599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9094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DC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F0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2925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4A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工程名称：平略镇2025年鹅圈舍建设项目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8EB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标段：平略镇2025年鹅圈舍建设项目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3C2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3 页 共 4 页</w:t>
            </w:r>
          </w:p>
        </w:tc>
      </w:tr>
      <w:tr w14:paraId="246F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B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6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0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E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8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1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A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4408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40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95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D9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04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06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1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8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B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28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698F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3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4E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A7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D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9B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A8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9A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DE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4A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58B5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010604001006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E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钢梁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A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1.钢材品种、规格:热镀锌矩形钢材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2.规格型号:80*80*2.0mm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3.安装高度:5m以内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B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9C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6B5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F5E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367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5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D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010606002005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63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E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1.钢材品种:热镀锌矩形钢材；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2.规格:40*40*2mm；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3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90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831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D3D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1415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1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3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B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010507004002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1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台阶（砖砌台阶）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3D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1.踏步高、宽:0.3*0.16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2.混凝土强度等级:M5.0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7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24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35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5B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43E2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93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26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C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A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611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6C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BB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C1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F3C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690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6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4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9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C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玻璃钢漏粪板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7B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1、玻璃钢横梁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9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A0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42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3B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06B8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F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6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E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010901004002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B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漏粪网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8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1、漏粪板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2、规格：1*0.5m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6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ED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D7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6FA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9E6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B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9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7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011503001002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1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隔栏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CA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1、隔栏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2.不锈钢隔栏1m高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A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BA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062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51D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668C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B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5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6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60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摇膜器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3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1.名称;摇膜器、摇膜杆、摇膜固定杆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2、材质：韩式、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5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55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AA7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8E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98C3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1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C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6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7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无滴膜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01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1、规格：10丝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6D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1494.78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6D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81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22B6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7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A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C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1、规格：7.5mm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8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35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904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C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1F09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43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5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85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黑白膜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7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1、规格：10丝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E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F8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1044.77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3D9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7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8C06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2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1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E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010901002005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D3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型材屋面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4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1.型材品种、规格:彩钢板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2.金属檩条材料品种、规格:5mm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C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1749.16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FD0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AEA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66A7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2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C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010802002001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F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彩板门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92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1.门代号及洞口尺寸:M1521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2.门框或扇外围尺寸:彩钢板门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E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DF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DCB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760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0E2C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D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00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6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单价措施项目费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C6C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7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71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42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46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70A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1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0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2A9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9914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7B17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A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05414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注：为记取规费等的使用，可在表中增设其中：“定额人工费”。</w:t>
            </w:r>
          </w:p>
        </w:tc>
      </w:tr>
      <w:tr w14:paraId="4A2A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56305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6ADD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D0B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表-08</w:t>
            </w:r>
          </w:p>
        </w:tc>
      </w:tr>
      <w:tr w14:paraId="0F39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6D5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A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E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CFA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519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工程名称：平略镇2025年鹅圈舍建设项目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F9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标段：平略镇2025年鹅圈舍建设项目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1C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4 页 共 4 页</w:t>
            </w:r>
          </w:p>
        </w:tc>
      </w:tr>
      <w:tr w14:paraId="295E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4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C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2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1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A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2722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E5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18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5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F0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21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C7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4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0B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04A2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53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5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31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2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AB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4A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11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C1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B0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6E5B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3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041106001001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0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497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E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台．次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3C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11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79A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62F1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0014775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0ADB37E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A1F38CC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附件3：</w:t>
      </w:r>
    </w:p>
    <w:p w14:paraId="6C7C883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28"/>
          <w:szCs w:val="28"/>
        </w:rPr>
        <w:t>商务要求</w:t>
      </w:r>
    </w:p>
    <w:p w14:paraId="19FFE38A">
      <w:pPr>
        <w:spacing w:before="79" w:line="360" w:lineRule="auto"/>
        <w:ind w:left="638"/>
        <w:outlineLvl w:val="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z w:val="22"/>
          <w:szCs w:val="22"/>
        </w:rPr>
        <w:t>一、工期及地点</w:t>
      </w:r>
    </w:p>
    <w:p w14:paraId="655F3B8F">
      <w:pPr>
        <w:spacing w:before="115" w:line="360" w:lineRule="auto"/>
        <w:ind w:left="1196"/>
        <w:rPr>
          <w:rFonts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2"/>
          <w:szCs w:val="22"/>
        </w:rPr>
        <w:t>工期：</w:t>
      </w:r>
      <w:r>
        <w:rPr>
          <w:rFonts w:hint="eastAsia" w:ascii="宋体" w:hAnsi="宋体" w:eastAsia="宋体" w:cs="宋体"/>
          <w:color w:val="auto"/>
          <w:spacing w:val="-2"/>
          <w:sz w:val="22"/>
          <w:szCs w:val="22"/>
          <w:highlight w:val="none"/>
          <w:u w:val="single" w:color="auto"/>
          <w:lang w:eastAsia="zh-CN"/>
        </w:rPr>
        <w:t>合同签订后</w:t>
      </w:r>
      <w:r>
        <w:rPr>
          <w:rFonts w:hint="eastAsia" w:ascii="宋体" w:hAnsi="宋体" w:eastAsia="宋体" w:cs="宋体"/>
          <w:color w:val="auto"/>
          <w:spacing w:val="-2"/>
          <w:sz w:val="22"/>
          <w:szCs w:val="22"/>
          <w:highlight w:val="none"/>
          <w:u w:val="single" w:color="auto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pacing w:val="-2"/>
          <w:sz w:val="22"/>
          <w:szCs w:val="22"/>
          <w:highlight w:val="none"/>
          <w:u w:val="single" w:color="auto"/>
          <w:lang w:eastAsia="zh-CN"/>
        </w:rPr>
        <w:t>0天内完工</w:t>
      </w:r>
      <w:r>
        <w:rPr>
          <w:rFonts w:ascii="宋体" w:hAnsi="宋体" w:eastAsia="宋体" w:cs="宋体"/>
          <w:color w:val="auto"/>
          <w:spacing w:val="-2"/>
          <w:sz w:val="22"/>
          <w:szCs w:val="22"/>
          <w:highlight w:val="none"/>
          <w:u w:val="single" w:color="auto"/>
        </w:rPr>
        <w:t>（具体以双方合同详细约定）</w:t>
      </w:r>
    </w:p>
    <w:p w14:paraId="38D0E1DB">
      <w:pPr>
        <w:spacing w:before="233" w:line="360" w:lineRule="auto"/>
        <w:ind w:left="1114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2"/>
          <w:sz w:val="22"/>
          <w:szCs w:val="22"/>
        </w:rPr>
        <w:t>地点：</w:t>
      </w:r>
      <w:r>
        <w:rPr>
          <w:rFonts w:ascii="宋体" w:hAnsi="宋体" w:eastAsia="宋体" w:cs="宋体"/>
          <w:color w:val="auto"/>
          <w:spacing w:val="2"/>
          <w:sz w:val="22"/>
          <w:szCs w:val="22"/>
          <w:u w:val="single" w:color="auto"/>
        </w:rPr>
        <w:t>采购人指定地点。</w:t>
      </w:r>
    </w:p>
    <w:p w14:paraId="507141EB">
      <w:pPr>
        <w:spacing w:before="117" w:line="360" w:lineRule="auto"/>
        <w:ind w:left="638"/>
        <w:outlineLvl w:val="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pacing w:val="-1"/>
          <w:sz w:val="22"/>
          <w:szCs w:val="22"/>
        </w:rPr>
        <w:t>二、工程质量、施工安全文明要求</w:t>
      </w:r>
    </w:p>
    <w:p w14:paraId="3015897F">
      <w:pPr>
        <w:spacing w:before="116" w:line="360" w:lineRule="auto"/>
        <w:ind w:left="1117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-1"/>
          <w:sz w:val="22"/>
          <w:szCs w:val="22"/>
        </w:rPr>
        <w:t>工程质量：符合国家现行有关施工质量验收规范标准。</w:t>
      </w:r>
    </w:p>
    <w:p w14:paraId="160FE905">
      <w:pPr>
        <w:spacing w:before="113" w:line="360" w:lineRule="auto"/>
        <w:ind w:left="111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-1"/>
          <w:sz w:val="22"/>
          <w:szCs w:val="22"/>
        </w:rPr>
        <w:t>施工安全文明标准化：满足有关规范标准要求。</w:t>
      </w:r>
    </w:p>
    <w:p w14:paraId="60A52A0E">
      <w:pPr>
        <w:spacing w:before="117" w:line="360" w:lineRule="auto"/>
        <w:ind w:left="634"/>
        <w:outlineLvl w:val="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z w:val="22"/>
          <w:szCs w:val="22"/>
        </w:rPr>
        <w:t>三、付款方式</w:t>
      </w:r>
    </w:p>
    <w:p w14:paraId="3C82C799">
      <w:pPr>
        <w:spacing w:before="113" w:line="360" w:lineRule="auto"/>
        <w:ind w:left="656"/>
        <w:outlineLvl w:val="3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签订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后拨付30%启动资金，之后按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进度拨款(具体以双方合同详细约定为准)</w:t>
      </w:r>
    </w:p>
    <w:p w14:paraId="62817CEE">
      <w:pPr>
        <w:spacing w:before="113" w:line="360" w:lineRule="auto"/>
        <w:ind w:left="656"/>
        <w:outlineLvl w:val="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2"/>
          <w:szCs w:val="22"/>
        </w:rPr>
        <w:t>四、投标有效期</w:t>
      </w:r>
    </w:p>
    <w:p w14:paraId="50CDE64E">
      <w:pPr>
        <w:spacing w:before="115" w:line="360" w:lineRule="auto"/>
        <w:ind w:left="1115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pacing w:val="-3"/>
          <w:sz w:val="22"/>
          <w:szCs w:val="22"/>
          <w:lang w:val="en-US" w:eastAsia="zh-CN"/>
        </w:rPr>
        <w:t>6</w:t>
      </w:r>
      <w:r>
        <w:rPr>
          <w:rFonts w:ascii="宋体" w:hAnsi="宋体" w:eastAsia="宋体" w:cs="宋体"/>
          <w:color w:val="auto"/>
          <w:spacing w:val="-3"/>
          <w:sz w:val="22"/>
          <w:szCs w:val="22"/>
        </w:rPr>
        <w:t>0 日历天（从提交响应文件的截止之日起</w:t>
      </w:r>
      <w:r>
        <w:rPr>
          <w:rFonts w:ascii="宋体" w:hAnsi="宋体" w:eastAsia="宋体" w:cs="宋体"/>
          <w:color w:val="auto"/>
          <w:spacing w:val="-4"/>
          <w:sz w:val="22"/>
          <w:szCs w:val="22"/>
        </w:rPr>
        <w:t>算）。</w:t>
      </w:r>
      <w:bookmarkStart w:id="1" w:name="_GoBack"/>
      <w:bookmarkEnd w:id="1"/>
    </w:p>
    <w:p w14:paraId="2D539FEF">
      <w:pPr>
        <w:spacing w:before="112" w:line="360" w:lineRule="auto"/>
        <w:ind w:left="756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2"/>
          <w:szCs w:val="22"/>
          <w:lang w:val="en-US" w:eastAsia="zh-CN"/>
        </w:rPr>
        <w:t>五</w:t>
      </w:r>
      <w:r>
        <w:rPr>
          <w:rFonts w:ascii="宋体" w:hAnsi="宋体" w:eastAsia="宋体" w:cs="宋体"/>
          <w:b/>
          <w:bCs/>
          <w:color w:val="auto"/>
          <w:spacing w:val="-4"/>
          <w:sz w:val="22"/>
          <w:szCs w:val="22"/>
        </w:rPr>
        <w:t>、其他要求：</w:t>
      </w:r>
    </w:p>
    <w:p w14:paraId="3999516A">
      <w:pPr>
        <w:spacing w:before="117" w:line="360" w:lineRule="auto"/>
        <w:ind w:left="46" w:right="2" w:firstLine="667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1.投标供应商必须对本项目的全部内容进行报价，总报价不得超出本项目预算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。</w:t>
      </w:r>
    </w:p>
    <w:p w14:paraId="33CACD8B">
      <w:pPr>
        <w:spacing w:before="117" w:line="360" w:lineRule="auto"/>
        <w:ind w:left="46" w:right="2" w:firstLine="667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2.投标报价总价应包含人工费、材料费、机械费、管理费、利润、措施费、税金以及采用固定价格的项目所测算的风险金等全部费用。</w:t>
      </w:r>
    </w:p>
    <w:p w14:paraId="07B04039">
      <w:pPr>
        <w:spacing w:before="117" w:line="360" w:lineRule="auto"/>
        <w:ind w:left="46" w:right="2" w:firstLine="667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、采购清单表中未能详细说明或未说明到的部分，请供应商自行结合本项目特点，以满足采购人采购需求。</w:t>
      </w:r>
    </w:p>
    <w:p w14:paraId="0724A886">
      <w:pPr>
        <w:spacing w:line="360" w:lineRule="auto"/>
        <w:rPr>
          <w:rFonts w:ascii="Arial"/>
          <w:color w:val="auto"/>
          <w:sz w:val="20"/>
          <w:szCs w:val="22"/>
        </w:rPr>
      </w:pPr>
    </w:p>
    <w:p w14:paraId="118316EE">
      <w:pPr>
        <w:spacing w:before="78" w:line="360" w:lineRule="auto"/>
        <w:ind w:firstLine="434" w:firstLineChars="200"/>
        <w:rPr>
          <w:rFonts w:ascii="宋体" w:hAnsi="宋体" w:eastAsia="宋体" w:cs="宋体"/>
          <w:color w:val="auto"/>
          <w:sz w:val="22"/>
          <w:szCs w:val="22"/>
        </w:rPr>
      </w:pPr>
      <w:bookmarkStart w:id="0" w:name="bookmark9"/>
      <w:bookmarkEnd w:id="0"/>
      <w:r>
        <w:rPr>
          <w:rFonts w:ascii="宋体" w:hAnsi="宋体" w:eastAsia="宋体" w:cs="宋体"/>
          <w:b/>
          <w:bCs/>
          <w:color w:val="auto"/>
          <w:spacing w:val="-2"/>
          <w:sz w:val="22"/>
          <w:szCs w:val="22"/>
        </w:rPr>
        <w:t>注：其它未尽事宜，由采购人与成交供应商在签订采购合同时商定。</w:t>
      </w:r>
    </w:p>
    <w:p w14:paraId="033BFD80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</w:pPr>
    </w:p>
    <w:p w14:paraId="056E4723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  <w:t>附件4：</w:t>
      </w:r>
    </w:p>
    <w:p w14:paraId="01732B6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highlight w:val="none"/>
          <w:lang w:val="en-US" w:eastAsia="zh-CN"/>
        </w:rPr>
        <w:t>评分办法：</w:t>
      </w:r>
    </w:p>
    <w:p w14:paraId="5419C4C8">
      <w:pPr>
        <w:spacing w:before="264" w:line="360" w:lineRule="auto"/>
        <w:ind w:left="480"/>
        <w:rPr>
          <w:rFonts w:hint="eastAsia" w:ascii="宋体" w:hAnsi="宋体" w:eastAsiaTheme="minorEastAsia" w:cstheme="minorBidi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2"/>
          <w:szCs w:val="22"/>
          <w:highlight w:val="none"/>
          <w:lang w:val="zh-TW" w:eastAsia="zh-CN" w:bidi="ar"/>
        </w:rPr>
        <w:t>本项目采用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22"/>
          <w:szCs w:val="22"/>
          <w:u w:val="single" w:color="auto"/>
        </w:rPr>
        <w:t>综合评分法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2"/>
          <w:szCs w:val="22"/>
          <w:highlight w:val="none"/>
          <w:lang w:val="zh-TW" w:eastAsia="zh-CN" w:bidi="ar"/>
        </w:rPr>
        <w:t>进行评审。</w:t>
      </w:r>
    </w:p>
    <w:p w14:paraId="595AE7A0">
      <w:pPr>
        <w:spacing w:line="360" w:lineRule="auto"/>
        <w:ind w:firstLine="434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2"/>
          <w:szCs w:val="22"/>
          <w:lang w:val="en-US" w:eastAsia="zh-CN"/>
        </w:rPr>
        <w:t>特别说明：本公示内容仅为采购人对本项目的需求公示，具体内容以最终招标文件为准！</w:t>
      </w:r>
      <w:r>
        <w:rPr>
          <w:rFonts w:hint="eastAsia"/>
          <w:color w:val="auto"/>
          <w:sz w:val="18"/>
          <w:szCs w:val="21"/>
          <w:highlight w:val="none"/>
        </w:rPr>
        <w:t xml:space="preserve">                     </w:t>
      </w:r>
      <w:r>
        <w:rPr>
          <w:rFonts w:hint="eastAsia"/>
          <w:color w:val="auto"/>
          <w:sz w:val="18"/>
          <w:szCs w:val="21"/>
        </w:rPr>
        <w:t xml:space="preserve">                     </w:t>
      </w:r>
      <w:r>
        <w:rPr>
          <w:rFonts w:hint="eastAsia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EFA48">
    <w:pPr>
      <w:spacing w:line="167" w:lineRule="auto"/>
      <w:ind w:left="44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mQxYTI3YTRkNDY3MDY4YTlmOTI3ZjYzYjg0OTAifQ=="/>
  </w:docVars>
  <w:rsids>
    <w:rsidRoot w:val="00000000"/>
    <w:rsid w:val="00577718"/>
    <w:rsid w:val="01F44E44"/>
    <w:rsid w:val="02111B48"/>
    <w:rsid w:val="03015719"/>
    <w:rsid w:val="038A570F"/>
    <w:rsid w:val="047D5273"/>
    <w:rsid w:val="053711DF"/>
    <w:rsid w:val="059E1945"/>
    <w:rsid w:val="06E8731C"/>
    <w:rsid w:val="07966D78"/>
    <w:rsid w:val="08E722B0"/>
    <w:rsid w:val="091A12E3"/>
    <w:rsid w:val="0A157CFC"/>
    <w:rsid w:val="0B41524D"/>
    <w:rsid w:val="0B6D171A"/>
    <w:rsid w:val="0BCB4B16"/>
    <w:rsid w:val="0C2A7A8F"/>
    <w:rsid w:val="0EFB3964"/>
    <w:rsid w:val="0FBD6854"/>
    <w:rsid w:val="11D17067"/>
    <w:rsid w:val="13B14F39"/>
    <w:rsid w:val="142C636E"/>
    <w:rsid w:val="158C3568"/>
    <w:rsid w:val="159D7523"/>
    <w:rsid w:val="15BE5396"/>
    <w:rsid w:val="15E6711C"/>
    <w:rsid w:val="162714E3"/>
    <w:rsid w:val="171C580E"/>
    <w:rsid w:val="18BC25F8"/>
    <w:rsid w:val="1C1D316C"/>
    <w:rsid w:val="1C9F2658"/>
    <w:rsid w:val="1D05465C"/>
    <w:rsid w:val="1E374D25"/>
    <w:rsid w:val="20711CD8"/>
    <w:rsid w:val="250F7D12"/>
    <w:rsid w:val="253E5420"/>
    <w:rsid w:val="2542578D"/>
    <w:rsid w:val="254E083A"/>
    <w:rsid w:val="279938C3"/>
    <w:rsid w:val="28F72F97"/>
    <w:rsid w:val="29051210"/>
    <w:rsid w:val="2B006133"/>
    <w:rsid w:val="2B157EB1"/>
    <w:rsid w:val="2B577D1D"/>
    <w:rsid w:val="2C383E45"/>
    <w:rsid w:val="2C3B7D6B"/>
    <w:rsid w:val="2C46307E"/>
    <w:rsid w:val="2C673F8F"/>
    <w:rsid w:val="2C7F577D"/>
    <w:rsid w:val="2CAB3D8E"/>
    <w:rsid w:val="2DE74165"/>
    <w:rsid w:val="2E752F3D"/>
    <w:rsid w:val="2EB536D8"/>
    <w:rsid w:val="2F3E7229"/>
    <w:rsid w:val="31751164"/>
    <w:rsid w:val="32430FFB"/>
    <w:rsid w:val="327170E2"/>
    <w:rsid w:val="32827D75"/>
    <w:rsid w:val="32963820"/>
    <w:rsid w:val="33373B9F"/>
    <w:rsid w:val="339E473B"/>
    <w:rsid w:val="346651AF"/>
    <w:rsid w:val="351A6043"/>
    <w:rsid w:val="36176FE3"/>
    <w:rsid w:val="36C344B8"/>
    <w:rsid w:val="374619D8"/>
    <w:rsid w:val="378123A9"/>
    <w:rsid w:val="382A0C93"/>
    <w:rsid w:val="385C2537"/>
    <w:rsid w:val="390D6D54"/>
    <w:rsid w:val="39462149"/>
    <w:rsid w:val="3A1A6AE5"/>
    <w:rsid w:val="3C6329C5"/>
    <w:rsid w:val="3D74650C"/>
    <w:rsid w:val="3EC5425B"/>
    <w:rsid w:val="3EE424A2"/>
    <w:rsid w:val="40FA4F7A"/>
    <w:rsid w:val="410A340F"/>
    <w:rsid w:val="41344930"/>
    <w:rsid w:val="463B406B"/>
    <w:rsid w:val="46813382"/>
    <w:rsid w:val="474D4056"/>
    <w:rsid w:val="47946129"/>
    <w:rsid w:val="48272AF9"/>
    <w:rsid w:val="48B14AB8"/>
    <w:rsid w:val="49C10D2B"/>
    <w:rsid w:val="49EB7B56"/>
    <w:rsid w:val="4A955942"/>
    <w:rsid w:val="4AAF456D"/>
    <w:rsid w:val="4C653BF0"/>
    <w:rsid w:val="4C9E2765"/>
    <w:rsid w:val="4D3D3272"/>
    <w:rsid w:val="4E2E1C57"/>
    <w:rsid w:val="4EB828B8"/>
    <w:rsid w:val="4EFD171B"/>
    <w:rsid w:val="505F7AED"/>
    <w:rsid w:val="514C35D0"/>
    <w:rsid w:val="53F73DAF"/>
    <w:rsid w:val="561F3061"/>
    <w:rsid w:val="56BC6B02"/>
    <w:rsid w:val="57062473"/>
    <w:rsid w:val="574110AD"/>
    <w:rsid w:val="578A4E52"/>
    <w:rsid w:val="58FE2252"/>
    <w:rsid w:val="5C436749"/>
    <w:rsid w:val="5D0D05F6"/>
    <w:rsid w:val="5D8C0685"/>
    <w:rsid w:val="5DAD370B"/>
    <w:rsid w:val="5DEF0382"/>
    <w:rsid w:val="5ED35331"/>
    <w:rsid w:val="5F8D54E0"/>
    <w:rsid w:val="624043D3"/>
    <w:rsid w:val="62DD7DCD"/>
    <w:rsid w:val="63882C81"/>
    <w:rsid w:val="639130C5"/>
    <w:rsid w:val="65E47E23"/>
    <w:rsid w:val="669730E8"/>
    <w:rsid w:val="66CA0DC7"/>
    <w:rsid w:val="6A6E4160"/>
    <w:rsid w:val="6B3C39BF"/>
    <w:rsid w:val="6DD469CF"/>
    <w:rsid w:val="6F1E4CCD"/>
    <w:rsid w:val="6F887A72"/>
    <w:rsid w:val="728D7BB4"/>
    <w:rsid w:val="73734595"/>
    <w:rsid w:val="73E30537"/>
    <w:rsid w:val="74B60BDD"/>
    <w:rsid w:val="74F26857"/>
    <w:rsid w:val="757F36C5"/>
    <w:rsid w:val="76065B94"/>
    <w:rsid w:val="770C0F88"/>
    <w:rsid w:val="7716514B"/>
    <w:rsid w:val="77664B3C"/>
    <w:rsid w:val="77C1415C"/>
    <w:rsid w:val="79841211"/>
    <w:rsid w:val="79F521A7"/>
    <w:rsid w:val="7BA11AE9"/>
    <w:rsid w:val="7C3F770A"/>
    <w:rsid w:val="7C975798"/>
    <w:rsid w:val="7CCD1A38"/>
    <w:rsid w:val="7E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rFonts w:eastAsia="黑体"/>
      <w:bCs/>
      <w:kern w:val="0"/>
      <w:sz w:val="24"/>
      <w:szCs w:val="32"/>
    </w:rPr>
  </w:style>
  <w:style w:type="paragraph" w:styleId="4">
    <w:name w:val="heading 4"/>
    <w:basedOn w:val="1"/>
    <w:next w:val="1"/>
    <w:link w:val="21"/>
    <w:qFormat/>
    <w:uiPriority w:val="0"/>
    <w:pPr>
      <w:numPr>
        <w:ilvl w:val="3"/>
        <w:numId w:val="1"/>
      </w:num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snapToGrid w:val="0"/>
      <w:color w:val="000000"/>
      <w:kern w:val="0"/>
      <w:sz w:val="20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jc w:val="center"/>
    </w:pPr>
    <w:rPr>
      <w:b/>
      <w:bCs/>
      <w:sz w:val="28"/>
    </w:rPr>
  </w:style>
  <w:style w:type="paragraph" w:styleId="6">
    <w:name w:val="Body Text First Indent"/>
    <w:basedOn w:val="1"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line="360" w:lineRule="auto"/>
      <w:ind w:left="-103" w:firstLine="515"/>
    </w:pPr>
    <w:rPr>
      <w:rFonts w:ascii="宋体"/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0">
    <w:name w:val="Body Text 2"/>
    <w:basedOn w:val="1"/>
    <w:unhideWhenUsed/>
    <w:qFormat/>
    <w:uiPriority w:val="99"/>
    <w:pPr>
      <w:spacing w:line="480" w:lineRule="auto"/>
    </w:pPr>
    <w:rPr>
      <w:rFonts w:ascii="Calibri" w:hAnsi="Calibri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3">
    <w:name w:val="Body Text First Indent 2"/>
    <w:basedOn w:val="7"/>
    <w:qFormat/>
    <w:uiPriority w:val="0"/>
    <w:pPr>
      <w:spacing w:after="120" w:afterLines="0" w:line="240" w:lineRule="auto"/>
      <w:ind w:left="420" w:leftChars="200" w:firstLine="420" w:firstLineChars="200"/>
    </w:pPr>
    <w:rPr>
      <w:rFonts w:ascii="Times New Roman"/>
      <w:sz w:val="21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none"/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paragraph" w:customStyle="1" w:styleId="19">
    <w:name w:val="BodyText"/>
    <w:basedOn w:val="1"/>
    <w:next w:val="9"/>
    <w:qFormat/>
    <w:uiPriority w:val="0"/>
    <w:pPr>
      <w:jc w:val="center"/>
      <w:textAlignment w:val="baseline"/>
    </w:pPr>
    <w:rPr>
      <w:rFonts w:cs="Times New Roman"/>
      <w:b/>
      <w:bCs/>
      <w:kern w:val="2"/>
      <w:sz w:val="28"/>
      <w:szCs w:val="24"/>
      <w:lang w:val="en-US" w:eastAsia="zh-CN" w:bidi="ar-SA"/>
    </w:rPr>
  </w:style>
  <w:style w:type="paragraph" w:customStyle="1" w:styleId="20">
    <w:name w:val="Table Paragraph"/>
    <w:basedOn w:val="1"/>
    <w:qFormat/>
    <w:uiPriority w:val="0"/>
    <w:rPr>
      <w:sz w:val="24"/>
      <w:szCs w:val="24"/>
    </w:rPr>
  </w:style>
  <w:style w:type="character" w:customStyle="1" w:styleId="21">
    <w:name w:val="标题 4 字符"/>
    <w:link w:val="4"/>
    <w:qFormat/>
    <w:uiPriority w:val="0"/>
    <w:rPr>
      <w:rFonts w:ascii="宋体" w:hAnsi="Arial"/>
      <w:snapToGrid w:val="0"/>
      <w:color w:val="000000"/>
      <w:kern w:val="0"/>
      <w:sz w:val="20"/>
      <w:szCs w:val="20"/>
    </w:rPr>
  </w:style>
  <w:style w:type="character" w:customStyle="1" w:styleId="2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UserStyle_1"/>
    <w:basedOn w:val="1"/>
    <w:qFormat/>
    <w:uiPriority w:val="0"/>
    <w:pPr>
      <w:widowControl/>
      <w:spacing w:line="276" w:lineRule="auto"/>
      <w:ind w:firstLine="420" w:firstLineChars="200"/>
      <w:jc w:val="left"/>
      <w:textAlignment w:val="baseline"/>
    </w:pPr>
    <w:rPr>
      <w:rFonts w:ascii="Perpetua" w:hAnsi="Perpetua"/>
      <w:color w:val="000000"/>
      <w:kern w:val="0"/>
      <w:sz w:val="22"/>
      <w:szCs w:val="24"/>
      <w:lang w:val="en-US" w:eastAsia="zh-CN" w:bidi="ar-SA"/>
    </w:rPr>
  </w:style>
  <w:style w:type="character" w:customStyle="1" w:styleId="26">
    <w:name w:val="正文文本_"/>
    <w:link w:val="27"/>
    <w:unhideWhenUsed/>
    <w:qFormat/>
    <w:uiPriority w:val="99"/>
    <w:rPr>
      <w:rFonts w:ascii="宋体" w:hAnsi="宋体" w:eastAsia="宋体"/>
      <w:sz w:val="28"/>
    </w:rPr>
  </w:style>
  <w:style w:type="paragraph" w:customStyle="1" w:styleId="27">
    <w:name w:val="正文文本1"/>
    <w:basedOn w:val="1"/>
    <w:link w:val="26"/>
    <w:unhideWhenUsed/>
    <w:qFormat/>
    <w:uiPriority w:val="99"/>
    <w:pPr>
      <w:shd w:val="clear" w:color="auto" w:fill="FFFFFF"/>
      <w:spacing w:line="725" w:lineRule="exact"/>
      <w:jc w:val="center"/>
    </w:pPr>
    <w:rPr>
      <w:rFonts w:ascii="宋体" w:hAnsi="宋体" w:eastAsia="宋体"/>
      <w:sz w:val="28"/>
    </w:rPr>
  </w:style>
  <w:style w:type="paragraph" w:customStyle="1" w:styleId="28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Body text|1"/>
    <w:basedOn w:val="1"/>
    <w:qFormat/>
    <w:uiPriority w:val="0"/>
    <w:pPr>
      <w:widowControl w:val="0"/>
      <w:shd w:val="clear" w:color="auto" w:fill="auto"/>
      <w:spacing w:after="100" w:line="293" w:lineRule="auto"/>
      <w:ind w:firstLine="200"/>
    </w:pPr>
    <w:rPr>
      <w:rFonts w:ascii="宋体" w:hAnsi="宋体" w:eastAsia="宋体" w:cs="宋体"/>
      <w:sz w:val="22"/>
      <w:szCs w:val="22"/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2894</Words>
  <Characters>3684</Characters>
  <Lines>0</Lines>
  <Paragraphs>0</Paragraphs>
  <TotalTime>0</TotalTime>
  <ScaleCrop>false</ScaleCrop>
  <LinksUpToDate>false</LinksUpToDate>
  <CharactersWithSpaces>3790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2021-01-12T02:24:00Z</dcterms:created>
  <dc:creator>Administrator</dc:creator>
  <cp:lastModifiedBy>/mg红＊＊叶</cp:lastModifiedBy>
  <dcterms:modified xsi:type="dcterms:W3CDTF">2025-07-14T06:23:37Z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72FFB8DA99F443D5A8C79511642BD074</vt:lpwstr>
  </property>
  <property fmtid="{D5CDD505-2E9C-101B-9397-08002B2CF9AE}" pid="4" name="KSOTemplateDocerSaveRecord">
    <vt:lpwstr>eyJoZGlkIjoiY2ExMjhhNTRmYjcxYmY5YzYyYjQwMmVjMTgzMjRjZjAiLCJ1c2VySWQiOiIzODk5NTUyMjMifQ==</vt:lpwstr>
  </property>
</Properties>
</file>