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79389"/>
    <w:p w14:paraId="51E2417B"/>
    <w:p w14:paraId="2724552F"/>
    <w:p w14:paraId="5A50DA85">
      <w:pPr>
        <w:jc w:val="center"/>
        <w:rPr>
          <w:rFonts w:hint="eastAsia"/>
          <w:b/>
          <w:bCs/>
          <w:sz w:val="44"/>
          <w:szCs w:val="52"/>
          <w:lang w:eastAsia="zh-CN"/>
        </w:rPr>
      </w:pPr>
      <w:r>
        <w:rPr>
          <w:rFonts w:hint="eastAsia"/>
          <w:b/>
          <w:bCs/>
          <w:sz w:val="44"/>
          <w:szCs w:val="52"/>
          <w:lang w:eastAsia="zh-CN"/>
        </w:rPr>
        <w:t>黔南州（福泉市）2024年中央林业草原改革发展资金其他国土绿化补助项目</w:t>
      </w:r>
    </w:p>
    <w:p w14:paraId="13408907">
      <w:pPr>
        <w:ind w:firstLine="1044" w:firstLineChars="200"/>
        <w:rPr>
          <w:rFonts w:hint="eastAsia"/>
          <w:b/>
          <w:bCs/>
          <w:sz w:val="52"/>
          <w:szCs w:val="72"/>
          <w:lang w:eastAsia="zh-CN"/>
        </w:rPr>
      </w:pPr>
    </w:p>
    <w:p w14:paraId="6FC8245B">
      <w:pPr>
        <w:ind w:firstLine="1044" w:firstLineChars="200"/>
        <w:rPr>
          <w:rFonts w:hint="eastAsia"/>
          <w:b/>
          <w:bCs/>
          <w:sz w:val="52"/>
          <w:szCs w:val="72"/>
          <w:lang w:eastAsia="zh-CN"/>
        </w:rPr>
      </w:pPr>
    </w:p>
    <w:p w14:paraId="4B60FCD6">
      <w:pPr>
        <w:pStyle w:val="5"/>
        <w:rPr>
          <w:rFonts w:hint="eastAsia"/>
          <w:b/>
          <w:bCs/>
          <w:sz w:val="52"/>
          <w:szCs w:val="72"/>
          <w:lang w:eastAsia="zh-CN"/>
        </w:rPr>
      </w:pPr>
    </w:p>
    <w:p w14:paraId="7D2019AD">
      <w:pPr>
        <w:pStyle w:val="5"/>
        <w:rPr>
          <w:rFonts w:hint="eastAsia"/>
          <w:b/>
          <w:bCs/>
          <w:sz w:val="52"/>
          <w:szCs w:val="72"/>
          <w:lang w:eastAsia="zh-CN"/>
        </w:rPr>
      </w:pPr>
    </w:p>
    <w:p w14:paraId="4851696B">
      <w:pPr>
        <w:jc w:val="center"/>
        <w:rPr>
          <w:rFonts w:hint="eastAsia"/>
          <w:b/>
          <w:bCs/>
          <w:sz w:val="56"/>
          <w:szCs w:val="96"/>
          <w:lang w:eastAsia="zh-CN"/>
        </w:rPr>
      </w:pPr>
      <w:r>
        <w:rPr>
          <w:rFonts w:hint="eastAsia"/>
          <w:b/>
          <w:bCs/>
          <w:sz w:val="56"/>
          <w:szCs w:val="96"/>
          <w:lang w:eastAsia="zh-CN"/>
        </w:rPr>
        <w:t>采购需求公示</w:t>
      </w:r>
    </w:p>
    <w:p w14:paraId="627902C3">
      <w:pPr>
        <w:jc w:val="center"/>
        <w:rPr>
          <w:rFonts w:hint="default"/>
          <w:b/>
          <w:bCs/>
          <w:sz w:val="52"/>
          <w:szCs w:val="72"/>
          <w:lang w:val="en-US" w:eastAsia="zh-CN"/>
        </w:rPr>
      </w:pPr>
      <w:r>
        <w:rPr>
          <w:rFonts w:hint="eastAsia"/>
          <w:b w:val="0"/>
          <w:bCs w:val="0"/>
          <w:sz w:val="28"/>
          <w:szCs w:val="36"/>
          <w:lang w:eastAsia="zh-CN"/>
        </w:rPr>
        <w:t>项目编号：HHJS-2025-011</w:t>
      </w:r>
    </w:p>
    <w:p w14:paraId="3AE1FD18">
      <w:pPr>
        <w:ind w:firstLine="1044" w:firstLineChars="200"/>
        <w:rPr>
          <w:rFonts w:hint="eastAsia"/>
          <w:b/>
          <w:bCs/>
          <w:sz w:val="52"/>
          <w:szCs w:val="72"/>
          <w:lang w:val="en-US" w:eastAsia="zh-CN"/>
        </w:rPr>
      </w:pPr>
    </w:p>
    <w:p w14:paraId="1FBC87A6">
      <w:pPr>
        <w:ind w:firstLine="1044" w:firstLineChars="200"/>
        <w:rPr>
          <w:rFonts w:hint="eastAsia"/>
          <w:b/>
          <w:bCs/>
          <w:sz w:val="52"/>
          <w:szCs w:val="72"/>
          <w:lang w:val="en-US" w:eastAsia="zh-CN"/>
        </w:rPr>
      </w:pPr>
    </w:p>
    <w:p w14:paraId="55D21474">
      <w:pPr>
        <w:pStyle w:val="5"/>
        <w:rPr>
          <w:rFonts w:hint="eastAsia"/>
          <w:b/>
          <w:bCs/>
          <w:sz w:val="52"/>
          <w:szCs w:val="72"/>
          <w:lang w:val="en-US" w:eastAsia="zh-CN"/>
        </w:rPr>
      </w:pPr>
    </w:p>
    <w:p w14:paraId="574BE86F">
      <w:pPr>
        <w:ind w:firstLine="562" w:firstLineChars="200"/>
        <w:rPr>
          <w:rFonts w:hint="eastAsia"/>
          <w:b/>
          <w:bCs/>
          <w:sz w:val="28"/>
          <w:szCs w:val="36"/>
          <w:lang w:eastAsia="zh-CN"/>
        </w:rPr>
      </w:pPr>
    </w:p>
    <w:p w14:paraId="5FDB2F66">
      <w:pPr>
        <w:ind w:firstLine="1687" w:firstLineChars="600"/>
        <w:jc w:val="both"/>
        <w:rPr>
          <w:rFonts w:hint="eastAsia"/>
          <w:b/>
          <w:bCs/>
          <w:sz w:val="28"/>
          <w:szCs w:val="36"/>
          <w:lang w:eastAsia="zh-CN"/>
        </w:rPr>
      </w:pPr>
      <w:r>
        <w:rPr>
          <w:rFonts w:hint="eastAsia"/>
          <w:b/>
          <w:bCs/>
          <w:sz w:val="28"/>
          <w:szCs w:val="36"/>
          <w:lang w:eastAsia="zh-CN"/>
        </w:rPr>
        <w:t>采</w:t>
      </w:r>
      <w:r>
        <w:rPr>
          <w:rFonts w:hint="eastAsia"/>
          <w:b/>
          <w:bCs/>
          <w:sz w:val="28"/>
          <w:szCs w:val="36"/>
          <w:lang w:val="en-US" w:eastAsia="zh-CN"/>
        </w:rPr>
        <w:t xml:space="preserve"> </w:t>
      </w:r>
      <w:r>
        <w:rPr>
          <w:rFonts w:hint="eastAsia"/>
          <w:b/>
          <w:bCs/>
          <w:sz w:val="28"/>
          <w:szCs w:val="36"/>
          <w:lang w:eastAsia="zh-CN"/>
        </w:rPr>
        <w:t>购</w:t>
      </w:r>
      <w:r>
        <w:rPr>
          <w:rFonts w:hint="eastAsia"/>
          <w:b/>
          <w:bCs/>
          <w:sz w:val="28"/>
          <w:szCs w:val="36"/>
          <w:lang w:val="en-US" w:eastAsia="zh-CN"/>
        </w:rPr>
        <w:t xml:space="preserve"> </w:t>
      </w:r>
      <w:r>
        <w:rPr>
          <w:rFonts w:hint="eastAsia"/>
          <w:b/>
          <w:bCs/>
          <w:sz w:val="28"/>
          <w:szCs w:val="36"/>
          <w:lang w:eastAsia="zh-CN"/>
        </w:rPr>
        <w:t>人：福泉市林业局</w:t>
      </w:r>
    </w:p>
    <w:p w14:paraId="20A84100">
      <w:pPr>
        <w:ind w:firstLine="1687" w:firstLineChars="600"/>
        <w:jc w:val="both"/>
        <w:rPr>
          <w:rFonts w:hint="eastAsia"/>
          <w:b/>
          <w:bCs/>
          <w:sz w:val="28"/>
          <w:szCs w:val="36"/>
          <w:lang w:eastAsia="zh-CN"/>
        </w:rPr>
      </w:pPr>
      <w:r>
        <w:rPr>
          <w:rFonts w:hint="eastAsia"/>
          <w:b/>
          <w:bCs/>
          <w:sz w:val="28"/>
          <w:szCs w:val="36"/>
          <w:lang w:eastAsia="zh-CN"/>
        </w:rPr>
        <w:t>代理机构：贵州辉桦建设工程咨询有限公司</w:t>
      </w:r>
    </w:p>
    <w:p w14:paraId="40043A3E">
      <w:pPr>
        <w:rPr>
          <w:rFonts w:hint="eastAsia"/>
          <w:b/>
          <w:bCs/>
          <w:sz w:val="28"/>
          <w:szCs w:val="36"/>
          <w:lang w:eastAsia="zh-CN"/>
        </w:rPr>
      </w:pPr>
    </w:p>
    <w:p w14:paraId="4F67C0A2">
      <w:pPr>
        <w:ind w:firstLine="2249" w:firstLineChars="800"/>
        <w:rPr>
          <w:rFonts w:hint="eastAsia"/>
          <w:b/>
          <w:bCs/>
          <w:sz w:val="28"/>
          <w:szCs w:val="36"/>
          <w:lang w:eastAsia="zh-CN"/>
        </w:rPr>
      </w:pPr>
      <w:r>
        <w:rPr>
          <w:rFonts w:hint="eastAsia"/>
          <w:b/>
          <w:bCs/>
          <w:sz w:val="28"/>
          <w:szCs w:val="36"/>
          <w:lang w:eastAsia="zh-CN"/>
        </w:rPr>
        <w:t>日    期：</w:t>
      </w:r>
      <w:r>
        <w:rPr>
          <w:rFonts w:hint="eastAsia"/>
          <w:b/>
          <w:bCs/>
          <w:sz w:val="28"/>
          <w:szCs w:val="36"/>
          <w:lang w:val="en-US" w:eastAsia="zh-CN"/>
        </w:rPr>
        <w:t>2025</w:t>
      </w:r>
      <w:r>
        <w:rPr>
          <w:rFonts w:hint="eastAsia"/>
          <w:b/>
          <w:bCs/>
          <w:sz w:val="28"/>
          <w:szCs w:val="36"/>
          <w:lang w:eastAsia="zh-CN"/>
        </w:rPr>
        <w:t>年</w:t>
      </w:r>
      <w:r>
        <w:rPr>
          <w:rFonts w:hint="eastAsia"/>
          <w:b/>
          <w:bCs/>
          <w:sz w:val="28"/>
          <w:szCs w:val="36"/>
          <w:lang w:val="en-US" w:eastAsia="zh-CN"/>
        </w:rPr>
        <w:t>08</w:t>
      </w:r>
      <w:r>
        <w:rPr>
          <w:rFonts w:hint="eastAsia"/>
          <w:b/>
          <w:bCs/>
          <w:sz w:val="28"/>
          <w:szCs w:val="36"/>
          <w:lang w:eastAsia="zh-CN"/>
        </w:rPr>
        <w:t>月</w:t>
      </w:r>
    </w:p>
    <w:p w14:paraId="7DE1DCDC">
      <w:pPr>
        <w:pStyle w:val="15"/>
        <w:autoSpaceDE w:val="0"/>
        <w:autoSpaceDN w:val="0"/>
        <w:spacing w:before="0" w:beforeAutospacing="0" w:after="0" w:afterAutospacing="0" w:line="360" w:lineRule="auto"/>
        <w:ind w:left="0" w:leftChars="0" w:right="3257" w:firstLine="0" w:firstLineChars="0"/>
        <w:jc w:val="center"/>
        <w:rPr>
          <w:rFonts w:hint="eastAsia" w:asciiTheme="minorEastAsia" w:hAnsiTheme="minorEastAsia" w:cstheme="minorEastAsia"/>
          <w:b/>
          <w:bCs/>
          <w:sz w:val="36"/>
          <w:szCs w:val="36"/>
          <w:lang w:val="en-US" w:eastAsia="zh-CN"/>
        </w:rPr>
      </w:pPr>
      <w:bookmarkStart w:id="0" w:name="_Hlk528874125"/>
      <w:r>
        <w:rPr>
          <w:rFonts w:hint="eastAsia" w:asciiTheme="minorEastAsia" w:hAnsi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供应商资格要求</w:t>
      </w:r>
    </w:p>
    <w:p w14:paraId="11DC5702">
      <w:pPr>
        <w:pStyle w:val="15"/>
        <w:autoSpaceDE w:val="0"/>
        <w:autoSpaceDN w:val="0"/>
        <w:spacing w:before="0" w:beforeAutospacing="0" w:after="0" w:afterAutospacing="0" w:line="360" w:lineRule="auto"/>
        <w:ind w:left="0" w:leftChars="0" w:right="3257" w:firstLine="0" w:firstLineChars="0"/>
        <w:jc w:val="left"/>
        <w:rPr>
          <w:rFonts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（1）一般资格要求</w:t>
      </w:r>
      <w:bookmarkEnd w:id="0"/>
    </w:p>
    <w:p w14:paraId="40F39574">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1）符合《中华人民共和国政府采购法》第二十二条及《中华人民共和国政府采购法实施条例》第十七条之规定：</w:t>
      </w:r>
    </w:p>
    <w:p w14:paraId="34CD18C2">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①具有独立承担民事责任的能力</w:t>
      </w:r>
      <w:r>
        <w:rPr>
          <w:rFonts w:hint="eastAsia" w:ascii="仿宋" w:hAnsi="仿宋" w:eastAsia="仿宋" w:cs="仿宋"/>
          <w:sz w:val="28"/>
          <w:szCs w:val="28"/>
          <w:shd w:val="clear" w:color="auto" w:fill="FFFFFF"/>
          <w:lang w:eastAsia="zh-CN"/>
        </w:rPr>
        <w:t>：提供法人或其他组织的营业执照等证明文件</w:t>
      </w:r>
      <w:r>
        <w:rPr>
          <w:rFonts w:hint="eastAsia" w:ascii="仿宋" w:hAnsi="仿宋" w:eastAsia="仿宋" w:cs="仿宋"/>
          <w:sz w:val="28"/>
          <w:szCs w:val="28"/>
          <w:shd w:val="clear" w:color="auto" w:fill="FFFFFF"/>
        </w:rPr>
        <w:t>；</w:t>
      </w:r>
    </w:p>
    <w:p w14:paraId="52B07D65">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②</w:t>
      </w:r>
      <w:r>
        <w:rPr>
          <w:rFonts w:hint="eastAsia" w:ascii="仿宋" w:hAnsi="仿宋" w:eastAsia="仿宋" w:cs="仿宋"/>
          <w:sz w:val="28"/>
          <w:szCs w:val="28"/>
          <w:shd w:val="clear" w:color="auto" w:fill="FFFFFF"/>
          <w:lang w:eastAsia="zh-CN"/>
        </w:rPr>
        <w:t>提供“经审计2023年或2024年度的财务报告”复印件或2025年“基本开户银行出具的资信证明”复印件</w:t>
      </w:r>
      <w:r>
        <w:rPr>
          <w:rFonts w:hint="eastAsia" w:ascii="仿宋" w:hAnsi="仿宋" w:eastAsia="仿宋" w:cs="仿宋"/>
          <w:sz w:val="28"/>
          <w:szCs w:val="28"/>
          <w:shd w:val="clear" w:color="auto" w:fill="FFFFFF"/>
        </w:rPr>
        <w:t>；</w:t>
      </w:r>
    </w:p>
    <w:p w14:paraId="477AEB23">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③具有履行合同所必需的设备和专业技术能力</w:t>
      </w:r>
      <w:r>
        <w:rPr>
          <w:rFonts w:hint="eastAsia" w:ascii="仿宋" w:hAnsi="仿宋" w:eastAsia="仿宋" w:cs="仿宋"/>
          <w:sz w:val="28"/>
          <w:szCs w:val="28"/>
          <w:shd w:val="clear" w:color="auto" w:fill="FFFFFF"/>
          <w:lang w:eastAsia="zh-CN"/>
        </w:rPr>
        <w:t>：提供具备履行合同所必需的设备和专业技术能力的承诺函复印件（格式自拟）</w:t>
      </w:r>
      <w:r>
        <w:rPr>
          <w:rFonts w:hint="eastAsia" w:ascii="仿宋" w:hAnsi="仿宋" w:eastAsia="仿宋" w:cs="仿宋"/>
          <w:sz w:val="28"/>
          <w:szCs w:val="28"/>
          <w:shd w:val="clear" w:color="auto" w:fill="FFFFFF"/>
        </w:rPr>
        <w:t>；</w:t>
      </w:r>
    </w:p>
    <w:p w14:paraId="7FA93CC3">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④具有依法缴纳税收和社会保障资金的良好记录</w:t>
      </w:r>
      <w:r>
        <w:rPr>
          <w:rFonts w:hint="eastAsia" w:ascii="仿宋" w:hAnsi="仿宋" w:eastAsia="仿宋" w:cs="仿宋"/>
          <w:sz w:val="28"/>
          <w:szCs w:val="28"/>
          <w:shd w:val="clear" w:color="auto" w:fill="FFFFFF"/>
          <w:lang w:eastAsia="zh-CN"/>
        </w:rPr>
        <w:t>：提供202</w:t>
      </w:r>
      <w:r>
        <w:rPr>
          <w:rFonts w:hint="eastAsia" w:ascii="仿宋" w:hAnsi="仿宋" w:eastAsia="仿宋" w:cs="仿宋"/>
          <w:sz w:val="28"/>
          <w:szCs w:val="28"/>
          <w:shd w:val="clear" w:color="auto" w:fill="FFFFFF"/>
          <w:lang w:val="en-US" w:eastAsia="zh-CN"/>
        </w:rPr>
        <w:t>4</w:t>
      </w:r>
      <w:r>
        <w:rPr>
          <w:rFonts w:hint="eastAsia" w:ascii="仿宋" w:hAnsi="仿宋" w:eastAsia="仿宋" w:cs="仿宋"/>
          <w:sz w:val="28"/>
          <w:szCs w:val="28"/>
          <w:shd w:val="clear" w:color="auto" w:fill="FFFFFF"/>
          <w:lang w:eastAsia="zh-CN"/>
        </w:rPr>
        <w:t>年</w:t>
      </w:r>
      <w:r>
        <w:rPr>
          <w:rFonts w:hint="eastAsia" w:ascii="仿宋" w:hAnsi="仿宋" w:eastAsia="仿宋" w:cs="仿宋"/>
          <w:sz w:val="28"/>
          <w:szCs w:val="28"/>
          <w:shd w:val="clear" w:color="auto" w:fill="FFFFFF"/>
          <w:lang w:val="en-US" w:eastAsia="zh-CN"/>
        </w:rPr>
        <w:t>8</w:t>
      </w:r>
      <w:r>
        <w:rPr>
          <w:rFonts w:hint="eastAsia" w:ascii="仿宋" w:hAnsi="仿宋" w:eastAsia="仿宋" w:cs="仿宋"/>
          <w:sz w:val="28"/>
          <w:szCs w:val="28"/>
          <w:shd w:val="clear" w:color="auto" w:fill="FFFFFF"/>
          <w:lang w:eastAsia="zh-CN"/>
        </w:rPr>
        <w:t>月至今任意三个月缴纳税收和社会保障资金的凭据或证明材料复印件（依法免税和不需要缴纳社保资金的投标人须提供相应证明文件）</w:t>
      </w:r>
      <w:r>
        <w:rPr>
          <w:rFonts w:hint="eastAsia" w:ascii="仿宋" w:hAnsi="仿宋" w:eastAsia="仿宋" w:cs="仿宋"/>
          <w:sz w:val="28"/>
          <w:szCs w:val="28"/>
          <w:shd w:val="clear" w:color="auto" w:fill="FFFFFF"/>
        </w:rPr>
        <w:t>；</w:t>
      </w:r>
    </w:p>
    <w:p w14:paraId="4A08AB28">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⑤提供参加政府采购活动前3年内在经营活动中没有重大违法记录的书面声明复印件（格式自拟）；</w:t>
      </w:r>
    </w:p>
    <w:p w14:paraId="58D40506">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0" w:firstLineChars="200"/>
        <w:jc w:val="left"/>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lang w:val="en-US" w:eastAsia="zh-CN"/>
        </w:rPr>
        <w:t>⑥供应商</w:t>
      </w:r>
      <w:r>
        <w:rPr>
          <w:rFonts w:hint="eastAsia" w:ascii="仿宋" w:hAnsi="仿宋" w:eastAsia="仿宋" w:cs="仿宋"/>
          <w:sz w:val="28"/>
          <w:szCs w:val="28"/>
          <w:shd w:val="clear" w:color="auto" w:fill="FFFFFF"/>
          <w:lang w:val="zh-CN"/>
        </w:rPr>
        <w:t>未</w:t>
      </w:r>
      <w:r>
        <w:rPr>
          <w:rFonts w:hint="eastAsia" w:ascii="仿宋" w:hAnsi="仿宋" w:eastAsia="仿宋" w:cs="仿宋"/>
          <w:sz w:val="28"/>
          <w:szCs w:val="28"/>
          <w:shd w:val="clear" w:color="auto" w:fill="FFFFFF"/>
        </w:rPr>
        <w:t>列入失信被执行人、重大税收违法案件当事人名单、政府采购严重违法失信行为记录名单</w:t>
      </w:r>
      <w:r>
        <w:rPr>
          <w:rFonts w:hint="eastAsia" w:ascii="仿宋" w:hAnsi="仿宋" w:eastAsia="仿宋" w:cs="仿宋"/>
          <w:sz w:val="28"/>
          <w:szCs w:val="28"/>
          <w:shd w:val="clear" w:color="auto" w:fill="FFFFFF"/>
          <w:lang w:val="zh-CN"/>
        </w:rPr>
        <w:t>。</w:t>
      </w:r>
      <w:r>
        <w:rPr>
          <w:rFonts w:hint="eastAsia" w:ascii="仿宋" w:hAnsi="仿宋" w:eastAsia="仿宋" w:cs="仿宋"/>
          <w:sz w:val="28"/>
          <w:szCs w:val="28"/>
          <w:shd w:val="clear" w:color="auto" w:fill="FFFFFF"/>
        </w:rPr>
        <w:t>资格审查时代理机构或采购人在“信用中国”网站（</w:t>
      </w:r>
      <w:r>
        <w:rPr>
          <w:rFonts w:hint="eastAsia" w:ascii="仿宋" w:hAnsi="仿宋" w:eastAsia="仿宋" w:cs="仿宋"/>
          <w:sz w:val="28"/>
          <w:szCs w:val="28"/>
          <w:shd w:val="clear" w:color="auto" w:fill="FFFFFF"/>
        </w:rPr>
        <w:fldChar w:fldCharType="begin"/>
      </w:r>
      <w:r>
        <w:rPr>
          <w:rFonts w:hint="eastAsia" w:ascii="仿宋" w:hAnsi="仿宋" w:eastAsia="仿宋" w:cs="仿宋"/>
          <w:sz w:val="28"/>
          <w:szCs w:val="28"/>
          <w:shd w:val="clear" w:color="auto" w:fill="FFFFFF"/>
        </w:rPr>
        <w:instrText xml:space="preserve"> HYPERLINK "file:///C:\\Users\\吕锟\\Documents\\WeChat%20Files\\houlai-lk\\FileStorage\\File\\2020-06\\www.creditchina.gov.cn" </w:instrText>
      </w:r>
      <w:r>
        <w:rPr>
          <w:rFonts w:hint="eastAsia" w:ascii="仿宋" w:hAnsi="仿宋" w:eastAsia="仿宋" w:cs="仿宋"/>
          <w:sz w:val="28"/>
          <w:szCs w:val="28"/>
          <w:shd w:val="clear" w:color="auto" w:fill="FFFFFF"/>
        </w:rPr>
        <w:fldChar w:fldCharType="separate"/>
      </w:r>
      <w:r>
        <w:rPr>
          <w:rFonts w:hint="eastAsia" w:ascii="仿宋" w:hAnsi="仿宋" w:eastAsia="仿宋" w:cs="仿宋"/>
          <w:sz w:val="28"/>
          <w:szCs w:val="28"/>
          <w:shd w:val="clear" w:color="auto" w:fill="FFFFFF"/>
        </w:rPr>
        <w:t>www.creditchina.gov.cn</w:t>
      </w:r>
      <w:r>
        <w:rPr>
          <w:rFonts w:hint="eastAsia" w:ascii="仿宋" w:hAnsi="仿宋" w:eastAsia="仿宋" w:cs="仿宋"/>
          <w:sz w:val="28"/>
          <w:szCs w:val="28"/>
          <w:shd w:val="clear" w:color="auto" w:fill="FFFFFF"/>
        </w:rPr>
        <w:fldChar w:fldCharType="end"/>
      </w:r>
      <w:r>
        <w:rPr>
          <w:rFonts w:hint="eastAsia" w:ascii="仿宋" w:hAnsi="仿宋" w:eastAsia="仿宋" w:cs="仿宋"/>
          <w:sz w:val="28"/>
          <w:szCs w:val="28"/>
          <w:shd w:val="clear" w:color="auto" w:fill="FFFFFF"/>
        </w:rPr>
        <w:t>，包括失信被执行人、重大税收违法案件当事人名单）、中国政府采购网（政府采购严重违法失信行为记录名单</w:t>
      </w:r>
      <w:r>
        <w:rPr>
          <w:rFonts w:hint="eastAsia" w:ascii="仿宋" w:hAnsi="仿宋" w:eastAsia="仿宋" w:cs="仿宋"/>
          <w:sz w:val="28"/>
          <w:szCs w:val="28"/>
          <w:shd w:val="clear" w:color="auto" w:fill="FFFFFF"/>
        </w:rPr>
        <w:fldChar w:fldCharType="begin"/>
      </w:r>
      <w:r>
        <w:rPr>
          <w:rFonts w:hint="eastAsia" w:ascii="仿宋" w:hAnsi="仿宋" w:eastAsia="仿宋" w:cs="仿宋"/>
          <w:sz w:val="28"/>
          <w:szCs w:val="28"/>
          <w:shd w:val="clear" w:color="auto" w:fill="FFFFFF"/>
        </w:rPr>
        <w:instrText xml:space="preserve"> HYPERLINK "http://www.ccgp.gov.cn/cr/list" </w:instrText>
      </w:r>
      <w:r>
        <w:rPr>
          <w:rFonts w:hint="eastAsia" w:ascii="仿宋" w:hAnsi="仿宋" w:eastAsia="仿宋" w:cs="仿宋"/>
          <w:sz w:val="28"/>
          <w:szCs w:val="28"/>
          <w:shd w:val="clear" w:color="auto" w:fill="FFFFFF"/>
        </w:rPr>
        <w:fldChar w:fldCharType="separate"/>
      </w:r>
      <w:r>
        <w:rPr>
          <w:rFonts w:hint="eastAsia" w:ascii="仿宋" w:hAnsi="仿宋" w:eastAsia="仿宋" w:cs="仿宋"/>
          <w:sz w:val="28"/>
          <w:szCs w:val="28"/>
          <w:shd w:val="clear" w:color="auto" w:fill="FFFFFF"/>
        </w:rPr>
        <w:t>http://www.ccgp.gov.cn/cr/list</w:t>
      </w:r>
      <w:r>
        <w:rPr>
          <w:rFonts w:hint="eastAsia" w:ascii="仿宋" w:hAnsi="仿宋" w:eastAsia="仿宋" w:cs="仿宋"/>
          <w:sz w:val="28"/>
          <w:szCs w:val="28"/>
          <w:shd w:val="clear" w:color="auto" w:fill="FFFFFF"/>
        </w:rPr>
        <w:fldChar w:fldCharType="end"/>
      </w:r>
      <w:r>
        <w:rPr>
          <w:rFonts w:hint="eastAsia" w:ascii="仿宋" w:hAnsi="仿宋" w:eastAsia="仿宋" w:cs="仿宋"/>
          <w:sz w:val="28"/>
          <w:szCs w:val="28"/>
          <w:shd w:val="clear" w:color="auto" w:fill="FFFFFF"/>
        </w:rPr>
        <w:t>）上查询（查询时间为投标截止时间），并将查询结果打印存档</w:t>
      </w:r>
      <w:r>
        <w:rPr>
          <w:rFonts w:hint="eastAsia" w:ascii="仿宋" w:hAnsi="仿宋" w:eastAsia="仿宋" w:cs="仿宋"/>
          <w:sz w:val="28"/>
          <w:szCs w:val="28"/>
          <w:shd w:val="clear" w:color="auto" w:fill="FFFFFF"/>
          <w:lang w:eastAsia="zh-CN"/>
        </w:rPr>
        <w:t>；</w:t>
      </w:r>
    </w:p>
    <w:p w14:paraId="58007337">
      <w:pPr>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562" w:firstLineChars="200"/>
        <w:jc w:val="left"/>
        <w:textAlignment w:val="auto"/>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（2）特殊资格要求：</w:t>
      </w:r>
    </w:p>
    <w:p w14:paraId="5C784CFB">
      <w:pPr>
        <w:pStyle w:val="5"/>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560" w:firstLineChars="200"/>
        <w:textAlignment w:val="auto"/>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 xml:space="preserve">  无</w:t>
      </w:r>
    </w:p>
    <w:p w14:paraId="03BB04D5">
      <w:pPr>
        <w:pStyle w:val="7"/>
        <w:ind w:left="0" w:leftChars="0" w:firstLine="0" w:firstLineChars="0"/>
        <w:rPr>
          <w:rFonts w:hint="eastAsia" w:ascii="仿宋" w:hAnsi="仿宋" w:eastAsia="仿宋" w:cs="仿宋"/>
          <w:sz w:val="28"/>
          <w:szCs w:val="28"/>
          <w:shd w:val="clear" w:color="auto" w:fill="FFFFFF"/>
          <w:lang w:eastAsia="zh-CN"/>
        </w:rPr>
      </w:pPr>
    </w:p>
    <w:p w14:paraId="1912F20F">
      <w:pPr>
        <w:pStyle w:val="8"/>
        <w:rPr>
          <w:rFonts w:hint="eastAsia" w:ascii="仿宋" w:hAnsi="仿宋" w:eastAsia="仿宋" w:cs="仿宋"/>
          <w:sz w:val="28"/>
          <w:szCs w:val="28"/>
          <w:shd w:val="clear" w:color="auto" w:fill="FFFFFF"/>
          <w:lang w:eastAsia="zh-CN"/>
        </w:rPr>
      </w:pPr>
    </w:p>
    <w:p w14:paraId="4E76A53D">
      <w:pPr>
        <w:rPr>
          <w:rFonts w:hint="eastAsia" w:ascii="仿宋" w:hAnsi="仿宋" w:eastAsia="仿宋" w:cs="仿宋"/>
          <w:sz w:val="28"/>
          <w:szCs w:val="28"/>
          <w:shd w:val="clear" w:color="auto" w:fill="FFFFFF"/>
          <w:lang w:eastAsia="zh-CN"/>
        </w:rPr>
      </w:pPr>
    </w:p>
    <w:p w14:paraId="53E2A5D9">
      <w:pPr>
        <w:pStyle w:val="5"/>
        <w:rPr>
          <w:rFonts w:hint="eastAsia" w:ascii="仿宋" w:hAnsi="仿宋" w:eastAsia="仿宋" w:cs="仿宋"/>
          <w:sz w:val="28"/>
          <w:szCs w:val="28"/>
          <w:shd w:val="clear" w:color="auto" w:fill="FFFFFF"/>
          <w:lang w:eastAsia="zh-CN"/>
        </w:rPr>
      </w:pPr>
    </w:p>
    <w:p w14:paraId="282FF1F6">
      <w:pPr>
        <w:pStyle w:val="5"/>
        <w:rPr>
          <w:rFonts w:hint="eastAsia" w:ascii="仿宋" w:hAnsi="仿宋" w:eastAsia="仿宋" w:cs="仿宋"/>
          <w:sz w:val="28"/>
          <w:szCs w:val="28"/>
          <w:shd w:val="clear" w:color="auto" w:fill="FFFFFF"/>
          <w:lang w:eastAsia="zh-CN"/>
        </w:rPr>
      </w:pPr>
    </w:p>
    <w:p w14:paraId="117D5F09">
      <w:pPr>
        <w:pStyle w:val="5"/>
        <w:rPr>
          <w:rFonts w:hint="eastAsia" w:ascii="仿宋" w:hAnsi="仿宋" w:eastAsia="仿宋" w:cs="仿宋"/>
          <w:sz w:val="28"/>
          <w:szCs w:val="28"/>
          <w:shd w:val="clear" w:color="auto" w:fill="FFFFFF"/>
          <w:lang w:eastAsia="zh-CN"/>
        </w:rPr>
      </w:pPr>
    </w:p>
    <w:p w14:paraId="2B2B91CB">
      <w:pPr>
        <w:pStyle w:val="5"/>
        <w:rPr>
          <w:rFonts w:hint="eastAsia" w:ascii="仿宋" w:hAnsi="仿宋" w:eastAsia="仿宋" w:cs="仿宋"/>
          <w:sz w:val="28"/>
          <w:szCs w:val="28"/>
          <w:shd w:val="clear" w:color="auto" w:fill="FFFFFF"/>
          <w:lang w:eastAsia="zh-CN"/>
        </w:rPr>
      </w:pPr>
    </w:p>
    <w:p w14:paraId="7F5C5866">
      <w:pPr>
        <w:pStyle w:val="5"/>
        <w:ind w:left="0" w:leftChars="0" w:firstLine="0" w:firstLineChars="0"/>
        <w:rPr>
          <w:rFonts w:hint="eastAsia" w:ascii="仿宋" w:hAnsi="仿宋" w:eastAsia="仿宋" w:cs="仿宋"/>
          <w:sz w:val="28"/>
          <w:szCs w:val="28"/>
          <w:shd w:val="clear" w:color="auto" w:fill="FFFFFF"/>
          <w:lang w:eastAsia="zh-CN"/>
        </w:rPr>
      </w:pPr>
    </w:p>
    <w:p w14:paraId="6446407D">
      <w:pPr>
        <w:pStyle w:val="5"/>
        <w:ind w:left="0" w:leftChars="0" w:firstLine="0" w:firstLineChars="0"/>
        <w:rPr>
          <w:rFonts w:hint="eastAsia" w:ascii="仿宋" w:hAnsi="仿宋" w:eastAsia="仿宋" w:cs="仿宋"/>
          <w:sz w:val="28"/>
          <w:szCs w:val="28"/>
          <w:shd w:val="clear" w:color="auto" w:fill="FFFFFF"/>
          <w:lang w:eastAsia="zh-CN"/>
        </w:rPr>
      </w:pPr>
    </w:p>
    <w:p w14:paraId="051AB137">
      <w:pPr>
        <w:pStyle w:val="5"/>
        <w:ind w:left="0" w:leftChars="0" w:firstLine="0" w:firstLineChars="0"/>
        <w:rPr>
          <w:rFonts w:hint="eastAsia" w:ascii="仿宋" w:hAnsi="仿宋" w:eastAsia="仿宋" w:cs="仿宋"/>
          <w:sz w:val="28"/>
          <w:szCs w:val="28"/>
          <w:shd w:val="clear" w:color="auto" w:fill="FFFFFF"/>
          <w:lang w:eastAsia="zh-CN"/>
        </w:rPr>
      </w:pPr>
    </w:p>
    <w:p w14:paraId="660BF5CE">
      <w:pPr>
        <w:pStyle w:val="5"/>
        <w:ind w:left="0" w:leftChars="0" w:firstLine="0" w:firstLineChars="0"/>
        <w:rPr>
          <w:rFonts w:hint="eastAsia" w:ascii="仿宋" w:hAnsi="仿宋" w:eastAsia="仿宋" w:cs="仿宋"/>
          <w:sz w:val="28"/>
          <w:szCs w:val="28"/>
          <w:shd w:val="clear" w:color="auto" w:fill="FFFFFF"/>
          <w:lang w:eastAsia="zh-CN"/>
        </w:rPr>
      </w:pPr>
    </w:p>
    <w:p w14:paraId="7B4C7B4B">
      <w:pPr>
        <w:pStyle w:val="5"/>
        <w:ind w:left="0" w:leftChars="0" w:firstLine="0" w:firstLineChars="0"/>
        <w:rPr>
          <w:rFonts w:hint="eastAsia" w:ascii="仿宋" w:hAnsi="仿宋" w:eastAsia="仿宋" w:cs="仿宋"/>
          <w:sz w:val="28"/>
          <w:szCs w:val="28"/>
          <w:shd w:val="clear" w:color="auto" w:fill="FFFFFF"/>
          <w:lang w:eastAsia="zh-CN"/>
        </w:rPr>
      </w:pPr>
    </w:p>
    <w:p w14:paraId="30DF1579">
      <w:pPr>
        <w:pStyle w:val="5"/>
        <w:ind w:left="0" w:leftChars="0" w:firstLine="0" w:firstLineChars="0"/>
        <w:rPr>
          <w:rFonts w:hint="eastAsia" w:ascii="仿宋" w:hAnsi="仿宋" w:eastAsia="仿宋" w:cs="仿宋"/>
          <w:sz w:val="28"/>
          <w:szCs w:val="28"/>
          <w:shd w:val="clear" w:color="auto" w:fill="FFFFFF"/>
          <w:lang w:eastAsia="zh-CN"/>
        </w:rPr>
      </w:pPr>
    </w:p>
    <w:p w14:paraId="265B9BB5">
      <w:pPr>
        <w:pStyle w:val="5"/>
        <w:ind w:left="0" w:leftChars="0" w:firstLine="0" w:firstLineChars="0"/>
        <w:rPr>
          <w:rFonts w:hint="eastAsia" w:ascii="仿宋" w:hAnsi="仿宋" w:eastAsia="仿宋" w:cs="仿宋"/>
          <w:sz w:val="28"/>
          <w:szCs w:val="28"/>
          <w:shd w:val="clear" w:color="auto" w:fill="FFFFFF"/>
          <w:lang w:eastAsia="zh-CN"/>
        </w:rPr>
      </w:pPr>
    </w:p>
    <w:p w14:paraId="45ABC68D">
      <w:pPr>
        <w:pStyle w:val="5"/>
        <w:ind w:left="0" w:leftChars="0" w:firstLine="0" w:firstLineChars="0"/>
        <w:rPr>
          <w:rFonts w:hint="eastAsia" w:ascii="仿宋" w:hAnsi="仿宋" w:eastAsia="仿宋" w:cs="仿宋"/>
          <w:sz w:val="28"/>
          <w:szCs w:val="28"/>
          <w:shd w:val="clear" w:color="auto" w:fill="FFFFFF"/>
          <w:lang w:eastAsia="zh-CN"/>
        </w:rPr>
      </w:pPr>
    </w:p>
    <w:p w14:paraId="247F2B68">
      <w:pPr>
        <w:pStyle w:val="5"/>
        <w:ind w:left="0" w:leftChars="0" w:firstLine="0" w:firstLineChars="0"/>
        <w:rPr>
          <w:rFonts w:hint="eastAsia" w:ascii="仿宋" w:hAnsi="仿宋" w:eastAsia="仿宋" w:cs="仿宋"/>
          <w:sz w:val="28"/>
          <w:szCs w:val="28"/>
          <w:shd w:val="clear" w:color="auto" w:fill="FFFFFF"/>
          <w:lang w:eastAsia="zh-CN"/>
        </w:rPr>
      </w:pPr>
    </w:p>
    <w:p w14:paraId="6F2F930B">
      <w:pPr>
        <w:pStyle w:val="5"/>
        <w:ind w:left="0" w:leftChars="0" w:firstLine="0" w:firstLineChars="0"/>
        <w:rPr>
          <w:rFonts w:hint="eastAsia" w:ascii="仿宋" w:hAnsi="仿宋" w:eastAsia="仿宋" w:cs="仿宋"/>
          <w:sz w:val="28"/>
          <w:szCs w:val="28"/>
          <w:shd w:val="clear" w:color="auto" w:fill="FFFFFF"/>
          <w:lang w:eastAsia="zh-CN"/>
        </w:rPr>
      </w:pPr>
    </w:p>
    <w:p w14:paraId="52150387">
      <w:pPr>
        <w:pStyle w:val="5"/>
        <w:ind w:left="0" w:leftChars="0" w:firstLine="0" w:firstLineChars="0"/>
        <w:rPr>
          <w:rFonts w:hint="eastAsia" w:ascii="仿宋" w:hAnsi="仿宋" w:eastAsia="仿宋" w:cs="仿宋"/>
          <w:sz w:val="28"/>
          <w:szCs w:val="28"/>
          <w:shd w:val="clear" w:color="auto" w:fill="FFFFFF"/>
          <w:lang w:eastAsia="zh-CN"/>
        </w:rPr>
      </w:pPr>
    </w:p>
    <w:p w14:paraId="00F43C7B">
      <w:pPr>
        <w:pStyle w:val="5"/>
        <w:ind w:left="0" w:leftChars="0" w:firstLine="0" w:firstLineChars="0"/>
        <w:rPr>
          <w:rFonts w:hint="eastAsia" w:ascii="仿宋" w:hAnsi="仿宋" w:eastAsia="仿宋" w:cs="仿宋"/>
          <w:sz w:val="28"/>
          <w:szCs w:val="28"/>
          <w:shd w:val="clear" w:color="auto" w:fill="FFFFFF"/>
          <w:lang w:eastAsia="zh-CN"/>
        </w:rPr>
      </w:pPr>
    </w:p>
    <w:p w14:paraId="2F95CF5B">
      <w:pPr>
        <w:pStyle w:val="5"/>
        <w:ind w:left="0" w:leftChars="0" w:firstLine="0" w:firstLineChars="0"/>
        <w:rPr>
          <w:rFonts w:hint="eastAsia" w:ascii="仿宋" w:hAnsi="仿宋" w:eastAsia="仿宋" w:cs="仿宋"/>
          <w:sz w:val="28"/>
          <w:szCs w:val="28"/>
          <w:shd w:val="clear" w:color="auto" w:fill="FFFFFF"/>
          <w:lang w:eastAsia="zh-CN"/>
        </w:rPr>
      </w:pPr>
    </w:p>
    <w:p w14:paraId="347780B9">
      <w:pPr>
        <w:pStyle w:val="5"/>
        <w:ind w:left="0" w:leftChars="0" w:firstLine="0" w:firstLineChars="0"/>
        <w:rPr>
          <w:rFonts w:hint="eastAsia" w:ascii="仿宋" w:hAnsi="仿宋" w:eastAsia="仿宋" w:cs="仿宋"/>
          <w:sz w:val="28"/>
          <w:szCs w:val="28"/>
          <w:shd w:val="clear" w:color="auto" w:fill="FFFFFF"/>
          <w:lang w:eastAsia="zh-CN"/>
        </w:rPr>
      </w:pPr>
    </w:p>
    <w:p w14:paraId="107F889E">
      <w:pPr>
        <w:pStyle w:val="7"/>
        <w:ind w:left="0" w:leftChars="0" w:firstLine="0" w:firstLineChars="0"/>
        <w:rPr>
          <w:rFonts w:hint="eastAsia" w:ascii="仿宋" w:hAnsi="仿宋" w:eastAsia="仿宋" w:cs="仿宋"/>
          <w:sz w:val="28"/>
          <w:szCs w:val="28"/>
          <w:shd w:val="clear" w:color="auto" w:fill="FFFFFF"/>
          <w:lang w:eastAsia="zh-CN"/>
        </w:rPr>
      </w:pPr>
    </w:p>
    <w:p w14:paraId="58C7AF0C">
      <w:pPr>
        <w:spacing w:before="0" w:beforeAutospacing="0" w:after="0" w:afterAutospacing="0" w:line="56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采购</w:t>
      </w:r>
      <w:r>
        <w:rPr>
          <w:rFonts w:hint="eastAsia" w:ascii="仿宋" w:hAnsi="仿宋" w:eastAsia="仿宋" w:cs="仿宋"/>
          <w:b/>
          <w:bCs/>
          <w:sz w:val="32"/>
          <w:szCs w:val="32"/>
          <w:lang w:val="en-US" w:eastAsia="zh-CN"/>
        </w:rPr>
        <w:t>指标及项目概况</w:t>
      </w:r>
    </w:p>
    <w:p w14:paraId="01387CD6">
      <w:pPr>
        <w:spacing w:before="0" w:beforeAutospacing="0" w:after="0" w:afterAutospacing="0" w:line="560" w:lineRule="exact"/>
        <w:jc w:val="center"/>
        <w:rPr>
          <w:rFonts w:hint="eastAsia" w:ascii="仿宋" w:hAnsi="仿宋" w:eastAsia="仿宋" w:cs="仿宋"/>
          <w:b/>
          <w:bCs/>
          <w:sz w:val="32"/>
          <w:szCs w:val="32"/>
          <w:lang w:val="en-US" w:eastAsia="zh-CN"/>
        </w:rPr>
      </w:pPr>
    </w:p>
    <w:p w14:paraId="5F4C4F9D">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黔南州（福泉市）2024年中央林业草原改革发展资金其他国土绿化补助项目：树种结构调整0.7万亩，森林抚育（综合措施）1.8万亩。一、树种结构调整经营类型7000亩，设计目标为马尾松+泡桐针阔混交用材林经营类型，采取采伐+补植的经营模式，作业小班采伐林木蓄积67762.6立方米，采伐资金来源于社会资金，补植改良泡桐392000株；二、森林抚育(幼龄林综合抚育)设计措施为采伐+修枝+割灌藤除草+剩余物清理18000亩。</w:t>
      </w:r>
    </w:p>
    <w:p w14:paraId="23BE9E3E">
      <w:pPr>
        <w:pStyle w:val="5"/>
        <w:ind w:left="0" w:leftChars="0" w:firstLine="643" w:firstLineChars="200"/>
        <w:rPr>
          <w:rFonts w:hint="eastAsia" w:ascii="仿宋" w:hAnsi="仿宋" w:eastAsia="仿宋" w:cs="仿宋"/>
          <w:b/>
          <w:bCs/>
          <w:sz w:val="32"/>
          <w:szCs w:val="32"/>
          <w:lang w:val="en-US" w:eastAsia="zh-CN"/>
        </w:rPr>
      </w:pPr>
    </w:p>
    <w:p w14:paraId="1DE52DD5">
      <w:pPr>
        <w:pStyle w:val="5"/>
        <w:ind w:left="0" w:leftChars="0" w:firstLine="643" w:firstLineChars="200"/>
        <w:rPr>
          <w:rFonts w:hint="eastAsia" w:ascii="仿宋" w:hAnsi="仿宋" w:eastAsia="仿宋" w:cs="仿宋"/>
          <w:b/>
          <w:bCs/>
          <w:sz w:val="32"/>
          <w:szCs w:val="32"/>
          <w:lang w:val="en-US" w:eastAsia="zh-CN"/>
        </w:rPr>
      </w:pPr>
    </w:p>
    <w:p w14:paraId="469845E8">
      <w:pPr>
        <w:pStyle w:val="5"/>
        <w:ind w:left="0" w:leftChars="0" w:firstLine="643" w:firstLineChars="200"/>
        <w:rPr>
          <w:rFonts w:hint="eastAsia" w:ascii="仿宋" w:hAnsi="仿宋" w:eastAsia="仿宋" w:cs="仿宋"/>
          <w:b/>
          <w:bCs/>
          <w:sz w:val="32"/>
          <w:szCs w:val="32"/>
          <w:lang w:val="en-US" w:eastAsia="zh-CN"/>
        </w:rPr>
      </w:pPr>
    </w:p>
    <w:p w14:paraId="20B974C7">
      <w:pPr>
        <w:pStyle w:val="5"/>
        <w:ind w:left="0" w:leftChars="0" w:firstLine="643" w:firstLineChars="200"/>
        <w:rPr>
          <w:rFonts w:hint="eastAsia" w:ascii="仿宋" w:hAnsi="仿宋" w:eastAsia="仿宋" w:cs="仿宋"/>
          <w:b/>
          <w:bCs/>
          <w:sz w:val="32"/>
          <w:szCs w:val="32"/>
          <w:lang w:val="en-US" w:eastAsia="zh-CN"/>
        </w:rPr>
      </w:pPr>
    </w:p>
    <w:p w14:paraId="0A6E19E1">
      <w:pPr>
        <w:pStyle w:val="5"/>
        <w:ind w:left="0" w:leftChars="0" w:firstLine="643" w:firstLineChars="200"/>
        <w:rPr>
          <w:rFonts w:hint="eastAsia" w:ascii="仿宋" w:hAnsi="仿宋" w:eastAsia="仿宋" w:cs="仿宋"/>
          <w:b/>
          <w:bCs/>
          <w:sz w:val="32"/>
          <w:szCs w:val="32"/>
          <w:lang w:val="en-US" w:eastAsia="zh-CN"/>
        </w:rPr>
      </w:pPr>
    </w:p>
    <w:p w14:paraId="6D5BFE9F">
      <w:pPr>
        <w:pStyle w:val="5"/>
        <w:ind w:left="0" w:leftChars="0" w:firstLine="643" w:firstLineChars="200"/>
        <w:rPr>
          <w:rFonts w:hint="eastAsia" w:ascii="仿宋" w:hAnsi="仿宋" w:eastAsia="仿宋" w:cs="仿宋"/>
          <w:b/>
          <w:bCs/>
          <w:sz w:val="32"/>
          <w:szCs w:val="32"/>
          <w:lang w:val="en-US" w:eastAsia="zh-CN"/>
        </w:rPr>
      </w:pPr>
    </w:p>
    <w:p w14:paraId="59ACB3CC">
      <w:pPr>
        <w:pStyle w:val="5"/>
        <w:ind w:left="0" w:leftChars="0" w:firstLine="643" w:firstLineChars="200"/>
        <w:rPr>
          <w:rFonts w:hint="eastAsia" w:ascii="仿宋" w:hAnsi="仿宋" w:eastAsia="仿宋" w:cs="仿宋"/>
          <w:b/>
          <w:bCs/>
          <w:sz w:val="32"/>
          <w:szCs w:val="32"/>
          <w:lang w:val="en-US" w:eastAsia="zh-CN"/>
        </w:rPr>
      </w:pPr>
    </w:p>
    <w:p w14:paraId="04F59AD1">
      <w:pPr>
        <w:pStyle w:val="5"/>
        <w:ind w:left="0" w:leftChars="0" w:firstLine="643" w:firstLineChars="200"/>
        <w:rPr>
          <w:rFonts w:hint="eastAsia" w:ascii="仿宋" w:hAnsi="仿宋" w:eastAsia="仿宋" w:cs="仿宋"/>
          <w:b/>
          <w:bCs/>
          <w:sz w:val="32"/>
          <w:szCs w:val="32"/>
          <w:lang w:val="en-US" w:eastAsia="zh-CN"/>
        </w:rPr>
      </w:pPr>
    </w:p>
    <w:p w14:paraId="647B50C5">
      <w:pPr>
        <w:pStyle w:val="5"/>
        <w:ind w:left="0" w:leftChars="0" w:firstLine="643" w:firstLineChars="200"/>
        <w:rPr>
          <w:rFonts w:hint="eastAsia" w:ascii="仿宋" w:hAnsi="仿宋" w:eastAsia="仿宋" w:cs="仿宋"/>
          <w:b/>
          <w:bCs/>
          <w:sz w:val="32"/>
          <w:szCs w:val="32"/>
          <w:lang w:val="en-US" w:eastAsia="zh-CN"/>
        </w:rPr>
      </w:pPr>
    </w:p>
    <w:p w14:paraId="4A0D29A1">
      <w:pPr>
        <w:pStyle w:val="5"/>
        <w:ind w:left="0" w:leftChars="0" w:firstLine="643" w:firstLineChars="200"/>
        <w:rPr>
          <w:rFonts w:hint="eastAsia" w:ascii="仿宋" w:hAnsi="仿宋" w:eastAsia="仿宋" w:cs="仿宋"/>
          <w:b/>
          <w:bCs/>
          <w:sz w:val="32"/>
          <w:szCs w:val="32"/>
          <w:lang w:val="en-US" w:eastAsia="zh-CN"/>
        </w:rPr>
      </w:pPr>
    </w:p>
    <w:p w14:paraId="362434F5">
      <w:pPr>
        <w:pStyle w:val="5"/>
        <w:ind w:left="0" w:leftChars="0" w:firstLine="643" w:firstLineChars="200"/>
        <w:rPr>
          <w:rFonts w:hint="eastAsia" w:ascii="仿宋" w:hAnsi="仿宋" w:eastAsia="仿宋" w:cs="仿宋"/>
          <w:b/>
          <w:bCs/>
          <w:sz w:val="32"/>
          <w:szCs w:val="32"/>
          <w:lang w:val="en-US" w:eastAsia="zh-CN"/>
        </w:rPr>
      </w:pPr>
    </w:p>
    <w:p w14:paraId="769ED099">
      <w:pPr>
        <w:pStyle w:val="5"/>
        <w:ind w:left="0" w:leftChars="0" w:firstLine="643" w:firstLineChars="200"/>
        <w:rPr>
          <w:rFonts w:hint="eastAsia" w:ascii="仿宋" w:hAnsi="仿宋" w:eastAsia="仿宋" w:cs="仿宋"/>
          <w:b/>
          <w:bCs/>
          <w:sz w:val="32"/>
          <w:szCs w:val="32"/>
          <w:lang w:val="en-US" w:eastAsia="zh-CN"/>
        </w:rPr>
      </w:pPr>
    </w:p>
    <w:p w14:paraId="1C592AFB">
      <w:pPr>
        <w:pStyle w:val="5"/>
        <w:ind w:left="0" w:leftChars="0" w:firstLine="643" w:firstLineChars="200"/>
        <w:rPr>
          <w:rFonts w:hint="eastAsia" w:ascii="仿宋" w:hAnsi="仿宋" w:eastAsia="仿宋" w:cs="仿宋"/>
          <w:b/>
          <w:bCs/>
          <w:sz w:val="32"/>
          <w:szCs w:val="32"/>
          <w:lang w:val="en-US" w:eastAsia="zh-CN"/>
        </w:rPr>
      </w:pPr>
    </w:p>
    <w:p w14:paraId="788C3C42">
      <w:pPr>
        <w:pStyle w:val="5"/>
        <w:ind w:left="0" w:leftChars="0" w:firstLine="643" w:firstLineChars="200"/>
        <w:rPr>
          <w:rFonts w:hint="eastAsia" w:ascii="仿宋" w:hAnsi="仿宋" w:eastAsia="仿宋" w:cs="仿宋"/>
          <w:b/>
          <w:bCs/>
          <w:sz w:val="32"/>
          <w:szCs w:val="32"/>
          <w:lang w:val="en-US" w:eastAsia="zh-CN"/>
        </w:rPr>
      </w:pPr>
    </w:p>
    <w:p w14:paraId="085EB57E">
      <w:pPr>
        <w:numPr>
          <w:ilvl w:val="0"/>
          <w:numId w:val="0"/>
        </w:numPr>
        <w:spacing w:before="0" w:beforeAutospacing="0" w:after="0" w:afterAutospacing="0" w:line="560" w:lineRule="exact"/>
        <w:ind w:firstLine="3534" w:firstLineChars="1100"/>
        <w:jc w:val="both"/>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商务要求</w:t>
      </w:r>
    </w:p>
    <w:p w14:paraId="0CCAF7BE">
      <w:pPr>
        <w:pStyle w:val="6"/>
        <w:spacing w:before="0" w:beforeAutospacing="0" w:after="0" w:afterAutospacing="0" w:line="52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1.交货时间：</w:t>
      </w:r>
      <w:r>
        <w:rPr>
          <w:rFonts w:hint="eastAsia" w:ascii="仿宋" w:hAnsi="仿宋" w:eastAsia="仿宋" w:cs="仿宋"/>
          <w:color w:val="000000" w:themeColor="text1"/>
          <w:sz w:val="28"/>
          <w:szCs w:val="28"/>
          <w:highlight w:val="none"/>
          <w14:textFill>
            <w14:solidFill>
              <w14:schemeClr w14:val="tx1"/>
            </w14:solidFill>
          </w14:textFill>
        </w:rPr>
        <w:t>树种结构调整：2025年9月至2026年12月</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森林抚育(综合措施)：2025年9月至2026</w:t>
      </w:r>
      <w:r>
        <w:rPr>
          <w:rFonts w:hint="eastAsia" w:ascii="仿宋" w:hAnsi="仿宋" w:eastAsia="仿宋" w:cs="仿宋"/>
          <w:color w:val="000000" w:themeColor="text1"/>
          <w:sz w:val="28"/>
          <w:szCs w:val="28"/>
          <w:highlight w:val="none"/>
          <w:lang w:val="en-US" w:eastAsia="zh-CN"/>
          <w14:textFill>
            <w14:solidFill>
              <w14:schemeClr w14:val="tx1"/>
            </w14:solidFill>
          </w14:textFill>
        </w:rPr>
        <w:t>年</w:t>
      </w:r>
      <w:r>
        <w:rPr>
          <w:rFonts w:hint="eastAsia" w:ascii="仿宋" w:hAnsi="仿宋" w:eastAsia="仿宋" w:cs="仿宋"/>
          <w:color w:val="000000" w:themeColor="text1"/>
          <w:sz w:val="28"/>
          <w:szCs w:val="28"/>
          <w:highlight w:val="none"/>
          <w14:textFill>
            <w14:solidFill>
              <w14:schemeClr w14:val="tx1"/>
            </w14:solidFill>
          </w14:textFill>
        </w:rPr>
        <w:t>8月</w:t>
      </w:r>
      <w:r>
        <w:rPr>
          <w:rFonts w:ascii="仿宋" w:hAnsi="仿宋" w:eastAsia="仿宋" w:cs="仿宋"/>
          <w:color w:val="auto"/>
          <w:sz w:val="28"/>
          <w:szCs w:val="28"/>
          <w:highlight w:val="none"/>
        </w:rPr>
        <w:t xml:space="preserve">。 </w:t>
      </w:r>
    </w:p>
    <w:p w14:paraId="628556FE">
      <w:pPr>
        <w:pStyle w:val="6"/>
        <w:spacing w:before="0" w:beforeAutospacing="0" w:after="0" w:afterAutospacing="0" w:line="52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 xml:space="preserve">2.交货地点：采购人指定地点。 </w:t>
      </w:r>
    </w:p>
    <w:p w14:paraId="1D86FBF3">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验收标准、规范：</w:t>
      </w:r>
      <w:r>
        <w:rPr>
          <w:rFonts w:hint="eastAsia" w:ascii="仿宋" w:hAnsi="仿宋" w:eastAsia="仿宋" w:cs="仿宋"/>
          <w:color w:val="auto"/>
          <w:sz w:val="28"/>
          <w:szCs w:val="28"/>
          <w:highlight w:val="none"/>
          <w:lang w:val="en-US" w:eastAsia="zh-CN"/>
        </w:rPr>
        <w:t>按照采购清单技术要求进行验收。</w:t>
      </w:r>
    </w:p>
    <w:p w14:paraId="4C7B6FCE">
      <w:pPr>
        <w:pStyle w:val="6"/>
        <w:spacing w:before="0" w:beforeAutospacing="0" w:after="0" w:afterAutospacing="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、付款方式：</w:t>
      </w:r>
      <w:r>
        <w:rPr>
          <w:rFonts w:hint="eastAsia" w:ascii="仿宋" w:hAnsi="仿宋" w:eastAsia="仿宋" w:cs="仿宋"/>
          <w:color w:val="auto"/>
          <w:sz w:val="28"/>
          <w:szCs w:val="28"/>
          <w:shd w:val="clear" w:color="auto" w:fill="FFFFFF"/>
        </w:rPr>
        <w:t>树种结构调整</w:t>
      </w:r>
      <w:r>
        <w:rPr>
          <w:rFonts w:hint="eastAsia" w:ascii="仿宋" w:hAnsi="仿宋" w:eastAsia="仿宋" w:cs="仿宋"/>
          <w:color w:val="auto"/>
          <w:sz w:val="28"/>
          <w:szCs w:val="28"/>
          <w:shd w:val="clear" w:color="auto" w:fill="FFFFFF"/>
          <w:lang w:eastAsia="zh-CN"/>
        </w:rPr>
        <w:t>：完成林地清理</w:t>
      </w:r>
      <w:r>
        <w:rPr>
          <w:rFonts w:hint="eastAsia" w:ascii="仿宋" w:hAnsi="仿宋" w:eastAsia="仿宋" w:cs="仿宋"/>
          <w:color w:val="auto"/>
          <w:sz w:val="28"/>
          <w:szCs w:val="28"/>
          <w:shd w:val="clear" w:color="auto" w:fill="FFFFFF"/>
          <w:lang w:val="en-US" w:eastAsia="zh-CN"/>
        </w:rPr>
        <w:t>+整地+栽植+覆膜并通过县级验收付60%。完成抚育1次付40%；</w:t>
      </w:r>
      <w:r>
        <w:rPr>
          <w:rFonts w:hint="eastAsia" w:ascii="仿宋" w:hAnsi="仿宋" w:eastAsia="仿宋" w:cs="仿宋"/>
          <w:color w:val="auto"/>
          <w:sz w:val="28"/>
          <w:szCs w:val="28"/>
          <w:shd w:val="clear" w:color="auto" w:fill="FFFFFF"/>
        </w:rPr>
        <w:t>森林抚育(综合措施)</w:t>
      </w:r>
      <w:r>
        <w:rPr>
          <w:rFonts w:hint="eastAsia" w:ascii="仿宋" w:hAnsi="仿宋" w:eastAsia="仿宋" w:cs="仿宋"/>
          <w:color w:val="auto"/>
          <w:sz w:val="28"/>
          <w:szCs w:val="28"/>
          <w:shd w:val="clear" w:color="auto" w:fill="FFFFFF"/>
          <w:lang w:eastAsia="zh-CN"/>
        </w:rPr>
        <w:t>：完成后通过县级验收后一次性支付</w:t>
      </w:r>
      <w:r>
        <w:rPr>
          <w:rFonts w:hint="eastAsia" w:ascii="仿宋" w:hAnsi="仿宋" w:eastAsia="仿宋" w:cs="仿宋"/>
          <w:color w:val="auto"/>
          <w:sz w:val="28"/>
          <w:szCs w:val="28"/>
          <w:shd w:val="clear" w:color="auto" w:fill="FFFFFF"/>
          <w:lang w:val="en-US" w:eastAsia="zh-CN"/>
        </w:rPr>
        <w:t>100%。</w:t>
      </w:r>
    </w:p>
    <w:p w14:paraId="69039EC8">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、售后服务</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67732902">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①</w:t>
      </w:r>
      <w:r>
        <w:rPr>
          <w:rFonts w:hint="eastAsia" w:ascii="仿宋" w:hAnsi="仿宋" w:eastAsia="仿宋" w:cs="仿宋"/>
          <w:color w:val="000000" w:themeColor="text1"/>
          <w:sz w:val="28"/>
          <w:szCs w:val="28"/>
          <w:highlight w:val="none"/>
          <w14:textFill>
            <w14:solidFill>
              <w14:schemeClr w14:val="tx1"/>
            </w14:solidFill>
          </w14:textFill>
        </w:rPr>
        <w:t>供应商应针对本项目采购组建专业服务小组对项目采购过程进行服务。</w:t>
      </w:r>
    </w:p>
    <w:p w14:paraId="088890BC">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②</w:t>
      </w:r>
      <w:r>
        <w:rPr>
          <w:rFonts w:hint="eastAsia" w:ascii="仿宋" w:hAnsi="仿宋" w:eastAsia="仿宋" w:cs="仿宋"/>
          <w:color w:val="000000" w:themeColor="text1"/>
          <w:sz w:val="28"/>
          <w:szCs w:val="28"/>
          <w:highlight w:val="none"/>
          <w14:textFill>
            <w14:solidFill>
              <w14:schemeClr w14:val="tx1"/>
            </w14:solidFill>
          </w14:textFill>
        </w:rPr>
        <w:t>在遵守国家法律、法规、规程、有关标准的前提下，遵循业主至上的原则，尊重业主提出的要求、建议。对采购人提供全程、全方位的服务。</w:t>
      </w:r>
    </w:p>
    <w:p w14:paraId="6934F0FC">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③</w:t>
      </w:r>
      <w:r>
        <w:rPr>
          <w:rFonts w:hint="eastAsia" w:ascii="仿宋" w:hAnsi="仿宋" w:eastAsia="仿宋" w:cs="仿宋"/>
          <w:color w:val="000000" w:themeColor="text1"/>
          <w:sz w:val="28"/>
          <w:szCs w:val="28"/>
          <w:highlight w:val="none"/>
          <w14:textFill>
            <w14:solidFill>
              <w14:schemeClr w14:val="tx1"/>
            </w14:solidFill>
          </w14:textFill>
        </w:rPr>
        <w:t>服务内容及服务质量满足合同要求。</w:t>
      </w:r>
      <w:bookmarkStart w:id="1" w:name="_GoBack"/>
      <w:bookmarkEnd w:id="1"/>
    </w:p>
    <w:p w14:paraId="7A4B9683">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④</w:t>
      </w:r>
      <w:r>
        <w:rPr>
          <w:rFonts w:hint="eastAsia" w:ascii="仿宋" w:hAnsi="仿宋" w:eastAsia="仿宋" w:cs="仿宋"/>
          <w:color w:val="000000" w:themeColor="text1"/>
          <w:sz w:val="28"/>
          <w:szCs w:val="28"/>
          <w:highlight w:val="none"/>
          <w14:textFill>
            <w14:solidFill>
              <w14:schemeClr w14:val="tx1"/>
            </w14:solidFill>
          </w14:textFill>
        </w:rPr>
        <w:t>积极配合采购人办理本项目的相关手续及服务。</w:t>
      </w:r>
    </w:p>
    <w:p w14:paraId="501E5C9A">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⑤</w:t>
      </w:r>
      <w:r>
        <w:rPr>
          <w:rFonts w:hint="eastAsia" w:ascii="仿宋" w:hAnsi="仿宋" w:eastAsia="仿宋" w:cs="仿宋"/>
          <w:color w:val="000000" w:themeColor="text1"/>
          <w:sz w:val="28"/>
          <w:szCs w:val="28"/>
          <w:highlight w:val="none"/>
          <w14:textFill>
            <w14:solidFill>
              <w14:schemeClr w14:val="tx1"/>
            </w14:solidFill>
          </w14:textFill>
        </w:rPr>
        <w:t>由于供应商原因造成的损失由供应商自行承担。</w:t>
      </w:r>
    </w:p>
    <w:p w14:paraId="246E7CB7">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⑥</w:t>
      </w:r>
      <w:r>
        <w:rPr>
          <w:rFonts w:hint="eastAsia" w:ascii="仿宋" w:hAnsi="仿宋" w:eastAsia="仿宋" w:cs="仿宋"/>
          <w:color w:val="000000" w:themeColor="text1"/>
          <w:sz w:val="28"/>
          <w:szCs w:val="28"/>
          <w:highlight w:val="none"/>
          <w14:textFill>
            <w14:solidFill>
              <w14:schemeClr w14:val="tx1"/>
            </w14:solidFill>
          </w14:textFill>
        </w:rPr>
        <w:t xml:space="preserve">供应商在接到采购人通知应于4个小时内响应并提供相应的技术服务支持。 </w:t>
      </w:r>
    </w:p>
    <w:p w14:paraId="4DF9226C">
      <w:pPr>
        <w:pStyle w:val="6"/>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⑦</w:t>
      </w:r>
      <w:r>
        <w:rPr>
          <w:rFonts w:hint="eastAsia" w:ascii="仿宋" w:hAnsi="仿宋" w:eastAsia="仿宋" w:cs="仿宋"/>
          <w:color w:val="000000" w:themeColor="text1"/>
          <w:sz w:val="28"/>
          <w:szCs w:val="28"/>
          <w:highlight w:val="none"/>
          <w14:textFill>
            <w14:solidFill>
              <w14:schemeClr w14:val="tx1"/>
            </w14:solidFill>
          </w14:textFill>
        </w:rPr>
        <w:t>其他未尽事宜，合同签订时商定。</w:t>
      </w:r>
    </w:p>
    <w:p w14:paraId="3E2C01F5">
      <w:pPr>
        <w:pStyle w:val="6"/>
        <w:numPr>
          <w:ilvl w:val="0"/>
          <w:numId w:val="1"/>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其他</w:t>
      </w:r>
    </w:p>
    <w:p w14:paraId="42644225">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①</w:t>
      </w:r>
      <w:r>
        <w:rPr>
          <w:rFonts w:hint="eastAsia" w:ascii="仿宋" w:hAnsi="仿宋" w:eastAsia="仿宋" w:cs="仿宋"/>
          <w:color w:val="000000" w:themeColor="text1"/>
          <w:sz w:val="28"/>
          <w:szCs w:val="28"/>
          <w:highlight w:val="none"/>
          <w14:textFill>
            <w14:solidFill>
              <w14:schemeClr w14:val="tx1"/>
            </w14:solidFill>
          </w14:textFill>
        </w:rPr>
        <w:t>成交人按照与采购方签订的合同组织</w:t>
      </w:r>
      <w:r>
        <w:rPr>
          <w:rFonts w:hint="eastAsia" w:ascii="仿宋" w:hAnsi="仿宋" w:eastAsia="仿宋" w:cs="仿宋"/>
          <w:color w:val="000000" w:themeColor="text1"/>
          <w:sz w:val="28"/>
          <w:szCs w:val="28"/>
          <w:highlight w:val="none"/>
          <w:lang w:val="en-US" w:eastAsia="zh-CN"/>
          <w14:textFill>
            <w14:solidFill>
              <w14:schemeClr w14:val="tx1"/>
            </w14:solidFill>
          </w14:textFill>
        </w:rPr>
        <w:t>供货</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所发生的运费、装卸费、交通费、服务费等均由成交人负责;免费提供产品的售后技术培训和技术指导等服务，对产品在使用后出现的问题成交人负全责。成交人不得转让和分包其应履行的合同义务,不得找其他企业代加工其成交商品。</w:t>
      </w:r>
    </w:p>
    <w:p w14:paraId="7A4A13AF">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②</w:t>
      </w:r>
      <w:r>
        <w:rPr>
          <w:rFonts w:hint="eastAsia" w:ascii="仿宋" w:hAnsi="仿宋" w:eastAsia="仿宋" w:cs="仿宋"/>
          <w:color w:val="000000" w:themeColor="text1"/>
          <w:sz w:val="28"/>
          <w:szCs w:val="28"/>
          <w:highlight w:val="none"/>
          <w14:textFill>
            <w14:solidFill>
              <w14:schemeClr w14:val="tx1"/>
            </w14:solidFill>
          </w14:textFill>
        </w:rPr>
        <w:t>供应商所提供的证件、材料必须真实有效，否则将报政府采购相关主管部门依法严肃处理。</w:t>
      </w:r>
    </w:p>
    <w:p w14:paraId="0CCD2851">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③</w:t>
      </w:r>
      <w:r>
        <w:rPr>
          <w:rFonts w:hint="eastAsia" w:ascii="仿宋" w:hAnsi="仿宋" w:eastAsia="仿宋" w:cs="仿宋"/>
          <w:color w:val="000000" w:themeColor="text1"/>
          <w:sz w:val="28"/>
          <w:szCs w:val="28"/>
          <w:highlight w:val="none"/>
          <w14:textFill>
            <w14:solidFill>
              <w14:schemeClr w14:val="tx1"/>
            </w14:solidFill>
          </w14:textFill>
        </w:rPr>
        <w:t xml:space="preserve">保密：成交人如实施过程中获得的数据必须保密，不得赠送、发售或借阅他人。否则，违者应对由此造成的后果承担法律责任。 </w:t>
      </w:r>
    </w:p>
    <w:p w14:paraId="54784A38">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④</w:t>
      </w:r>
      <w:r>
        <w:rPr>
          <w:rFonts w:hint="eastAsia" w:ascii="仿宋" w:hAnsi="仿宋" w:eastAsia="仿宋" w:cs="仿宋"/>
          <w:color w:val="000000" w:themeColor="text1"/>
          <w:sz w:val="28"/>
          <w:szCs w:val="28"/>
          <w:highlight w:val="none"/>
          <w14:textFill>
            <w14:solidFill>
              <w14:schemeClr w14:val="tx1"/>
            </w14:solidFill>
          </w14:textFill>
        </w:rPr>
        <w:t>其他：本项目未尽事宜，由双方合同中协商解决。</w:t>
      </w:r>
    </w:p>
    <w:p w14:paraId="7A43FB61">
      <w:pPr>
        <w:pStyle w:val="5"/>
        <w:ind w:left="0" w:leftChars="0" w:firstLine="0" w:firstLineChars="0"/>
        <w:rPr>
          <w:rFonts w:hint="eastAsia" w:ascii="仿宋" w:hAnsi="仿宋" w:eastAsia="仿宋" w:cs="仿宋"/>
          <w:color w:val="000000" w:themeColor="text1"/>
          <w:sz w:val="28"/>
          <w:szCs w:val="28"/>
          <w:highlight w:val="none"/>
          <w14:textFill>
            <w14:solidFill>
              <w14:schemeClr w14:val="tx1"/>
            </w14:solidFill>
          </w14:textFill>
        </w:rPr>
      </w:pPr>
    </w:p>
    <w:p w14:paraId="4ECFE3D0">
      <w:pPr>
        <w:pStyle w:val="5"/>
        <w:rPr>
          <w:rFonts w:hint="eastAsia" w:ascii="仿宋" w:hAnsi="仿宋" w:eastAsia="仿宋" w:cs="仿宋"/>
          <w:color w:val="000000" w:themeColor="text1"/>
          <w:sz w:val="28"/>
          <w:szCs w:val="28"/>
          <w:highlight w:val="none"/>
          <w14:textFill>
            <w14:solidFill>
              <w14:schemeClr w14:val="tx1"/>
            </w14:solidFill>
          </w14:textFill>
        </w:rPr>
      </w:pPr>
    </w:p>
    <w:p w14:paraId="688E6788">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14:paraId="3E44EC2A">
      <w:pPr>
        <w:pStyle w:val="6"/>
        <w:numPr>
          <w:ilvl w:val="0"/>
          <w:numId w:val="0"/>
        </w:numPr>
        <w:spacing w:before="0" w:beforeAutospacing="0" w:after="0" w:afterAutospacing="0" w:line="520" w:lineRule="exact"/>
        <w:ind w:firstLine="803" w:firstLineChars="2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40"/>
          <w:szCs w:val="40"/>
          <w:highlight w:val="none"/>
          <w:lang w:val="en-US" w:eastAsia="zh-CN"/>
          <w14:textFill>
            <w14:solidFill>
              <w14:schemeClr w14:val="tx1"/>
            </w14:solidFill>
          </w14:textFill>
        </w:rPr>
        <w:t>评标办法</w:t>
      </w:r>
    </w:p>
    <w:tbl>
      <w:tblPr>
        <w:tblStyle w:val="10"/>
        <w:tblpPr w:leftFromText="180" w:rightFromText="180" w:vertAnchor="text" w:horzAnchor="page" w:tblpX="987" w:tblpY="329"/>
        <w:tblOverlap w:val="never"/>
        <w:tblW w:w="10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985"/>
        <w:gridCol w:w="5808"/>
      </w:tblGrid>
      <w:tr w14:paraId="250B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63" w:type="dxa"/>
            <w:vAlign w:val="center"/>
          </w:tcPr>
          <w:p w14:paraId="0F831EE5">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tc>
        <w:tc>
          <w:tcPr>
            <w:tcW w:w="2985" w:type="dxa"/>
            <w:vAlign w:val="center"/>
          </w:tcPr>
          <w:p w14:paraId="1BA0D11F">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评标办法</w:t>
            </w:r>
          </w:p>
        </w:tc>
        <w:tc>
          <w:tcPr>
            <w:tcW w:w="5808" w:type="dxa"/>
            <w:vAlign w:val="center"/>
          </w:tcPr>
          <w:p w14:paraId="411E4E99">
            <w:pPr>
              <w:pStyle w:val="6"/>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综合评分法，经评审的最高分为中标单位。</w:t>
            </w:r>
          </w:p>
        </w:tc>
      </w:tr>
      <w:tr w14:paraId="5F4F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63" w:type="dxa"/>
            <w:vAlign w:val="center"/>
          </w:tcPr>
          <w:p w14:paraId="161C3759">
            <w:pPr>
              <w:pStyle w:val="6"/>
              <w:numPr>
                <w:ilvl w:val="0"/>
                <w:numId w:val="0"/>
              </w:numPr>
              <w:spacing w:before="0" w:beforeAutospacing="0" w:after="0" w:afterAutospacing="0" w:line="520" w:lineRule="exact"/>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p>
        </w:tc>
        <w:tc>
          <w:tcPr>
            <w:tcW w:w="2985" w:type="dxa"/>
            <w:vAlign w:val="center"/>
          </w:tcPr>
          <w:p w14:paraId="3AE10D09">
            <w:pPr>
              <w:pStyle w:val="6"/>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评标委员会推荐中标候选人的人数</w:t>
            </w:r>
          </w:p>
        </w:tc>
        <w:tc>
          <w:tcPr>
            <w:tcW w:w="5808" w:type="dxa"/>
            <w:vAlign w:val="center"/>
          </w:tcPr>
          <w:p w14:paraId="5FFB0436">
            <w:pPr>
              <w:pStyle w:val="6"/>
              <w:numPr>
                <w:ilvl w:val="0"/>
                <w:numId w:val="0"/>
              </w:numPr>
              <w:spacing w:before="0" w:beforeAutospacing="0" w:after="0" w:afterAutospacing="0" w:line="52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评标委员会推荐成交候选人的人数为：前3名。</w:t>
            </w:r>
          </w:p>
        </w:tc>
      </w:tr>
    </w:tbl>
    <w:p w14:paraId="2556F26C">
      <w:pPr>
        <w:pStyle w:val="13"/>
        <w:rPr>
          <w:rStyle w:val="12"/>
          <w:rFonts w:hint="default"/>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55358"/>
    <w:multiLevelType w:val="singleLevel"/>
    <w:tmpl w:val="6AC5535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6610CE5"/>
    <w:rsid w:val="03ED05F4"/>
    <w:rsid w:val="06610CE5"/>
    <w:rsid w:val="07D87057"/>
    <w:rsid w:val="08163730"/>
    <w:rsid w:val="0DCA2D9B"/>
    <w:rsid w:val="0DCE6277"/>
    <w:rsid w:val="12B62BAF"/>
    <w:rsid w:val="186E2B4E"/>
    <w:rsid w:val="1EBE0E4A"/>
    <w:rsid w:val="2065060B"/>
    <w:rsid w:val="2789327A"/>
    <w:rsid w:val="29857F3F"/>
    <w:rsid w:val="3185255A"/>
    <w:rsid w:val="321037CF"/>
    <w:rsid w:val="427F0198"/>
    <w:rsid w:val="42DD1C84"/>
    <w:rsid w:val="4BC8099B"/>
    <w:rsid w:val="4F9F5FC0"/>
    <w:rsid w:val="51690420"/>
    <w:rsid w:val="57255DE7"/>
    <w:rsid w:val="5774113E"/>
    <w:rsid w:val="5D667DEA"/>
    <w:rsid w:val="680B17D9"/>
    <w:rsid w:val="76917410"/>
    <w:rsid w:val="77A65780"/>
    <w:rsid w:val="77EC0E9F"/>
    <w:rsid w:val="7A942C68"/>
    <w:rsid w:val="7E5F52F3"/>
    <w:rsid w:val="7F9748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
    <w:pPr>
      <w:keepNext/>
      <w:keepLines/>
      <w:jc w:val="center"/>
      <w:outlineLvl w:val="1"/>
    </w:pPr>
    <w:rPr>
      <w:rFonts w:ascii="Cambria" w:hAnsi="Cambria" w:eastAsia="方正小标宋简体"/>
      <w:bCs/>
      <w:kern w:val="0"/>
      <w:sz w:val="28"/>
      <w:szCs w:val="32"/>
    </w:rPr>
  </w:style>
  <w:style w:type="paragraph" w:styleId="3">
    <w:name w:val="heading 3"/>
    <w:basedOn w:val="1"/>
    <w:next w:val="1"/>
    <w:autoRedefine/>
    <w:qFormat/>
    <w:uiPriority w:val="9"/>
    <w:pPr>
      <w:keepNext/>
      <w:keepLines/>
      <w:jc w:val="center"/>
      <w:outlineLvl w:val="2"/>
    </w:pPr>
    <w:rPr>
      <w:rFonts w:eastAsia="黑体"/>
      <w:bCs/>
      <w:kern w:val="0"/>
      <w:sz w:val="24"/>
      <w:szCs w:val="32"/>
    </w:rPr>
  </w:style>
  <w:style w:type="paragraph" w:styleId="4">
    <w:name w:val="heading 4"/>
    <w:basedOn w:val="1"/>
    <w:next w:val="1"/>
    <w:autoRedefine/>
    <w:unhideWhenUsed/>
    <w:qFormat/>
    <w:uiPriority w:val="9"/>
    <w:pPr>
      <w:keepNext/>
      <w:keepLines/>
      <w:spacing w:before="280" w:after="290" w:line="376" w:lineRule="auto"/>
      <w:outlineLvl w:val="3"/>
    </w:pPr>
    <w:rPr>
      <w:rFonts w:ascii="Cambria" w:hAnsi="Cambria" w:eastAsia="宋体"/>
      <w:b/>
      <w:bCs/>
      <w:sz w:val="28"/>
      <w:szCs w:val="28"/>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kern w:val="0"/>
      <w:sz w:val="20"/>
    </w:rPr>
  </w:style>
  <w:style w:type="paragraph" w:styleId="6">
    <w:name w:val="Body Text"/>
    <w:basedOn w:val="1"/>
    <w:next w:val="1"/>
    <w:unhideWhenUsed/>
    <w:qFormat/>
    <w:uiPriority w:val="99"/>
    <w:pPr>
      <w:spacing w:after="120"/>
    </w:pPr>
    <w:rPr>
      <w:rFonts w:ascii="Calibri" w:hAnsi="Calibri" w:eastAsia="宋体" w:cs="Times New Roman"/>
      <w:szCs w:val="22"/>
    </w:rPr>
  </w:style>
  <w:style w:type="paragraph" w:styleId="7">
    <w:name w:val="Body Text Indent"/>
    <w:basedOn w:val="1"/>
    <w:next w:val="8"/>
    <w:autoRedefine/>
    <w:qFormat/>
    <w:uiPriority w:val="0"/>
    <w:pPr>
      <w:spacing w:line="380" w:lineRule="exact"/>
      <w:ind w:firstLine="480"/>
    </w:pPr>
    <w:rPr>
      <w:rFonts w:eastAsia="方正书宋简体"/>
      <w:szCs w:val="20"/>
    </w:rPr>
  </w:style>
  <w:style w:type="paragraph" w:styleId="8">
    <w:name w:val="Body Text First Indent 2"/>
    <w:basedOn w:val="7"/>
    <w:next w:val="1"/>
    <w:autoRedefine/>
    <w:qFormat/>
    <w:uiPriority w:val="0"/>
    <w:pPr>
      <w:spacing w:after="0" w:line="360" w:lineRule="auto"/>
      <w:ind w:left="0" w:firstLine="200" w:firstLineChars="200"/>
    </w:pPr>
    <w:rPr>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paragraph" w:customStyle="1" w:styleId="13">
    <w:name w:val="正文-公1"/>
    <w:basedOn w:val="1"/>
    <w:autoRedefine/>
    <w:qFormat/>
    <w:uiPriority w:val="0"/>
    <w:pPr>
      <w:ind w:firstLine="200" w:firstLineChars="200"/>
    </w:pPr>
    <w:rPr>
      <w:rFonts w:ascii="Calibri" w:hAnsi="Calibri"/>
      <w:color w:val="000000"/>
    </w:rPr>
  </w:style>
  <w:style w:type="paragraph" w:customStyle="1" w:styleId="14">
    <w:name w:val="Default"/>
    <w:next w:val="7"/>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列出段落3"/>
    <w:basedOn w:val="1"/>
    <w:autoRedefine/>
    <w:qFormat/>
    <w:uiPriority w:val="0"/>
    <w:pPr>
      <w:spacing w:before="100" w:beforeAutospacing="1" w:after="100" w:afterAutospacing="1"/>
      <w:ind w:left="828" w:hanging="601"/>
    </w:pPr>
    <w:rPr>
      <w:rFonts w:ascii="宋体" w:hAnsi="宋体" w:cs="宋体"/>
    </w:rPr>
  </w:style>
  <w:style w:type="paragraph" w:customStyle="1" w:styleId="16">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styleId="17">
    <w:name w:val="List Paragraph"/>
    <w:basedOn w:val="1"/>
    <w:autoRedefine/>
    <w:qFormat/>
    <w:uiPriority w:val="34"/>
    <w:pPr>
      <w:ind w:firstLine="420" w:firstLineChars="200"/>
    </w:pPr>
  </w:style>
  <w:style w:type="paragraph" w:customStyle="1" w:styleId="18">
    <w:name w:val="Table Paragraph"/>
    <w:basedOn w:val="1"/>
    <w:autoRedefine/>
    <w:qFormat/>
    <w:uiPriority w:val="1"/>
    <w:rPr>
      <w:rFonts w:ascii="宋体" w:hAnsi="宋体" w:cs="宋体"/>
      <w:lang w:val="zh-CN" w:bidi="zh-CN"/>
    </w:rPr>
  </w:style>
  <w:style w:type="paragraph" w:customStyle="1" w:styleId="19">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4676</Words>
  <Characters>5669</Characters>
  <Lines>0</Lines>
  <Paragraphs>0</Paragraphs>
  <TotalTime>0</TotalTime>
  <ScaleCrop>false</ScaleCrop>
  <LinksUpToDate>false</LinksUpToDate>
  <CharactersWithSpaces>5770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2022-08-30T03:19:00Z</dcterms:created>
  <dc:creator>Administrator</dc:creator>
  <cp:lastModifiedBy>ChocolateBinly</cp:lastModifiedBy>
  <dcterms:modified xsi:type="dcterms:W3CDTF">2025-08-05T06:47:29Z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FD4793C51E5C4C85919A67F3F59D6FDB</vt:lpwstr>
  </property>
  <property fmtid="{D5CDD505-2E9C-101B-9397-08002B2CF9AE}" pid="4" name="KSOTemplateDocerSaveRecord">
    <vt:lpwstr>eyJoZGlkIjoiMzEwNTM5NzYwMDRjMzkwZTVkZjY2ODkwMGIxNGU0OTUiLCJ1c2VySWQiOiIyNjU3ODIyOTYifQ==</vt:lpwstr>
  </property>
</Properties>
</file>