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A37EE">
      <w:pPr>
        <w:pStyle w:val="2"/>
        <w:bidi w:val="0"/>
        <w:jc w:val="center"/>
        <w:rPr>
          <w:rFonts w:hint="eastAsia"/>
          <w:lang w:val="en-US" w:eastAsia="zh-CN"/>
        </w:rPr>
      </w:pPr>
      <w:r>
        <w:rPr>
          <w:rFonts w:hint="eastAsia"/>
          <w:lang w:val="en-US" w:eastAsia="zh-CN"/>
        </w:rPr>
        <w:t>威宁县乌江源头水源涵养与水生态治理工程需求公示</w:t>
      </w:r>
    </w:p>
    <w:p w14:paraId="63D10053">
      <w:pPr>
        <w:pStyle w:val="3"/>
        <w:pageBreakBefore w:val="0"/>
        <w:kinsoku/>
        <w:wordWrap/>
        <w:overflowPunct/>
        <w:topLinePunct w:val="0"/>
        <w:autoSpaceDE/>
        <w:autoSpaceDN/>
        <w:bidi w:val="0"/>
        <w:adjustRightInd/>
        <w:snapToGrid/>
        <w:spacing w:before="0" w:after="0" w:line="348" w:lineRule="auto"/>
        <w:textAlignment w:val="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一、</w:t>
      </w:r>
      <w:r>
        <w:rPr>
          <w:rFonts w:hint="eastAsia" w:ascii="宋体" w:hAnsi="宋体" w:eastAsia="宋体" w:cs="宋体"/>
          <w:color w:val="000000"/>
          <w:sz w:val="24"/>
          <w:szCs w:val="24"/>
          <w:highlight w:val="none"/>
        </w:rPr>
        <w:t>申请人的资格要求：</w:t>
      </w:r>
    </w:p>
    <w:p w14:paraId="32A2365D">
      <w:pPr>
        <w:pageBreakBefore w:val="0"/>
        <w:kinsoku/>
        <w:wordWrap/>
        <w:overflowPunct/>
        <w:topLinePunct w:val="0"/>
        <w:autoSpaceDE/>
        <w:autoSpaceDN/>
        <w:bidi w:val="0"/>
        <w:adjustRightInd/>
        <w:snapToGrid/>
        <w:spacing w:line="348" w:lineRule="auto"/>
        <w:ind w:firstLine="480" w:firstLineChars="200"/>
        <w:textAlignment w:val="auto"/>
        <w:rPr>
          <w:rFonts w:ascii="宋体"/>
          <w:color w:val="000000"/>
          <w:sz w:val="24"/>
          <w:szCs w:val="24"/>
          <w:highlight w:val="none"/>
        </w:rPr>
      </w:pPr>
      <w:r>
        <w:rPr>
          <w:rFonts w:ascii="宋体" w:hAnsi="宋体"/>
          <w:color w:val="000000"/>
          <w:sz w:val="24"/>
          <w:szCs w:val="24"/>
          <w:highlight w:val="none"/>
        </w:rPr>
        <w:t>1.</w:t>
      </w:r>
      <w:r>
        <w:rPr>
          <w:rFonts w:hint="eastAsia" w:ascii="宋体" w:hAnsi="宋体"/>
          <w:color w:val="000000"/>
          <w:sz w:val="24"/>
          <w:szCs w:val="24"/>
          <w:highlight w:val="none"/>
        </w:rPr>
        <w:t>符合《中华人民共和国政府采购法》第二十二条规定，并提供下列材料：</w:t>
      </w:r>
    </w:p>
    <w:p w14:paraId="13400B1C">
      <w:pPr>
        <w:pageBreakBefore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cs="Times New Roman"/>
          <w:color w:val="000000"/>
          <w:sz w:val="24"/>
          <w:szCs w:val="24"/>
          <w:highlight w:val="none"/>
          <w:u w:val="single"/>
          <w:lang w:val="en-US" w:eastAsia="zh-CN"/>
        </w:rPr>
      </w:pPr>
      <w:r>
        <w:rPr>
          <w:rFonts w:hint="eastAsia" w:ascii="宋体" w:hAnsi="宋体" w:eastAsia="宋体" w:cs="Times New Roman"/>
          <w:color w:val="000000"/>
          <w:sz w:val="24"/>
          <w:szCs w:val="24"/>
          <w:highlight w:val="none"/>
          <w:u w:val="single"/>
          <w:lang w:val="en-US" w:eastAsia="zh-CN"/>
        </w:rPr>
        <w:t>①具有独立承担民事责任的能力：在中华人民共和国境内注册的法人或其他组织或自然人，提供法人或者其他组织的营业执照（或事业单位法人证书）等证明文件，自然人参加采购活动的提供身份证明。②提供会计师事务所或审计机构出具的2023年度或2024年度的财务审计报告（包括资产负债表、现金流量表、利润表或利润分配表、财务报表附注或财务状况说明书），以及会计师事务所或审计机构的营业执照及执业资格证书，或基本开户银行2025年1月（含）至递交响应文件截止时间前出具的资信证明。部分其他组织和自然人，没有经审计财务报告的，可以提供银行2025年1月（含）至递交响应文件截止时间前出具的资信证明。③具有依法缴纳税收和社会保障资金的良好记录：提供2025年1月（含）至递交响应文件截止时间前任意一个月缴纳税收的凭据或未拖欠税收的证明材料（不需要缴纳税收或依法免税的，提供有效的证明文件）；提供2025年1月（含）至递交响应文件截止时间前任意一个月社会保障资金缴纳证明材料（不需要缴纳社保资金的，提供有效的证明文件）。④具有履行合同所必需的设备和专业技术能力：自行承诺具备履行合同所必需的设备和专业技术能力（承诺函自拟）。⑤参加本次政府采购活动前三年内在经营活动中没有重大违法记录的书面声明：提供参加本次政府采购活动前三年内未因违法经营受到刑事处罚或者责令停产停业、吊销许可证或者执照、较大数额罚款等行政处罚的书面声明（自行声明）。⑥法律、行政法规规定的其他条件：在“信用中国”、“中国政府采购网”等渠道查询中被列入失信被执行人名单、重大税收违法失信主体、政府采购严重违法失信行为记录名单，且还在执行期内的供应商，禁止参加政府采购活动；单位负责人为同一人或者存在直接控股、管理关系的不同供应商，不得同时参加本采购项目政府采购活动；为本项目提供整体设计、规范编制或者项目管理、监理、检测等服务的供应商，不得再参与本项目政府采购活动。供应商应遵守政府采购法律法规，否则投标将被拒绝。⑦法定代表人（或自然人）参加磋商的必须有法定代表人（或自然人）身份证明，授权委托人参加磋商的必须有供应商法定代表人身份证明和授权委托书。</w:t>
      </w:r>
    </w:p>
    <w:p w14:paraId="0A44AC59">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eastAsia" w:ascii="宋体" w:hAnsi="宋体"/>
          <w:color w:val="000000"/>
          <w:sz w:val="24"/>
          <w:szCs w:val="24"/>
          <w:highlight w:val="none"/>
        </w:rPr>
      </w:pPr>
      <w:r>
        <w:rPr>
          <w:rFonts w:ascii="宋体" w:hAnsi="宋体"/>
          <w:color w:val="000000"/>
          <w:sz w:val="24"/>
          <w:szCs w:val="24"/>
          <w:highlight w:val="none"/>
        </w:rPr>
        <w:t>2.</w:t>
      </w:r>
      <w:r>
        <w:rPr>
          <w:rFonts w:hint="eastAsia" w:ascii="宋体" w:hAnsi="宋体"/>
          <w:color w:val="000000"/>
          <w:sz w:val="24"/>
          <w:szCs w:val="24"/>
          <w:highlight w:val="none"/>
        </w:rPr>
        <w:t>落实政府采购政策需满足的资格要求：</w:t>
      </w:r>
      <w:r>
        <w:rPr>
          <w:sz w:val="24"/>
          <w:szCs w:val="24"/>
          <w:u w:val="single" w:color="auto"/>
        </w:rPr>
        <w:t>本项目专门面向中小企业采购（含</w:t>
      </w:r>
      <w:r>
        <w:rPr>
          <w:spacing w:val="-1"/>
          <w:sz w:val="24"/>
          <w:szCs w:val="24"/>
          <w:u w:val="single" w:color="auto"/>
        </w:rPr>
        <w:t>监狱企</w:t>
      </w:r>
      <w:r>
        <w:rPr>
          <w:sz w:val="24"/>
          <w:szCs w:val="24"/>
          <w:u w:val="single" w:color="auto"/>
        </w:rPr>
        <w:t>业和残疾人福利性单位以及符合中小企业划分标准的个体工商户</w:t>
      </w:r>
      <w:r>
        <w:rPr>
          <w:spacing w:val="-1"/>
          <w:sz w:val="24"/>
          <w:szCs w:val="24"/>
          <w:u w:val="single" w:color="auto"/>
        </w:rPr>
        <w:t>，但与大企业的负责人</w:t>
      </w:r>
      <w:r>
        <w:rPr>
          <w:sz w:val="24"/>
          <w:szCs w:val="24"/>
          <w:u w:val="single" w:color="auto"/>
        </w:rPr>
        <w:t>为同一人，或者与大企业存在直接控股、管理关系的除外）。采</w:t>
      </w:r>
      <w:r>
        <w:rPr>
          <w:spacing w:val="-1"/>
          <w:sz w:val="24"/>
          <w:szCs w:val="24"/>
          <w:u w:val="single" w:color="auto"/>
        </w:rPr>
        <w:t>购标的对应的中小企业</w:t>
      </w:r>
      <w:r>
        <w:rPr>
          <w:spacing w:val="1"/>
          <w:sz w:val="24"/>
          <w:szCs w:val="24"/>
          <w:u w:val="single" w:color="auto"/>
        </w:rPr>
        <w:t>划分标准所属行业为建筑业。</w:t>
      </w:r>
    </w:p>
    <w:p w14:paraId="3BAC89EE">
      <w:pPr>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default" w:ascii="宋体" w:hAnsi="宋体" w:eastAsia="宋体"/>
          <w:color w:val="000000"/>
          <w:sz w:val="24"/>
          <w:szCs w:val="24"/>
          <w:highlight w:val="none"/>
          <w:u w:val="single"/>
          <w:lang w:val="en-US" w:eastAsia="zh-CN"/>
        </w:rPr>
      </w:pPr>
      <w:r>
        <w:rPr>
          <w:rFonts w:ascii="宋体" w:hAnsi="宋体"/>
          <w:color w:val="000000"/>
          <w:sz w:val="24"/>
          <w:szCs w:val="24"/>
          <w:highlight w:val="none"/>
        </w:rPr>
        <w:t>3.</w:t>
      </w:r>
      <w:bookmarkStart w:id="0" w:name="_Hlk42894146"/>
      <w:r>
        <w:rPr>
          <w:rFonts w:hint="eastAsia" w:ascii="宋体" w:hAnsi="宋体"/>
          <w:color w:val="000000"/>
          <w:sz w:val="24"/>
          <w:szCs w:val="24"/>
          <w:highlight w:val="none"/>
        </w:rPr>
        <w:t>本项目的特定资格要求：</w:t>
      </w:r>
      <w:bookmarkEnd w:id="0"/>
      <w:r>
        <w:rPr>
          <w:sz w:val="24"/>
          <w:szCs w:val="24"/>
          <w:u w:val="single" w:color="auto"/>
        </w:rPr>
        <w:t>供应商具备行政主管部门颁发的的水利水电</w:t>
      </w:r>
      <w:r>
        <w:rPr>
          <w:spacing w:val="-1"/>
          <w:sz w:val="24"/>
          <w:szCs w:val="24"/>
          <w:u w:val="single" w:color="auto"/>
        </w:rPr>
        <w:t>工程施工总</w:t>
      </w:r>
      <w:r>
        <w:rPr>
          <w:sz w:val="24"/>
          <w:szCs w:val="24"/>
          <w:u w:val="single" w:color="auto"/>
        </w:rPr>
        <w:t>承包三级及以上资质，具有有效安全生产许可证。</w:t>
      </w:r>
    </w:p>
    <w:p w14:paraId="4D43209A">
      <w:pPr>
        <w:pStyle w:val="3"/>
        <w:pageBreakBefore w:val="0"/>
        <w:kinsoku/>
        <w:wordWrap/>
        <w:overflowPunct/>
        <w:topLinePunct w:val="0"/>
        <w:autoSpaceDE/>
        <w:autoSpaceDN/>
        <w:bidi w:val="0"/>
        <w:adjustRightInd/>
        <w:snapToGrid/>
        <w:spacing w:before="0" w:after="0" w:line="348" w:lineRule="auto"/>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二、采购需求</w:t>
      </w:r>
    </w:p>
    <w:p w14:paraId="218C1C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cs="宋体"/>
          <w:b/>
          <w:bCs/>
          <w:color w:val="000000"/>
          <w:sz w:val="24"/>
          <w:szCs w:val="28"/>
          <w:highlight w:val="none"/>
          <w:lang w:val="en-US" w:eastAsia="zh-CN"/>
        </w:rPr>
      </w:pPr>
      <w:r>
        <w:rPr>
          <w:rFonts w:hint="eastAsia"/>
          <w:b/>
          <w:bCs/>
          <w:color w:val="000000"/>
          <w:sz w:val="24"/>
          <w:szCs w:val="28"/>
          <w:highlight w:val="none"/>
          <w:lang w:val="en-US" w:eastAsia="zh-CN"/>
        </w:rPr>
        <w:t>2.1、标的：</w:t>
      </w:r>
      <w:r>
        <w:rPr>
          <w:rFonts w:hint="eastAsia" w:ascii="Times New Roman" w:hAnsi="Times New Roman" w:eastAsia="宋体" w:cs="宋体"/>
          <w:b w:val="0"/>
          <w:bCs w:val="0"/>
          <w:color w:val="000000"/>
          <w:kern w:val="2"/>
          <w:sz w:val="24"/>
          <w:szCs w:val="28"/>
          <w:highlight w:val="none"/>
          <w:lang w:val="en-US" w:eastAsia="zh-CN" w:bidi="ar-SA"/>
        </w:rPr>
        <w:t>威宁县乌江源头水源涵养与水生态治理工程。</w:t>
      </w:r>
    </w:p>
    <w:p w14:paraId="0A990BFD">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b/>
          <w:bCs/>
          <w:color w:val="000000"/>
          <w:sz w:val="24"/>
          <w:szCs w:val="28"/>
          <w:highlight w:val="none"/>
        </w:rPr>
      </w:pPr>
      <w:r>
        <w:rPr>
          <w:rFonts w:hint="eastAsia"/>
          <w:b/>
          <w:bCs/>
          <w:color w:val="000000"/>
          <w:sz w:val="24"/>
          <w:szCs w:val="28"/>
          <w:highlight w:val="none"/>
          <w:lang w:val="en-US" w:eastAsia="zh-CN"/>
        </w:rPr>
        <w:t>2.2</w:t>
      </w:r>
      <w:r>
        <w:rPr>
          <w:rFonts w:hint="eastAsia"/>
          <w:b/>
          <w:bCs/>
          <w:color w:val="000000"/>
          <w:sz w:val="24"/>
          <w:szCs w:val="28"/>
          <w:highlight w:val="none"/>
        </w:rPr>
        <w:t>、</w:t>
      </w:r>
      <w:r>
        <w:rPr>
          <w:rFonts w:hint="eastAsia"/>
          <w:b/>
          <w:bCs/>
          <w:color w:val="000000"/>
          <w:sz w:val="24"/>
          <w:szCs w:val="28"/>
          <w:highlight w:val="none"/>
          <w:lang w:val="en-US" w:eastAsia="zh-CN"/>
        </w:rPr>
        <w:t>采购工程量清单：</w:t>
      </w:r>
      <w:r>
        <w:rPr>
          <w:rFonts w:hint="eastAsia"/>
          <w:b w:val="0"/>
          <w:bCs w:val="0"/>
          <w:color w:val="000000"/>
          <w:sz w:val="24"/>
          <w:szCs w:val="28"/>
          <w:highlight w:val="none"/>
          <w:lang w:val="en-US" w:eastAsia="zh-CN"/>
        </w:rPr>
        <w:t>已上传至全国公共资源交易平台（贵州省·毕节市）毕节市公共资源交易公共服务平台本项目磋商公告附件处，各供应商自行下载。</w:t>
      </w:r>
    </w:p>
    <w:p w14:paraId="09A1C7CC">
      <w:pPr>
        <w:ind w:firstLine="482" w:firstLineChars="200"/>
        <w:rPr>
          <w:rFonts w:hint="eastAsia" w:ascii="宋体" w:hAnsi="宋体" w:eastAsia="宋体" w:cs="宋体"/>
          <w:sz w:val="24"/>
          <w:szCs w:val="24"/>
        </w:rPr>
      </w:pPr>
      <w:r>
        <w:rPr>
          <w:rFonts w:hint="eastAsia" w:ascii="Times New Roman" w:hAnsi="Times New Roman" w:eastAsia="宋体" w:cs="Times New Roman"/>
          <w:b/>
          <w:bCs/>
          <w:color w:val="000000"/>
          <w:kern w:val="2"/>
          <w:sz w:val="24"/>
          <w:szCs w:val="28"/>
          <w:highlight w:val="none"/>
          <w:lang w:val="en-US" w:eastAsia="zh-CN" w:bidi="ar-SA"/>
        </w:rPr>
        <w:t>2.3 技术要求：</w:t>
      </w:r>
      <w:r>
        <w:rPr>
          <w:rFonts w:hint="eastAsia" w:ascii="宋体" w:hAnsi="宋体" w:eastAsia="宋体" w:cs="宋体"/>
          <w:sz w:val="24"/>
          <w:szCs w:val="24"/>
          <w:lang w:val="en-US" w:eastAsia="zh-CN"/>
        </w:rPr>
        <w:t xml:space="preserve"> </w:t>
      </w:r>
    </w:p>
    <w:p w14:paraId="11A97B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color w:val="000000"/>
          <w:kern w:val="2"/>
          <w:sz w:val="24"/>
          <w:szCs w:val="28"/>
          <w:highlight w:val="none"/>
          <w:lang w:val="en-US" w:eastAsia="zh-CN" w:bidi="ar-SA"/>
        </w:rPr>
      </w:pPr>
      <w:r>
        <w:rPr>
          <w:rFonts w:hint="eastAsia" w:ascii="Times New Roman" w:hAnsi="Times New Roman" w:eastAsia="宋体" w:cs="宋体"/>
          <w:b w:val="0"/>
          <w:bCs w:val="0"/>
          <w:color w:val="000000"/>
          <w:kern w:val="2"/>
          <w:sz w:val="24"/>
          <w:szCs w:val="28"/>
          <w:highlight w:val="none"/>
          <w:lang w:val="en-US" w:eastAsia="zh-CN" w:bidi="ar-SA"/>
        </w:rPr>
        <w:t xml:space="preserve">2.3.1 按施工技术规范要求完成采购工程量清单所列全部内容。 </w:t>
      </w:r>
    </w:p>
    <w:p w14:paraId="3BF445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color w:val="000000"/>
          <w:kern w:val="2"/>
          <w:sz w:val="24"/>
          <w:szCs w:val="28"/>
          <w:highlight w:val="none"/>
          <w:lang w:val="en-US" w:eastAsia="zh-CN" w:bidi="ar-SA"/>
        </w:rPr>
      </w:pPr>
      <w:r>
        <w:rPr>
          <w:rFonts w:hint="eastAsia" w:ascii="Times New Roman" w:hAnsi="Times New Roman" w:eastAsia="宋体" w:cs="宋体"/>
          <w:b w:val="0"/>
          <w:bCs w:val="0"/>
          <w:color w:val="000000"/>
          <w:kern w:val="2"/>
          <w:sz w:val="24"/>
          <w:szCs w:val="28"/>
          <w:highlight w:val="none"/>
          <w:lang w:val="en-US" w:eastAsia="zh-CN" w:bidi="ar-SA"/>
        </w:rPr>
        <w:t>2.3.2 工程质量要求：符合国家现行有关施工质量验收规范标准。</w:t>
      </w:r>
    </w:p>
    <w:p w14:paraId="78EC1BC1">
      <w:pPr>
        <w:keepNext w:val="0"/>
        <w:keepLines w:val="0"/>
        <w:widowControl/>
        <w:suppressLineNumbers w:val="0"/>
        <w:ind w:firstLine="482" w:firstLineChars="200"/>
        <w:jc w:val="left"/>
      </w:pPr>
      <w:r>
        <w:rPr>
          <w:rFonts w:hint="eastAsia" w:ascii="Times New Roman" w:hAnsi="Times New Roman" w:eastAsia="宋体" w:cs="Times New Roman"/>
          <w:b/>
          <w:bCs/>
          <w:color w:val="000000"/>
          <w:kern w:val="2"/>
          <w:sz w:val="24"/>
          <w:szCs w:val="28"/>
          <w:highlight w:val="none"/>
          <w:lang w:val="en-US" w:eastAsia="zh-CN" w:bidi="ar-SA"/>
        </w:rPr>
        <w:t>2.4 商务要求：</w:t>
      </w:r>
      <w:r>
        <w:rPr>
          <w:rFonts w:ascii="仿宋" w:hAnsi="仿宋" w:eastAsia="仿宋" w:cs="仿宋"/>
          <w:b/>
          <w:bCs/>
          <w:color w:val="000000"/>
          <w:kern w:val="0"/>
          <w:sz w:val="24"/>
          <w:szCs w:val="24"/>
          <w:lang w:val="en-US" w:eastAsia="zh-CN" w:bidi="ar"/>
        </w:rPr>
        <w:t xml:space="preserve"> </w:t>
      </w:r>
    </w:p>
    <w:p w14:paraId="1CF246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color w:val="000000"/>
          <w:kern w:val="2"/>
          <w:sz w:val="24"/>
          <w:szCs w:val="28"/>
          <w:highlight w:val="none"/>
          <w:lang w:val="en-US" w:eastAsia="zh-CN" w:bidi="ar-SA"/>
        </w:rPr>
      </w:pPr>
      <w:r>
        <w:rPr>
          <w:rFonts w:hint="eastAsia" w:ascii="Times New Roman" w:hAnsi="Times New Roman" w:eastAsia="宋体" w:cs="宋体"/>
          <w:b w:val="0"/>
          <w:bCs w:val="0"/>
          <w:color w:val="000000"/>
          <w:kern w:val="2"/>
          <w:sz w:val="24"/>
          <w:szCs w:val="28"/>
          <w:highlight w:val="none"/>
          <w:lang w:val="en-US" w:eastAsia="zh-CN" w:bidi="ar-SA"/>
        </w:rPr>
        <w:t xml:space="preserve">2.4.1 承包工程范围：工程量清单所列全部内容。 </w:t>
      </w:r>
    </w:p>
    <w:p w14:paraId="0D7368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color w:val="000000"/>
          <w:kern w:val="2"/>
          <w:sz w:val="24"/>
          <w:szCs w:val="28"/>
          <w:highlight w:val="none"/>
          <w:lang w:val="en-US" w:eastAsia="zh-CN" w:bidi="ar-SA"/>
        </w:rPr>
      </w:pPr>
      <w:r>
        <w:rPr>
          <w:rFonts w:hint="eastAsia" w:ascii="Times New Roman" w:hAnsi="Times New Roman" w:eastAsia="宋体" w:cs="宋体"/>
          <w:b w:val="0"/>
          <w:bCs w:val="0"/>
          <w:color w:val="000000"/>
          <w:kern w:val="2"/>
          <w:sz w:val="24"/>
          <w:szCs w:val="28"/>
          <w:highlight w:val="none"/>
          <w:lang w:val="en-US" w:eastAsia="zh-CN" w:bidi="ar-SA"/>
        </w:rPr>
        <w:t xml:space="preserve">2.4.2 工期：180 日历天。 </w:t>
      </w:r>
    </w:p>
    <w:p w14:paraId="73C1DA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color w:val="000000"/>
          <w:kern w:val="2"/>
          <w:sz w:val="24"/>
          <w:szCs w:val="28"/>
          <w:highlight w:val="none"/>
          <w:lang w:val="en-US" w:eastAsia="zh-CN" w:bidi="ar-SA"/>
        </w:rPr>
      </w:pPr>
      <w:r>
        <w:rPr>
          <w:rFonts w:hint="eastAsia" w:ascii="Times New Roman" w:hAnsi="Times New Roman" w:eastAsia="宋体" w:cs="宋体"/>
          <w:b w:val="0"/>
          <w:bCs w:val="0"/>
          <w:color w:val="000000"/>
          <w:kern w:val="2"/>
          <w:sz w:val="24"/>
          <w:szCs w:val="28"/>
          <w:highlight w:val="none"/>
          <w:lang w:val="en-US" w:eastAsia="zh-CN" w:bidi="ar-SA"/>
        </w:rPr>
        <w:t xml:space="preserve">2.4.3 工程地点：采购人指定地点。 </w:t>
      </w:r>
    </w:p>
    <w:p w14:paraId="153488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color w:val="000000"/>
          <w:kern w:val="2"/>
          <w:sz w:val="24"/>
          <w:szCs w:val="28"/>
          <w:highlight w:val="none"/>
          <w:lang w:val="en-US" w:eastAsia="zh-CN" w:bidi="ar-SA"/>
        </w:rPr>
      </w:pPr>
      <w:r>
        <w:rPr>
          <w:rFonts w:hint="eastAsia" w:ascii="Times New Roman" w:hAnsi="Times New Roman" w:eastAsia="宋体" w:cs="宋体"/>
          <w:b w:val="0"/>
          <w:bCs w:val="0"/>
          <w:color w:val="000000"/>
          <w:kern w:val="2"/>
          <w:sz w:val="24"/>
          <w:szCs w:val="28"/>
          <w:highlight w:val="none"/>
          <w:lang w:val="en-US" w:eastAsia="zh-CN" w:bidi="ar-SA"/>
        </w:rPr>
        <w:t xml:space="preserve">2.4.4 验收：乙方（成交供应商）完成招标清单所列全部内容，施工完毕，向甲方提出书面验收申请，甲方收到验收申请后 5 个工作日内，由甲方组织相关人员按国家现行有关施工质量验收规范标准及行业质量标准要求和磋商文件要求进行验收。如验收不合格的，乙方按验收整改意见进行整改，整改后再次申请甲方验收。在验收合格前，采购人不支付所剩工程款，且因验收不合格产生的一切经济损失由供应商自行承担。 </w:t>
      </w:r>
    </w:p>
    <w:p w14:paraId="10CDCA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color w:val="000000"/>
          <w:kern w:val="2"/>
          <w:sz w:val="24"/>
          <w:szCs w:val="28"/>
          <w:highlight w:val="none"/>
          <w:lang w:val="en-US" w:eastAsia="zh-CN" w:bidi="ar-SA"/>
        </w:rPr>
      </w:pPr>
      <w:r>
        <w:rPr>
          <w:rFonts w:hint="eastAsia" w:ascii="Times New Roman" w:hAnsi="Times New Roman" w:eastAsia="宋体" w:cs="宋体"/>
          <w:b w:val="0"/>
          <w:bCs w:val="0"/>
          <w:color w:val="000000"/>
          <w:kern w:val="2"/>
          <w:sz w:val="24"/>
          <w:szCs w:val="28"/>
          <w:highlight w:val="none"/>
          <w:lang w:val="en-US" w:eastAsia="zh-CN" w:bidi="ar-SA"/>
        </w:rPr>
        <w:t>2.4.5 付款方式：由采购单位与成交单位合同签订时自行协</w:t>
      </w:r>
      <w:bookmarkStart w:id="1" w:name="_GoBack"/>
      <w:bookmarkEnd w:id="1"/>
      <w:r>
        <w:rPr>
          <w:rFonts w:hint="eastAsia" w:ascii="Times New Roman" w:hAnsi="Times New Roman" w:eastAsia="宋体" w:cs="宋体"/>
          <w:b w:val="0"/>
          <w:bCs w:val="0"/>
          <w:color w:val="000000"/>
          <w:kern w:val="2"/>
          <w:sz w:val="24"/>
          <w:szCs w:val="28"/>
          <w:highlight w:val="none"/>
          <w:lang w:val="en-US" w:eastAsia="zh-CN" w:bidi="ar-SA"/>
        </w:rPr>
        <w:t xml:space="preserve">商约定。 </w:t>
      </w:r>
    </w:p>
    <w:p w14:paraId="3089E7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宋体"/>
          <w:b w:val="0"/>
          <w:bCs w:val="0"/>
          <w:color w:val="000000"/>
          <w:kern w:val="2"/>
          <w:sz w:val="24"/>
          <w:szCs w:val="28"/>
          <w:highlight w:val="none"/>
          <w:lang w:val="en-US" w:eastAsia="zh-CN" w:bidi="ar-SA"/>
        </w:rPr>
      </w:pPr>
      <w:r>
        <w:rPr>
          <w:rFonts w:hint="eastAsia" w:ascii="Times New Roman" w:hAnsi="Times New Roman" w:eastAsia="宋体" w:cs="宋体"/>
          <w:b w:val="0"/>
          <w:bCs w:val="0"/>
          <w:color w:val="000000"/>
          <w:kern w:val="2"/>
          <w:sz w:val="24"/>
          <w:szCs w:val="28"/>
          <w:highlight w:val="none"/>
          <w:lang w:val="en-US" w:eastAsia="zh-CN" w:bidi="ar-SA"/>
        </w:rPr>
        <w:t>2.4.6 投标供应商需保证，当采购人资金拨付不到位时，必须严格按照合同约定的工期和进度完成本项目全部内容，绝不影响工程质量和工期，保证不发生拖欠农民工工资，确保工程顺利实施，期间不以未支付工程进度款为由，停工罢工，入围响应要求的，属供应商违约，将自愿接受采购人的一切处理意见，并对此无任何异议</w:t>
      </w:r>
    </w:p>
    <w:p w14:paraId="298FC651">
      <w:pPr>
        <w:pStyle w:val="5"/>
        <w:ind w:firstLine="482" w:firstLineChars="200"/>
        <w:rPr>
          <w:rFonts w:hint="eastAsia" w:ascii="Times New Roman" w:hAnsi="Times New Roman" w:eastAsia="宋体" w:cs="Times New Roman"/>
          <w:b/>
          <w:bCs/>
          <w:color w:val="000000"/>
          <w:kern w:val="2"/>
          <w:sz w:val="24"/>
          <w:szCs w:val="28"/>
          <w:highlight w:val="none"/>
          <w:lang w:val="en-US" w:eastAsia="zh-CN" w:bidi="ar-SA"/>
        </w:rPr>
      </w:pPr>
    </w:p>
    <w:p w14:paraId="431C0F81">
      <w:pPr>
        <w:numPr>
          <w:ilvl w:val="0"/>
          <w:numId w:val="2"/>
        </w:numPr>
        <w:rPr>
          <w:rFonts w:hint="eastAsia" w:ascii="Times New Roman" w:hAnsi="Times New Roman" w:eastAsia="宋体" w:cs="Times New Roman"/>
          <w:b/>
          <w:bCs/>
          <w:color w:val="000000"/>
          <w:kern w:val="2"/>
          <w:sz w:val="24"/>
          <w:szCs w:val="28"/>
          <w:highlight w:val="none"/>
          <w:lang w:val="en-US" w:eastAsia="zh-CN" w:bidi="ar-SA"/>
        </w:rPr>
      </w:pPr>
      <w:r>
        <w:rPr>
          <w:rFonts w:hint="eastAsia" w:ascii="Times New Roman" w:hAnsi="Times New Roman" w:eastAsia="宋体" w:cs="Times New Roman"/>
          <w:b/>
          <w:bCs/>
          <w:color w:val="000000"/>
          <w:kern w:val="2"/>
          <w:sz w:val="24"/>
          <w:szCs w:val="28"/>
          <w:highlight w:val="none"/>
          <w:lang w:val="en-US" w:eastAsia="zh-CN" w:bidi="ar-SA"/>
        </w:rPr>
        <w:t>评标标准</w:t>
      </w:r>
    </w:p>
    <w:p w14:paraId="44FED418">
      <w:pPr>
        <w:pageBreakBefore w:val="0"/>
        <w:kinsoku/>
        <w:wordWrap/>
        <w:overflowPunct/>
        <w:topLinePunct w:val="0"/>
        <w:autoSpaceDE/>
        <w:autoSpaceDN/>
        <w:bidi w:val="0"/>
        <w:adjustRightInd/>
        <w:snapToGrid/>
        <w:spacing w:line="348" w:lineRule="auto"/>
        <w:ind w:firstLine="480" w:firstLineChars="200"/>
        <w:textAlignment w:val="auto"/>
        <w:rPr>
          <w:rFonts w:hint="default" w:ascii="宋体" w:hAnsi="宋体" w:eastAsia="宋体" w:cs="Times New Roman"/>
          <w:color w:val="000000"/>
          <w:sz w:val="24"/>
          <w:szCs w:val="24"/>
          <w:highlight w:val="none"/>
          <w:u w:val="none"/>
          <w:lang w:val="en-US" w:eastAsia="zh-CN"/>
        </w:rPr>
      </w:pPr>
      <w:r>
        <w:rPr>
          <w:rFonts w:hint="default" w:ascii="宋体" w:hAnsi="宋体" w:eastAsia="宋体" w:cs="Times New Roman"/>
          <w:color w:val="000000"/>
          <w:sz w:val="24"/>
          <w:szCs w:val="24"/>
          <w:highlight w:val="none"/>
          <w:u w:val="none"/>
          <w:lang w:val="en-US" w:eastAsia="zh-CN"/>
        </w:rPr>
        <w:t>1.本次磋商采用 100 分制最高分确定成交的综合评分法，由磋商小组在磋商会议上现场评定推荐 1-3 名成交候选人。</w:t>
      </w:r>
    </w:p>
    <w:p w14:paraId="2024BB70">
      <w:pPr>
        <w:pageBreakBefore w:val="0"/>
        <w:kinsoku/>
        <w:wordWrap/>
        <w:overflowPunct/>
        <w:topLinePunct w:val="0"/>
        <w:autoSpaceDE/>
        <w:autoSpaceDN/>
        <w:bidi w:val="0"/>
        <w:adjustRightInd/>
        <w:snapToGrid/>
        <w:spacing w:line="348" w:lineRule="auto"/>
        <w:ind w:firstLine="480" w:firstLineChars="200"/>
        <w:textAlignment w:val="auto"/>
        <w:rPr>
          <w:rFonts w:hint="default" w:ascii="宋体" w:hAnsi="宋体" w:eastAsia="宋体" w:cs="Times New Roman"/>
          <w:color w:val="000000"/>
          <w:sz w:val="24"/>
          <w:szCs w:val="24"/>
          <w:highlight w:val="none"/>
          <w:u w:val="none"/>
          <w:lang w:val="en-US" w:eastAsia="zh-CN"/>
        </w:rPr>
      </w:pPr>
      <w:r>
        <w:rPr>
          <w:rFonts w:hint="default" w:ascii="宋体" w:hAnsi="宋体" w:eastAsia="宋体" w:cs="Times New Roman"/>
          <w:color w:val="000000"/>
          <w:sz w:val="24"/>
          <w:szCs w:val="24"/>
          <w:highlight w:val="none"/>
          <w:u w:val="none"/>
          <w:lang w:val="en-US" w:eastAsia="zh-CN"/>
        </w:rPr>
        <w:t>2.供应商的技术与商务分（满分 80 分），由磋商小组根据其提交的《响应文件》按照本竞争性磋商文件规定的评分标准评出后的算术平均值。供应商的报价得分（满分 20 分），由供应商在线最后报价的计算获得。</w:t>
      </w:r>
    </w:p>
    <w:p w14:paraId="3BE6CA45">
      <w:pPr>
        <w:pageBreakBefore w:val="0"/>
        <w:kinsoku/>
        <w:wordWrap/>
        <w:overflowPunct/>
        <w:topLinePunct w:val="0"/>
        <w:autoSpaceDE/>
        <w:autoSpaceDN/>
        <w:bidi w:val="0"/>
        <w:adjustRightInd/>
        <w:snapToGrid/>
        <w:spacing w:line="348" w:lineRule="auto"/>
        <w:ind w:firstLine="480" w:firstLineChars="200"/>
        <w:textAlignment w:val="auto"/>
        <w:rPr>
          <w:rFonts w:hint="default" w:ascii="宋体" w:hAnsi="宋体" w:eastAsia="宋体" w:cs="Times New Roman"/>
          <w:color w:val="000000"/>
          <w:sz w:val="24"/>
          <w:szCs w:val="24"/>
          <w:highlight w:val="none"/>
          <w:u w:val="none"/>
          <w:lang w:val="en-US" w:eastAsia="zh-CN"/>
        </w:rPr>
      </w:pPr>
      <w:r>
        <w:rPr>
          <w:rFonts w:hint="default" w:ascii="宋体" w:hAnsi="宋体" w:eastAsia="宋体" w:cs="Times New Roman"/>
          <w:color w:val="000000"/>
          <w:sz w:val="24"/>
          <w:szCs w:val="24"/>
          <w:highlight w:val="none"/>
          <w:u w:val="none"/>
          <w:lang w:val="en-US" w:eastAsia="zh-CN"/>
        </w:rPr>
        <w:t>2.1 报价得分=（基准价/最后报价)×价格权值×100</w:t>
      </w:r>
    </w:p>
    <w:p w14:paraId="22CE312C">
      <w:pPr>
        <w:pageBreakBefore w:val="0"/>
        <w:kinsoku/>
        <w:wordWrap/>
        <w:overflowPunct/>
        <w:topLinePunct w:val="0"/>
        <w:autoSpaceDE/>
        <w:autoSpaceDN/>
        <w:bidi w:val="0"/>
        <w:adjustRightInd/>
        <w:snapToGrid/>
        <w:spacing w:line="348" w:lineRule="auto"/>
        <w:ind w:firstLine="480" w:firstLineChars="200"/>
        <w:textAlignment w:val="auto"/>
        <w:rPr>
          <w:rFonts w:hint="default" w:ascii="宋体" w:hAnsi="宋体" w:eastAsia="宋体" w:cs="Times New Roman"/>
          <w:color w:val="000000"/>
          <w:sz w:val="24"/>
          <w:szCs w:val="24"/>
          <w:highlight w:val="none"/>
          <w:u w:val="none"/>
          <w:lang w:val="en-US" w:eastAsia="zh-CN"/>
        </w:rPr>
      </w:pPr>
      <w:r>
        <w:rPr>
          <w:rFonts w:hint="default" w:ascii="宋体" w:hAnsi="宋体" w:eastAsia="宋体" w:cs="Times New Roman"/>
          <w:color w:val="000000"/>
          <w:sz w:val="24"/>
          <w:szCs w:val="24"/>
          <w:highlight w:val="none"/>
          <w:u w:val="none"/>
          <w:lang w:val="en-US" w:eastAsia="zh-CN"/>
        </w:rPr>
        <w:t>注：基准价指满足竞争性磋商文件实质性要求且在线最后报价最低的价格，最后报价指满足竞争性磋商文件实质性要求的各供应商的在线最后报价。价格权值为0.2。</w:t>
      </w:r>
    </w:p>
    <w:p w14:paraId="1A517924">
      <w:pPr>
        <w:pageBreakBefore w:val="0"/>
        <w:kinsoku/>
        <w:wordWrap/>
        <w:overflowPunct/>
        <w:topLinePunct w:val="0"/>
        <w:autoSpaceDE/>
        <w:autoSpaceDN/>
        <w:bidi w:val="0"/>
        <w:adjustRightInd/>
        <w:snapToGrid/>
        <w:spacing w:line="348" w:lineRule="auto"/>
        <w:ind w:firstLine="480" w:firstLineChars="200"/>
        <w:textAlignment w:val="auto"/>
        <w:rPr>
          <w:rFonts w:hint="default" w:ascii="宋体" w:hAnsi="宋体" w:eastAsia="宋体" w:cs="Times New Roman"/>
          <w:color w:val="000000"/>
          <w:sz w:val="24"/>
          <w:szCs w:val="24"/>
          <w:highlight w:val="none"/>
          <w:u w:val="none"/>
          <w:lang w:val="en-US" w:eastAsia="zh-CN"/>
        </w:rPr>
      </w:pPr>
      <w:r>
        <w:rPr>
          <w:rFonts w:hint="default" w:ascii="宋体" w:hAnsi="宋体" w:eastAsia="宋体" w:cs="Times New Roman"/>
          <w:color w:val="000000"/>
          <w:sz w:val="24"/>
          <w:szCs w:val="24"/>
          <w:highlight w:val="none"/>
          <w:u w:val="none"/>
          <w:lang w:val="en-US" w:eastAsia="zh-CN"/>
        </w:rPr>
        <w:t>2.2 综合分为供应商的技术与商务得分和报价得分之和。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F6E5C"/>
    <w:multiLevelType w:val="singleLevel"/>
    <w:tmpl w:val="1BDF6E5C"/>
    <w:lvl w:ilvl="0" w:tentative="0">
      <w:start w:val="3"/>
      <w:numFmt w:val="chineseCounting"/>
      <w:suff w:val="nothing"/>
      <w:lvlText w:val="%1、"/>
      <w:lvlJc w:val="left"/>
      <w:rPr>
        <w:rFonts w:hint="eastAsia"/>
      </w:rPr>
    </w:lvl>
  </w:abstractNum>
  <w:abstractNum w:abstractNumId="1">
    <w:nsid w:val="7E8F04B3"/>
    <w:multiLevelType w:val="multilevel"/>
    <w:tmpl w:val="7E8F04B3"/>
    <w:lvl w:ilvl="0" w:tentative="0">
      <w:start w:val="0"/>
      <w:numFmt w:val="decimal"/>
      <w:lvlText w:val=""/>
      <w:lvlJc w:val="left"/>
      <w:pPr>
        <w:tabs>
          <w:tab w:val="left" w:pos="0"/>
        </w:tabs>
      </w:pPr>
    </w:lvl>
    <w:lvl w:ilvl="1" w:tentative="0">
      <w:start w:val="0"/>
      <w:numFmt w:val="decimal"/>
      <w:pStyle w:val="3"/>
      <w:lvlText w:val=""/>
      <w:lvlJc w:val="left"/>
      <w:pPr>
        <w:tabs>
          <w:tab w:val="left" w:pos="0"/>
        </w:tabs>
      </w:pPr>
    </w:lvl>
    <w:lvl w:ilvl="2" w:tentative="0">
      <w:start w:val="0"/>
      <w:numFmt w:val="decimal"/>
      <w:lvlText w:val=""/>
      <w:lvlJc w:val="left"/>
      <w:pPr>
        <w:tabs>
          <w:tab w:val="left" w:pos="0"/>
        </w:tabs>
      </w:pPr>
    </w:lvl>
    <w:lvl w:ilvl="3" w:tentative="0">
      <w:start w:val="0"/>
      <w:numFmt w:val="decimal"/>
      <w:lvlText w:val=""/>
      <w:lvlJc w:val="left"/>
      <w:pPr>
        <w:tabs>
          <w:tab w:val="left" w:pos="0"/>
        </w:tabs>
      </w:pPr>
    </w:lvl>
    <w:lvl w:ilvl="4" w:tentative="0">
      <w:start w:val="0"/>
      <w:numFmt w:val="decimal"/>
      <w:lvlText w:val=""/>
      <w:lvlJc w:val="left"/>
      <w:pPr>
        <w:tabs>
          <w:tab w:val="left" w:pos="0"/>
        </w:tabs>
      </w:pPr>
    </w:lvl>
    <w:lvl w:ilvl="5" w:tentative="0">
      <w:start w:val="0"/>
      <w:numFmt w:val="decimal"/>
      <w:lvlText w:val=""/>
      <w:lvlJc w:val="left"/>
      <w:pPr>
        <w:tabs>
          <w:tab w:val="left" w:pos="0"/>
        </w:tabs>
      </w:pPr>
    </w:lvl>
    <w:lvl w:ilvl="6" w:tentative="0">
      <w:start w:val="0"/>
      <w:numFmt w:val="decimal"/>
      <w:lvlText w:val=""/>
      <w:lvlJc w:val="left"/>
      <w:pPr>
        <w:tabs>
          <w:tab w:val="left" w:pos="0"/>
        </w:tabs>
      </w:pPr>
    </w:lvl>
    <w:lvl w:ilvl="7" w:tentative="0">
      <w:start w:val="0"/>
      <w:numFmt w:val="decimal"/>
      <w:lvlText w:val=""/>
      <w:lvlJc w:val="left"/>
      <w:pPr>
        <w:tabs>
          <w:tab w:val="left" w:pos="0"/>
        </w:tabs>
      </w:pPr>
    </w:lvl>
    <w:lvl w:ilvl="8" w:tentative="0">
      <w:start w:val="0"/>
      <w:numFmt w:val="decimal"/>
      <w:lvlText w:val=""/>
      <w:lvlJc w:val="left"/>
      <w:pPr>
        <w:tabs>
          <w:tab w:val="left" w:pos="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B7201"/>
    <w:rsid w:val="1F6B306C"/>
    <w:rsid w:val="2B3D6A05"/>
    <w:rsid w:val="3FAF76FF"/>
    <w:rsid w:val="670B7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9"/>
    <w:pPr>
      <w:keepNext/>
      <w:keepLines/>
      <w:numPr>
        <w:ilvl w:val="1"/>
        <w:numId w:val="1"/>
      </w:numPr>
      <w:spacing w:before="260" w:after="260" w:line="415" w:lineRule="auto"/>
      <w:outlineLvl w:val="1"/>
    </w:pPr>
    <w:rPr>
      <w:rFonts w:ascii="Arial" w:hAnsi="Arial" w:eastAsia="黑体" w:cs="Arial"/>
      <w:b/>
      <w:bCs/>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qFormat/>
    <w:uiPriority w:val="99"/>
    <w:pPr>
      <w:spacing w:line="600" w:lineRule="exact"/>
      <w:jc w:val="center"/>
    </w:pPr>
    <w:rPr>
      <w:sz w:val="30"/>
    </w:rPr>
  </w:style>
  <w:style w:type="paragraph" w:styleId="5">
    <w:name w:val="toc 1"/>
    <w:basedOn w:val="1"/>
    <w:next w:val="1"/>
    <w:qFormat/>
    <w:uiPriority w:val="39"/>
  </w:style>
  <w:style w:type="paragraph" w:customStyle="1" w:styleId="8">
    <w:name w:val="Table Text"/>
    <w:basedOn w:val="1"/>
    <w:semiHidden/>
    <w:qFormat/>
    <w:uiPriority w:val="0"/>
    <w:rPr>
      <w:rFonts w:ascii="宋体" w:hAnsi="宋体" w:eastAsia="宋体" w:cs="宋体"/>
      <w:sz w:val="17"/>
      <w:szCs w:val="17"/>
      <w:lang w:val="en-US" w:eastAsia="en-US" w:bidi="ar-SA"/>
    </w:rPr>
  </w:style>
  <w:style w:type="table" w:customStyle="1" w:styleId="9">
    <w:name w:val="Table Normal"/>
    <w:unhideWhenUsed/>
    <w:qFormat/>
    <w:uiPriority w:val="0"/>
    <w:rPr>
      <w:rFonts w:ascii="Arial" w:hAnsi="Arial" w:cs="Arial"/>
      <w:snapToGrid w:val="0"/>
      <w:color w:val="000000"/>
      <w:sz w:val="21"/>
      <w:szCs w:val="21"/>
      <w:lang w:val="en-US" w:eastAsia="zh-CN" w:bidi="ar-SA"/>
    </w:rPr>
    <w:tblPr>
      <w:tblCellMar>
        <w:top w:w="0" w:type="dxa"/>
        <w:left w:w="0" w:type="dxa"/>
        <w:bottom w:w="0" w:type="dxa"/>
        <w:right w:w="0" w:type="dxa"/>
      </w:tblCellMar>
    </w:tblPr>
  </w:style>
  <w:style w:type="paragraph" w:styleId="10">
    <w:name w:val="No Spacing"/>
    <w:link w:val="12"/>
    <w:qFormat/>
    <w:uiPriority w:val="99"/>
    <w:rPr>
      <w:rFonts w:ascii="Times New Roman" w:hAnsi="Times New Roman" w:eastAsia="宋体" w:cs="Times New Roman"/>
      <w:sz w:val="24"/>
      <w:szCs w:val="24"/>
      <w:lang w:val="en-US" w:eastAsia="zh-CN" w:bidi="ar-SA"/>
    </w:rPr>
  </w:style>
  <w:style w:type="paragraph" w:customStyle="1" w:styleId="11">
    <w:name w:val="_Style 6"/>
    <w:unhideWhenUsed/>
    <w:qFormat/>
    <w:uiPriority w:val="99"/>
    <w:rPr>
      <w:rFonts w:ascii="Times New Roman" w:hAnsi="Times New Roman" w:eastAsia="宋体" w:cs="Times New Roman"/>
      <w:kern w:val="2"/>
      <w:sz w:val="21"/>
      <w:szCs w:val="21"/>
      <w:lang w:val="en-US" w:eastAsia="zh-CN" w:bidi="ar-SA"/>
    </w:rPr>
  </w:style>
  <w:style w:type="character" w:customStyle="1" w:styleId="12">
    <w:name w:val="无间隔 Char"/>
    <w:link w:val="10"/>
    <w:qFormat/>
    <w:uiPriority w:val="99"/>
    <w:rPr>
      <w:sz w:val="24"/>
      <w:szCs w:val="24"/>
      <w:lang w:val="en-US" w:eastAsia="zh-CN" w:bidi="ar-SA"/>
    </w:rPr>
  </w:style>
  <w:style w:type="character" w:customStyle="1" w:styleId="13">
    <w:name w:val="修订 Char"/>
    <w:link w:val="14"/>
    <w:qFormat/>
    <w:uiPriority w:val="99"/>
    <w:rPr>
      <w:rFonts w:ascii="Times New Roman" w:hAnsi="Times New Roman" w:eastAsia="宋体" w:cs="Times New Roman"/>
      <w:kern w:val="2"/>
      <w:sz w:val="21"/>
      <w:szCs w:val="21"/>
      <w:lang w:val="en-US" w:eastAsia="zh-CN" w:bidi="ar-SA"/>
    </w:rPr>
  </w:style>
  <w:style w:type="paragraph" w:customStyle="1" w:styleId="14">
    <w:name w:val="_Style 5"/>
    <w:link w:val="13"/>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2309</Words>
  <Characters>2780</Characters>
  <Lines>0</Lines>
  <Paragraphs>0</Paragraphs>
  <TotalTime>10</TotalTime>
  <ScaleCrop>false</ScaleCrop>
  <LinksUpToDate>false</LinksUpToDate>
  <CharactersWithSpaces>2824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2025-03-05T02:44:00Z</dcterms:created>
  <dc:creator>WPS_1623742122</dc:creator>
  <cp:lastModifiedBy>WPS_1623742122</cp:lastModifiedBy>
  <dcterms:modified xsi:type="dcterms:W3CDTF">2025-06-09T06:39:44Z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73BA55BEAF824CA690CFF44BD892320F_13</vt:lpwstr>
  </property>
  <property fmtid="{D5CDD505-2E9C-101B-9397-08002B2CF9AE}" pid="4" name="KSOTemplateDocerSaveRecord">
    <vt:lpwstr>eyJoZGlkIjoiMTBiOWEyMGU1Yjg2NTdjMGFiMjFkOGMwNTViY2U2MDkiLCJ1c2VySWQiOiIxMjIxNjU5OTI0In0=</vt:lpwstr>
  </property>
</Properties>
</file>