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66166">
      <w:pPr>
        <w:keepNext w:val="0"/>
        <w:keepLines w:val="0"/>
        <w:pageBreakBefore w:val="0"/>
        <w:kinsoku/>
        <w:wordWrap/>
        <w:overflowPunct/>
        <w:topLinePunct w:val="0"/>
        <w:bidi w:val="0"/>
        <w:snapToGrid w:val="0"/>
        <w:spacing w:line="360" w:lineRule="auto"/>
        <w:ind w:firstLine="723" w:firstLineChars="200"/>
        <w:jc w:val="center"/>
        <w:textAlignment w:val="auto"/>
        <w:rPr>
          <w:rFonts w:hint="default"/>
          <w:b/>
          <w:bCs/>
          <w:color w:val="auto"/>
          <w:sz w:val="36"/>
          <w:szCs w:val="44"/>
          <w:highlight w:val="none"/>
          <w:lang w:val="en-US" w:eastAsia="zh-CN"/>
        </w:rPr>
      </w:pPr>
      <w:r>
        <w:rPr>
          <w:rFonts w:hint="eastAsia"/>
          <w:b/>
          <w:bCs/>
          <w:color w:val="auto"/>
          <w:sz w:val="36"/>
          <w:szCs w:val="44"/>
          <w:highlight w:val="none"/>
          <w:lang w:val="en-US" w:eastAsia="zh-CN"/>
        </w:rPr>
        <w:t>采购需求公示</w:t>
      </w:r>
    </w:p>
    <w:p w14:paraId="180814ED">
      <w:pPr>
        <w:keepNext w:val="0"/>
        <w:keepLines w:val="0"/>
        <w:pageBreakBefore w:val="0"/>
        <w:widowControl w:val="0"/>
        <w:kinsoku/>
        <w:wordWrap/>
        <w:overflowPunct/>
        <w:topLinePunct w:val="0"/>
        <w:autoSpaceDE/>
        <w:autoSpaceDN/>
        <w:bidi w:val="0"/>
        <w:adjustRightInd/>
        <w:snapToGrid w:val="0"/>
        <w:spacing w:before="157" w:beforeLines="50" w:line="360" w:lineRule="auto"/>
        <w:jc w:val="both"/>
        <w:textAlignment w:val="auto"/>
        <w:outlineLvl w:val="0"/>
        <w:rPr>
          <w:rFonts w:hint="eastAsia"/>
          <w:b/>
          <w:bCs/>
          <w:color w:val="auto"/>
          <w:sz w:val="28"/>
          <w:szCs w:val="28"/>
          <w:highlight w:val="none"/>
          <w:lang w:val="en-US" w:eastAsia="zh-CN"/>
        </w:rPr>
      </w:pPr>
      <w:r>
        <w:rPr>
          <w:rFonts w:hint="eastAsia"/>
          <w:b/>
          <w:bCs/>
          <w:color w:val="auto"/>
          <w:sz w:val="28"/>
          <w:szCs w:val="28"/>
          <w:highlight w:val="none"/>
          <w:lang w:val="en-US" w:eastAsia="zh-CN"/>
        </w:rPr>
        <w:t>一、资格要求</w:t>
      </w:r>
    </w:p>
    <w:p w14:paraId="66727B31">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（一）符合政府采购法第二十二条规定，提供政府采购法实施条例第十七条规定资料。</w:t>
      </w:r>
    </w:p>
    <w:p w14:paraId="47755669">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1、具有独立承担民事责任的能力：提供法人或其他组织的营业执照等证明文件，或自然人身份证明；</w:t>
      </w:r>
    </w:p>
    <w:p w14:paraId="68195F72">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2、具有良好的商业信誉和健全的财务会计制度：提供2023年度或2024年度经第三方审计机构审计的财务审计报告或开标截止时间前三个月内基本户开户银行出具的资信证明材料；</w:t>
      </w:r>
    </w:p>
    <w:p w14:paraId="7FE2E46E">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3、具有履行合同所必需的设备和专业技术能力：具备履行合同所必需的设备和专业技术能力的承诺函（格式自拟）。 </w:t>
      </w:r>
    </w:p>
    <w:p w14:paraId="2A49D845">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4、具有依法缴纳税收和社会保障资金的良好记录：提供2025年1月至今任意1个月依法缴纳税收和社会保障资金的有效证明材料，依法不缴纳社保及免税、不缴纳税收的投标供应商提供由社保部门及税务机关出具的有效证明材料。</w:t>
      </w:r>
    </w:p>
    <w:p w14:paraId="64F384FD">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5、参加本次政府采购活动前三年内，在经营活动中没有违法违规记录：提供参加政府采购活动前3年内在经营活动中没有重大违法违规记录的书面声明（格式文件详见投标文件范本）。</w:t>
      </w:r>
    </w:p>
    <w:p w14:paraId="106DE1E4">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6、法律、行政法规规定的其他条件：</w:t>
      </w:r>
    </w:p>
    <w:p w14:paraId="7D0B983D">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1721A33F">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7F8E9859">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（二）本项目所需特殊行业资质或要求：供应商须具备省级及以上自然资源部门出具的土地估价机构备案证明。</w:t>
      </w:r>
    </w:p>
    <w:p w14:paraId="44BFED00">
      <w:pPr>
        <w:pStyle w:val="6"/>
        <w:ind w:left="0" w:leftChars="0"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（三）本项目  不接受  联合体投标</w:t>
      </w:r>
    </w:p>
    <w:p w14:paraId="2E326016">
      <w:pPr>
        <w:pStyle w:val="6"/>
        <w:ind w:left="0" w:leftChars="0" w:firstLine="0" w:firstLineChars="0"/>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sz w:val="30"/>
          <w:szCs w:val="30"/>
          <w:highlight w:val="none"/>
        </w:rPr>
        <w:t>（四）本项目 是 专门面向中小企业采购。本项目采购标的对应的中小企业划分标准所属行业为：其他未列明行业</w:t>
      </w:r>
    </w:p>
    <w:p w14:paraId="11789248">
      <w:pPr>
        <w:pStyle w:val="6"/>
        <w:rPr>
          <w:rFonts w:hint="eastAsia"/>
        </w:rPr>
      </w:pPr>
    </w:p>
    <w:p w14:paraId="4DF7950C">
      <w:pPr>
        <w:pStyle w:val="5"/>
        <w:keepNext w:val="0"/>
        <w:keepLines w:val="0"/>
        <w:pageBreakBefore w:val="0"/>
        <w:widowControl w:val="0"/>
        <w:kinsoku/>
        <w:wordWrap/>
        <w:overflowPunct/>
        <w:topLinePunct w:val="0"/>
        <w:autoSpaceDE/>
        <w:autoSpaceDN/>
        <w:bidi w:val="0"/>
        <w:adjustRightInd/>
        <w:snapToGrid w:val="0"/>
        <w:spacing w:before="157" w:beforeLines="50" w:after="0" w:line="360" w:lineRule="auto"/>
        <w:textAlignment w:val="auto"/>
        <w:outlineLvl w:val="0"/>
        <w:rPr>
          <w:rFonts w:hint="default"/>
          <w:b/>
          <w:bCs/>
          <w:color w:val="auto"/>
          <w:sz w:val="28"/>
          <w:szCs w:val="28"/>
          <w:highlight w:val="none"/>
          <w:lang w:val="en-US" w:eastAsia="zh-CN"/>
        </w:rPr>
      </w:pPr>
      <w:r>
        <w:rPr>
          <w:rFonts w:hint="eastAsia"/>
          <w:b/>
          <w:bCs/>
          <w:color w:val="auto"/>
          <w:sz w:val="28"/>
          <w:szCs w:val="28"/>
          <w:highlight w:val="none"/>
          <w:lang w:val="en-US" w:eastAsia="zh-CN"/>
        </w:rPr>
        <w:t>二、服务内容及技术要求</w:t>
      </w:r>
    </w:p>
    <w:p w14:paraId="30B2E23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服务内容</w:t>
      </w:r>
    </w:p>
    <w:p w14:paraId="653FC696">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（一）服务范围为贵阳市清镇市范围内土地估价服务、房地产估价服务等相关服务。</w:t>
      </w:r>
    </w:p>
    <w:p w14:paraId="737ECC3B">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（二）按照采购人或服务对象的要求及有关政策的规定完成土地评估工作，如被人提出复核申请、鉴定申请，需在法定期限内进行复核，并按复核结果、鉴定结果据实调整土地估价报告。</w:t>
      </w:r>
    </w:p>
    <w:p w14:paraId="77C17FA3">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（三）依规对出让土地价格进行评估并出具土地估价报告，并配合做好土地估价报告送达工作。</w:t>
      </w:r>
    </w:p>
    <w:p w14:paraId="0BD6C8C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（四）系统录入。</w:t>
      </w:r>
    </w:p>
    <w:p w14:paraId="24962DB9">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（五）协助征集人及采购人或服务对象做好评估相关的其他临时交办工作。</w:t>
      </w:r>
    </w:p>
    <w:p w14:paraId="296A8866">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六）供应商应向采购人或服务对象提供优质服务，包括响应时间、联系方式、售后服务承诺等，与采购人建立积极的反馈机制、沟通渠道，土地估价师或房地产估价师应事先向采购人备案，根据采购人的要求土地估价师或房地产估价师需限时到达评估地块现场及参加地价确认会。</w:t>
      </w:r>
    </w:p>
    <w:p w14:paraId="556407C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技术要求</w:t>
      </w:r>
    </w:p>
    <w:p w14:paraId="7C785D4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（一）质量要求：须按相关政策、文件规定的工作规范、规程操作，项目成果必须通过采购人或服务对象的认可；</w:t>
      </w:r>
    </w:p>
    <w:p w14:paraId="619767D3">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1.如供应商在服务期间的委托土地评估业务工作中，被采购人发现有违背 职业道德行为，如违反客观公正原则有意评高或评低地价、违反保密原则向委托人之外的单位或个人泄露评估结果等，一经查实认定，采购人将自动终止其委托评估资格，其委托项目评估结果将不被采纳，将重新委托评估机构评估；</w:t>
      </w:r>
    </w:p>
    <w:p w14:paraId="7E95BBD8">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2.供应商的评估结果明显偏高或偏低，超出合理范围值 20%（合理范围值以 地价确认会最终确定的价格为准）以上，被地价确认会确定需要重新评估的，且累积项目数达到三次的，采购人将终止合同，并上报主管部门；</w:t>
      </w:r>
    </w:p>
    <w:p w14:paraId="45BB6A74">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3.如发现供应商的土地估价报告中屡有数据差错，且累计达到 5 份报告出现数据差错的，将终止合同，清退入围供应商；</w:t>
      </w:r>
    </w:p>
    <w:p w14:paraId="5370CD8C">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（二）编制时间要求：供应商须在 1 个小时内现场响应采购人或服务对象宗地的土地评估服务需求；1 日内完成地块现场踏勘、现状照片拍摄等工作；2 日内，向采购人或服务对象提供相应宗地的预评估报告；委托书签订后 3 日内，向采购人或服务对象提交相应宗地的土地估价报告（须含备案号和备案二维码）；</w:t>
      </w:r>
    </w:p>
    <w:p w14:paraId="759FD93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1.供应商应当对每宗作业情况建立完整的电子档案，在合同正常终止后全 部移交给采购人保管；</w:t>
      </w:r>
    </w:p>
    <w:p w14:paraId="03DED694">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2.与本项目有关的资料及数据成果中涉及国家秘密的内容，均要求按照《国家保密法》及相关法律法规执行；</w:t>
      </w:r>
    </w:p>
    <w:p w14:paraId="23A70B8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3.供应商应当遵守相关保密法律、法规，确保采购人或服务对象的信息安全；</w:t>
      </w:r>
    </w:p>
    <w:p w14:paraId="2C81B61A">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（三）进度要求：根据项目工作量及上级部门要求确定，确保能够满足采购人的需求；</w:t>
      </w:r>
    </w:p>
    <w:p w14:paraId="6A226EC2">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（四）供应商应熟悉清镇市土地市场，掌握清镇市地价（城市地价动态监测、公示地价体系、生态环境增值评估等）变化情况，确保真实反映贵清镇市土地市场情况；</w:t>
      </w:r>
    </w:p>
    <w:p w14:paraId="680179F7">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1.供应商从事土地估价的业务范围，具有涉及多种评估目的、多种评估对象的评估经验和能力；</w:t>
      </w:r>
    </w:p>
    <w:p w14:paraId="6B79FF9B">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（五）供应商需配备项目服务团队，配足土地估价师或房地产估价师，满足本项目的技术要求；</w:t>
      </w:r>
    </w:p>
    <w:p w14:paraId="1519A9C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（六）根据采购需求，供应商应制定各项管理制度（质量管理制定、档案管理制度、应急预案等），落实好各项制度。</w:t>
      </w:r>
    </w:p>
    <w:p w14:paraId="392739E9">
      <w:pPr>
        <w:keepNext w:val="0"/>
        <w:keepLines w:val="0"/>
        <w:pageBreakBefore w:val="0"/>
        <w:kinsoku/>
        <w:wordWrap/>
        <w:overflowPunct/>
        <w:topLinePunct w:val="0"/>
        <w:bidi w:val="0"/>
        <w:snapToGrid w:val="0"/>
        <w:spacing w:line="360" w:lineRule="auto"/>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三、商务要求</w:t>
      </w:r>
    </w:p>
    <w:p w14:paraId="798EB180">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（一）</w:t>
      </w:r>
      <w:r>
        <w:rPr>
          <w:rFonts w:hint="eastAsia" w:asciiTheme="minorEastAsia" w:hAnsiTheme="minorEastAsia" w:eastAsiaTheme="minorEastAsia" w:cstheme="minorEastAsia"/>
          <w:color w:val="auto"/>
          <w:kern w:val="2"/>
          <w:sz w:val="30"/>
          <w:szCs w:val="30"/>
          <w:highlight w:val="none"/>
          <w:lang w:val="en-US" w:eastAsia="zh-CN" w:bidi="ar-SA"/>
        </w:rPr>
        <w:t>服务期及服务地点</w:t>
      </w:r>
    </w:p>
    <w:p w14:paraId="1F7708A4">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服务期：本项目服务期为两年，合同一年一签</w:t>
      </w:r>
    </w:p>
    <w:p w14:paraId="7F691191">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服务地点：贵阳市清镇市</w:t>
      </w:r>
    </w:p>
    <w:p w14:paraId="0B0D09B0">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（二）</w:t>
      </w:r>
      <w:r>
        <w:rPr>
          <w:rFonts w:hint="eastAsia" w:asciiTheme="minorEastAsia" w:hAnsiTheme="minorEastAsia" w:eastAsiaTheme="minorEastAsia" w:cstheme="minorEastAsia"/>
          <w:color w:val="auto"/>
          <w:kern w:val="2"/>
          <w:sz w:val="30"/>
          <w:szCs w:val="30"/>
          <w:highlight w:val="none"/>
          <w:lang w:val="en-US" w:eastAsia="zh-CN" w:bidi="ar-SA"/>
        </w:rPr>
        <w:t>验收标准、规范及方式</w:t>
      </w:r>
    </w:p>
    <w:p w14:paraId="1E1DECBE">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提交的宗地的土地估价报告，符合城镇土地估价规程（GB/T18508-2001）、</w:t>
      </w:r>
    </w:p>
    <w:p w14:paraId="48FEA6CA">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《国有建设用地使用权出让地价评估技术规范》（国土资厅发〔2018〕4 号）等国家有关政策及行业规定的标准以及贵阳市相关政策要求。按照采购文件要求及国家、行业相关规范执行。</w:t>
      </w:r>
    </w:p>
    <w:p w14:paraId="13B35946">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（三）</w:t>
      </w:r>
      <w:r>
        <w:rPr>
          <w:rFonts w:hint="eastAsia" w:asciiTheme="minorEastAsia" w:hAnsiTheme="minorEastAsia" w:eastAsiaTheme="minorEastAsia" w:cstheme="minorEastAsia"/>
          <w:color w:val="auto"/>
          <w:kern w:val="2"/>
          <w:sz w:val="30"/>
          <w:szCs w:val="30"/>
          <w:highlight w:val="none"/>
          <w:lang w:val="en-US" w:eastAsia="zh-CN" w:bidi="ar-SA"/>
        </w:rPr>
        <w:t>付款方式：合同中约定。</w:t>
      </w:r>
    </w:p>
    <w:p w14:paraId="65B1E562">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（四）</w:t>
      </w:r>
      <w:r>
        <w:rPr>
          <w:rFonts w:hint="eastAsia" w:asciiTheme="minorEastAsia" w:hAnsiTheme="minorEastAsia" w:eastAsiaTheme="minorEastAsia" w:cstheme="minorEastAsia"/>
          <w:color w:val="auto"/>
          <w:kern w:val="2"/>
          <w:sz w:val="30"/>
          <w:szCs w:val="30"/>
          <w:highlight w:val="none"/>
          <w:lang w:val="en-US" w:eastAsia="zh-CN" w:bidi="ar-SA"/>
        </w:rPr>
        <w:t>履约保证金：无。</w:t>
      </w:r>
    </w:p>
    <w:p w14:paraId="48D70488">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（五）</w:t>
      </w:r>
      <w:r>
        <w:rPr>
          <w:rFonts w:hint="eastAsia" w:asciiTheme="minorEastAsia" w:hAnsiTheme="minorEastAsia" w:eastAsiaTheme="minorEastAsia" w:cstheme="minorEastAsia"/>
          <w:color w:val="auto"/>
          <w:kern w:val="2"/>
          <w:sz w:val="30"/>
          <w:szCs w:val="30"/>
          <w:highlight w:val="none"/>
          <w:lang w:val="en-US" w:eastAsia="zh-CN" w:bidi="ar-SA"/>
        </w:rPr>
        <w:t>投标有效期：90日历天</w:t>
      </w:r>
    </w:p>
    <w:p w14:paraId="424DF9D4">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cstheme="minorEastAsia"/>
          <w:color w:val="auto"/>
          <w:kern w:val="2"/>
          <w:sz w:val="30"/>
          <w:szCs w:val="30"/>
          <w:highlight w:val="none"/>
          <w:lang w:val="en-US" w:eastAsia="zh-CN" w:bidi="ar-SA"/>
        </w:rPr>
        <w:t>（六）</w:t>
      </w:r>
      <w:r>
        <w:rPr>
          <w:rFonts w:hint="eastAsia" w:asciiTheme="minorEastAsia" w:hAnsiTheme="minorEastAsia" w:eastAsiaTheme="minorEastAsia" w:cstheme="minorEastAsia"/>
          <w:color w:val="auto"/>
          <w:kern w:val="2"/>
          <w:sz w:val="30"/>
          <w:szCs w:val="30"/>
          <w:highlight w:val="none"/>
          <w:lang w:val="en-US" w:eastAsia="zh-CN" w:bidi="ar-SA"/>
        </w:rPr>
        <w:t>其他要求</w:t>
      </w:r>
    </w:p>
    <w:p w14:paraId="7630A547">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1.本项目投标报价（含税）包括：服务费、人员费用、管理费用、报告编制费、其他服务支出、差旅费用、各种税费等项目实施完成所发生的一切费用，即总价包干；</w:t>
      </w:r>
    </w:p>
    <w:p w14:paraId="6BF6246C">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2.供应商提供的资料如产生知识产权侵权行为由供应商自行承担；</w:t>
      </w:r>
    </w:p>
    <w:p w14:paraId="7347F534">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3.本项目最终形成的成果数据及文件知识产权归甲方所有，未经甲方允许编制单位不得擅自引用或提供第三方使用；</w:t>
      </w:r>
    </w:p>
    <w:p w14:paraId="416F7E0D">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4.供应商必须对评估的宗地评估情况进行严格保密，不得擅自将有关项目的 信息透露给第三方机构或个人，一旦出现泄密或和土地意向人私下勾兑土地价格的情况，将取消入围资格，承担法律责任；</w:t>
      </w:r>
    </w:p>
    <w:p w14:paraId="473A5267">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5.若供应商接受委托评估的地块为紧急地块，供应商须按照采购人或服务对象的要求，在规定时间内提供土地评估服务，若供应商推诿或无法按时提供准确合格的评估服务，采购人有权解除和供应商合同关系，并报告征集人清退入围供应商；</w:t>
      </w:r>
    </w:p>
    <w:p w14:paraId="0BF7699B">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6.供应商未被列入过自然资源厅土地估价行业“不合格报告编制机构 ”及“五等报告 ”名单。供应商在入围以后，征集人或采购人有权对该情况进行核查，若供应商被列入以上两个文件“不合格报告编制机构 ”及“五等报告 ”名单的，征集人将对该供应商进行清退！并按框架协议征集文件供应商补充原则按评分从高到低的顺序增补入围供应商（增补的入围供应商不得在以上文件“不合格报告编制机构 ”及“五等报告 ”名单中）；</w:t>
      </w:r>
    </w:p>
    <w:p w14:paraId="47502C1D">
      <w:pPr>
        <w:keepNext w:val="0"/>
        <w:keepLines w:val="0"/>
        <w:pageBreakBefore w:val="0"/>
        <w:kinsoku/>
        <w:wordWrap/>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7.采购文件未尽事宜由采购人与中标供应商在合同签订时约定。</w:t>
      </w:r>
    </w:p>
    <w:p w14:paraId="4EB88023">
      <w:pPr>
        <w:keepNext w:val="0"/>
        <w:keepLines w:val="0"/>
        <w:pageBreakBefore w:val="0"/>
        <w:kinsoku/>
        <w:wordWrap/>
        <w:overflowPunct/>
        <w:topLinePunct w:val="0"/>
        <w:bidi w:val="0"/>
        <w:snapToGrid w:val="0"/>
        <w:spacing w:line="360" w:lineRule="auto"/>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四、评分标准</w:t>
      </w:r>
    </w:p>
    <w:p w14:paraId="166146CB">
      <w:pPr>
        <w:keepNext w:val="0"/>
        <w:keepLines w:val="0"/>
        <w:pageBreakBefore w:val="0"/>
        <w:kinsoku/>
        <w:wordWrap/>
        <w:overflowPunct/>
        <w:topLinePunct w:val="0"/>
        <w:bidi w:val="0"/>
        <w:snapToGrid w:val="0"/>
        <w:spacing w:line="360" w:lineRule="auto"/>
        <w:ind w:firstLine="600" w:firstLineChars="200"/>
        <w:textAlignment w:val="auto"/>
        <w:rPr>
          <w:rFonts w:hint="default"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本项目采用  质量优先法  进行评审。</w:t>
      </w:r>
    </w:p>
    <w:p w14:paraId="0E4B5497">
      <w:pPr>
        <w:keepNext w:val="0"/>
        <w:keepLines w:val="0"/>
        <w:pageBreakBefore w:val="0"/>
        <w:kinsoku/>
        <w:wordWrap/>
        <w:overflowPunct/>
        <w:topLinePunct w:val="0"/>
        <w:bidi w:val="0"/>
        <w:snapToGrid w:val="0"/>
        <w:spacing w:line="360" w:lineRule="auto"/>
        <w:ind w:firstLine="600" w:firstLineChars="200"/>
        <w:textAlignment w:val="auto"/>
        <w:rPr>
          <w:rFonts w:hint="default" w:asciiTheme="minorEastAsia" w:hAnsiTheme="minorEastAsia" w:eastAsiaTheme="minorEastAsia" w:cstheme="minorEastAsia"/>
          <w:color w:val="auto"/>
          <w:kern w:val="2"/>
          <w:sz w:val="30"/>
          <w:szCs w:val="30"/>
          <w:highlight w:val="none"/>
          <w:lang w:val="en-US" w:eastAsia="zh-CN" w:bidi="ar-SA"/>
        </w:rPr>
      </w:pPr>
      <w:r>
        <w:rPr>
          <w:rFonts w:hint="eastAsia" w:asciiTheme="minorEastAsia" w:hAnsiTheme="minorEastAsia" w:eastAsiaTheme="minorEastAsia" w:cstheme="minorEastAsia"/>
          <w:color w:val="auto"/>
          <w:kern w:val="2"/>
          <w:sz w:val="30"/>
          <w:szCs w:val="30"/>
          <w:highlight w:val="none"/>
          <w:lang w:val="en-US" w:eastAsia="zh-CN" w:bidi="ar-SA"/>
        </w:rPr>
        <w:t>注：</w:t>
      </w:r>
      <w:r>
        <w:rPr>
          <w:rFonts w:hint="default" w:asciiTheme="minorEastAsia" w:hAnsiTheme="minorEastAsia" w:eastAsiaTheme="minorEastAsia" w:cstheme="minorEastAsia"/>
          <w:color w:val="auto"/>
          <w:kern w:val="2"/>
          <w:sz w:val="30"/>
          <w:szCs w:val="30"/>
          <w:highlight w:val="none"/>
          <w:lang w:val="en-US" w:eastAsia="zh-CN" w:bidi="ar-SA"/>
        </w:rPr>
        <w:t>本公示内容仅为采购人对本项目的需求公示，具体内容以最终</w:t>
      </w:r>
      <w:r>
        <w:rPr>
          <w:rFonts w:hint="eastAsia" w:asciiTheme="minorEastAsia" w:hAnsiTheme="minorEastAsia" w:eastAsiaTheme="minorEastAsia" w:cstheme="minorEastAsia"/>
          <w:color w:val="auto"/>
          <w:kern w:val="2"/>
          <w:sz w:val="30"/>
          <w:szCs w:val="30"/>
          <w:highlight w:val="none"/>
          <w:lang w:val="en-US" w:eastAsia="zh-CN" w:bidi="ar-SA"/>
        </w:rPr>
        <w:t>采购</w:t>
      </w:r>
      <w:r>
        <w:rPr>
          <w:rFonts w:hint="default" w:asciiTheme="minorEastAsia" w:hAnsiTheme="minorEastAsia" w:eastAsiaTheme="minorEastAsia" w:cstheme="minorEastAsia"/>
          <w:color w:val="auto"/>
          <w:kern w:val="2"/>
          <w:sz w:val="30"/>
          <w:szCs w:val="30"/>
          <w:highlight w:val="none"/>
          <w:lang w:val="en-US" w:eastAsia="zh-CN" w:bidi="ar-SA"/>
        </w:rPr>
        <w:t>文件发售稿为准</w:t>
      </w:r>
      <w:r>
        <w:rPr>
          <w:rFonts w:hint="eastAsia" w:asciiTheme="minorEastAsia" w:hAnsiTheme="minorEastAsia" w:eastAsiaTheme="minorEastAsia" w:cstheme="minorEastAsia"/>
          <w:color w:val="auto"/>
          <w:kern w:val="2"/>
          <w:sz w:val="30"/>
          <w:szCs w:val="30"/>
          <w:highlight w:val="none"/>
          <w:lang w:val="en-US" w:eastAsia="zh-CN" w:bidi="ar-SA"/>
        </w:rPr>
        <w:t>。</w:t>
      </w:r>
    </w:p>
    <w:p w14:paraId="7D556A36">
      <w:pPr>
        <w:pStyle w:val="5"/>
        <w:keepNext w:val="0"/>
        <w:keepLines w:val="0"/>
        <w:pageBreakBefore w:val="0"/>
        <w:kinsoku/>
        <w:wordWrap/>
        <w:overflowPunct/>
        <w:topLinePunct w:val="0"/>
        <w:bidi w:val="0"/>
        <w:snapToGrid w:val="0"/>
        <w:spacing w:line="360" w:lineRule="auto"/>
        <w:ind w:firstLine="480" w:firstLineChars="200"/>
        <w:textAlignment w:val="auto"/>
        <w:rPr>
          <w:rFonts w:hint="default"/>
          <w:color w:val="auto"/>
          <w:sz w:val="24"/>
          <w:szCs w:val="24"/>
          <w:highlight w:val="none"/>
          <w:lang w:val="en-US" w:eastAsia="zh-CN"/>
        </w:rPr>
      </w:pPr>
      <w:bookmarkStart w:id="0" w:name="_GoBack"/>
      <w:bookmarkEnd w:id="0"/>
    </w:p>
    <w:sectPr>
      <w:pgSz w:w="11906" w:h="16838"/>
      <w:pgMar w:top="1304"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YjJiODQ2NWYzZThhOTc2OGUyYWRjYTAyM2JmYzkifQ=="/>
  </w:docVars>
  <w:rsids>
    <w:rsidRoot w:val="29376A39"/>
    <w:rsid w:val="00F72CA9"/>
    <w:rsid w:val="00F907CF"/>
    <w:rsid w:val="02026B03"/>
    <w:rsid w:val="0995305F"/>
    <w:rsid w:val="0AFA2EAC"/>
    <w:rsid w:val="0B577E64"/>
    <w:rsid w:val="0EC3241C"/>
    <w:rsid w:val="154370DF"/>
    <w:rsid w:val="162E0AC3"/>
    <w:rsid w:val="1BA55384"/>
    <w:rsid w:val="1CD21B46"/>
    <w:rsid w:val="2020147D"/>
    <w:rsid w:val="2073009B"/>
    <w:rsid w:val="243E6436"/>
    <w:rsid w:val="249935AC"/>
    <w:rsid w:val="24E535AB"/>
    <w:rsid w:val="25CE7A7D"/>
    <w:rsid w:val="29376A39"/>
    <w:rsid w:val="29E918F7"/>
    <w:rsid w:val="2FF32D1B"/>
    <w:rsid w:val="32A777DC"/>
    <w:rsid w:val="33D44600"/>
    <w:rsid w:val="35B31F66"/>
    <w:rsid w:val="3619279E"/>
    <w:rsid w:val="39FA6443"/>
    <w:rsid w:val="3D3D6D72"/>
    <w:rsid w:val="44304BE0"/>
    <w:rsid w:val="46D421A4"/>
    <w:rsid w:val="473E0ADA"/>
    <w:rsid w:val="48F41CD5"/>
    <w:rsid w:val="4B804613"/>
    <w:rsid w:val="4EF9552F"/>
    <w:rsid w:val="4FDE6FD4"/>
    <w:rsid w:val="51271DBC"/>
    <w:rsid w:val="52C87D1B"/>
    <w:rsid w:val="5DA12EF6"/>
    <w:rsid w:val="6336714E"/>
    <w:rsid w:val="641177A1"/>
    <w:rsid w:val="65C71020"/>
    <w:rsid w:val="67452B44"/>
    <w:rsid w:val="6E6164B5"/>
    <w:rsid w:val="6F3E063D"/>
    <w:rsid w:val="74B17A6A"/>
    <w:rsid w:val="76C75323"/>
    <w:rsid w:val="78EA653A"/>
    <w:rsid w:val="7B09415C"/>
    <w:rsid w:val="7B1D7C08"/>
    <w:rsid w:val="7C16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jc w:val="center"/>
      <w:outlineLvl w:val="0"/>
    </w:pPr>
    <w:rPr>
      <w:rFonts w:eastAsia="方正小标宋简体"/>
      <w:bCs/>
      <w:kern w:val="44"/>
      <w:sz w:val="32"/>
      <w:szCs w:val="44"/>
    </w:rPr>
  </w:style>
  <w:style w:type="paragraph" w:styleId="3">
    <w:name w:val="heading 2"/>
    <w:basedOn w:val="1"/>
    <w:next w:val="1"/>
    <w:autoRedefine/>
    <w:unhideWhenUsed/>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unhideWhenUsed/>
    <w:qFormat/>
    <w:uiPriority w:val="99"/>
    <w:pPr>
      <w:spacing w:after="120"/>
    </w:pPr>
    <w:rPr>
      <w:rFonts w:ascii="Calibri" w:hAnsi="Calibri" w:eastAsia="宋体"/>
      <w:szCs w:val="22"/>
    </w:rPr>
  </w:style>
  <w:style w:type="paragraph" w:styleId="6">
    <w:name w:val="Date"/>
    <w:basedOn w:val="1"/>
    <w:next w:val="1"/>
    <w:autoRedefine/>
    <w:unhideWhenUsed/>
    <w:qFormat/>
    <w:uiPriority w:val="99"/>
    <w:pPr>
      <w:ind w:left="100" w:leftChars="2500"/>
    </w:pPr>
    <w:rPr>
      <w:rFonts w:ascii="Calibri" w:hAnsi="Calibri"/>
      <w:szCs w:val="22"/>
    </w:rPr>
  </w:style>
  <w:style w:type="paragraph" w:styleId="7">
    <w:name w:val="Body Text Indent"/>
    <w:basedOn w:val="1"/>
    <w:autoRedefine/>
    <w:qFormat/>
    <w:uiPriority w:val="0"/>
    <w:pPr>
      <w:spacing w:line="380" w:lineRule="exact"/>
      <w:ind w:firstLine="480"/>
    </w:pPr>
    <w:rPr>
      <w:rFonts w:eastAsia="方正书宋简体"/>
      <w:szCs w:val="20"/>
    </w:rPr>
  </w:style>
  <w:style w:type="paragraph" w:styleId="8">
    <w:name w:val="Balloon Text"/>
    <w:basedOn w:val="1"/>
    <w:next w:val="1"/>
    <w:unhideWhenUsed/>
    <w:qFormat/>
    <w:uiPriority w:val="99"/>
    <w:rPr>
      <w:rFonts w:ascii="Calibri" w:hAnsi="Calibri" w:eastAsia="宋体"/>
      <w:sz w:val="18"/>
      <w:szCs w:val="18"/>
    </w:rPr>
  </w:style>
  <w:style w:type="paragraph" w:styleId="9">
    <w:name w:val="Normal (Web)"/>
    <w:basedOn w:val="1"/>
    <w:next w:val="8"/>
    <w:unhideWhenUsed/>
    <w:qFormat/>
    <w:uiPriority w:val="99"/>
    <w:pPr>
      <w:spacing w:before="100" w:beforeAutospacing="1" w:after="100" w:afterAutospacing="1"/>
      <w:ind w:firstLine="0" w:firstLineChars="0"/>
      <w:jc w:val="both"/>
    </w:pPr>
    <w:rPr>
      <w:rFonts w:eastAsia="宋体"/>
    </w:rPr>
  </w:style>
  <w:style w:type="paragraph" w:styleId="10">
    <w:name w:val="Body Text First Indent"/>
    <w:basedOn w:val="5"/>
    <w:autoRedefine/>
    <w:semiHidden/>
    <w:unhideWhenUsed/>
    <w:qFormat/>
    <w:uiPriority w:val="99"/>
    <w:pPr>
      <w:widowControl w:val="0"/>
      <w:spacing w:before="100" w:beforeAutospacing="1" w:after="120" w:afterAutospacing="1" w:line="360" w:lineRule="auto"/>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7"/>
    <w:autoRedefine/>
    <w:qFormat/>
    <w:uiPriority w:val="0"/>
    <w:pPr>
      <w:spacing w:line="240" w:lineRule="auto"/>
      <w:ind w:left="420" w:leftChars="200" w:firstLine="420"/>
    </w:pPr>
    <w:rPr>
      <w:sz w:val="21"/>
      <w:szCs w:val="24"/>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autoRedefine/>
    <w:qFormat/>
    <w:uiPriority w:val="22"/>
    <w:rPr>
      <w:rFonts w:eastAsia="黑体"/>
      <w:bCs/>
    </w:rPr>
  </w:style>
  <w:style w:type="character" w:customStyle="1" w:styleId="16">
    <w:name w:val="font31"/>
    <w:basedOn w:val="14"/>
    <w:autoRedefine/>
    <w:qFormat/>
    <w:uiPriority w:val="0"/>
    <w:rPr>
      <w:rFonts w:ascii="Calibri" w:hAnsi="Calibri" w:cs="Calibri"/>
      <w:color w:val="000000"/>
      <w:sz w:val="20"/>
      <w:szCs w:val="20"/>
      <w:u w:val="none"/>
    </w:rPr>
  </w:style>
  <w:style w:type="character" w:customStyle="1" w:styleId="17">
    <w:name w:val="font81"/>
    <w:basedOn w:val="14"/>
    <w:autoRedefine/>
    <w:qFormat/>
    <w:uiPriority w:val="0"/>
    <w:rPr>
      <w:rFonts w:hint="eastAsia" w:ascii="宋体" w:hAnsi="宋体" w:eastAsia="宋体" w:cs="宋体"/>
      <w:color w:val="000000"/>
      <w:sz w:val="20"/>
      <w:szCs w:val="20"/>
      <w:u w:val="none"/>
    </w:rPr>
  </w:style>
  <w:style w:type="character" w:customStyle="1" w:styleId="18">
    <w:name w:val="font112"/>
    <w:basedOn w:val="14"/>
    <w:autoRedefine/>
    <w:qFormat/>
    <w:uiPriority w:val="0"/>
    <w:rPr>
      <w:rFonts w:hint="eastAsia" w:ascii="宋体" w:hAnsi="宋体" w:eastAsia="宋体" w:cs="宋体"/>
      <w:color w:val="000000"/>
      <w:sz w:val="16"/>
      <w:szCs w:val="16"/>
      <w:u w:val="none"/>
    </w:rPr>
  </w:style>
  <w:style w:type="character" w:customStyle="1" w:styleId="19">
    <w:name w:val="font61"/>
    <w:basedOn w:val="14"/>
    <w:autoRedefine/>
    <w:qFormat/>
    <w:uiPriority w:val="0"/>
    <w:rPr>
      <w:rFonts w:hint="eastAsia" w:ascii="宋体" w:hAnsi="宋体" w:eastAsia="宋体" w:cs="宋体"/>
      <w:color w:val="000000"/>
      <w:sz w:val="20"/>
      <w:szCs w:val="20"/>
      <w:u w:val="none"/>
    </w:rPr>
  </w:style>
  <w:style w:type="character" w:customStyle="1" w:styleId="20">
    <w:name w:val="font41"/>
    <w:basedOn w:val="14"/>
    <w:autoRedefine/>
    <w:qFormat/>
    <w:uiPriority w:val="0"/>
    <w:rPr>
      <w:rFonts w:ascii="Symbol" w:hAnsi="Symbol" w:cs="Symbol"/>
      <w:color w:val="000000"/>
      <w:sz w:val="20"/>
      <w:szCs w:val="20"/>
      <w:u w:val="none"/>
    </w:rPr>
  </w:style>
  <w:style w:type="character" w:customStyle="1" w:styleId="21">
    <w:name w:val="font51"/>
    <w:basedOn w:val="14"/>
    <w:autoRedefine/>
    <w:qFormat/>
    <w:uiPriority w:val="0"/>
    <w:rPr>
      <w:rFonts w:hint="eastAsia" w:ascii="宋体" w:hAnsi="宋体" w:eastAsia="宋体" w:cs="宋体"/>
      <w:color w:val="000000"/>
      <w:sz w:val="20"/>
      <w:szCs w:val="20"/>
      <w:u w:val="none"/>
    </w:rPr>
  </w:style>
  <w:style w:type="character" w:customStyle="1" w:styleId="22">
    <w:name w:val="font01"/>
    <w:basedOn w:val="14"/>
    <w:autoRedefine/>
    <w:qFormat/>
    <w:uiPriority w:val="0"/>
    <w:rPr>
      <w:rFonts w:ascii="Calibri" w:hAnsi="Calibri" w:cs="Calibri"/>
      <w:color w:val="000000"/>
      <w:sz w:val="20"/>
      <w:szCs w:val="20"/>
      <w:u w:val="none"/>
    </w:rPr>
  </w:style>
  <w:style w:type="character" w:customStyle="1" w:styleId="23">
    <w:name w:val="font21"/>
    <w:basedOn w:val="14"/>
    <w:autoRedefine/>
    <w:qFormat/>
    <w:uiPriority w:val="0"/>
    <w:rPr>
      <w:rFonts w:hint="eastAsia" w:ascii="宋体" w:hAnsi="宋体" w:eastAsia="宋体" w:cs="宋体"/>
      <w:color w:val="000000"/>
      <w:sz w:val="21"/>
      <w:szCs w:val="21"/>
      <w:u w:val="none"/>
    </w:rPr>
  </w:style>
  <w:style w:type="paragraph" w:customStyle="1" w:styleId="24">
    <w:name w:val="样式3"/>
    <w:basedOn w:val="4"/>
    <w:autoRedefine/>
    <w:qFormat/>
    <w:uiPriority w:val="0"/>
    <w:pPr>
      <w:tabs>
        <w:tab w:val="left" w:pos="0"/>
        <w:tab w:val="left" w:pos="720"/>
      </w:tabs>
      <w:spacing w:before="50" w:beforeLines="50" w:beforeAutospacing="0" w:after="50" w:afterLines="50" w:afterAutospacing="0"/>
    </w:pPr>
    <w:rPr>
      <w:rFonts w:eastAsia="宋体"/>
      <w:b/>
      <w:kern w:val="0"/>
    </w:rPr>
  </w:style>
  <w:style w:type="paragraph" w:customStyle="1" w:styleId="25">
    <w:name w:val="列出段落1"/>
    <w:basedOn w:val="1"/>
    <w:autoRedefine/>
    <w:qFormat/>
    <w:uiPriority w:val="34"/>
    <w:pPr>
      <w:ind w:firstLine="420" w:firstLineChars="200"/>
    </w:pPr>
  </w:style>
  <w:style w:type="paragraph" w:customStyle="1" w:styleId="26">
    <w:name w:val="Normal_2"/>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7">
    <w:name w:val="列出段落"/>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2859</Words>
  <Characters>2941</Characters>
  <Lines>0</Lines>
  <Paragraphs>0</Paragraphs>
  <TotalTime>2</TotalTime>
  <ScaleCrop>false</ScaleCrop>
  <LinksUpToDate>false</LinksUpToDate>
  <CharactersWithSpaces>2972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2023-06-29T01:29:00Z</dcterms:created>
  <dc:creator>WPS_1647936229</dc:creator>
  <cp:lastModifiedBy>WPS_1647936229</cp:lastModifiedBy>
  <dcterms:modified xsi:type="dcterms:W3CDTF">2025-07-11T08:12:18Z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05310453941140FAA972F3527779FDD2_11</vt:lpwstr>
  </property>
  <property fmtid="{D5CDD505-2E9C-101B-9397-08002B2CF9AE}" pid="4" name="KSOTemplateDocerSaveRecord">
    <vt:lpwstr>eyJoZGlkIjoiNWUwZTNiNDMwYTYwNzUyYzcyNDFlMDU1YmMxNjY4ZDkiLCJ1c2VySWQiOiIxMzUwMDkyMzYzIn0=</vt:lpwstr>
  </property>
</Properties>
</file>