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F2337">
      <w:pPr>
        <w:widowControl/>
        <w:snapToGrid w:val="0"/>
        <w:spacing w:line="276" w:lineRule="auto"/>
        <w:ind w:left="150" w:right="150"/>
        <w:jc w:val="center"/>
        <w:rPr>
          <w:rFonts w:hint="eastAsia" w:ascii="仿宋" w:hAnsi="仿宋" w:eastAsia="仿宋" w:cs="仿宋"/>
          <w:b/>
          <w:bCs/>
          <w:kern w:val="0"/>
          <w:sz w:val="32"/>
          <w:szCs w:val="32"/>
        </w:rPr>
      </w:pPr>
      <w:bookmarkStart w:id="0" w:name="OLE_LINK3"/>
      <w:r>
        <w:rPr>
          <w:rFonts w:hint="eastAsia" w:ascii="仿宋" w:hAnsi="仿宋" w:eastAsia="仿宋" w:cs="仿宋"/>
          <w:b/>
          <w:bCs/>
          <w:kern w:val="0"/>
          <w:sz w:val="32"/>
          <w:szCs w:val="32"/>
        </w:rPr>
        <w:t>采购需求公示</w:t>
      </w:r>
    </w:p>
    <w:p w14:paraId="7F0E8672">
      <w:pPr>
        <w:widowControl/>
        <w:snapToGrid w:val="0"/>
        <w:spacing w:line="276" w:lineRule="auto"/>
        <w:ind w:right="-1"/>
        <w:jc w:val="left"/>
        <w:rPr>
          <w:rFonts w:hint="eastAsia" w:ascii="仿宋" w:hAnsi="仿宋" w:eastAsia="仿宋" w:cs="仿宋"/>
          <w:b/>
          <w:bCs/>
          <w:kern w:val="0"/>
          <w:sz w:val="32"/>
          <w:szCs w:val="32"/>
        </w:rPr>
      </w:pPr>
    </w:p>
    <w:p w14:paraId="3609A65D">
      <w:pPr>
        <w:widowControl/>
        <w:snapToGrid w:val="0"/>
        <w:spacing w:line="360" w:lineRule="auto"/>
        <w:ind w:right="-1"/>
        <w:jc w:val="left"/>
        <w:rPr>
          <w:rFonts w:hint="eastAsia" w:ascii="仿宋" w:hAnsi="仿宋" w:eastAsia="仿宋" w:cs="仿宋"/>
          <w:b/>
          <w:bCs/>
          <w:kern w:val="0"/>
          <w:sz w:val="28"/>
          <w:szCs w:val="28"/>
        </w:rPr>
      </w:pPr>
      <w:r>
        <w:rPr>
          <w:rFonts w:hint="eastAsia" w:ascii="仿宋" w:hAnsi="仿宋" w:eastAsia="仿宋" w:cs="仿宋"/>
          <w:b/>
          <w:bCs/>
          <w:kern w:val="0"/>
          <w:sz w:val="28"/>
          <w:szCs w:val="28"/>
        </w:rPr>
        <w:t>一、项目基本信息</w:t>
      </w:r>
    </w:p>
    <w:p w14:paraId="41C4FCBA">
      <w:pPr>
        <w:widowControl/>
        <w:snapToGrid w:val="0"/>
        <w:spacing w:line="360" w:lineRule="auto"/>
        <w:ind w:right="-1" w:firstLine="495" w:firstLineChars="177"/>
        <w:jc w:val="left"/>
        <w:rPr>
          <w:rFonts w:hint="eastAsia" w:ascii="仿宋" w:hAnsi="仿宋" w:eastAsia="仿宋" w:cs="仿宋"/>
          <w:spacing w:val="-20"/>
          <w:kern w:val="0"/>
          <w:sz w:val="28"/>
          <w:szCs w:val="28"/>
          <w:lang w:eastAsia="zh-CN"/>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项目名称：</w:t>
      </w:r>
      <w:r>
        <w:rPr>
          <w:rFonts w:hint="eastAsia" w:ascii="仿宋" w:hAnsi="仿宋" w:eastAsia="仿宋" w:cs="仿宋"/>
          <w:kern w:val="0"/>
          <w:sz w:val="28"/>
          <w:szCs w:val="28"/>
          <w:u w:val="single"/>
          <w:lang w:eastAsia="zh-CN"/>
        </w:rPr>
        <w:t>黎平县中心城区城南片区、城北片区、高屯至机场片区控制性详细规划编制</w:t>
      </w:r>
    </w:p>
    <w:p w14:paraId="301AF39D">
      <w:pPr>
        <w:widowControl/>
        <w:snapToGrid w:val="0"/>
        <w:spacing w:line="360" w:lineRule="auto"/>
        <w:ind w:right="-1" w:firstLine="495" w:firstLineChars="177"/>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项目编号：</w:t>
      </w:r>
      <w:r>
        <w:rPr>
          <w:rFonts w:hint="eastAsia" w:ascii="仿宋" w:hAnsi="仿宋" w:eastAsia="仿宋" w:cs="仿宋"/>
          <w:kern w:val="0"/>
          <w:sz w:val="28"/>
          <w:szCs w:val="28"/>
          <w:u w:val="single"/>
        </w:rPr>
        <w:t>GZSR[2025]-07-03</w:t>
      </w:r>
    </w:p>
    <w:p w14:paraId="7703B0AD">
      <w:pPr>
        <w:widowControl/>
        <w:snapToGrid w:val="0"/>
        <w:spacing w:line="360" w:lineRule="auto"/>
        <w:ind w:right="-1" w:firstLine="495" w:firstLineChars="177"/>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采购预算：</w:t>
      </w:r>
      <w:r>
        <w:rPr>
          <w:rFonts w:hint="eastAsia" w:ascii="仿宋" w:hAnsi="仿宋" w:eastAsia="仿宋" w:cs="仿宋"/>
          <w:kern w:val="0"/>
          <w:sz w:val="28"/>
          <w:szCs w:val="28"/>
          <w:u w:val="single"/>
          <w:lang w:val="en-US" w:eastAsia="zh-CN"/>
        </w:rPr>
        <w:t>2450800.00</w:t>
      </w:r>
      <w:r>
        <w:rPr>
          <w:rFonts w:hint="eastAsia" w:ascii="仿宋" w:hAnsi="仿宋" w:eastAsia="仿宋" w:cs="仿宋"/>
          <w:kern w:val="0"/>
          <w:sz w:val="28"/>
          <w:szCs w:val="28"/>
          <w:u w:val="single"/>
        </w:rPr>
        <w:t>元</w:t>
      </w:r>
    </w:p>
    <w:p w14:paraId="5DFF5B48">
      <w:pPr>
        <w:widowControl/>
        <w:snapToGrid w:val="0"/>
        <w:spacing w:line="360" w:lineRule="auto"/>
        <w:ind w:right="-1" w:firstLine="495" w:firstLineChars="177"/>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最高限价：</w:t>
      </w:r>
      <w:r>
        <w:rPr>
          <w:rFonts w:hint="eastAsia" w:ascii="仿宋" w:hAnsi="仿宋" w:eastAsia="仿宋" w:cs="仿宋"/>
          <w:kern w:val="0"/>
          <w:sz w:val="28"/>
          <w:szCs w:val="28"/>
          <w:u w:val="single"/>
          <w:lang w:val="en-US" w:eastAsia="zh-CN"/>
        </w:rPr>
        <w:t>2450800.00</w:t>
      </w:r>
      <w:r>
        <w:rPr>
          <w:rFonts w:hint="eastAsia" w:ascii="仿宋" w:hAnsi="仿宋" w:eastAsia="仿宋" w:cs="仿宋"/>
          <w:kern w:val="0"/>
          <w:sz w:val="28"/>
          <w:szCs w:val="28"/>
          <w:u w:val="single"/>
        </w:rPr>
        <w:t xml:space="preserve">元 </w:t>
      </w:r>
    </w:p>
    <w:p w14:paraId="163DCE2C">
      <w:pPr>
        <w:widowControl/>
        <w:snapToGrid w:val="0"/>
        <w:spacing w:line="360" w:lineRule="auto"/>
        <w:ind w:right="-1"/>
        <w:jc w:val="left"/>
        <w:rPr>
          <w:rFonts w:hint="eastAsia" w:ascii="仿宋" w:hAnsi="仿宋" w:eastAsia="仿宋" w:cs="仿宋"/>
          <w:b/>
          <w:bCs/>
          <w:kern w:val="0"/>
          <w:sz w:val="28"/>
          <w:szCs w:val="28"/>
        </w:rPr>
      </w:pPr>
      <w:r>
        <w:rPr>
          <w:rFonts w:hint="eastAsia" w:ascii="仿宋" w:hAnsi="仿宋" w:eastAsia="仿宋" w:cs="仿宋"/>
          <w:b/>
          <w:bCs/>
          <w:kern w:val="0"/>
          <w:sz w:val="28"/>
          <w:szCs w:val="28"/>
        </w:rPr>
        <w:t>二、公示期限（不少于2个工作日）</w:t>
      </w:r>
    </w:p>
    <w:p w14:paraId="0FBC4A1D">
      <w:pPr>
        <w:widowControl/>
        <w:snapToGrid w:val="0"/>
        <w:spacing w:line="360" w:lineRule="auto"/>
        <w:ind w:right="-1" w:firstLine="495" w:firstLineChars="177"/>
        <w:jc w:val="left"/>
        <w:rPr>
          <w:rFonts w:hint="eastAsia" w:ascii="仿宋" w:hAnsi="仿宋" w:eastAsia="仿宋" w:cs="仿宋"/>
          <w:kern w:val="0"/>
          <w:sz w:val="28"/>
          <w:szCs w:val="28"/>
        </w:rPr>
      </w:pPr>
      <w:r>
        <w:rPr>
          <w:rFonts w:hint="eastAsia" w:ascii="仿宋" w:hAnsi="仿宋" w:eastAsia="仿宋" w:cs="仿宋"/>
          <w:kern w:val="0"/>
          <w:sz w:val="28"/>
          <w:szCs w:val="28"/>
        </w:rPr>
        <w:t>时间</w:t>
      </w:r>
      <w:r>
        <w:rPr>
          <w:rFonts w:hint="eastAsia" w:ascii="仿宋" w:hAnsi="仿宋" w:eastAsia="仿宋" w:cs="仿宋"/>
          <w:kern w:val="0"/>
          <w:sz w:val="28"/>
          <w:szCs w:val="28"/>
          <w:highlight w:val="none"/>
        </w:rPr>
        <w:t>：</w:t>
      </w:r>
      <w:r>
        <w:rPr>
          <w:rFonts w:hint="eastAsia" w:ascii="仿宋" w:hAnsi="仿宋" w:eastAsia="仿宋" w:cs="仿宋"/>
          <w:color w:val="auto"/>
          <w:kern w:val="0"/>
          <w:sz w:val="28"/>
          <w:szCs w:val="28"/>
          <w:highlight w:val="none"/>
        </w:rPr>
        <w:t>202</w:t>
      </w: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07</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lang w:val="en-US" w:eastAsia="zh-CN"/>
        </w:rPr>
        <w:t>10</w:t>
      </w:r>
      <w:r>
        <w:rPr>
          <w:rFonts w:hint="eastAsia" w:ascii="仿宋" w:hAnsi="仿宋" w:eastAsia="仿宋" w:cs="仿宋"/>
          <w:color w:val="auto"/>
          <w:kern w:val="0"/>
          <w:sz w:val="28"/>
          <w:szCs w:val="28"/>
          <w:highlight w:val="none"/>
        </w:rPr>
        <w:t>日--2022年</w:t>
      </w:r>
      <w:r>
        <w:rPr>
          <w:rFonts w:hint="eastAsia" w:ascii="仿宋" w:hAnsi="仿宋" w:eastAsia="仿宋" w:cs="仿宋"/>
          <w:color w:val="auto"/>
          <w:kern w:val="0"/>
          <w:sz w:val="28"/>
          <w:szCs w:val="28"/>
          <w:highlight w:val="none"/>
          <w:lang w:val="en-US" w:eastAsia="zh-CN"/>
        </w:rPr>
        <w:t>07</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lang w:val="en-US" w:eastAsia="zh-CN"/>
        </w:rPr>
        <w:t>14</w:t>
      </w:r>
      <w:r>
        <w:rPr>
          <w:rFonts w:hint="eastAsia" w:ascii="仿宋" w:hAnsi="仿宋" w:eastAsia="仿宋" w:cs="仿宋"/>
          <w:color w:val="auto"/>
          <w:kern w:val="0"/>
          <w:sz w:val="28"/>
          <w:szCs w:val="28"/>
          <w:highlight w:val="none"/>
        </w:rPr>
        <w:t>日</w:t>
      </w:r>
    </w:p>
    <w:p w14:paraId="32CF9465">
      <w:pPr>
        <w:widowControl/>
        <w:snapToGrid w:val="0"/>
        <w:spacing w:line="360" w:lineRule="auto"/>
        <w:ind w:right="-1"/>
        <w:jc w:val="left"/>
        <w:rPr>
          <w:rFonts w:hint="eastAsia" w:ascii="仿宋" w:hAnsi="仿宋" w:eastAsia="仿宋" w:cs="仿宋"/>
          <w:b/>
          <w:bCs/>
          <w:kern w:val="0"/>
          <w:sz w:val="28"/>
          <w:szCs w:val="28"/>
        </w:rPr>
      </w:pPr>
      <w:r>
        <w:rPr>
          <w:rFonts w:hint="eastAsia" w:ascii="仿宋" w:hAnsi="仿宋" w:eastAsia="仿宋" w:cs="仿宋"/>
          <w:b/>
          <w:bCs/>
          <w:kern w:val="0"/>
          <w:sz w:val="28"/>
          <w:szCs w:val="28"/>
        </w:rPr>
        <w:t>三、其他补充事宜</w:t>
      </w:r>
    </w:p>
    <w:p w14:paraId="362ABC41">
      <w:pPr>
        <w:widowControl/>
        <w:snapToGrid w:val="0"/>
        <w:spacing w:line="360" w:lineRule="auto"/>
        <w:ind w:right="150" w:firstLine="495" w:firstLineChars="177"/>
        <w:jc w:val="left"/>
        <w:rPr>
          <w:rFonts w:hint="eastAsia" w:ascii="仿宋" w:hAnsi="仿宋" w:eastAsia="仿宋" w:cs="仿宋"/>
          <w:kern w:val="0"/>
          <w:sz w:val="28"/>
          <w:szCs w:val="28"/>
        </w:rPr>
      </w:pPr>
      <w:r>
        <w:rPr>
          <w:rFonts w:hint="eastAsia" w:ascii="仿宋" w:hAnsi="仿宋" w:eastAsia="仿宋" w:cs="仿宋"/>
          <w:kern w:val="0"/>
          <w:sz w:val="28"/>
          <w:szCs w:val="28"/>
        </w:rPr>
        <w:t>采购预算确定依据:</w:t>
      </w:r>
      <w:r>
        <w:rPr>
          <w:rFonts w:hint="eastAsia" w:ascii="仿宋" w:hAnsi="仿宋" w:eastAsia="仿宋" w:cs="仿宋"/>
          <w:sz w:val="28"/>
          <w:szCs w:val="28"/>
        </w:rPr>
        <w:t xml:space="preserve"> </w:t>
      </w:r>
      <w:r>
        <w:rPr>
          <w:rFonts w:hint="eastAsia" w:ascii="仿宋" w:hAnsi="仿宋" w:eastAsia="仿宋" w:cs="仿宋"/>
          <w:kern w:val="0"/>
          <w:sz w:val="28"/>
          <w:szCs w:val="28"/>
        </w:rPr>
        <w:t>政府采购计划备案表</w:t>
      </w:r>
    </w:p>
    <w:p w14:paraId="70B9E815">
      <w:pPr>
        <w:widowControl/>
        <w:snapToGrid w:val="0"/>
        <w:spacing w:line="360" w:lineRule="auto"/>
        <w:ind w:right="-1"/>
        <w:jc w:val="left"/>
        <w:rPr>
          <w:rFonts w:hint="eastAsia" w:ascii="仿宋" w:hAnsi="仿宋" w:eastAsia="仿宋" w:cs="仿宋"/>
          <w:b/>
          <w:bCs/>
          <w:kern w:val="0"/>
          <w:sz w:val="28"/>
          <w:szCs w:val="28"/>
        </w:rPr>
      </w:pPr>
      <w:r>
        <w:rPr>
          <w:rFonts w:hint="eastAsia" w:ascii="仿宋" w:hAnsi="仿宋" w:eastAsia="仿宋" w:cs="仿宋"/>
          <w:b/>
          <w:bCs/>
          <w:kern w:val="0"/>
          <w:sz w:val="28"/>
          <w:szCs w:val="28"/>
        </w:rPr>
        <w:t>四、项目联系人（公示期限内，优先反馈给代理机构）</w:t>
      </w:r>
    </w:p>
    <w:p w14:paraId="182BFAE4">
      <w:pPr>
        <w:widowControl/>
        <w:snapToGrid w:val="0"/>
        <w:spacing w:line="360" w:lineRule="auto"/>
        <w:ind w:right="150" w:firstLine="495" w:firstLineChars="177"/>
        <w:jc w:val="left"/>
        <w:rPr>
          <w:rFonts w:hint="eastAsia" w:ascii="仿宋" w:hAnsi="仿宋" w:eastAsia="仿宋" w:cs="仿宋"/>
          <w:kern w:val="0"/>
          <w:sz w:val="28"/>
          <w:szCs w:val="28"/>
        </w:rPr>
      </w:pPr>
      <w:r>
        <w:rPr>
          <w:rFonts w:hint="eastAsia" w:ascii="仿宋" w:hAnsi="仿宋" w:eastAsia="仿宋" w:cs="仿宋"/>
          <w:kern w:val="0"/>
          <w:sz w:val="28"/>
          <w:szCs w:val="28"/>
        </w:rPr>
        <w:t>1、采购人信息</w:t>
      </w:r>
    </w:p>
    <w:p w14:paraId="05F8B634">
      <w:pPr>
        <w:widowControl/>
        <w:snapToGrid w:val="0"/>
        <w:spacing w:line="360" w:lineRule="auto"/>
        <w:ind w:right="150" w:firstLine="495" w:firstLineChars="177"/>
        <w:jc w:val="left"/>
        <w:rPr>
          <w:rFonts w:hint="eastAsia" w:ascii="仿宋" w:hAnsi="仿宋" w:eastAsia="仿宋" w:cs="仿宋"/>
          <w:kern w:val="0"/>
          <w:sz w:val="28"/>
          <w:szCs w:val="28"/>
        </w:rPr>
      </w:pPr>
      <w:r>
        <w:rPr>
          <w:rFonts w:hint="eastAsia" w:ascii="仿宋" w:hAnsi="仿宋" w:eastAsia="仿宋" w:cs="仿宋"/>
          <w:kern w:val="0"/>
          <w:sz w:val="28"/>
          <w:szCs w:val="28"/>
        </w:rPr>
        <w:t>采购单位名称:</w:t>
      </w:r>
      <w:r>
        <w:rPr>
          <w:rFonts w:hint="eastAsia" w:ascii="仿宋" w:hAnsi="仿宋" w:eastAsia="仿宋" w:cs="仿宋"/>
          <w:sz w:val="28"/>
          <w:szCs w:val="28"/>
        </w:rPr>
        <w:t xml:space="preserve"> </w:t>
      </w:r>
      <w:r>
        <w:rPr>
          <w:rFonts w:hint="eastAsia" w:ascii="仿宋" w:hAnsi="仿宋" w:eastAsia="仿宋" w:cs="仿宋"/>
          <w:sz w:val="28"/>
          <w:szCs w:val="28"/>
          <w:lang w:eastAsia="zh-CN"/>
        </w:rPr>
        <w:t>黎平县自然资源局</w:t>
      </w:r>
    </w:p>
    <w:p w14:paraId="1D0120B3">
      <w:pPr>
        <w:widowControl/>
        <w:snapToGrid w:val="0"/>
        <w:spacing w:line="360" w:lineRule="auto"/>
        <w:ind w:right="150" w:firstLine="495" w:firstLineChars="177"/>
        <w:jc w:val="left"/>
        <w:rPr>
          <w:rFonts w:hint="eastAsia" w:ascii="仿宋" w:hAnsi="仿宋" w:eastAsia="仿宋" w:cs="仿宋"/>
          <w:kern w:val="0"/>
          <w:sz w:val="28"/>
          <w:szCs w:val="28"/>
          <w:highlight w:val="none"/>
        </w:rPr>
      </w:pPr>
      <w:r>
        <w:rPr>
          <w:rFonts w:hint="eastAsia" w:ascii="仿宋" w:hAnsi="仿宋" w:eastAsia="仿宋" w:cs="仿宋"/>
          <w:kern w:val="0"/>
          <w:sz w:val="28"/>
          <w:szCs w:val="28"/>
        </w:rPr>
        <w:t>项目联系</w:t>
      </w:r>
      <w:r>
        <w:rPr>
          <w:rFonts w:hint="eastAsia" w:ascii="仿宋" w:hAnsi="仿宋" w:eastAsia="仿宋" w:cs="仿宋"/>
          <w:kern w:val="0"/>
          <w:sz w:val="28"/>
          <w:szCs w:val="28"/>
          <w:highlight w:val="none"/>
        </w:rPr>
        <w:t xml:space="preserve">人: </w:t>
      </w:r>
      <w:r>
        <w:rPr>
          <w:rFonts w:hint="eastAsia" w:ascii="仿宋" w:hAnsi="仿宋" w:eastAsia="仿宋" w:cs="仿宋"/>
          <w:kern w:val="0"/>
          <w:sz w:val="28"/>
          <w:szCs w:val="28"/>
          <w:highlight w:val="none"/>
          <w:lang w:eastAsia="zh-CN"/>
        </w:rPr>
        <w:t>陆振菊</w:t>
      </w:r>
    </w:p>
    <w:p w14:paraId="7B28813E">
      <w:pPr>
        <w:widowControl/>
        <w:snapToGrid w:val="0"/>
        <w:spacing w:line="360" w:lineRule="auto"/>
        <w:ind w:right="150" w:firstLine="495" w:firstLineChars="177"/>
        <w:jc w:val="lef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rPr>
        <w:t xml:space="preserve">联系电话:  </w:t>
      </w:r>
      <w:r>
        <w:rPr>
          <w:rFonts w:hint="eastAsia" w:ascii="仿宋" w:hAnsi="仿宋" w:eastAsia="仿宋" w:cs="仿宋"/>
          <w:kern w:val="0"/>
          <w:sz w:val="28"/>
          <w:szCs w:val="28"/>
          <w:highlight w:val="none"/>
          <w:lang w:val="en-US" w:eastAsia="zh-CN"/>
        </w:rPr>
        <w:t>15085692014</w:t>
      </w:r>
      <w:bookmarkStart w:id="2" w:name="_GoBack"/>
      <w:bookmarkEnd w:id="2"/>
    </w:p>
    <w:p w14:paraId="3B1C6A4E">
      <w:pPr>
        <w:widowControl/>
        <w:snapToGrid w:val="0"/>
        <w:spacing w:line="360" w:lineRule="auto"/>
        <w:ind w:right="150" w:firstLine="495" w:firstLineChars="177"/>
        <w:jc w:val="left"/>
        <w:rPr>
          <w:rFonts w:hint="eastAsia" w:ascii="仿宋" w:hAnsi="仿宋" w:eastAsia="仿宋" w:cs="仿宋"/>
          <w:kern w:val="0"/>
          <w:sz w:val="28"/>
          <w:szCs w:val="28"/>
        </w:rPr>
      </w:pPr>
      <w:r>
        <w:rPr>
          <w:rFonts w:hint="eastAsia" w:ascii="仿宋" w:hAnsi="仿宋" w:eastAsia="仿宋" w:cs="仿宋"/>
          <w:kern w:val="0"/>
          <w:sz w:val="28"/>
          <w:szCs w:val="28"/>
        </w:rPr>
        <w:t>2、代理机构</w:t>
      </w:r>
    </w:p>
    <w:p w14:paraId="2F0C6855">
      <w:pPr>
        <w:widowControl/>
        <w:snapToGrid w:val="0"/>
        <w:spacing w:line="360" w:lineRule="auto"/>
        <w:ind w:right="150" w:firstLine="495" w:firstLineChars="177"/>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采购代理机构全称: </w:t>
      </w:r>
      <w:r>
        <w:rPr>
          <w:rFonts w:hint="eastAsia" w:ascii="仿宋" w:hAnsi="仿宋" w:eastAsia="仿宋" w:cs="仿宋"/>
          <w:kern w:val="0"/>
          <w:sz w:val="28"/>
          <w:szCs w:val="28"/>
          <w:lang w:eastAsia="zh-CN"/>
        </w:rPr>
        <w:t>贵州森然工程项目管理有限公司</w:t>
      </w:r>
      <w:r>
        <w:rPr>
          <w:rFonts w:hint="eastAsia" w:ascii="仿宋" w:hAnsi="仿宋" w:eastAsia="仿宋" w:cs="仿宋"/>
          <w:kern w:val="0"/>
          <w:sz w:val="28"/>
          <w:szCs w:val="28"/>
        </w:rPr>
        <w:t xml:space="preserve"> </w:t>
      </w:r>
    </w:p>
    <w:p w14:paraId="79DA0C0E">
      <w:pPr>
        <w:widowControl/>
        <w:snapToGrid w:val="0"/>
        <w:spacing w:line="360" w:lineRule="auto"/>
        <w:ind w:right="150" w:firstLine="495" w:firstLineChars="177"/>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项目联系人：</w:t>
      </w:r>
      <w:r>
        <w:rPr>
          <w:rFonts w:hint="eastAsia" w:ascii="仿宋" w:hAnsi="仿宋" w:eastAsia="仿宋" w:cs="仿宋"/>
          <w:kern w:val="0"/>
          <w:sz w:val="28"/>
          <w:szCs w:val="28"/>
          <w:lang w:val="en-US" w:eastAsia="zh-CN"/>
        </w:rPr>
        <w:t>曾军</w:t>
      </w:r>
    </w:p>
    <w:p w14:paraId="2C1210D4">
      <w:pPr>
        <w:widowControl/>
        <w:snapToGrid w:val="0"/>
        <w:spacing w:line="360" w:lineRule="auto"/>
        <w:ind w:right="150" w:firstLine="495" w:firstLineChars="177"/>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联系电话：</w:t>
      </w:r>
      <w:r>
        <w:rPr>
          <w:rFonts w:hint="eastAsia" w:ascii="仿宋" w:hAnsi="仿宋" w:eastAsia="仿宋" w:cs="仿宋"/>
          <w:kern w:val="0"/>
          <w:sz w:val="28"/>
          <w:szCs w:val="28"/>
          <w:lang w:val="en-US" w:eastAsia="zh-CN"/>
        </w:rPr>
        <w:t>15808511148</w:t>
      </w:r>
    </w:p>
    <w:bookmarkEnd w:id="0"/>
    <w:p w14:paraId="1C809E7B">
      <w:pPr>
        <w:widowControl/>
        <w:snapToGrid w:val="0"/>
        <w:spacing w:line="360" w:lineRule="auto"/>
        <w:ind w:right="-1"/>
        <w:jc w:val="left"/>
        <w:rPr>
          <w:rFonts w:hint="eastAsia" w:ascii="仿宋" w:hAnsi="仿宋" w:eastAsia="仿宋" w:cs="仿宋"/>
          <w:b/>
          <w:bCs/>
          <w:kern w:val="0"/>
          <w:sz w:val="28"/>
          <w:szCs w:val="28"/>
        </w:rPr>
      </w:pPr>
      <w:r>
        <w:rPr>
          <w:rFonts w:hint="eastAsia" w:ascii="仿宋" w:hAnsi="仿宋" w:eastAsia="仿宋" w:cs="仿宋"/>
          <w:b/>
          <w:bCs/>
          <w:kern w:val="0"/>
          <w:sz w:val="28"/>
          <w:szCs w:val="28"/>
        </w:rPr>
        <w:t>五、附件</w:t>
      </w:r>
    </w:p>
    <w:p w14:paraId="7E47AD91">
      <w:pPr>
        <w:widowControl/>
        <w:snapToGrid w:val="0"/>
        <w:spacing w:line="360" w:lineRule="auto"/>
        <w:ind w:right="150" w:firstLine="495" w:firstLineChars="177"/>
        <w:jc w:val="left"/>
        <w:rPr>
          <w:rFonts w:hint="eastAsia" w:ascii="仿宋" w:hAnsi="仿宋" w:eastAsia="仿宋" w:cs="仿宋"/>
          <w:kern w:val="0"/>
          <w:sz w:val="28"/>
          <w:szCs w:val="28"/>
        </w:rPr>
      </w:pPr>
      <w:r>
        <w:rPr>
          <w:rFonts w:hint="eastAsia" w:ascii="仿宋" w:hAnsi="仿宋" w:eastAsia="仿宋" w:cs="仿宋"/>
          <w:kern w:val="0"/>
          <w:sz w:val="28"/>
          <w:szCs w:val="28"/>
        </w:rPr>
        <w:t>附件信息：</w:t>
      </w:r>
    </w:p>
    <w:p w14:paraId="3C66A4F6">
      <w:pPr>
        <w:rPr>
          <w:rFonts w:hint="eastAsia" w:ascii="仿宋" w:hAnsi="仿宋" w:eastAsia="仿宋" w:cs="仿宋"/>
          <w:kern w:val="0"/>
          <w:sz w:val="32"/>
          <w:szCs w:val="32"/>
        </w:rPr>
      </w:pPr>
      <w:r>
        <w:rPr>
          <w:rFonts w:hint="eastAsia" w:ascii="仿宋" w:hAnsi="仿宋" w:eastAsia="仿宋" w:cs="仿宋"/>
          <w:kern w:val="0"/>
          <w:sz w:val="32"/>
          <w:szCs w:val="32"/>
        </w:rPr>
        <w:br w:type="page"/>
      </w:r>
    </w:p>
    <w:p w14:paraId="0E4BD12D">
      <w:pPr>
        <w:widowControl/>
        <w:snapToGrid w:val="0"/>
        <w:spacing w:line="276" w:lineRule="auto"/>
        <w:jc w:val="left"/>
        <w:rPr>
          <w:rFonts w:hint="eastAsia" w:ascii="仿宋" w:hAnsi="仿宋" w:eastAsia="仿宋" w:cs="仿宋"/>
          <w:b/>
          <w:sz w:val="28"/>
          <w:szCs w:val="28"/>
        </w:rPr>
      </w:pPr>
      <w:r>
        <w:rPr>
          <w:rFonts w:hint="eastAsia" w:ascii="仿宋" w:hAnsi="仿宋" w:eastAsia="仿宋" w:cs="仿宋"/>
          <w:b/>
          <w:sz w:val="28"/>
          <w:szCs w:val="28"/>
        </w:rPr>
        <w:t>附件：</w:t>
      </w:r>
    </w:p>
    <w:p w14:paraId="418BDE8E">
      <w:pPr>
        <w:pStyle w:val="2"/>
        <w:rPr>
          <w:rFonts w:hint="eastAsia" w:ascii="仿宋" w:hAnsi="仿宋" w:eastAsia="仿宋" w:cs="仿宋"/>
          <w:sz w:val="28"/>
          <w:szCs w:val="28"/>
        </w:rPr>
      </w:pPr>
      <w:r>
        <w:rPr>
          <w:rFonts w:hint="eastAsia" w:ascii="仿宋" w:hAnsi="仿宋" w:eastAsia="仿宋" w:cs="仿宋"/>
          <w:sz w:val="28"/>
          <w:szCs w:val="28"/>
        </w:rPr>
        <w:t>一、供应商资格</w:t>
      </w:r>
    </w:p>
    <w:p w14:paraId="1C9059A8">
      <w:pPr>
        <w:spacing w:line="360" w:lineRule="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一、符合政府采购法第二十二条规定</w:t>
      </w:r>
    </w:p>
    <w:p w14:paraId="15161D28">
      <w:pPr>
        <w:spacing w:line="360" w:lineRule="auto"/>
        <w:rPr>
          <w:rFonts w:hint="eastAsia" w:ascii="仿宋" w:hAnsi="仿宋" w:eastAsia="仿宋" w:cs="仿宋"/>
          <w:b/>
          <w:bCs/>
          <w:color w:val="auto"/>
          <w:kern w:val="2"/>
          <w:sz w:val="24"/>
          <w:szCs w:val="24"/>
          <w:highlight w:val="none"/>
          <w:u w:val="none"/>
          <w:lang w:val="en-US" w:eastAsia="zh-CN" w:bidi="ar-SA"/>
        </w:rPr>
      </w:pPr>
      <w:r>
        <w:rPr>
          <w:rFonts w:hint="eastAsia" w:ascii="仿宋" w:hAnsi="仿宋" w:eastAsia="仿宋" w:cs="仿宋"/>
          <w:b/>
          <w:bCs/>
          <w:color w:val="auto"/>
          <w:kern w:val="2"/>
          <w:sz w:val="24"/>
          <w:szCs w:val="24"/>
          <w:highlight w:val="none"/>
          <w:u w:val="none"/>
          <w:lang w:val="en-US" w:eastAsia="zh-CN" w:bidi="ar-SA"/>
        </w:rPr>
        <w:t>1.具有独立承担民事责任的能力；</w:t>
      </w:r>
    </w:p>
    <w:p w14:paraId="2B5B5C4D">
      <w:pPr>
        <w:spacing w:line="360" w:lineRule="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具体要求：提供有效的法人或其他组织的营业执照等证明文件，或自然人身份证明；（扫描件盖电子公章）</w:t>
      </w:r>
    </w:p>
    <w:p w14:paraId="0E18BF3F">
      <w:pPr>
        <w:spacing w:line="360" w:lineRule="auto"/>
        <w:rPr>
          <w:rFonts w:hint="eastAsia" w:ascii="仿宋" w:hAnsi="仿宋" w:eastAsia="仿宋" w:cs="仿宋"/>
          <w:b/>
          <w:bCs/>
          <w:color w:val="auto"/>
          <w:kern w:val="2"/>
          <w:sz w:val="24"/>
          <w:szCs w:val="24"/>
          <w:highlight w:val="none"/>
          <w:u w:val="none"/>
          <w:lang w:val="en-US" w:eastAsia="zh-CN" w:bidi="ar-SA"/>
        </w:rPr>
      </w:pPr>
      <w:r>
        <w:rPr>
          <w:rFonts w:hint="eastAsia" w:ascii="仿宋" w:hAnsi="仿宋" w:eastAsia="仿宋" w:cs="仿宋"/>
          <w:b/>
          <w:bCs/>
          <w:color w:val="auto"/>
          <w:kern w:val="2"/>
          <w:sz w:val="24"/>
          <w:szCs w:val="24"/>
          <w:highlight w:val="none"/>
          <w:u w:val="none"/>
          <w:lang w:val="en-US" w:eastAsia="zh-CN" w:bidi="ar-SA"/>
        </w:rPr>
        <w:t>2.具有良好的商业信誉和健全的财务会计制度；</w:t>
      </w:r>
    </w:p>
    <w:p w14:paraId="27A81AEE">
      <w:pPr>
        <w:spacing w:line="360" w:lineRule="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具体要求：提供2024年度（经第三方审计）的财务审计报告(含资产负债表、利润及利润分配表、现金流量表和财务报表附注，审计报告应盖有会计师事务所单位章和注册会计师的执业专用章，并附会计师事务所的营业执照及执业证书），新成立不满一年的提供基本开户银行出具的有效的资信证明。部分其他组织和自然人，没有经审计的财务报告，可以提供银行出具的有效资信证明。（扫描件盖电子公章）。</w:t>
      </w:r>
    </w:p>
    <w:p w14:paraId="3909EA40">
      <w:pPr>
        <w:spacing w:line="360" w:lineRule="auto"/>
        <w:rPr>
          <w:rFonts w:hint="eastAsia" w:ascii="仿宋" w:hAnsi="仿宋" w:eastAsia="仿宋" w:cs="仿宋"/>
          <w:b/>
          <w:bCs/>
          <w:color w:val="auto"/>
          <w:kern w:val="2"/>
          <w:sz w:val="24"/>
          <w:szCs w:val="24"/>
          <w:highlight w:val="none"/>
          <w:u w:val="none"/>
          <w:lang w:val="en-US" w:eastAsia="zh-CN" w:bidi="ar-SA"/>
        </w:rPr>
      </w:pPr>
      <w:r>
        <w:rPr>
          <w:rFonts w:hint="eastAsia" w:ascii="仿宋" w:hAnsi="仿宋" w:eastAsia="仿宋" w:cs="仿宋"/>
          <w:b/>
          <w:bCs/>
          <w:color w:val="auto"/>
          <w:kern w:val="2"/>
          <w:sz w:val="24"/>
          <w:szCs w:val="24"/>
          <w:highlight w:val="none"/>
          <w:u w:val="none"/>
          <w:lang w:val="en-US" w:eastAsia="zh-CN" w:bidi="ar-SA"/>
        </w:rPr>
        <w:t>3.具有履行合同所必须的设备和专业技术能力；</w:t>
      </w:r>
    </w:p>
    <w:p w14:paraId="4AB62F78">
      <w:pPr>
        <w:spacing w:line="360" w:lineRule="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具体要求：提供具有履行合同所必需的设备和专业技术能力的证明材料或书面承诺函。</w:t>
      </w:r>
    </w:p>
    <w:p w14:paraId="3D021F87">
      <w:pPr>
        <w:spacing w:line="360" w:lineRule="auto"/>
        <w:rPr>
          <w:rFonts w:hint="eastAsia" w:ascii="仿宋" w:hAnsi="仿宋" w:eastAsia="仿宋" w:cs="仿宋"/>
          <w:b/>
          <w:bCs/>
          <w:color w:val="auto"/>
          <w:kern w:val="2"/>
          <w:sz w:val="24"/>
          <w:szCs w:val="24"/>
          <w:highlight w:val="none"/>
          <w:u w:val="none"/>
          <w:lang w:val="en-US" w:eastAsia="zh-CN" w:bidi="ar-SA"/>
        </w:rPr>
      </w:pPr>
      <w:r>
        <w:rPr>
          <w:rFonts w:hint="eastAsia" w:ascii="仿宋" w:hAnsi="仿宋" w:eastAsia="仿宋" w:cs="仿宋"/>
          <w:b/>
          <w:bCs/>
          <w:color w:val="auto"/>
          <w:kern w:val="2"/>
          <w:sz w:val="24"/>
          <w:szCs w:val="24"/>
          <w:highlight w:val="none"/>
          <w:u w:val="none"/>
          <w:lang w:val="en-US" w:eastAsia="zh-CN" w:bidi="ar-SA"/>
        </w:rPr>
        <w:t>4.具有依法缴纳税收和社会保障资金的良好记录；</w:t>
      </w:r>
    </w:p>
    <w:p w14:paraId="2A126A65">
      <w:pPr>
        <w:spacing w:line="360" w:lineRule="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具体要求：提供2025年1月至今任意1个月依法缴纳税收和社会保障金的相关材料（税收相关材料是指：主管税务部门出具的税收证明或完税凭证或银行出具的税收缴款证明。社保相关材料是指：在人社部门或税务机关或银行缴纳社保的凭证。新成立一个月以上不满三个月的，提供自成立以来的缴纳税收和社会保障金的相关材料。无需缴纳税收和社会保障资金的提供主管部门的有效免缴证明材料）。（扫描件盖电子公章）</w:t>
      </w:r>
    </w:p>
    <w:p w14:paraId="24B8BA74">
      <w:pPr>
        <w:spacing w:line="360" w:lineRule="auto"/>
        <w:rPr>
          <w:rFonts w:hint="eastAsia" w:ascii="仿宋" w:hAnsi="仿宋" w:eastAsia="仿宋" w:cs="仿宋"/>
          <w:b/>
          <w:bCs/>
          <w:color w:val="auto"/>
          <w:kern w:val="2"/>
          <w:sz w:val="24"/>
          <w:szCs w:val="24"/>
          <w:highlight w:val="none"/>
          <w:u w:val="none"/>
          <w:lang w:val="en-US" w:eastAsia="zh-CN" w:bidi="ar-SA"/>
        </w:rPr>
      </w:pPr>
      <w:r>
        <w:rPr>
          <w:rFonts w:hint="eastAsia" w:ascii="仿宋" w:hAnsi="仿宋" w:eastAsia="仿宋" w:cs="仿宋"/>
          <w:b/>
          <w:bCs/>
          <w:color w:val="auto"/>
          <w:kern w:val="2"/>
          <w:sz w:val="24"/>
          <w:szCs w:val="24"/>
          <w:highlight w:val="none"/>
          <w:u w:val="none"/>
          <w:lang w:val="en-US" w:eastAsia="zh-CN" w:bidi="ar-SA"/>
        </w:rPr>
        <w:t>5.参加本次政府采购活动前三年内，在经营活动中没有重大违法记录；</w:t>
      </w:r>
    </w:p>
    <w:p w14:paraId="6FD76449">
      <w:pPr>
        <w:spacing w:line="360" w:lineRule="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具体要求：提供参加政府采购活动前3年内在经营活动中没有重大违法记录的书面声明。（扫描件盖电子公章）；</w:t>
      </w:r>
    </w:p>
    <w:p w14:paraId="6DA2168B">
      <w:pPr>
        <w:spacing w:line="360" w:lineRule="auto"/>
        <w:rPr>
          <w:rFonts w:hint="eastAsia" w:ascii="仿宋" w:hAnsi="仿宋" w:eastAsia="仿宋" w:cs="仿宋"/>
          <w:b/>
          <w:bCs/>
          <w:color w:val="auto"/>
          <w:kern w:val="2"/>
          <w:sz w:val="24"/>
          <w:szCs w:val="24"/>
          <w:highlight w:val="none"/>
          <w:u w:val="none"/>
          <w:lang w:val="en-US" w:eastAsia="zh-CN" w:bidi="ar-SA"/>
        </w:rPr>
      </w:pPr>
      <w:r>
        <w:rPr>
          <w:rFonts w:hint="eastAsia" w:ascii="仿宋" w:hAnsi="仿宋" w:eastAsia="仿宋" w:cs="仿宋"/>
          <w:b/>
          <w:bCs/>
          <w:color w:val="auto"/>
          <w:kern w:val="2"/>
          <w:sz w:val="24"/>
          <w:szCs w:val="24"/>
          <w:highlight w:val="none"/>
          <w:u w:val="none"/>
          <w:lang w:val="en-US" w:eastAsia="zh-CN" w:bidi="ar-SA"/>
        </w:rPr>
        <w:t>6. 法律、行政法规规定的其他条件。</w:t>
      </w:r>
    </w:p>
    <w:p w14:paraId="2C76271C">
      <w:pPr>
        <w:spacing w:line="360" w:lineRule="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信用信息查询截图：供应商须承诺：在“信用中国”网站（</w:t>
      </w:r>
      <w:r>
        <w:rPr>
          <w:rFonts w:hint="eastAsia" w:ascii="仿宋" w:hAnsi="仿宋" w:eastAsia="仿宋" w:cs="仿宋"/>
          <w:color w:val="auto"/>
          <w:kern w:val="2"/>
          <w:sz w:val="24"/>
          <w:szCs w:val="24"/>
          <w:highlight w:val="none"/>
          <w:u w:val="none"/>
          <w:lang w:val="en-US" w:eastAsia="zh-CN" w:bidi="ar-SA"/>
        </w:rPr>
        <w:fldChar w:fldCharType="begin"/>
      </w:r>
      <w:r>
        <w:rPr>
          <w:rFonts w:hint="eastAsia" w:ascii="仿宋" w:hAnsi="仿宋" w:eastAsia="仿宋" w:cs="仿宋"/>
          <w:color w:val="auto"/>
          <w:kern w:val="2"/>
          <w:sz w:val="24"/>
          <w:szCs w:val="24"/>
          <w:highlight w:val="none"/>
          <w:u w:val="none"/>
          <w:lang w:val="en-US" w:eastAsia="zh-CN" w:bidi="ar-SA"/>
        </w:rPr>
        <w:instrText xml:space="preserve"> HYPERLINK "https://www.creditchina.gov.cn" </w:instrText>
      </w:r>
      <w:r>
        <w:rPr>
          <w:rFonts w:hint="eastAsia" w:ascii="仿宋" w:hAnsi="仿宋" w:eastAsia="仿宋" w:cs="仿宋"/>
          <w:color w:val="auto"/>
          <w:kern w:val="2"/>
          <w:sz w:val="24"/>
          <w:szCs w:val="24"/>
          <w:highlight w:val="none"/>
          <w:u w:val="none"/>
          <w:lang w:val="en-US" w:eastAsia="zh-CN" w:bidi="ar-SA"/>
        </w:rPr>
        <w:fldChar w:fldCharType="separate"/>
      </w:r>
      <w:r>
        <w:rPr>
          <w:rFonts w:hint="eastAsia" w:ascii="仿宋" w:hAnsi="仿宋" w:eastAsia="仿宋" w:cs="仿宋"/>
          <w:color w:val="auto"/>
          <w:kern w:val="2"/>
          <w:sz w:val="24"/>
          <w:szCs w:val="24"/>
          <w:highlight w:val="none"/>
          <w:u w:val="none"/>
          <w:lang w:val="en-US" w:eastAsia="zh-CN" w:bidi="ar-SA"/>
        </w:rPr>
        <w:t>www.creditchina.gov.cn</w:t>
      </w:r>
      <w:r>
        <w:rPr>
          <w:rFonts w:hint="eastAsia" w:ascii="仿宋" w:hAnsi="仿宋" w:eastAsia="仿宋" w:cs="仿宋"/>
          <w:color w:val="auto"/>
          <w:kern w:val="2"/>
          <w:sz w:val="24"/>
          <w:szCs w:val="24"/>
          <w:highlight w:val="none"/>
          <w:u w:val="none"/>
          <w:lang w:val="en-US" w:eastAsia="zh-CN" w:bidi="ar-SA"/>
        </w:rPr>
        <w:fldChar w:fldCharType="end"/>
      </w:r>
      <w:r>
        <w:rPr>
          <w:rFonts w:hint="eastAsia" w:ascii="仿宋" w:hAnsi="仿宋" w:eastAsia="仿宋" w:cs="仿宋"/>
          <w:color w:val="auto"/>
          <w:kern w:val="2"/>
          <w:sz w:val="24"/>
          <w:szCs w:val="24"/>
          <w:highlight w:val="none"/>
          <w:u w:val="none"/>
          <w:lang w:val="en-US" w:eastAsia="zh-CN" w:bidi="ar-SA"/>
        </w:rPr>
        <w:t>）、 中国政府采购网（</w:t>
      </w:r>
      <w:r>
        <w:rPr>
          <w:rFonts w:hint="eastAsia" w:ascii="仿宋" w:hAnsi="仿宋" w:eastAsia="仿宋" w:cs="仿宋"/>
          <w:color w:val="auto"/>
          <w:kern w:val="2"/>
          <w:sz w:val="24"/>
          <w:szCs w:val="24"/>
          <w:highlight w:val="none"/>
          <w:u w:val="none"/>
          <w:lang w:val="en-US" w:eastAsia="zh-CN" w:bidi="ar-SA"/>
        </w:rPr>
        <w:fldChar w:fldCharType="begin"/>
      </w:r>
      <w:r>
        <w:rPr>
          <w:rFonts w:hint="eastAsia" w:ascii="仿宋" w:hAnsi="仿宋" w:eastAsia="仿宋" w:cs="仿宋"/>
          <w:color w:val="auto"/>
          <w:kern w:val="2"/>
          <w:sz w:val="24"/>
          <w:szCs w:val="24"/>
          <w:highlight w:val="none"/>
          <w:u w:val="none"/>
          <w:lang w:val="en-US" w:eastAsia="zh-CN" w:bidi="ar-SA"/>
        </w:rPr>
        <w:instrText xml:space="preserve"> HYPERLINK "https://www.ccgp.gov.cn" </w:instrText>
      </w:r>
      <w:r>
        <w:rPr>
          <w:rFonts w:hint="eastAsia" w:ascii="仿宋" w:hAnsi="仿宋" w:eastAsia="仿宋" w:cs="仿宋"/>
          <w:color w:val="auto"/>
          <w:kern w:val="2"/>
          <w:sz w:val="24"/>
          <w:szCs w:val="24"/>
          <w:highlight w:val="none"/>
          <w:u w:val="none"/>
          <w:lang w:val="en-US" w:eastAsia="zh-CN" w:bidi="ar-SA"/>
        </w:rPr>
        <w:fldChar w:fldCharType="separate"/>
      </w:r>
      <w:r>
        <w:rPr>
          <w:rFonts w:hint="eastAsia" w:ascii="仿宋" w:hAnsi="仿宋" w:eastAsia="仿宋" w:cs="仿宋"/>
          <w:color w:val="auto"/>
          <w:kern w:val="2"/>
          <w:sz w:val="24"/>
          <w:szCs w:val="24"/>
          <w:highlight w:val="none"/>
          <w:u w:val="none"/>
          <w:lang w:val="en-US" w:eastAsia="zh-CN" w:bidi="ar-SA"/>
        </w:rPr>
        <w:t>www.ccgp.gov.cn</w:t>
      </w:r>
      <w:r>
        <w:rPr>
          <w:rFonts w:hint="eastAsia" w:ascii="仿宋" w:hAnsi="仿宋" w:eastAsia="仿宋" w:cs="仿宋"/>
          <w:color w:val="auto"/>
          <w:kern w:val="2"/>
          <w:sz w:val="24"/>
          <w:szCs w:val="24"/>
          <w:highlight w:val="none"/>
          <w:u w:val="none"/>
          <w:lang w:val="en-US" w:eastAsia="zh-CN" w:bidi="ar-SA"/>
        </w:rPr>
        <w:fldChar w:fldCharType="end"/>
      </w:r>
      <w:r>
        <w:rPr>
          <w:rFonts w:hint="eastAsia" w:ascii="仿宋" w:hAnsi="仿宋" w:eastAsia="仿宋" w:cs="仿宋"/>
          <w:color w:val="auto"/>
          <w:kern w:val="2"/>
          <w:sz w:val="24"/>
          <w:szCs w:val="24"/>
          <w:highlight w:val="none"/>
          <w:u w:val="none"/>
          <w:lang w:val="en-US" w:eastAsia="zh-CN" w:bidi="ar-SA"/>
        </w:rPr>
        <w:t>）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根据《省发展改革委 省法院 省公共资源交易中心关于推进全省公共资源交易领域对法院失信被执行人实施信用联合惩戒的通知》黔发改财金【2020】421号文件要求，交易系统会自行对失信供应商实施信用联合惩戒。</w:t>
      </w:r>
    </w:p>
    <w:p w14:paraId="108EC7A7">
      <w:pPr>
        <w:spacing w:line="360" w:lineRule="auto"/>
        <w:rPr>
          <w:rFonts w:hint="eastAsia" w:ascii="仿宋" w:hAnsi="仿宋" w:eastAsia="仿宋" w:cs="仿宋"/>
          <w:b/>
          <w:bCs/>
          <w:color w:val="auto"/>
          <w:kern w:val="2"/>
          <w:sz w:val="24"/>
          <w:szCs w:val="24"/>
          <w:highlight w:val="none"/>
          <w:u w:val="none"/>
          <w:lang w:val="en-US" w:eastAsia="zh-CN" w:bidi="ar-SA"/>
        </w:rPr>
      </w:pPr>
      <w:r>
        <w:rPr>
          <w:rFonts w:hint="eastAsia" w:ascii="仿宋" w:hAnsi="仿宋" w:eastAsia="仿宋" w:cs="仿宋"/>
          <w:b/>
          <w:bCs/>
          <w:color w:val="auto"/>
          <w:kern w:val="2"/>
          <w:sz w:val="24"/>
          <w:szCs w:val="24"/>
          <w:highlight w:val="none"/>
          <w:u w:val="none"/>
          <w:lang w:val="en-US" w:eastAsia="zh-CN" w:bidi="ar-SA"/>
        </w:rPr>
        <w:t>二、本项目所需特殊行业资质或要求</w:t>
      </w:r>
    </w:p>
    <w:p w14:paraId="72665A1A">
      <w:pPr>
        <w:spacing w:line="360" w:lineRule="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投标人须具备由主管部门颁发有效的城乡规划编制乙级以上（含乙级）资质。</w:t>
      </w:r>
    </w:p>
    <w:p w14:paraId="02AC1A9F">
      <w:pPr>
        <w:spacing w:line="360" w:lineRule="auto"/>
        <w:rPr>
          <w:rFonts w:hint="eastAsia" w:ascii="仿宋" w:hAnsi="仿宋" w:eastAsia="仿宋" w:cs="仿宋"/>
          <w:b/>
          <w:bCs/>
          <w:color w:val="auto"/>
          <w:kern w:val="2"/>
          <w:sz w:val="24"/>
          <w:szCs w:val="24"/>
          <w:highlight w:val="none"/>
          <w:u w:val="none"/>
          <w:lang w:val="en-US" w:eastAsia="zh-CN" w:bidi="ar-SA"/>
        </w:rPr>
      </w:pPr>
      <w:r>
        <w:rPr>
          <w:rFonts w:hint="eastAsia" w:ascii="仿宋" w:hAnsi="仿宋" w:eastAsia="仿宋" w:cs="仿宋"/>
          <w:b/>
          <w:bCs/>
          <w:color w:val="auto"/>
          <w:kern w:val="2"/>
          <w:sz w:val="24"/>
          <w:szCs w:val="24"/>
          <w:highlight w:val="none"/>
          <w:u w:val="none"/>
          <w:lang w:val="en-US" w:eastAsia="zh-CN" w:bidi="ar-SA"/>
        </w:rPr>
        <w:t>三、本项目不接受联合体投标</w:t>
      </w:r>
    </w:p>
    <w:p w14:paraId="4DB011F2">
      <w:pPr>
        <w:spacing w:line="360" w:lineRule="auto"/>
        <w:rPr>
          <w:rFonts w:hint="eastAsia" w:ascii="仿宋" w:hAnsi="仿宋" w:eastAsia="仿宋" w:cs="仿宋"/>
          <w:color w:val="auto"/>
          <w:kern w:val="2"/>
          <w:sz w:val="28"/>
          <w:szCs w:val="28"/>
          <w:highlight w:val="none"/>
          <w:u w:val="none"/>
          <w:lang w:val="en-US" w:eastAsia="zh-CN" w:bidi="ar-SA"/>
        </w:rPr>
        <w:sectPr>
          <w:footerReference r:id="rId3" w:type="default"/>
          <w:pgSz w:w="11907" w:h="16840"/>
          <w:pgMar w:top="1440" w:right="1687" w:bottom="1440" w:left="1600" w:header="0" w:footer="720" w:gutter="0"/>
          <w:cols w:space="720" w:num="1"/>
        </w:sectPr>
      </w:pPr>
    </w:p>
    <w:p w14:paraId="3F1DC871">
      <w:pPr>
        <w:numPr>
          <w:numId w:val="0"/>
        </w:numPr>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二、</w:t>
      </w:r>
      <w:r>
        <w:rPr>
          <w:rFonts w:hint="eastAsia" w:ascii="仿宋" w:hAnsi="仿宋" w:eastAsia="仿宋" w:cs="仿宋"/>
          <w:b/>
          <w:bCs/>
          <w:color w:val="auto"/>
          <w:kern w:val="0"/>
          <w:sz w:val="28"/>
          <w:szCs w:val="28"/>
          <w:highlight w:val="none"/>
        </w:rPr>
        <w:t>采购项目概述及采购清单、技术参数</w:t>
      </w:r>
    </w:p>
    <w:p w14:paraId="1D5FD880">
      <w:pPr>
        <w:numPr>
          <w:numId w:val="0"/>
        </w:numPr>
        <w:jc w:val="both"/>
        <w:rPr>
          <w:rFonts w:hint="eastAsia" w:ascii="仿宋" w:hAnsi="仿宋" w:eastAsia="仿宋" w:cs="仿宋"/>
          <w:b/>
          <w:bCs/>
          <w:color w:val="auto"/>
          <w:kern w:val="0"/>
          <w:sz w:val="28"/>
          <w:szCs w:val="28"/>
          <w:highlight w:val="none"/>
        </w:rPr>
      </w:pPr>
    </w:p>
    <w:p w14:paraId="03456B67">
      <w:pPr>
        <w:numPr>
          <w:ilvl w:val="0"/>
          <w:numId w:val="0"/>
        </w:num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一、项目概述:黎平县中心城区城南片区、城北片区、高屯至机场片区控制性详细规划。</w:t>
      </w:r>
    </w:p>
    <w:p w14:paraId="3235685D">
      <w:pPr>
        <w:numPr>
          <w:ilvl w:val="0"/>
          <w:numId w:val="0"/>
        </w:num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项目内容及规模及地点:黎平县中心城区城南片区、城北片区、高屯至机场片区控制性详细规划，城南片区城镇开发边界面积约399公顷，城北片区城镇开发边界面积约549公顷，高屯至机场片区城镇开发边界约166公顷，结合中心城区集中建设区现状，把城镇开发边界外集中建设区作为单元纳入控制性详细规划编制范围。</w:t>
      </w:r>
    </w:p>
    <w:p w14:paraId="3C04C988">
      <w:pPr>
        <w:numPr>
          <w:ilvl w:val="0"/>
          <w:numId w:val="0"/>
        </w:num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三、项目须满足的规范、标准及规划及期限要求</w:t>
      </w:r>
    </w:p>
    <w:p w14:paraId="533E582B">
      <w:pPr>
        <w:numPr>
          <w:ilvl w:val="0"/>
          <w:numId w:val="0"/>
        </w:num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1、现状规划评估。结合城市体检评估成果，分析城市在生态宜居、健康舒适、安全韧性、交通便捷、风貌特色、创新活力等方面的现状水平，研判城市发展中存在的突出矛盾和问题。</w:t>
      </w:r>
    </w:p>
    <w:p w14:paraId="2191F308">
      <w:pPr>
        <w:numPr>
          <w:ilvl w:val="0"/>
          <w:numId w:val="0"/>
        </w:num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开展现状调查采取查阅资料、现场踏勘、公众调查等方式结合国士“三调”变更调查、影像、城市体检评估、起底大调查等数据，对规划范围内及周边的自然条件、生态本底、历史文化资源、人口情况、土地利用、土地权属、地下空间利用、建筑质量、公共管理与公共服务设施、市政公用设施、重要企业、综合交通、土壤污染状况、地质灾害隐患情况等进行详细调查，总结现状特征，分析存在问题和发展条件。</w:t>
      </w:r>
    </w:p>
    <w:p w14:paraId="6670A84E">
      <w:pPr>
        <w:numPr>
          <w:ilvl w:val="0"/>
          <w:numId w:val="0"/>
        </w:num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3、统一底数底图。统一采用国家 2000 大地坐标系、1985 国家高程基准作为空间定位基础，按照《国土空间调查、规划、用途管制用地用海分类指南(试行)》、《规范和统一市县国土空间规划现状基数的通知》，结合国土变更调查、影像、测绘地形图、确权登记、大数据等数据，在现状调查和地类补充细化调查基础上完成基数转换工作，形成以二、三级用地分类为主的土地利用现状数据和工作底图。</w:t>
      </w:r>
    </w:p>
    <w:p w14:paraId="35367CB6">
      <w:pPr>
        <w:numPr>
          <w:ilvl w:val="0"/>
          <w:numId w:val="0"/>
        </w:num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4、按照《贵州省详细规划编制技术指南(试行)》等规范完成控制性详细规划的编制工作。</w:t>
      </w:r>
    </w:p>
    <w:p w14:paraId="5A2B2BCE">
      <w:pPr>
        <w:numPr>
          <w:ilvl w:val="0"/>
          <w:numId w:val="0"/>
        </w:numPr>
        <w:spacing w:line="360" w:lineRule="auto"/>
        <w:jc w:val="center"/>
        <w:rPr>
          <w:rFonts w:hint="eastAsia" w:ascii="仿宋" w:hAnsi="仿宋" w:eastAsia="仿宋" w:cs="仿宋"/>
          <w:color w:val="auto"/>
          <w:sz w:val="28"/>
          <w:szCs w:val="28"/>
          <w:highlight w:val="none"/>
          <w:lang w:val="en-US" w:eastAsia="zh-CN"/>
        </w:rPr>
      </w:pPr>
    </w:p>
    <w:p w14:paraId="309E0060">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page"/>
      </w:r>
    </w:p>
    <w:p w14:paraId="16D0865E">
      <w:pPr>
        <w:numPr>
          <w:ilvl w:val="0"/>
          <w:numId w:val="0"/>
        </w:numPr>
        <w:spacing w:line="36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三、商务要求</w:t>
      </w:r>
    </w:p>
    <w:p w14:paraId="2915852D">
      <w:pPr>
        <w:spacing w:before="79" w:line="221" w:lineRule="auto"/>
        <w:ind w:left="270"/>
        <w:outlineLvl w:val="3"/>
        <w:rPr>
          <w:rFonts w:ascii="黑体" w:hAnsi="黑体" w:eastAsia="黑体" w:cs="黑体"/>
          <w:sz w:val="24"/>
          <w:szCs w:val="24"/>
        </w:rPr>
      </w:pPr>
      <w:r>
        <w:rPr>
          <w:rFonts w:ascii="黑体" w:hAnsi="黑体" w:eastAsia="黑体" w:cs="黑体"/>
          <w:spacing w:val="-2"/>
          <w:sz w:val="24"/>
          <w:szCs w:val="24"/>
        </w:rPr>
        <w:t>一、服务时间及交货地点</w:t>
      </w:r>
    </w:p>
    <w:p w14:paraId="4DFA2717">
      <w:pPr>
        <w:spacing w:before="299" w:line="360" w:lineRule="auto"/>
        <w:ind w:left="9" w:right="152" w:firstLine="245"/>
        <w:rPr>
          <w:rFonts w:ascii="仿宋" w:hAnsi="仿宋" w:eastAsia="仿宋" w:cs="仿宋"/>
          <w:color w:val="auto"/>
          <w:sz w:val="24"/>
          <w:szCs w:val="24"/>
        </w:rPr>
      </w:pPr>
      <w:r>
        <w:rPr>
          <w:rFonts w:ascii="仿宋" w:hAnsi="仿宋" w:eastAsia="仿宋" w:cs="仿宋"/>
          <w:spacing w:val="-2"/>
          <w:sz w:val="24"/>
          <w:szCs w:val="24"/>
        </w:rPr>
        <w:t>1、服务期：合同签订</w:t>
      </w:r>
      <w:r>
        <w:rPr>
          <w:rFonts w:ascii="仿宋" w:hAnsi="仿宋" w:eastAsia="仿宋" w:cs="仿宋"/>
          <w:color w:val="auto"/>
          <w:spacing w:val="-2"/>
          <w:sz w:val="24"/>
          <w:szCs w:val="24"/>
        </w:rPr>
        <w:t>后</w:t>
      </w:r>
      <w:r>
        <w:rPr>
          <w:rFonts w:hint="eastAsia" w:ascii="仿宋" w:hAnsi="仿宋" w:eastAsia="仿宋" w:cs="仿宋"/>
          <w:color w:val="auto"/>
          <w:spacing w:val="-2"/>
          <w:sz w:val="24"/>
          <w:szCs w:val="24"/>
          <w:u w:val="single"/>
          <w:lang w:val="en-US" w:eastAsia="zh-CN"/>
        </w:rPr>
        <w:t>90</w:t>
      </w:r>
      <w:r>
        <w:rPr>
          <w:rFonts w:ascii="仿宋" w:hAnsi="仿宋" w:eastAsia="仿宋" w:cs="仿宋"/>
          <w:color w:val="auto"/>
          <w:spacing w:val="-2"/>
          <w:sz w:val="24"/>
          <w:szCs w:val="24"/>
        </w:rPr>
        <w:t>日历天内提交</w:t>
      </w:r>
      <w:r>
        <w:rPr>
          <w:rFonts w:ascii="仿宋" w:hAnsi="仿宋" w:eastAsia="仿宋" w:cs="仿宋"/>
          <w:color w:val="auto"/>
          <w:spacing w:val="-3"/>
          <w:sz w:val="24"/>
          <w:szCs w:val="24"/>
        </w:rPr>
        <w:t>成果文件，如有其他时间要求，遵循其规</w:t>
      </w:r>
      <w:r>
        <w:rPr>
          <w:rFonts w:ascii="仿宋" w:hAnsi="仿宋" w:eastAsia="仿宋" w:cs="仿宋"/>
          <w:color w:val="auto"/>
          <w:spacing w:val="-11"/>
          <w:sz w:val="24"/>
          <w:szCs w:val="24"/>
        </w:rPr>
        <w:t>定。</w:t>
      </w:r>
    </w:p>
    <w:p w14:paraId="34B95DFE">
      <w:pPr>
        <w:spacing w:before="253" w:line="222" w:lineRule="auto"/>
        <w:ind w:left="268"/>
        <w:rPr>
          <w:rFonts w:ascii="仿宋" w:hAnsi="仿宋" w:eastAsia="仿宋" w:cs="仿宋"/>
          <w:color w:val="auto"/>
          <w:sz w:val="24"/>
          <w:szCs w:val="24"/>
        </w:rPr>
      </w:pPr>
      <w:r>
        <w:rPr>
          <w:rFonts w:ascii="仿宋" w:hAnsi="仿宋" w:eastAsia="仿宋" w:cs="仿宋"/>
          <w:color w:val="auto"/>
          <w:spacing w:val="-1"/>
          <w:sz w:val="24"/>
          <w:szCs w:val="24"/>
        </w:rPr>
        <w:t>2、服务地点：</w:t>
      </w:r>
      <w:r>
        <w:rPr>
          <w:rFonts w:hint="eastAsia" w:ascii="仿宋" w:hAnsi="仿宋" w:eastAsia="仿宋" w:cs="仿宋"/>
          <w:color w:val="auto"/>
          <w:spacing w:val="-1"/>
          <w:sz w:val="24"/>
          <w:szCs w:val="24"/>
          <w:lang w:val="en-US" w:eastAsia="zh-CN"/>
        </w:rPr>
        <w:t>黎平</w:t>
      </w:r>
      <w:r>
        <w:rPr>
          <w:rFonts w:ascii="仿宋" w:hAnsi="仿宋" w:eastAsia="仿宋" w:cs="仿宋"/>
          <w:color w:val="auto"/>
          <w:spacing w:val="-1"/>
          <w:sz w:val="24"/>
          <w:szCs w:val="24"/>
        </w:rPr>
        <w:t>县境内，采购人指定地点。</w:t>
      </w:r>
    </w:p>
    <w:p w14:paraId="1E596067">
      <w:pPr>
        <w:spacing w:before="140" w:line="222" w:lineRule="auto"/>
        <w:ind w:left="270"/>
        <w:outlineLvl w:val="3"/>
        <w:rPr>
          <w:rFonts w:ascii="黑体" w:hAnsi="黑体" w:eastAsia="黑体" w:cs="黑体"/>
          <w:spacing w:val="-2"/>
          <w:sz w:val="24"/>
          <w:szCs w:val="24"/>
        </w:rPr>
      </w:pPr>
    </w:p>
    <w:p w14:paraId="0224F996">
      <w:pPr>
        <w:spacing w:before="140" w:line="222" w:lineRule="auto"/>
        <w:ind w:left="270"/>
        <w:outlineLvl w:val="3"/>
        <w:rPr>
          <w:rFonts w:ascii="黑体" w:hAnsi="黑体" w:eastAsia="黑体" w:cs="黑体"/>
          <w:sz w:val="24"/>
          <w:szCs w:val="24"/>
        </w:rPr>
      </w:pPr>
      <w:r>
        <w:rPr>
          <w:rFonts w:ascii="黑体" w:hAnsi="黑体" w:eastAsia="黑体" w:cs="黑体"/>
          <w:spacing w:val="-2"/>
          <w:sz w:val="24"/>
          <w:szCs w:val="24"/>
        </w:rPr>
        <w:t>二、验收标准、规范</w:t>
      </w:r>
    </w:p>
    <w:p w14:paraId="4355EF9B">
      <w:pPr>
        <w:spacing w:before="300" w:line="360" w:lineRule="auto"/>
        <w:jc w:val="left"/>
        <w:rPr>
          <w:rFonts w:ascii="仿宋" w:hAnsi="仿宋" w:eastAsia="仿宋" w:cs="仿宋"/>
          <w:sz w:val="24"/>
          <w:szCs w:val="24"/>
        </w:rPr>
      </w:pPr>
      <w:r>
        <w:rPr>
          <w:rFonts w:ascii="仿宋" w:hAnsi="仿宋" w:eastAsia="仿宋" w:cs="仿宋"/>
          <w:spacing w:val="-3"/>
          <w:sz w:val="24"/>
          <w:szCs w:val="24"/>
        </w:rPr>
        <w:t>验收标准:符合国家与地方相关法律法规及技术规范和标准，并经有关部门评审通过。</w:t>
      </w:r>
    </w:p>
    <w:p w14:paraId="22BAD7AF">
      <w:pPr>
        <w:spacing w:before="145" w:line="360" w:lineRule="auto"/>
        <w:ind w:left="271"/>
        <w:outlineLvl w:val="3"/>
        <w:rPr>
          <w:rFonts w:ascii="仿宋" w:hAnsi="仿宋" w:eastAsia="仿宋" w:cs="仿宋"/>
          <w:sz w:val="24"/>
          <w:szCs w:val="24"/>
        </w:rPr>
      </w:pPr>
      <w:r>
        <w:rPr>
          <w:rFonts w:ascii="黑体" w:hAnsi="黑体" w:eastAsia="黑体" w:cs="黑体"/>
          <w:spacing w:val="-3"/>
          <w:sz w:val="24"/>
          <w:szCs w:val="24"/>
        </w:rPr>
        <w:t>三、售后服务</w:t>
      </w:r>
      <w:r>
        <w:rPr>
          <w:rFonts w:ascii="仿宋" w:hAnsi="仿宋" w:eastAsia="仿宋" w:cs="仿宋"/>
          <w:spacing w:val="-1"/>
          <w:sz w:val="24"/>
          <w:szCs w:val="24"/>
        </w:rPr>
        <w:br w:type="textWrapping"/>
      </w:r>
      <w:r>
        <w:rPr>
          <w:rFonts w:ascii="仿宋" w:hAnsi="仿宋" w:eastAsia="仿宋" w:cs="仿宋"/>
          <w:spacing w:val="-1"/>
          <w:sz w:val="24"/>
          <w:szCs w:val="24"/>
        </w:rPr>
        <w:t>1、供应商应针对本项目采购组建专业服务小组对项目采购及生产过程进行服务。</w:t>
      </w:r>
      <w:r>
        <w:rPr>
          <w:rFonts w:ascii="仿宋" w:hAnsi="仿宋" w:eastAsia="仿宋" w:cs="仿宋"/>
          <w:spacing w:val="-1"/>
          <w:sz w:val="24"/>
          <w:szCs w:val="24"/>
        </w:rPr>
        <w:br w:type="textWrapping"/>
      </w:r>
      <w:r>
        <w:rPr>
          <w:rFonts w:ascii="仿宋" w:hAnsi="仿宋" w:eastAsia="仿宋" w:cs="仿宋"/>
          <w:spacing w:val="3"/>
          <w:sz w:val="24"/>
          <w:szCs w:val="24"/>
        </w:rPr>
        <w:t>2、在遵守国家法律、法规、规程、有关标准的前提下，遵循业主至上的原则，尊重</w:t>
      </w:r>
      <w:r>
        <w:rPr>
          <w:rFonts w:ascii="仿宋" w:hAnsi="仿宋" w:eastAsia="仿宋" w:cs="仿宋"/>
          <w:spacing w:val="-1"/>
          <w:sz w:val="24"/>
          <w:szCs w:val="24"/>
        </w:rPr>
        <w:t>业主提出的要求、建议。对采购人提供全程、全方位的服务。</w:t>
      </w:r>
      <w:r>
        <w:rPr>
          <w:rFonts w:ascii="仿宋" w:hAnsi="仿宋" w:eastAsia="仿宋" w:cs="仿宋"/>
          <w:spacing w:val="-1"/>
          <w:sz w:val="24"/>
          <w:szCs w:val="24"/>
        </w:rPr>
        <w:br w:type="textWrapping"/>
      </w:r>
      <w:r>
        <w:rPr>
          <w:rFonts w:ascii="仿宋" w:hAnsi="仿宋" w:eastAsia="仿宋" w:cs="仿宋"/>
          <w:spacing w:val="-1"/>
          <w:sz w:val="24"/>
          <w:szCs w:val="24"/>
        </w:rPr>
        <w:t>3、服务内容及服务质量满足合同要求。</w:t>
      </w:r>
      <w:r>
        <w:rPr>
          <w:rFonts w:ascii="仿宋" w:hAnsi="仿宋" w:eastAsia="仿宋" w:cs="仿宋"/>
          <w:spacing w:val="-1"/>
          <w:sz w:val="24"/>
          <w:szCs w:val="24"/>
        </w:rPr>
        <w:br w:type="textWrapping"/>
      </w:r>
      <w:r>
        <w:rPr>
          <w:rFonts w:ascii="仿宋" w:hAnsi="仿宋" w:eastAsia="仿宋" w:cs="仿宋"/>
          <w:spacing w:val="-1"/>
          <w:sz w:val="24"/>
          <w:szCs w:val="24"/>
        </w:rPr>
        <w:t>4、积极配合采购人办理本项目的相关手续及服务。</w:t>
      </w:r>
      <w:r>
        <w:rPr>
          <w:rFonts w:ascii="仿宋" w:hAnsi="仿宋" w:eastAsia="仿宋" w:cs="仿宋"/>
          <w:spacing w:val="-1"/>
          <w:sz w:val="24"/>
          <w:szCs w:val="24"/>
        </w:rPr>
        <w:br w:type="textWrapping"/>
      </w:r>
      <w:r>
        <w:rPr>
          <w:rFonts w:ascii="仿宋" w:hAnsi="仿宋" w:eastAsia="仿宋" w:cs="仿宋"/>
          <w:spacing w:val="-1"/>
          <w:sz w:val="24"/>
          <w:szCs w:val="24"/>
        </w:rPr>
        <w:t>5、由于供应商原因造成的损失由供应商自行承担。</w:t>
      </w:r>
      <w:r>
        <w:rPr>
          <w:rFonts w:ascii="仿宋" w:hAnsi="仿宋" w:eastAsia="仿宋" w:cs="仿宋"/>
          <w:spacing w:val="-1"/>
          <w:sz w:val="24"/>
          <w:szCs w:val="24"/>
        </w:rPr>
        <w:br w:type="textWrapping"/>
      </w:r>
      <w:r>
        <w:rPr>
          <w:rFonts w:ascii="仿宋" w:hAnsi="仿宋" w:eastAsia="仿宋" w:cs="仿宋"/>
          <w:spacing w:val="-1"/>
          <w:sz w:val="24"/>
          <w:szCs w:val="24"/>
        </w:rPr>
        <w:t>6、其他未尽事宜，合同签订时商定。</w:t>
      </w:r>
    </w:p>
    <w:p w14:paraId="22C13BB5">
      <w:pPr>
        <w:spacing w:before="143" w:line="221" w:lineRule="auto"/>
        <w:ind w:left="221"/>
        <w:outlineLvl w:val="3"/>
        <w:rPr>
          <w:rFonts w:ascii="黑体" w:hAnsi="黑体" w:eastAsia="黑体" w:cs="黑体"/>
          <w:sz w:val="24"/>
          <w:szCs w:val="24"/>
        </w:rPr>
      </w:pPr>
      <w:r>
        <w:rPr>
          <w:rFonts w:ascii="黑体" w:hAnsi="黑体" w:eastAsia="黑体" w:cs="黑体"/>
          <w:spacing w:val="-4"/>
          <w:sz w:val="24"/>
          <w:szCs w:val="24"/>
        </w:rPr>
        <w:t>四、付款方式</w:t>
      </w:r>
    </w:p>
    <w:p w14:paraId="0B26BD4E">
      <w:pPr>
        <w:spacing w:line="339" w:lineRule="auto"/>
        <w:rPr>
          <w:rFonts w:ascii="Arial"/>
          <w:sz w:val="21"/>
        </w:rPr>
      </w:pPr>
    </w:p>
    <w:p w14:paraId="7EB9AD3A">
      <w:pPr>
        <w:spacing w:before="78" w:line="219" w:lineRule="auto"/>
        <w:ind w:left="482"/>
        <w:rPr>
          <w:rFonts w:ascii="仿宋" w:hAnsi="仿宋" w:eastAsia="仿宋" w:cs="仿宋"/>
          <w:sz w:val="24"/>
          <w:szCs w:val="24"/>
        </w:rPr>
      </w:pPr>
      <w:r>
        <w:rPr>
          <w:rFonts w:ascii="仿宋" w:hAnsi="仿宋" w:eastAsia="仿宋" w:cs="仿宋"/>
          <w:spacing w:val="-1"/>
          <w:sz w:val="24"/>
          <w:szCs w:val="24"/>
        </w:rPr>
        <w:t>付款方式：具体由采购人与成交供应商签订合同时，双方在合同中协商约定。</w:t>
      </w:r>
    </w:p>
    <w:p w14:paraId="5EFD4995">
      <w:pPr>
        <w:spacing w:before="303" w:line="222" w:lineRule="auto"/>
        <w:ind w:left="213"/>
        <w:outlineLvl w:val="3"/>
        <w:rPr>
          <w:rFonts w:ascii="黑体" w:hAnsi="黑体" w:eastAsia="黑体" w:cs="黑体"/>
          <w:sz w:val="24"/>
          <w:szCs w:val="24"/>
        </w:rPr>
      </w:pPr>
      <w:r>
        <w:rPr>
          <w:rFonts w:ascii="黑体" w:hAnsi="黑体" w:eastAsia="黑体" w:cs="黑体"/>
          <w:spacing w:val="-3"/>
          <w:sz w:val="24"/>
          <w:szCs w:val="24"/>
        </w:rPr>
        <w:t>五、履约保证金</w:t>
      </w:r>
    </w:p>
    <w:p w14:paraId="3AD74358">
      <w:pPr>
        <w:spacing w:line="339" w:lineRule="auto"/>
        <w:rPr>
          <w:rFonts w:ascii="Arial"/>
          <w:sz w:val="21"/>
        </w:rPr>
      </w:pPr>
    </w:p>
    <w:p w14:paraId="357D24B6">
      <w:pPr>
        <w:spacing w:before="78" w:line="221" w:lineRule="auto"/>
        <w:ind w:left="487"/>
        <w:rPr>
          <w:rFonts w:ascii="仿宋" w:hAnsi="仿宋" w:eastAsia="仿宋" w:cs="仿宋"/>
          <w:sz w:val="24"/>
          <w:szCs w:val="24"/>
        </w:rPr>
      </w:pPr>
      <w:r>
        <w:rPr>
          <w:rFonts w:ascii="仿宋" w:hAnsi="仿宋" w:eastAsia="仿宋" w:cs="仿宋"/>
          <w:spacing w:val="-2"/>
          <w:sz w:val="24"/>
          <w:szCs w:val="24"/>
        </w:rPr>
        <w:t>履约保证金:该项目不</w:t>
      </w:r>
      <w:r>
        <w:rPr>
          <w:rFonts w:hint="eastAsia" w:ascii="仿宋" w:hAnsi="仿宋" w:eastAsia="仿宋" w:cs="仿宋"/>
          <w:spacing w:val="-2"/>
          <w:sz w:val="24"/>
          <w:szCs w:val="24"/>
          <w:lang w:val="en-US" w:eastAsia="zh-CN"/>
        </w:rPr>
        <w:t>要求</w:t>
      </w:r>
      <w:r>
        <w:rPr>
          <w:rFonts w:ascii="仿宋" w:hAnsi="仿宋" w:eastAsia="仿宋" w:cs="仿宋"/>
          <w:spacing w:val="-2"/>
          <w:sz w:val="24"/>
          <w:szCs w:val="24"/>
        </w:rPr>
        <w:t>提交履约保证金。</w:t>
      </w:r>
    </w:p>
    <w:p w14:paraId="6B5EA680">
      <w:pPr>
        <w:spacing w:before="299" w:line="221" w:lineRule="auto"/>
        <w:ind w:left="214"/>
        <w:outlineLvl w:val="3"/>
        <w:rPr>
          <w:rFonts w:ascii="黑体" w:hAnsi="黑体" w:eastAsia="黑体" w:cs="黑体"/>
          <w:sz w:val="24"/>
          <w:szCs w:val="24"/>
        </w:rPr>
      </w:pPr>
      <w:r>
        <w:rPr>
          <w:rFonts w:ascii="黑体" w:hAnsi="黑体" w:eastAsia="黑体" w:cs="黑体"/>
          <w:spacing w:val="-3"/>
          <w:sz w:val="24"/>
          <w:szCs w:val="24"/>
        </w:rPr>
        <w:t>六、投标有效期</w:t>
      </w:r>
    </w:p>
    <w:p w14:paraId="5FC2D52F">
      <w:pPr>
        <w:spacing w:line="341" w:lineRule="auto"/>
        <w:rPr>
          <w:rFonts w:ascii="Arial"/>
          <w:sz w:val="21"/>
        </w:rPr>
      </w:pPr>
    </w:p>
    <w:p w14:paraId="566EA031">
      <w:pPr>
        <w:spacing w:before="78" w:line="222" w:lineRule="auto"/>
        <w:ind w:left="481"/>
        <w:rPr>
          <w:rFonts w:ascii="仿宋" w:hAnsi="仿宋" w:eastAsia="仿宋" w:cs="仿宋"/>
          <w:sz w:val="24"/>
          <w:szCs w:val="24"/>
        </w:rPr>
      </w:pPr>
      <w:r>
        <w:rPr>
          <w:rFonts w:ascii="仿宋" w:hAnsi="仿宋" w:eastAsia="仿宋" w:cs="仿宋"/>
          <w:spacing w:val="-6"/>
          <w:sz w:val="24"/>
          <w:szCs w:val="24"/>
        </w:rPr>
        <w:t>投标截止之日起90日历天。</w:t>
      </w:r>
    </w:p>
    <w:p w14:paraId="4E1C32E2">
      <w:pPr>
        <w:spacing w:before="297" w:line="222" w:lineRule="auto"/>
        <w:ind w:left="206"/>
        <w:outlineLvl w:val="3"/>
        <w:rPr>
          <w:rFonts w:ascii="黑体" w:hAnsi="黑体" w:eastAsia="黑体" w:cs="黑体"/>
          <w:sz w:val="24"/>
          <w:szCs w:val="24"/>
        </w:rPr>
      </w:pPr>
      <w:r>
        <w:rPr>
          <w:rFonts w:ascii="黑体" w:hAnsi="黑体" w:eastAsia="黑体" w:cs="黑体"/>
          <w:spacing w:val="-2"/>
          <w:sz w:val="24"/>
          <w:szCs w:val="24"/>
        </w:rPr>
        <w:t>七、其他要求</w:t>
      </w:r>
    </w:p>
    <w:p w14:paraId="04CA1E15">
      <w:pPr>
        <w:spacing w:before="145" w:line="360" w:lineRule="auto"/>
        <w:ind w:left="271"/>
        <w:outlineLvl w:val="3"/>
        <w:rPr>
          <w:rFonts w:ascii="仿宋" w:hAnsi="仿宋" w:eastAsia="仿宋" w:cs="仿宋"/>
          <w:spacing w:val="3"/>
          <w:sz w:val="24"/>
          <w:szCs w:val="24"/>
        </w:rPr>
      </w:pPr>
      <w:r>
        <w:rPr>
          <w:rFonts w:ascii="仿宋" w:hAnsi="仿宋" w:eastAsia="仿宋" w:cs="仿宋"/>
          <w:spacing w:val="3"/>
          <w:sz w:val="24"/>
          <w:szCs w:val="24"/>
        </w:rPr>
        <w:t>（一）除发生影响合同履行的不可抗力外，若不能按采购方要求提供服务，采购方有权要求终止合同，因终止合同而造成的损失由该供应商承担。由此给采购方造成的损失或增加的各项费用等均由违约的供应商承担。</w:t>
      </w:r>
    </w:p>
    <w:p w14:paraId="49184C96">
      <w:pPr>
        <w:spacing w:before="145" w:line="360" w:lineRule="auto"/>
        <w:ind w:left="271"/>
        <w:outlineLvl w:val="3"/>
        <w:rPr>
          <w:rFonts w:ascii="仿宋" w:hAnsi="仿宋" w:eastAsia="仿宋" w:cs="仿宋"/>
          <w:spacing w:val="3"/>
          <w:sz w:val="24"/>
          <w:szCs w:val="24"/>
        </w:rPr>
      </w:pPr>
      <w:r>
        <w:rPr>
          <w:rFonts w:ascii="仿宋" w:hAnsi="仿宋" w:eastAsia="仿宋" w:cs="仿宋"/>
          <w:spacing w:val="3"/>
          <w:sz w:val="24"/>
          <w:szCs w:val="24"/>
        </w:rPr>
        <w:t>（二）供应商应根据采购方实际工作运行过程中发生的情况，提供相应的服务保障。</w:t>
      </w:r>
    </w:p>
    <w:p w14:paraId="3B272106">
      <w:pPr>
        <w:spacing w:before="145" w:line="360" w:lineRule="auto"/>
        <w:ind w:left="271"/>
        <w:outlineLvl w:val="3"/>
        <w:rPr>
          <w:rFonts w:ascii="仿宋" w:hAnsi="仿宋" w:eastAsia="仿宋" w:cs="仿宋"/>
          <w:spacing w:val="3"/>
          <w:sz w:val="24"/>
          <w:szCs w:val="24"/>
        </w:rPr>
      </w:pPr>
      <w:r>
        <w:rPr>
          <w:rFonts w:ascii="仿宋" w:hAnsi="仿宋" w:eastAsia="仿宋" w:cs="仿宋"/>
          <w:spacing w:val="3"/>
          <w:sz w:val="24"/>
          <w:szCs w:val="24"/>
        </w:rPr>
        <w:t>（三）本项目不允许分包和转包，投标人须对此作出承诺。</w:t>
      </w:r>
    </w:p>
    <w:p w14:paraId="5EE78E59">
      <w:pPr>
        <w:spacing w:before="145" w:line="360" w:lineRule="auto"/>
        <w:ind w:left="271"/>
        <w:outlineLvl w:val="3"/>
        <w:rPr>
          <w:rFonts w:ascii="仿宋" w:hAnsi="仿宋" w:eastAsia="仿宋" w:cs="仿宋"/>
          <w:spacing w:val="3"/>
          <w:sz w:val="24"/>
          <w:szCs w:val="24"/>
        </w:rPr>
      </w:pPr>
      <w:r>
        <w:rPr>
          <w:rFonts w:ascii="仿宋" w:hAnsi="仿宋" w:eastAsia="仿宋" w:cs="仿宋"/>
          <w:spacing w:val="3"/>
          <w:sz w:val="24"/>
          <w:szCs w:val="24"/>
        </w:rPr>
        <w:t>（四）其它未尽事宜，由采购人与成交供应商在签订政府采购合同时商定。</w:t>
      </w:r>
    </w:p>
    <w:p w14:paraId="723814FD">
      <w:pPr>
        <w:spacing w:before="145" w:line="360" w:lineRule="auto"/>
        <w:ind w:left="271"/>
        <w:outlineLvl w:val="3"/>
        <w:rPr>
          <w:rFonts w:ascii="仿宋" w:hAnsi="仿宋" w:eastAsia="仿宋" w:cs="仿宋"/>
          <w:spacing w:val="3"/>
          <w:sz w:val="24"/>
          <w:szCs w:val="24"/>
        </w:rPr>
      </w:pPr>
      <w:r>
        <w:rPr>
          <w:rFonts w:ascii="仿宋" w:hAnsi="仿宋" w:eastAsia="仿宋" w:cs="仿宋"/>
          <w:spacing w:val="3"/>
          <w:sz w:val="24"/>
          <w:szCs w:val="24"/>
        </w:rPr>
        <w:t>（五）供应商须严格按照本项目要求进行报价，报价为项目包干价。</w:t>
      </w:r>
    </w:p>
    <w:p w14:paraId="610DF85A">
      <w:pPr>
        <w:spacing w:before="145" w:line="360" w:lineRule="auto"/>
        <w:ind w:left="271"/>
        <w:outlineLvl w:val="3"/>
        <w:rPr>
          <w:rFonts w:ascii="仿宋" w:hAnsi="仿宋" w:eastAsia="仿宋" w:cs="仿宋"/>
          <w:spacing w:val="3"/>
          <w:sz w:val="24"/>
          <w:szCs w:val="24"/>
        </w:rPr>
      </w:pPr>
      <w:r>
        <w:rPr>
          <w:rFonts w:ascii="仿宋" w:hAnsi="仿宋" w:eastAsia="仿宋" w:cs="仿宋"/>
          <w:spacing w:val="3"/>
          <w:sz w:val="24"/>
          <w:szCs w:val="24"/>
        </w:rPr>
        <w:t>注：1、投标人所提供的证明文件要求其真实有效，对于中标人提供的证明文件，用户有权要求提供原件备查，或通过其它方式进行查实，如证明投标人提供的证明材料有弄虚作假行为，将取消其成交资格，情节严重者将按政府采购相规定予以处理。</w:t>
      </w:r>
    </w:p>
    <w:p w14:paraId="4549A2AB">
      <w:pPr>
        <w:spacing w:before="145" w:line="360" w:lineRule="auto"/>
        <w:ind w:left="271"/>
        <w:outlineLvl w:val="3"/>
        <w:rPr>
          <w:rFonts w:ascii="仿宋" w:hAnsi="仿宋" w:eastAsia="仿宋" w:cs="仿宋"/>
          <w:spacing w:val="3"/>
          <w:sz w:val="24"/>
          <w:szCs w:val="24"/>
        </w:rPr>
      </w:pPr>
      <w:r>
        <w:rPr>
          <w:rFonts w:ascii="仿宋" w:hAnsi="仿宋" w:eastAsia="仿宋" w:cs="仿宋"/>
          <w:spacing w:val="3"/>
          <w:sz w:val="24"/>
          <w:szCs w:val="24"/>
        </w:rPr>
        <w:t>2、第一中标供应商在中标后不能按照本招标文件及其投标文件、包括供应商的澄清、修改等书面资料提供相关用服务的，采购方将有权取消其中标资格；造成严重后果的，将有权追究其法律责任。</w:t>
      </w:r>
    </w:p>
    <w:p w14:paraId="51ED0F28">
      <w:pPr>
        <w:rPr>
          <w:rFonts w:ascii="仿宋" w:hAnsi="仿宋" w:eastAsia="仿宋" w:cs="仿宋"/>
          <w:sz w:val="24"/>
          <w:szCs w:val="24"/>
        </w:rPr>
        <w:sectPr>
          <w:footerReference r:id="rId4" w:type="default"/>
          <w:pgSz w:w="11907" w:h="16840"/>
          <w:pgMar w:top="1440" w:right="1800" w:bottom="1440" w:left="1800" w:header="0" w:footer="720" w:gutter="0"/>
          <w:cols w:space="720" w:num="1"/>
        </w:sectPr>
      </w:pPr>
    </w:p>
    <w:p w14:paraId="75D3CD38">
      <w:pPr>
        <w:numPr>
          <w:ilvl w:val="0"/>
          <w:numId w:val="0"/>
        </w:numPr>
        <w:jc w:val="center"/>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四、评分办法：</w:t>
      </w:r>
    </w:p>
    <w:p w14:paraId="50B8B09D">
      <w:pPr>
        <w:spacing w:before="203" w:line="221" w:lineRule="auto"/>
        <w:ind w:left="3627"/>
        <w:outlineLvl w:val="2"/>
        <w:rPr>
          <w:rFonts w:ascii="黑体" w:hAnsi="黑体" w:eastAsia="黑体" w:cs="黑体"/>
          <w:sz w:val="24"/>
          <w:szCs w:val="24"/>
        </w:rPr>
      </w:pPr>
      <w:r>
        <w:rPr>
          <w:rFonts w:ascii="黑体" w:hAnsi="黑体" w:eastAsia="黑体" w:cs="黑体"/>
          <w:spacing w:val="-2"/>
          <w:sz w:val="24"/>
          <w:szCs w:val="24"/>
        </w:rPr>
        <w:t>第一节 评标办法</w:t>
      </w:r>
    </w:p>
    <w:p w14:paraId="68B0E784">
      <w:pPr>
        <w:spacing w:line="340" w:lineRule="auto"/>
        <w:rPr>
          <w:rFonts w:ascii="Arial"/>
          <w:sz w:val="21"/>
        </w:rPr>
      </w:pPr>
    </w:p>
    <w:p w14:paraId="17105077">
      <w:pPr>
        <w:spacing w:before="78" w:line="221" w:lineRule="auto"/>
        <w:ind w:left="480"/>
        <w:rPr>
          <w:rFonts w:ascii="仿宋" w:hAnsi="仿宋" w:eastAsia="仿宋" w:cs="仿宋"/>
          <w:sz w:val="24"/>
          <w:szCs w:val="24"/>
        </w:rPr>
      </w:pPr>
      <w:r>
        <w:rPr>
          <w:rFonts w:ascii="仿宋" w:hAnsi="仿宋" w:eastAsia="仿宋" w:cs="仿宋"/>
          <w:spacing w:val="-2"/>
          <w:sz w:val="24"/>
          <w:szCs w:val="24"/>
        </w:rPr>
        <w:t>本项目采用</w:t>
      </w:r>
      <w:r>
        <w:rPr>
          <w:rFonts w:ascii="仿宋" w:hAnsi="仿宋" w:eastAsia="仿宋" w:cs="仿宋"/>
          <w:spacing w:val="-2"/>
          <w:sz w:val="24"/>
          <w:szCs w:val="24"/>
          <w:u w:val="single" w:color="auto"/>
        </w:rPr>
        <w:t xml:space="preserve">  综合评分法  </w:t>
      </w:r>
      <w:r>
        <w:rPr>
          <w:rFonts w:ascii="仿宋" w:hAnsi="仿宋" w:eastAsia="仿宋" w:cs="仿宋"/>
          <w:spacing w:val="-100"/>
          <w:sz w:val="24"/>
          <w:szCs w:val="24"/>
        </w:rPr>
        <w:t xml:space="preserve"> </w:t>
      </w:r>
      <w:r>
        <w:rPr>
          <w:rFonts w:ascii="仿宋" w:hAnsi="仿宋" w:eastAsia="仿宋" w:cs="仿宋"/>
          <w:spacing w:val="-2"/>
          <w:sz w:val="24"/>
          <w:szCs w:val="24"/>
        </w:rPr>
        <w:t>进行评审。</w:t>
      </w:r>
    </w:p>
    <w:p w14:paraId="0C3FFE60">
      <w:pPr>
        <w:rPr>
          <w:rFonts w:ascii="仿宋" w:hAnsi="仿宋" w:eastAsia="仿宋" w:cs="仿宋"/>
          <w:spacing w:val="-2"/>
          <w:sz w:val="24"/>
          <w:szCs w:val="24"/>
        </w:rPr>
      </w:pPr>
      <w:bookmarkStart w:id="1" w:name="bookmark13"/>
      <w:bookmarkEnd w:id="1"/>
    </w:p>
    <w:p w14:paraId="7E66F921">
      <w:pPr>
        <w:rPr>
          <w:rFonts w:hint="eastAsia" w:ascii="仿宋" w:hAnsi="仿宋" w:eastAsia="仿宋" w:cs="仿宋"/>
          <w:spacing w:val="-2"/>
          <w:sz w:val="24"/>
          <w:szCs w:val="24"/>
        </w:rPr>
      </w:pPr>
    </w:p>
    <w:p w14:paraId="09C2A1BA">
      <w:pPr>
        <w:pStyle w:val="3"/>
        <w:keepNext w:val="0"/>
        <w:keepLines w:val="0"/>
        <w:pageBreakBefore w:val="0"/>
        <w:numPr>
          <w:ilvl w:val="0"/>
          <w:numId w:val="0"/>
        </w:numPr>
        <w:tabs>
          <w:tab w:val="clear" w:pos="851"/>
        </w:tabs>
        <w:kinsoku/>
        <w:wordWrap/>
        <w:overflowPunct/>
        <w:topLinePunct w:val="0"/>
        <w:bidi w:val="0"/>
        <w:spacing w:line="460" w:lineRule="exact"/>
        <w:ind w:firstLine="562" w:firstLineChars="200"/>
        <w:textAlignment w:val="auto"/>
        <w:rPr>
          <w:rFonts w:hint="eastAsia" w:ascii="仿宋" w:hAnsi="仿宋" w:eastAsia="仿宋" w:cs="仿宋"/>
          <w:color w:val="444444"/>
          <w:kern w:val="0"/>
          <w:sz w:val="28"/>
          <w:szCs w:val="28"/>
          <w:lang w:val="en-US" w:eastAsia="zh-CN"/>
        </w:rPr>
      </w:pPr>
      <w:r>
        <w:rPr>
          <w:rFonts w:hint="eastAsia" w:ascii="仿宋" w:hAnsi="仿宋" w:eastAsia="仿宋" w:cs="仿宋"/>
          <w:b/>
          <w:bCs/>
          <w:color w:val="auto"/>
          <w:sz w:val="28"/>
          <w:szCs w:val="28"/>
          <w:highlight w:val="none"/>
        </w:rPr>
        <w:t>特别说明：本公示内容仅为采购人对本采购项目的需求公示，具体内容以</w:t>
      </w:r>
      <w:r>
        <w:rPr>
          <w:rFonts w:hint="eastAsia" w:ascii="仿宋" w:hAnsi="仿宋" w:eastAsia="仿宋" w:cs="仿宋"/>
          <w:b/>
          <w:bCs/>
          <w:color w:val="auto"/>
          <w:sz w:val="28"/>
          <w:szCs w:val="28"/>
          <w:highlight w:val="none"/>
          <w:lang w:val="en-US" w:eastAsia="zh-CN"/>
        </w:rPr>
        <w:t>最终发布的采购文件内容</w:t>
      </w:r>
      <w:r>
        <w:rPr>
          <w:rFonts w:hint="eastAsia" w:ascii="仿宋" w:hAnsi="仿宋" w:eastAsia="仿宋" w:cs="仿宋"/>
          <w:b/>
          <w:bCs/>
          <w:color w:val="auto"/>
          <w:sz w:val="28"/>
          <w:szCs w:val="28"/>
          <w:highlight w:val="none"/>
        </w:rPr>
        <w:t>为准。</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moder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D442D">
    <w:pPr>
      <w:spacing w:line="169" w:lineRule="auto"/>
      <w:ind w:left="4129"/>
      <w:rPr>
        <w:rFonts w:ascii="Calibri" w:hAnsi="Calibri" w:eastAsia="Calibri" w:cs="Calibri"/>
        <w:sz w:val="18"/>
        <w:szCs w:val="18"/>
      </w:rPr>
    </w:pPr>
    <w:r>
      <w:rPr>
        <w:rFonts w:ascii="Calibri" w:hAnsi="Calibri" w:eastAsia="Calibri" w:cs="Calibri"/>
        <w:sz w:val="18"/>
        <w:szCs w:val="18"/>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B141B">
    <w:pPr>
      <w:spacing w:line="169" w:lineRule="auto"/>
      <w:ind w:left="4655"/>
      <w:rPr>
        <w:rFonts w:ascii="Calibri" w:hAnsi="Calibri" w:eastAsia="Calibri" w:cs="Calibri"/>
        <w:sz w:val="18"/>
        <w:szCs w:val="18"/>
      </w:rPr>
    </w:pPr>
    <w:r>
      <w:rPr>
        <w:rFonts w:ascii="Calibri" w:hAnsi="Calibri" w:eastAsia="Calibri" w:cs="Calibri"/>
        <w:spacing w:val="-8"/>
        <w:sz w:val="18"/>
        <w:szCs w:val="18"/>
      </w:rPr>
      <w:t>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2ECE9">
    <w:pPr>
      <w:spacing w:line="169" w:lineRule="auto"/>
      <w:ind w:left="4129"/>
      <w:rPr>
        <w:rFonts w:ascii="Calibri" w:hAnsi="Calibri" w:eastAsia="Calibri" w:cs="Calibri"/>
        <w:sz w:val="18"/>
        <w:szCs w:val="18"/>
      </w:rPr>
    </w:pPr>
    <w:r>
      <w:rPr>
        <w:rFonts w:ascii="Calibri" w:hAnsi="Calibri" w:eastAsia="Calibri" w:cs="Calibri"/>
        <w:sz w:val="18"/>
        <w:szCs w:val="18"/>
      </w:rPr>
      <w:t>8</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ZGYxOGFkNzc4YzBlZTEwZWZjMjkxMzVjZTk3YzYifQ=="/>
  </w:docVars>
  <w:rsids>
    <w:rsidRoot w:val="3052257E"/>
    <w:rsid w:val="0B885CAE"/>
    <w:rsid w:val="23462DAC"/>
    <w:rsid w:val="3052257E"/>
    <w:rsid w:val="44C156BA"/>
    <w:rsid w:val="481C75BF"/>
    <w:rsid w:val="65AE37E0"/>
    <w:rsid w:val="7AF12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360" w:lineRule="auto"/>
      <w:jc w:val="left"/>
      <w:outlineLvl w:val="0"/>
    </w:pPr>
    <w:rPr>
      <w:rFonts w:eastAsia="华文仿宋"/>
      <w:b/>
      <w:bCs/>
      <w:kern w:val="44"/>
      <w:sz w:val="32"/>
      <w:szCs w:val="44"/>
    </w:rPr>
  </w:style>
  <w:style w:type="paragraph" w:styleId="3">
    <w:name w:val="heading 3"/>
    <w:basedOn w:val="4"/>
    <w:next w:val="1"/>
    <w:qFormat/>
    <w:uiPriority w:val="0"/>
    <w:pPr>
      <w:widowControl w:val="0"/>
      <w:tabs>
        <w:tab w:val="left" w:pos="851"/>
      </w:tabs>
      <w:autoSpaceDE w:val="0"/>
      <w:autoSpaceDN w:val="0"/>
      <w:adjustRightInd w:val="0"/>
      <w:snapToGrid w:val="0"/>
      <w:spacing w:line="360" w:lineRule="auto"/>
      <w:jc w:val="both"/>
      <w:outlineLvl w:val="2"/>
    </w:pPr>
    <w:rPr>
      <w:rFonts w:ascii="宋体" w:cs="宋体"/>
    </w:rPr>
  </w:style>
  <w:style w:type="paragraph" w:styleId="4">
    <w:name w:val="heading 4"/>
    <w:basedOn w:val="1"/>
    <w:next w:val="1"/>
    <w:qFormat/>
    <w:uiPriority w:val="0"/>
    <w:pPr>
      <w:widowControl w:val="0"/>
      <w:autoSpaceDE w:val="0"/>
      <w:autoSpaceDN w:val="0"/>
      <w:adjustRightInd w:val="0"/>
      <w:snapToGrid w:val="0"/>
      <w:spacing w:line="360" w:lineRule="auto"/>
      <w:jc w:val="both"/>
      <w:outlineLvl w:val="3"/>
    </w:pPr>
    <w:rPr>
      <w:rFonts w:ascii="宋体" w:hAnsi="Arial" w:cs="宋体"/>
      <w:color w:val="00000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next w:val="1"/>
    <w:unhideWhenUsed/>
    <w:qFormat/>
    <w:uiPriority w:val="99"/>
    <w:pPr>
      <w:spacing w:after="120"/>
    </w:pPr>
  </w:style>
  <w:style w:type="paragraph" w:styleId="6">
    <w:name w:val="Plain Text"/>
    <w:basedOn w:val="1"/>
    <w:qFormat/>
    <w:uiPriority w:val="0"/>
    <w:rPr>
      <w:rFonts w:ascii="宋体" w:hAnsi="Courier New"/>
      <w:kern w:val="0"/>
      <w:szCs w:val="21"/>
    </w:rPr>
  </w:style>
  <w:style w:type="paragraph" w:styleId="7">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报告正文1"/>
    <w:basedOn w:val="1"/>
    <w:qFormat/>
    <w:uiPriority w:val="0"/>
    <w:pPr>
      <w:spacing w:line="400" w:lineRule="exact"/>
      <w:ind w:firstLine="200" w:firstLineChars="200"/>
    </w:pPr>
    <w:rPr>
      <w:rFonts w:ascii="宋体" w:hAnsi="宋体"/>
      <w:bCs/>
    </w:rPr>
  </w:style>
  <w:style w:type="paragraph" w:customStyle="1" w:styleId="12">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character" w:customStyle="1" w:styleId="13">
    <w:name w:val="p141"/>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8885</Words>
  <Characters>9123</Characters>
  <Lines>0</Lines>
  <Paragraphs>0</Paragraphs>
  <TotalTime>3</TotalTime>
  <ScaleCrop>false</ScaleCrop>
  <LinksUpToDate>false</LinksUpToDate>
  <CharactersWithSpaces>9183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2022-12-02T02:51:00Z</dcterms:created>
  <dc:creator>001</dc:creator>
  <cp:lastModifiedBy>001</cp:lastModifiedBy>
  <dcterms:modified xsi:type="dcterms:W3CDTF">2025-07-10T03:47:59Z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2A6C231A1218450B869C7E7C55F77093_13</vt:lpwstr>
  </property>
  <property fmtid="{D5CDD505-2E9C-101B-9397-08002B2CF9AE}" pid="4" name="KSOTemplateDocerSaveRecord">
    <vt:lpwstr>eyJoZGlkIjoiNGY1MGZkYWE3MTVjNTUyZjE4ODk2Y2YyYjQ4NTk4MjAiLCJ1c2VySWQiOiIzOTYxOTA1MTQifQ==</vt:lpwstr>
  </property>
</Properties>
</file>