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C5A34">
      <w:pPr>
        <w:pStyle w:val="6"/>
        <w:keepNext w:val="0"/>
        <w:keepLines w:val="0"/>
        <w:widowControl/>
        <w:suppressLineNumbers w:val="0"/>
        <w:wordWrap w:val="0"/>
        <w:spacing w:before="0" w:beforeAutospacing="0" w:after="0" w:afterAutospacing="0" w:line="368" w:lineRule="atLeast"/>
        <w:ind w:left="0" w:right="0"/>
      </w:pPr>
      <w:r>
        <w:rPr>
          <w:rStyle w:val="9"/>
          <w:sz w:val="27"/>
          <w:szCs w:val="27"/>
        </w:rPr>
        <w:t>一、项目基本信息</w:t>
      </w:r>
    </w:p>
    <w:p w14:paraId="2C2BC25C">
      <w:pPr>
        <w:pStyle w:val="6"/>
        <w:keepNext w:val="0"/>
        <w:keepLines w:val="0"/>
        <w:widowControl/>
        <w:suppressLineNumbers w:val="0"/>
        <w:wordWrap w:val="0"/>
        <w:spacing w:before="0" w:beforeAutospacing="0" w:after="0" w:afterAutospacing="0" w:line="368" w:lineRule="atLeast"/>
        <w:ind w:left="0" w:right="0" w:firstLine="420"/>
      </w:pPr>
      <w:r>
        <w:rPr>
          <w:sz w:val="27"/>
          <w:szCs w:val="27"/>
        </w:rPr>
        <w:t>项目名称：</w:t>
      </w:r>
      <w:r>
        <w:rPr>
          <w:rFonts w:hint="eastAsia"/>
          <w:sz w:val="27"/>
          <w:szCs w:val="27"/>
          <w:lang w:eastAsia="zh-CN"/>
        </w:rPr>
        <w:t>剑河县11个乡镇的控制性详细规划</w:t>
      </w:r>
    </w:p>
    <w:p w14:paraId="74888192">
      <w:pPr>
        <w:pStyle w:val="6"/>
        <w:keepNext w:val="0"/>
        <w:keepLines w:val="0"/>
        <w:widowControl/>
        <w:suppressLineNumbers w:val="0"/>
        <w:wordWrap w:val="0"/>
        <w:spacing w:before="0" w:beforeAutospacing="0" w:after="0" w:afterAutospacing="0" w:line="368" w:lineRule="atLeast"/>
        <w:ind w:left="0" w:right="0" w:firstLine="420"/>
        <w:rPr>
          <w:rStyle w:val="14"/>
          <w:rFonts w:hint="default" w:eastAsia="宋体" w:cs="Times New Roman"/>
          <w:sz w:val="27"/>
          <w:szCs w:val="27"/>
          <w:lang w:val="en-US" w:eastAsia="zh-CN"/>
        </w:rPr>
      </w:pPr>
      <w:r>
        <w:rPr>
          <w:sz w:val="27"/>
          <w:szCs w:val="27"/>
        </w:rPr>
        <w:t>项目编号：</w:t>
      </w:r>
      <w:r>
        <w:rPr>
          <w:rStyle w:val="14"/>
          <w:rFonts w:hint="eastAsia" w:eastAsia="宋体" w:cs="Times New Roman"/>
          <w:sz w:val="27"/>
          <w:szCs w:val="27"/>
          <w:lang w:val="en-US" w:eastAsia="zh-CN"/>
        </w:rPr>
        <w:t>LS-ZB2025082</w:t>
      </w:r>
    </w:p>
    <w:p w14:paraId="3CBD4D42">
      <w:pPr>
        <w:pStyle w:val="6"/>
        <w:keepNext w:val="0"/>
        <w:keepLines w:val="0"/>
        <w:widowControl/>
        <w:suppressLineNumbers w:val="0"/>
        <w:wordWrap w:val="0"/>
        <w:spacing w:before="0" w:beforeAutospacing="0" w:after="0" w:afterAutospacing="0" w:line="368" w:lineRule="atLeast"/>
        <w:ind w:left="0" w:right="0" w:firstLine="420"/>
      </w:pPr>
      <w:r>
        <w:rPr>
          <w:sz w:val="27"/>
          <w:szCs w:val="27"/>
        </w:rPr>
        <w:t>采购预算：</w:t>
      </w:r>
      <w:r>
        <w:rPr>
          <w:rStyle w:val="14"/>
          <w:rFonts w:hint="eastAsia" w:eastAsia="宋体" w:cs="Times New Roman"/>
          <w:sz w:val="27"/>
          <w:szCs w:val="27"/>
          <w:lang w:val="en-US" w:eastAsia="zh-CN"/>
        </w:rPr>
        <w:t>1000000.0</w:t>
      </w:r>
      <w:r>
        <w:rPr>
          <w:rStyle w:val="14"/>
          <w:rFonts w:hint="eastAsia"/>
          <w:sz w:val="27"/>
          <w:szCs w:val="27"/>
          <w:lang w:val="en-US" w:eastAsia="zh-CN"/>
        </w:rPr>
        <w:t>0</w:t>
      </w:r>
      <w:r>
        <w:rPr>
          <w:sz w:val="27"/>
          <w:szCs w:val="27"/>
        </w:rPr>
        <w:t>元</w:t>
      </w:r>
    </w:p>
    <w:p w14:paraId="2DF3DD29">
      <w:pPr>
        <w:pStyle w:val="6"/>
        <w:keepNext w:val="0"/>
        <w:keepLines w:val="0"/>
        <w:widowControl/>
        <w:suppressLineNumbers w:val="0"/>
        <w:wordWrap w:val="0"/>
        <w:spacing w:before="0" w:beforeAutospacing="0" w:after="0" w:afterAutospacing="0" w:line="368" w:lineRule="atLeast"/>
        <w:ind w:left="0" w:right="0" w:firstLine="420"/>
        <w:rPr>
          <w:rStyle w:val="14"/>
          <w:rFonts w:hint="eastAsia" w:eastAsia="宋体" w:cs="Times New Roman"/>
          <w:sz w:val="27"/>
          <w:szCs w:val="27"/>
          <w:lang w:val="en-US" w:eastAsia="zh-CN"/>
        </w:rPr>
      </w:pPr>
      <w:r>
        <w:rPr>
          <w:sz w:val="27"/>
          <w:szCs w:val="27"/>
        </w:rPr>
        <w:t>最高限价：</w:t>
      </w:r>
      <w:r>
        <w:rPr>
          <w:rStyle w:val="14"/>
          <w:rFonts w:hint="eastAsia" w:eastAsia="宋体" w:cs="Times New Roman"/>
          <w:sz w:val="27"/>
          <w:szCs w:val="27"/>
          <w:lang w:val="en-US" w:eastAsia="zh-CN"/>
        </w:rPr>
        <w:t>1000000.00元</w:t>
      </w:r>
    </w:p>
    <w:p w14:paraId="75FAD1C7">
      <w:pPr>
        <w:pStyle w:val="6"/>
        <w:keepNext w:val="0"/>
        <w:keepLines w:val="0"/>
        <w:widowControl/>
        <w:suppressLineNumbers w:val="0"/>
        <w:wordWrap w:val="0"/>
        <w:spacing w:before="0" w:beforeAutospacing="0" w:after="0" w:afterAutospacing="0" w:line="368" w:lineRule="atLeast"/>
        <w:ind w:left="0" w:right="0"/>
      </w:pPr>
      <w:r>
        <w:rPr>
          <w:rStyle w:val="9"/>
          <w:sz w:val="27"/>
          <w:szCs w:val="27"/>
        </w:rPr>
        <w:t>二、公示期限（不少于2个工作日）</w:t>
      </w:r>
    </w:p>
    <w:p w14:paraId="73795198">
      <w:pPr>
        <w:pStyle w:val="6"/>
        <w:keepNext w:val="0"/>
        <w:keepLines w:val="0"/>
        <w:widowControl/>
        <w:suppressLineNumbers w:val="0"/>
        <w:wordWrap w:val="0"/>
        <w:spacing w:before="0" w:beforeAutospacing="0" w:after="0" w:afterAutospacing="0" w:line="368" w:lineRule="atLeast"/>
        <w:ind w:left="0" w:right="0" w:firstLine="420"/>
      </w:pPr>
      <w:bookmarkStart w:id="9" w:name="_GoBack"/>
      <w:r>
        <w:rPr>
          <w:sz w:val="27"/>
          <w:szCs w:val="27"/>
        </w:rPr>
        <w:t>时间</w:t>
      </w:r>
      <w:r>
        <w:rPr>
          <w:color w:val="000000" w:themeColor="text1"/>
          <w:sz w:val="27"/>
          <w:szCs w:val="27"/>
          <w14:textFill>
            <w14:solidFill>
              <w14:schemeClr w14:val="tx1"/>
            </w14:solidFill>
          </w14:textFill>
        </w:rPr>
        <w:t>：</w:t>
      </w:r>
      <w:r>
        <w:rPr>
          <w:rStyle w:val="14"/>
          <w:color w:val="000000" w:themeColor="text1"/>
          <w:sz w:val="27"/>
          <w:szCs w:val="27"/>
          <w14:textFill>
            <w14:solidFill>
              <w14:schemeClr w14:val="tx1"/>
            </w14:solidFill>
          </w14:textFill>
        </w:rPr>
        <w:t>202</w:t>
      </w:r>
      <w:r>
        <w:rPr>
          <w:rStyle w:val="14"/>
          <w:rFonts w:hint="eastAsia"/>
          <w:color w:val="000000" w:themeColor="text1"/>
          <w:sz w:val="27"/>
          <w:szCs w:val="27"/>
          <w:lang w:val="en-US" w:eastAsia="zh-CN"/>
          <w14:textFill>
            <w14:solidFill>
              <w14:schemeClr w14:val="tx1"/>
            </w14:solidFill>
          </w14:textFill>
        </w:rPr>
        <w:t>5</w:t>
      </w:r>
      <w:r>
        <w:rPr>
          <w:rStyle w:val="14"/>
          <w:color w:val="000000" w:themeColor="text1"/>
          <w:sz w:val="27"/>
          <w:szCs w:val="27"/>
          <w14:textFill>
            <w14:solidFill>
              <w14:schemeClr w14:val="tx1"/>
            </w14:solidFill>
          </w14:textFill>
        </w:rPr>
        <w:t>年</w:t>
      </w:r>
      <w:r>
        <w:rPr>
          <w:rStyle w:val="14"/>
          <w:rFonts w:hint="eastAsia"/>
          <w:color w:val="000000" w:themeColor="text1"/>
          <w:sz w:val="27"/>
          <w:szCs w:val="27"/>
          <w:lang w:val="en-US" w:eastAsia="zh-CN"/>
          <w14:textFill>
            <w14:solidFill>
              <w14:schemeClr w14:val="tx1"/>
            </w14:solidFill>
          </w14:textFill>
        </w:rPr>
        <w:t>07</w:t>
      </w:r>
      <w:r>
        <w:rPr>
          <w:rStyle w:val="14"/>
          <w:color w:val="000000" w:themeColor="text1"/>
          <w:sz w:val="27"/>
          <w:szCs w:val="27"/>
          <w14:textFill>
            <w14:solidFill>
              <w14:schemeClr w14:val="tx1"/>
            </w14:solidFill>
          </w14:textFill>
        </w:rPr>
        <w:t>月</w:t>
      </w:r>
      <w:r>
        <w:rPr>
          <w:rStyle w:val="14"/>
          <w:rFonts w:hint="eastAsia"/>
          <w:color w:val="000000" w:themeColor="text1"/>
          <w:sz w:val="27"/>
          <w:szCs w:val="27"/>
          <w:lang w:val="en-US" w:eastAsia="zh-CN"/>
          <w14:textFill>
            <w14:solidFill>
              <w14:schemeClr w14:val="tx1"/>
            </w14:solidFill>
          </w14:textFill>
        </w:rPr>
        <w:t>10</w:t>
      </w:r>
      <w:r>
        <w:rPr>
          <w:rStyle w:val="14"/>
          <w:color w:val="000000" w:themeColor="text1"/>
          <w:sz w:val="27"/>
          <w:szCs w:val="27"/>
          <w14:textFill>
            <w14:solidFill>
              <w14:schemeClr w14:val="tx1"/>
            </w14:solidFill>
          </w14:textFill>
        </w:rPr>
        <w:t>日</w:t>
      </w:r>
      <w:bookmarkEnd w:id="9"/>
      <w:r>
        <w:rPr>
          <w:color w:val="000000" w:themeColor="text1"/>
          <w:sz w:val="27"/>
          <w:szCs w:val="27"/>
          <w14:textFill>
            <w14:solidFill>
              <w14:schemeClr w14:val="tx1"/>
            </w14:solidFill>
          </w14:textFill>
        </w:rPr>
        <w:t>至 </w:t>
      </w:r>
      <w:r>
        <w:rPr>
          <w:rStyle w:val="14"/>
          <w:color w:val="000000" w:themeColor="text1"/>
          <w:sz w:val="27"/>
          <w:szCs w:val="27"/>
          <w14:textFill>
            <w14:solidFill>
              <w14:schemeClr w14:val="tx1"/>
            </w14:solidFill>
          </w14:textFill>
        </w:rPr>
        <w:t>202</w:t>
      </w:r>
      <w:r>
        <w:rPr>
          <w:rStyle w:val="14"/>
          <w:rFonts w:hint="eastAsia"/>
          <w:color w:val="000000" w:themeColor="text1"/>
          <w:sz w:val="27"/>
          <w:szCs w:val="27"/>
          <w:lang w:val="en-US" w:eastAsia="zh-CN"/>
          <w14:textFill>
            <w14:solidFill>
              <w14:schemeClr w14:val="tx1"/>
            </w14:solidFill>
          </w14:textFill>
        </w:rPr>
        <w:t>5</w:t>
      </w:r>
      <w:r>
        <w:rPr>
          <w:rStyle w:val="14"/>
          <w:color w:val="000000" w:themeColor="text1"/>
          <w:sz w:val="27"/>
          <w:szCs w:val="27"/>
          <w14:textFill>
            <w14:solidFill>
              <w14:schemeClr w14:val="tx1"/>
            </w14:solidFill>
          </w14:textFill>
        </w:rPr>
        <w:t>年</w:t>
      </w:r>
      <w:r>
        <w:rPr>
          <w:rStyle w:val="14"/>
          <w:rFonts w:hint="eastAsia"/>
          <w:color w:val="000000" w:themeColor="text1"/>
          <w:sz w:val="27"/>
          <w:szCs w:val="27"/>
          <w:lang w:val="en-US" w:eastAsia="zh-CN"/>
          <w14:textFill>
            <w14:solidFill>
              <w14:schemeClr w14:val="tx1"/>
            </w14:solidFill>
          </w14:textFill>
        </w:rPr>
        <w:t>07</w:t>
      </w:r>
      <w:r>
        <w:rPr>
          <w:rStyle w:val="14"/>
          <w:color w:val="000000" w:themeColor="text1"/>
          <w:sz w:val="27"/>
          <w:szCs w:val="27"/>
          <w14:textFill>
            <w14:solidFill>
              <w14:schemeClr w14:val="tx1"/>
            </w14:solidFill>
          </w14:textFill>
        </w:rPr>
        <w:t>月</w:t>
      </w:r>
      <w:r>
        <w:rPr>
          <w:rStyle w:val="14"/>
          <w:rFonts w:hint="eastAsia"/>
          <w:color w:val="000000" w:themeColor="text1"/>
          <w:sz w:val="27"/>
          <w:szCs w:val="27"/>
          <w:lang w:val="en-US" w:eastAsia="zh-CN"/>
          <w14:textFill>
            <w14:solidFill>
              <w14:schemeClr w14:val="tx1"/>
            </w14:solidFill>
          </w14:textFill>
        </w:rPr>
        <w:t>14</w:t>
      </w:r>
      <w:r>
        <w:rPr>
          <w:rStyle w:val="14"/>
          <w:color w:val="000000" w:themeColor="text1"/>
          <w:sz w:val="27"/>
          <w:szCs w:val="27"/>
          <w14:textFill>
            <w14:solidFill>
              <w14:schemeClr w14:val="tx1"/>
            </w14:solidFill>
          </w14:textFill>
        </w:rPr>
        <w:t>日</w:t>
      </w:r>
      <w:r>
        <w:rPr>
          <w:color w:val="000000" w:themeColor="text1"/>
          <w:sz w:val="27"/>
          <w:szCs w:val="27"/>
          <w14:textFill>
            <w14:solidFill>
              <w14:schemeClr w14:val="tx1"/>
            </w14:solidFill>
          </w14:textFill>
        </w:rPr>
        <w:t> </w:t>
      </w:r>
    </w:p>
    <w:p w14:paraId="15F2FAFE">
      <w:pPr>
        <w:pStyle w:val="6"/>
        <w:keepNext w:val="0"/>
        <w:keepLines w:val="0"/>
        <w:widowControl/>
        <w:suppressLineNumbers w:val="0"/>
        <w:wordWrap w:val="0"/>
        <w:spacing w:before="0" w:beforeAutospacing="0" w:after="0" w:afterAutospacing="0" w:line="368" w:lineRule="atLeast"/>
        <w:ind w:left="0" w:right="0"/>
      </w:pPr>
      <w:r>
        <w:rPr>
          <w:rStyle w:val="9"/>
          <w:sz w:val="27"/>
          <w:szCs w:val="27"/>
        </w:rPr>
        <w:t>三、其他补充事宜</w:t>
      </w:r>
    </w:p>
    <w:p w14:paraId="761D413E">
      <w:pPr>
        <w:pStyle w:val="6"/>
        <w:keepNext w:val="0"/>
        <w:keepLines w:val="0"/>
        <w:widowControl/>
        <w:suppressLineNumbers w:val="0"/>
        <w:wordWrap w:val="0"/>
        <w:spacing w:before="0" w:beforeAutospacing="0" w:after="0" w:afterAutospacing="0" w:line="368" w:lineRule="atLeast"/>
        <w:ind w:left="0" w:right="0" w:firstLine="420"/>
      </w:pPr>
      <w:r>
        <w:rPr>
          <w:sz w:val="27"/>
          <w:szCs w:val="27"/>
        </w:rPr>
        <w:t>采购预算确定依据：</w:t>
      </w:r>
      <w:r>
        <w:rPr>
          <w:rStyle w:val="14"/>
          <w:rFonts w:hint="eastAsia"/>
          <w:sz w:val="27"/>
          <w:szCs w:val="27"/>
          <w:lang w:eastAsia="zh-CN"/>
        </w:rPr>
        <w:t>采购</w:t>
      </w:r>
      <w:r>
        <w:rPr>
          <w:rStyle w:val="14"/>
          <w:sz w:val="27"/>
          <w:szCs w:val="27"/>
        </w:rPr>
        <w:t>清单</w:t>
      </w:r>
    </w:p>
    <w:p w14:paraId="75734CC1">
      <w:pPr>
        <w:pStyle w:val="6"/>
        <w:keepNext w:val="0"/>
        <w:keepLines w:val="0"/>
        <w:widowControl/>
        <w:suppressLineNumbers w:val="0"/>
        <w:wordWrap w:val="0"/>
        <w:spacing w:before="0" w:beforeAutospacing="0" w:after="0" w:afterAutospacing="0" w:line="368" w:lineRule="atLeast"/>
        <w:ind w:left="0" w:right="0"/>
      </w:pPr>
      <w:r>
        <w:rPr>
          <w:rStyle w:val="9"/>
          <w:sz w:val="27"/>
          <w:szCs w:val="27"/>
        </w:rPr>
        <w:t>四、项目联系人（公示期限内，优先反馈给代理机构）</w:t>
      </w:r>
    </w:p>
    <w:p w14:paraId="6FCCDFA8">
      <w:pPr>
        <w:pStyle w:val="6"/>
        <w:keepNext w:val="0"/>
        <w:keepLines w:val="0"/>
        <w:widowControl/>
        <w:suppressLineNumbers w:val="0"/>
        <w:wordWrap w:val="0"/>
        <w:spacing w:before="0" w:beforeAutospacing="0" w:after="0" w:afterAutospacing="0" w:line="368" w:lineRule="atLeast"/>
        <w:ind w:left="0" w:right="0" w:firstLine="420"/>
      </w:pPr>
      <w:r>
        <w:rPr>
          <w:sz w:val="27"/>
          <w:szCs w:val="27"/>
        </w:rPr>
        <w:t>1、采购人信息</w:t>
      </w:r>
    </w:p>
    <w:p w14:paraId="1B480DAF">
      <w:pPr>
        <w:pStyle w:val="6"/>
        <w:keepNext w:val="0"/>
        <w:keepLines w:val="0"/>
        <w:widowControl/>
        <w:suppressLineNumbers w:val="0"/>
        <w:wordWrap w:val="0"/>
        <w:spacing w:before="0" w:beforeAutospacing="0" w:after="0" w:afterAutospacing="0" w:line="368" w:lineRule="atLeast"/>
        <w:ind w:left="0" w:right="0" w:firstLine="420"/>
      </w:pPr>
      <w:r>
        <w:rPr>
          <w:sz w:val="27"/>
          <w:szCs w:val="27"/>
        </w:rPr>
        <w:t>采购单位名称：</w:t>
      </w:r>
      <w:r>
        <w:rPr>
          <w:rFonts w:hint="eastAsia"/>
          <w:sz w:val="27"/>
          <w:szCs w:val="27"/>
          <w:lang w:eastAsia="zh-CN"/>
        </w:rPr>
        <w:t>剑河县自然资源局</w:t>
      </w:r>
    </w:p>
    <w:p w14:paraId="7601B088">
      <w:pPr>
        <w:pStyle w:val="6"/>
        <w:keepNext w:val="0"/>
        <w:keepLines w:val="0"/>
        <w:widowControl/>
        <w:suppressLineNumbers w:val="0"/>
        <w:wordWrap w:val="0"/>
        <w:spacing w:before="0" w:beforeAutospacing="0" w:after="0" w:afterAutospacing="0" w:line="368" w:lineRule="atLeast"/>
        <w:ind w:left="0" w:right="0" w:firstLine="420"/>
      </w:pPr>
      <w:r>
        <w:rPr>
          <w:sz w:val="27"/>
          <w:szCs w:val="27"/>
        </w:rPr>
        <w:t>项目联系人：</w:t>
      </w:r>
      <w:r>
        <w:rPr>
          <w:rFonts w:hint="eastAsia"/>
          <w:sz w:val="27"/>
          <w:szCs w:val="27"/>
          <w:lang w:eastAsia="zh-CN"/>
        </w:rPr>
        <w:t>陈洪群</w:t>
      </w:r>
    </w:p>
    <w:p w14:paraId="78D55E70">
      <w:pPr>
        <w:pStyle w:val="6"/>
        <w:keepNext w:val="0"/>
        <w:keepLines w:val="0"/>
        <w:widowControl/>
        <w:suppressLineNumbers w:val="0"/>
        <w:wordWrap w:val="0"/>
        <w:spacing w:before="0" w:beforeAutospacing="0" w:after="0" w:afterAutospacing="0" w:line="368" w:lineRule="atLeast"/>
        <w:ind w:left="0" w:right="0" w:firstLine="420"/>
      </w:pPr>
      <w:r>
        <w:rPr>
          <w:sz w:val="27"/>
          <w:szCs w:val="27"/>
        </w:rPr>
        <w:t>联系电话：</w:t>
      </w:r>
      <w:r>
        <w:rPr>
          <w:rFonts w:hint="eastAsia"/>
          <w:sz w:val="27"/>
          <w:szCs w:val="27"/>
          <w:lang w:eastAsia="zh-CN"/>
        </w:rPr>
        <w:t>13595538117</w:t>
      </w:r>
    </w:p>
    <w:p w14:paraId="79A79382">
      <w:pPr>
        <w:pStyle w:val="6"/>
        <w:keepNext w:val="0"/>
        <w:keepLines w:val="0"/>
        <w:widowControl/>
        <w:suppressLineNumbers w:val="0"/>
        <w:wordWrap w:val="0"/>
        <w:spacing w:before="0" w:beforeAutospacing="0" w:after="0" w:afterAutospacing="0" w:line="368" w:lineRule="atLeast"/>
        <w:ind w:left="0" w:right="0" w:firstLine="420"/>
      </w:pPr>
      <w:r>
        <w:rPr>
          <w:sz w:val="27"/>
          <w:szCs w:val="27"/>
        </w:rPr>
        <w:t>2、代理机构</w:t>
      </w:r>
    </w:p>
    <w:p w14:paraId="71CC38FE">
      <w:pPr>
        <w:pStyle w:val="6"/>
        <w:keepNext w:val="0"/>
        <w:keepLines w:val="0"/>
        <w:widowControl/>
        <w:suppressLineNumbers w:val="0"/>
        <w:wordWrap w:val="0"/>
        <w:spacing w:before="0" w:beforeAutospacing="0" w:after="0" w:afterAutospacing="0" w:line="368" w:lineRule="atLeast"/>
        <w:ind w:left="0" w:right="0" w:firstLine="420"/>
      </w:pPr>
      <w:r>
        <w:rPr>
          <w:sz w:val="27"/>
          <w:szCs w:val="27"/>
        </w:rPr>
        <w:t>代理全称：</w:t>
      </w:r>
      <w:r>
        <w:rPr>
          <w:rFonts w:hint="eastAsia"/>
          <w:sz w:val="27"/>
          <w:szCs w:val="27"/>
          <w:lang w:eastAsia="zh-CN"/>
        </w:rPr>
        <w:t>贵州泷盛工程管理有限公司</w:t>
      </w:r>
    </w:p>
    <w:p w14:paraId="1C5DD696">
      <w:pPr>
        <w:pStyle w:val="6"/>
        <w:keepNext w:val="0"/>
        <w:keepLines w:val="0"/>
        <w:widowControl/>
        <w:suppressLineNumbers w:val="0"/>
        <w:wordWrap w:val="0"/>
        <w:spacing w:before="0" w:beforeAutospacing="0" w:after="0" w:afterAutospacing="0" w:line="368" w:lineRule="atLeast"/>
        <w:ind w:left="0" w:right="0" w:firstLine="420"/>
      </w:pPr>
      <w:r>
        <w:rPr>
          <w:sz w:val="27"/>
          <w:szCs w:val="27"/>
        </w:rPr>
        <w:t>联系人：</w:t>
      </w:r>
      <w:r>
        <w:rPr>
          <w:rFonts w:hint="eastAsia"/>
          <w:sz w:val="27"/>
          <w:szCs w:val="27"/>
          <w:lang w:eastAsia="zh-CN"/>
        </w:rPr>
        <w:t>吴臣瀛</w:t>
      </w:r>
    </w:p>
    <w:p w14:paraId="7DDB7678">
      <w:pPr>
        <w:pStyle w:val="6"/>
        <w:keepNext w:val="0"/>
        <w:keepLines w:val="0"/>
        <w:widowControl/>
        <w:suppressLineNumbers w:val="0"/>
        <w:wordWrap w:val="0"/>
        <w:spacing w:before="0" w:beforeAutospacing="0" w:after="0" w:afterAutospacing="0" w:line="368" w:lineRule="atLeast"/>
        <w:ind w:left="0" w:right="0" w:firstLine="420"/>
        <w:rPr>
          <w:rFonts w:hint="eastAsia"/>
          <w:sz w:val="27"/>
          <w:szCs w:val="27"/>
          <w:lang w:eastAsia="zh-CN"/>
        </w:rPr>
      </w:pPr>
      <w:r>
        <w:rPr>
          <w:sz w:val="27"/>
          <w:szCs w:val="27"/>
        </w:rPr>
        <w:t>联系方式：</w:t>
      </w:r>
      <w:r>
        <w:rPr>
          <w:rFonts w:hint="eastAsia"/>
          <w:sz w:val="27"/>
          <w:szCs w:val="27"/>
          <w:lang w:eastAsia="zh-CN"/>
        </w:rPr>
        <w:t>19581125612</w:t>
      </w:r>
    </w:p>
    <w:p w14:paraId="704C7FEB">
      <w:pPr>
        <w:pStyle w:val="6"/>
        <w:keepNext w:val="0"/>
        <w:keepLines w:val="0"/>
        <w:widowControl/>
        <w:suppressLineNumbers w:val="0"/>
        <w:wordWrap w:val="0"/>
        <w:spacing w:before="0" w:beforeAutospacing="0" w:after="0" w:afterAutospacing="0" w:line="368" w:lineRule="atLeast"/>
        <w:ind w:left="0" w:right="0" w:firstLine="420"/>
        <w:rPr>
          <w:rFonts w:hint="eastAsia"/>
          <w:sz w:val="27"/>
          <w:szCs w:val="27"/>
          <w:lang w:eastAsia="zh-CN"/>
        </w:rPr>
      </w:pPr>
    </w:p>
    <w:p w14:paraId="77B0D4CE">
      <w:pPr>
        <w:pStyle w:val="6"/>
        <w:keepNext w:val="0"/>
        <w:keepLines w:val="0"/>
        <w:widowControl/>
        <w:suppressLineNumbers w:val="0"/>
        <w:wordWrap w:val="0"/>
        <w:spacing w:before="0" w:beforeAutospacing="0" w:after="0" w:afterAutospacing="0" w:line="368" w:lineRule="atLeast"/>
        <w:ind w:left="0" w:right="0" w:firstLine="420"/>
        <w:rPr>
          <w:rFonts w:hint="eastAsia"/>
          <w:sz w:val="27"/>
          <w:szCs w:val="27"/>
          <w:lang w:eastAsia="zh-CN"/>
        </w:rPr>
      </w:pPr>
    </w:p>
    <w:p w14:paraId="7424A823">
      <w:pPr>
        <w:pStyle w:val="6"/>
        <w:keepNext w:val="0"/>
        <w:keepLines w:val="0"/>
        <w:widowControl/>
        <w:suppressLineNumbers w:val="0"/>
        <w:wordWrap w:val="0"/>
        <w:spacing w:before="0" w:beforeAutospacing="0" w:after="0" w:afterAutospacing="0" w:line="368" w:lineRule="atLeast"/>
        <w:ind w:left="0" w:right="0" w:firstLine="420"/>
        <w:rPr>
          <w:rFonts w:hint="eastAsia"/>
          <w:sz w:val="27"/>
          <w:szCs w:val="27"/>
          <w:lang w:eastAsia="zh-CN"/>
        </w:rPr>
      </w:pPr>
    </w:p>
    <w:p w14:paraId="6D74F8A3">
      <w:pPr>
        <w:pStyle w:val="6"/>
        <w:keepNext w:val="0"/>
        <w:keepLines w:val="0"/>
        <w:widowControl/>
        <w:suppressLineNumbers w:val="0"/>
        <w:wordWrap w:val="0"/>
        <w:spacing w:before="0" w:beforeAutospacing="0" w:after="0" w:afterAutospacing="0" w:line="368" w:lineRule="atLeast"/>
        <w:ind w:right="0"/>
        <w:rPr>
          <w:rFonts w:hint="eastAsia"/>
          <w:sz w:val="27"/>
          <w:szCs w:val="27"/>
          <w:lang w:eastAsia="zh-CN"/>
        </w:rPr>
      </w:pPr>
    </w:p>
    <w:p w14:paraId="6680A3C2">
      <w:pPr>
        <w:keepNext w:val="0"/>
        <w:keepLines w:val="0"/>
        <w:pageBreakBefore w:val="0"/>
        <w:widowControl/>
        <w:kinsoku w:val="0"/>
        <w:wordWrap/>
        <w:overflowPunct/>
        <w:topLinePunct w:val="0"/>
        <w:autoSpaceDE w:val="0"/>
        <w:autoSpaceDN w:val="0"/>
        <w:bidi w:val="0"/>
        <w:adjustRightInd w:val="0"/>
        <w:snapToGrid w:val="0"/>
        <w:spacing w:before="59" w:line="540" w:lineRule="exact"/>
        <w:ind w:left="100" w:leftChars="0" w:right="-178" w:rightChars="-85" w:hanging="100" w:hangingChars="40"/>
        <w:textAlignment w:val="baseline"/>
        <w:rPr>
          <w:rFonts w:hint="eastAsia" w:ascii="宋体" w:hAnsi="宋体" w:eastAsia="宋体" w:cs="宋体"/>
          <w:spacing w:val="5"/>
          <w:sz w:val="24"/>
          <w:szCs w:val="24"/>
          <w:lang w:eastAsia="zh-CN"/>
        </w:rPr>
      </w:pPr>
      <w:r>
        <w:rPr>
          <w:rFonts w:hint="eastAsia" w:ascii="宋体" w:hAnsi="宋体" w:eastAsia="宋体" w:cs="宋体"/>
          <w:spacing w:val="5"/>
          <w:sz w:val="24"/>
          <w:szCs w:val="24"/>
          <w:lang w:eastAsia="zh-CN"/>
        </w:rPr>
        <w:t>（一）一般资格要求：符合《中华人民共和国政府采购法》 第二十二条，供应商按《中华人民共和国政府采购法实施条例》 第十七条的要求提供资料：</w:t>
      </w:r>
    </w:p>
    <w:p w14:paraId="1933D4EA">
      <w:pPr>
        <w:keepNext w:val="0"/>
        <w:keepLines w:val="0"/>
        <w:pageBreakBefore w:val="0"/>
        <w:widowControl/>
        <w:kinsoku w:val="0"/>
        <w:wordWrap/>
        <w:overflowPunct/>
        <w:topLinePunct w:val="0"/>
        <w:autoSpaceDE w:val="0"/>
        <w:autoSpaceDN w:val="0"/>
        <w:bidi w:val="0"/>
        <w:adjustRightInd w:val="0"/>
        <w:snapToGrid w:val="0"/>
        <w:spacing w:before="59" w:line="540" w:lineRule="exact"/>
        <w:ind w:left="241" w:leftChars="115" w:right="-178" w:rightChars="-85" w:firstLine="150" w:firstLineChars="60"/>
        <w:textAlignment w:val="baseline"/>
        <w:rPr>
          <w:rFonts w:hint="eastAsia" w:ascii="宋体" w:hAnsi="宋体" w:eastAsia="宋体" w:cs="宋体"/>
          <w:spacing w:val="5"/>
          <w:sz w:val="24"/>
          <w:szCs w:val="24"/>
          <w:lang w:eastAsia="zh-CN"/>
        </w:rPr>
      </w:pPr>
      <w:r>
        <w:rPr>
          <w:rFonts w:hint="eastAsia" w:ascii="宋体" w:hAnsi="宋体" w:eastAsia="宋体" w:cs="宋体"/>
          <w:spacing w:val="5"/>
          <w:sz w:val="24"/>
          <w:szCs w:val="24"/>
          <w:lang w:eastAsia="zh-CN"/>
        </w:rPr>
        <w:t>1.有效的营业执照；</w:t>
      </w:r>
    </w:p>
    <w:p w14:paraId="36F6EB99">
      <w:pPr>
        <w:keepNext w:val="0"/>
        <w:keepLines w:val="0"/>
        <w:pageBreakBefore w:val="0"/>
        <w:widowControl/>
        <w:kinsoku w:val="0"/>
        <w:wordWrap/>
        <w:overflowPunct/>
        <w:topLinePunct w:val="0"/>
        <w:autoSpaceDE w:val="0"/>
        <w:autoSpaceDN w:val="0"/>
        <w:bidi w:val="0"/>
        <w:adjustRightInd w:val="0"/>
        <w:snapToGrid w:val="0"/>
        <w:spacing w:before="59" w:line="540" w:lineRule="exact"/>
        <w:ind w:left="241" w:leftChars="115" w:right="-178" w:rightChars="-85" w:firstLine="150" w:firstLineChars="60"/>
        <w:textAlignment w:val="baseline"/>
        <w:rPr>
          <w:rFonts w:hint="eastAsia" w:ascii="宋体" w:hAnsi="宋体" w:eastAsia="宋体" w:cs="宋体"/>
          <w:spacing w:val="5"/>
          <w:sz w:val="24"/>
          <w:szCs w:val="24"/>
          <w:lang w:eastAsia="zh-CN"/>
        </w:rPr>
      </w:pPr>
      <w:r>
        <w:rPr>
          <w:rFonts w:hint="eastAsia" w:ascii="宋体" w:hAnsi="宋体" w:eastAsia="宋体" w:cs="宋体"/>
          <w:spacing w:val="5"/>
          <w:sz w:val="24"/>
          <w:szCs w:val="24"/>
          <w:lang w:eastAsia="zh-CN"/>
        </w:rPr>
        <w:t>2.具备履行合同所必需的设备和专业技术能力的证明材料(投标人提供承诺函为准）；</w:t>
      </w:r>
    </w:p>
    <w:p w14:paraId="5A75E475">
      <w:pPr>
        <w:keepNext w:val="0"/>
        <w:keepLines w:val="0"/>
        <w:pageBreakBefore w:val="0"/>
        <w:widowControl/>
        <w:kinsoku w:val="0"/>
        <w:wordWrap/>
        <w:overflowPunct/>
        <w:topLinePunct w:val="0"/>
        <w:autoSpaceDE w:val="0"/>
        <w:autoSpaceDN w:val="0"/>
        <w:bidi w:val="0"/>
        <w:adjustRightInd w:val="0"/>
        <w:snapToGrid w:val="0"/>
        <w:spacing w:before="59" w:line="540" w:lineRule="exact"/>
        <w:ind w:right="-178" w:rightChars="-85" w:firstLine="250" w:firstLineChars="100"/>
        <w:textAlignment w:val="baseline"/>
        <w:rPr>
          <w:rFonts w:hint="eastAsia" w:ascii="宋体" w:hAnsi="宋体" w:eastAsia="宋体" w:cs="宋体"/>
          <w:color w:val="auto"/>
          <w:spacing w:val="5"/>
          <w:sz w:val="24"/>
          <w:szCs w:val="24"/>
          <w:highlight w:val="none"/>
          <w:lang w:eastAsia="zh-CN"/>
        </w:rPr>
      </w:pPr>
      <w:r>
        <w:rPr>
          <w:rFonts w:hint="eastAsia" w:ascii="宋体" w:hAnsi="宋体" w:eastAsia="宋体" w:cs="宋体"/>
          <w:spacing w:val="5"/>
          <w:sz w:val="24"/>
          <w:szCs w:val="24"/>
          <w:lang w:eastAsia="zh-CN"/>
        </w:rPr>
        <w:t>3.参加政府采购活动前3年内在经营活动中没有重大违法记录,供应商须提供承诺函承诺在“信用中国” 网站、中国政府采购网等渠道查询中未被列入失信被执行人名单、未被列入重大税收违法案件当事人名单、未被列入政府采购严重违法失信行为记录名单。如被列入失信被执行人、重大税收违法案件当事人名单、政府采购严重违法失信行为记录名</w:t>
      </w:r>
      <w:r>
        <w:rPr>
          <w:rFonts w:hint="eastAsia" w:ascii="宋体" w:hAnsi="宋体" w:eastAsia="宋体" w:cs="宋体"/>
          <w:color w:val="auto"/>
          <w:spacing w:val="5"/>
          <w:sz w:val="24"/>
          <w:szCs w:val="24"/>
          <w:highlight w:val="none"/>
          <w:lang w:eastAsia="zh-CN"/>
        </w:rPr>
        <w:t>单中的供应商取消其投标资格，并承担由此造成的一切法律责任及后果；</w:t>
      </w:r>
    </w:p>
    <w:p w14:paraId="6FD72D92">
      <w:pPr>
        <w:keepNext w:val="0"/>
        <w:keepLines w:val="0"/>
        <w:pageBreakBefore w:val="0"/>
        <w:widowControl/>
        <w:kinsoku w:val="0"/>
        <w:wordWrap/>
        <w:overflowPunct/>
        <w:topLinePunct w:val="0"/>
        <w:autoSpaceDE w:val="0"/>
        <w:autoSpaceDN w:val="0"/>
        <w:bidi w:val="0"/>
        <w:adjustRightInd w:val="0"/>
        <w:snapToGrid w:val="0"/>
        <w:spacing w:before="59" w:line="540" w:lineRule="exact"/>
        <w:ind w:right="-178" w:rightChars="-85" w:firstLine="250" w:firstLineChars="100"/>
        <w:textAlignment w:val="baseline"/>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4.具有良好的商业信誉和健全的财务会计制度：提供开户许可证或财务制度或</w:t>
      </w:r>
      <w:r>
        <w:rPr>
          <w:rFonts w:hint="eastAsia" w:ascii="宋体" w:hAnsi="宋体" w:eastAsia="宋体" w:cs="宋体"/>
          <w:color w:val="auto"/>
          <w:spacing w:val="5"/>
          <w:sz w:val="24"/>
          <w:szCs w:val="24"/>
          <w:highlight w:val="none"/>
          <w:lang w:val="en-US" w:eastAsia="zh-CN"/>
        </w:rPr>
        <w:t>2024年度</w:t>
      </w:r>
      <w:r>
        <w:rPr>
          <w:rFonts w:hint="eastAsia" w:ascii="宋体" w:hAnsi="宋体" w:eastAsia="宋体" w:cs="宋体"/>
          <w:color w:val="auto"/>
          <w:spacing w:val="5"/>
          <w:sz w:val="24"/>
          <w:szCs w:val="24"/>
          <w:highlight w:val="none"/>
          <w:lang w:eastAsia="zh-CN"/>
        </w:rPr>
        <w:t>财务审计报告；</w:t>
      </w:r>
    </w:p>
    <w:p w14:paraId="4EB4DA14">
      <w:pPr>
        <w:keepNext w:val="0"/>
        <w:keepLines w:val="0"/>
        <w:pageBreakBefore w:val="0"/>
        <w:widowControl/>
        <w:kinsoku w:val="0"/>
        <w:wordWrap/>
        <w:overflowPunct/>
        <w:topLinePunct w:val="0"/>
        <w:autoSpaceDE w:val="0"/>
        <w:autoSpaceDN w:val="0"/>
        <w:bidi w:val="0"/>
        <w:adjustRightInd w:val="0"/>
        <w:snapToGrid w:val="0"/>
        <w:spacing w:before="59" w:line="540" w:lineRule="exact"/>
        <w:ind w:right="-178" w:rightChars="-85" w:firstLine="250" w:firstLineChars="100"/>
        <w:textAlignment w:val="baseline"/>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5.具有依法缴纳税收和社会保障资金的良好记录：提供202</w:t>
      </w:r>
      <w:r>
        <w:rPr>
          <w:rFonts w:hint="eastAsia" w:ascii="宋体" w:hAnsi="宋体" w:eastAsia="宋体" w:cs="宋体"/>
          <w:color w:val="auto"/>
          <w:spacing w:val="5"/>
          <w:sz w:val="24"/>
          <w:szCs w:val="24"/>
          <w:highlight w:val="none"/>
          <w:lang w:val="en-US" w:eastAsia="zh-CN"/>
        </w:rPr>
        <w:t>5</w:t>
      </w:r>
      <w:r>
        <w:rPr>
          <w:rFonts w:hint="eastAsia" w:ascii="宋体" w:hAnsi="宋体" w:eastAsia="宋体" w:cs="宋体"/>
          <w:color w:val="auto"/>
          <w:spacing w:val="5"/>
          <w:sz w:val="24"/>
          <w:szCs w:val="24"/>
          <w:highlight w:val="none"/>
          <w:lang w:eastAsia="zh-CN"/>
        </w:rPr>
        <w:t>年任意</w:t>
      </w:r>
      <w:r>
        <w:rPr>
          <w:rFonts w:hint="eastAsia" w:ascii="宋体" w:hAnsi="宋体" w:eastAsia="宋体" w:cs="宋体"/>
          <w:color w:val="auto"/>
          <w:spacing w:val="5"/>
          <w:sz w:val="24"/>
          <w:szCs w:val="24"/>
          <w:highlight w:val="none"/>
          <w:lang w:val="en-US" w:eastAsia="zh-CN"/>
        </w:rPr>
        <w:t>1</w:t>
      </w:r>
      <w:r>
        <w:rPr>
          <w:rFonts w:hint="eastAsia" w:ascii="宋体" w:hAnsi="宋体" w:eastAsia="宋体" w:cs="宋体"/>
          <w:color w:val="auto"/>
          <w:spacing w:val="5"/>
          <w:sz w:val="24"/>
          <w:szCs w:val="24"/>
          <w:highlight w:val="none"/>
          <w:lang w:eastAsia="zh-CN"/>
        </w:rPr>
        <w:t>个月依法缴纳税收和社会保障资金的缴纳凭证；</w:t>
      </w:r>
    </w:p>
    <w:p w14:paraId="2CCB4713">
      <w:pPr>
        <w:keepNext w:val="0"/>
        <w:keepLines w:val="0"/>
        <w:pageBreakBefore w:val="0"/>
        <w:widowControl/>
        <w:kinsoku w:val="0"/>
        <w:wordWrap/>
        <w:overflowPunct/>
        <w:topLinePunct w:val="0"/>
        <w:autoSpaceDE w:val="0"/>
        <w:autoSpaceDN w:val="0"/>
        <w:bidi w:val="0"/>
        <w:adjustRightInd w:val="0"/>
        <w:snapToGrid w:val="0"/>
        <w:spacing w:before="59" w:line="540" w:lineRule="exact"/>
        <w:ind w:right="-178" w:rightChars="-85" w:firstLine="250" w:firstLineChars="100"/>
        <w:textAlignment w:val="baseline"/>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6.法定代表人需提供法定代表人身份证明及本人身份证或委托代理人需提供授权委托书及本人身份证。</w:t>
      </w:r>
    </w:p>
    <w:p w14:paraId="2F5DEC66">
      <w:pPr>
        <w:keepNext w:val="0"/>
        <w:keepLines w:val="0"/>
        <w:pageBreakBefore w:val="0"/>
        <w:widowControl/>
        <w:kinsoku w:val="0"/>
        <w:wordWrap/>
        <w:overflowPunct/>
        <w:topLinePunct w:val="0"/>
        <w:autoSpaceDE w:val="0"/>
        <w:autoSpaceDN w:val="0"/>
        <w:bidi w:val="0"/>
        <w:adjustRightInd w:val="0"/>
        <w:snapToGrid w:val="0"/>
        <w:spacing w:before="59" w:line="540" w:lineRule="exact"/>
        <w:ind w:left="100" w:leftChars="0" w:right="-178" w:rightChars="-85" w:hanging="100" w:hangingChars="40"/>
        <w:textAlignment w:val="baseline"/>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 xml:space="preserve">（二）特殊资格要求： </w:t>
      </w:r>
    </w:p>
    <w:p w14:paraId="5D1D2A6A">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auto"/>
          <w:spacing w:val="5"/>
          <w:sz w:val="24"/>
          <w:szCs w:val="24"/>
          <w:highlight w:val="none"/>
          <w:lang w:val="en-US" w:eastAsia="zh-CN"/>
        </w:rPr>
        <w:t>1.</w:t>
      </w:r>
      <w:r>
        <w:rPr>
          <w:rFonts w:hint="eastAsia" w:ascii="宋体" w:hAnsi="宋体" w:eastAsia="宋体" w:cs="宋体"/>
          <w:color w:val="auto"/>
          <w:spacing w:val="5"/>
          <w:sz w:val="24"/>
          <w:szCs w:val="24"/>
          <w:highlight w:val="none"/>
          <w:lang w:eastAsia="zh-CN"/>
        </w:rPr>
        <w:t>供应商须具备相关主管部门颁发的城乡规划编制乙级（含乙级）及以上资质；拟派的项目负责人须具备城市规划高级工程师职称或国家注册规划师资格。</w:t>
      </w:r>
    </w:p>
    <w:p w14:paraId="30EB984B">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color w:val="auto"/>
          <w:sz w:val="24"/>
          <w:szCs w:val="24"/>
          <w:lang w:eastAsia="zh-CN"/>
        </w:rPr>
      </w:pPr>
    </w:p>
    <w:p w14:paraId="0937454E">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color w:val="auto"/>
          <w:sz w:val="24"/>
          <w:szCs w:val="24"/>
          <w:lang w:eastAsia="zh-CN"/>
        </w:rPr>
      </w:pPr>
    </w:p>
    <w:p w14:paraId="5C1AF64E">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color w:val="auto"/>
          <w:sz w:val="24"/>
          <w:szCs w:val="24"/>
          <w:lang w:eastAsia="zh-CN"/>
        </w:rPr>
      </w:pPr>
    </w:p>
    <w:p w14:paraId="29B5CE48">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color w:val="auto"/>
          <w:sz w:val="24"/>
          <w:szCs w:val="24"/>
          <w:lang w:eastAsia="zh-CN"/>
        </w:rPr>
      </w:pPr>
    </w:p>
    <w:p w14:paraId="32E668DF">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color w:val="auto"/>
          <w:sz w:val="24"/>
          <w:szCs w:val="24"/>
          <w:lang w:eastAsia="zh-CN"/>
        </w:rPr>
      </w:pPr>
    </w:p>
    <w:p w14:paraId="3AE33228">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color w:val="auto"/>
          <w:sz w:val="24"/>
          <w:szCs w:val="24"/>
          <w:lang w:eastAsia="zh-CN"/>
        </w:rPr>
      </w:pPr>
    </w:p>
    <w:p w14:paraId="2E3CA875">
      <w:pPr>
        <w:pStyle w:val="6"/>
        <w:keepNext w:val="0"/>
        <w:keepLines w:val="0"/>
        <w:widowControl/>
        <w:suppressLineNumbers w:val="0"/>
        <w:wordWrap w:val="0"/>
        <w:spacing w:before="0" w:beforeAutospacing="0" w:after="0" w:afterAutospacing="0" w:line="368" w:lineRule="atLeast"/>
        <w:ind w:right="0"/>
        <w:rPr>
          <w:rFonts w:hint="eastAsia" w:asciiTheme="minorEastAsia" w:hAnsiTheme="minorEastAsia" w:eastAsiaTheme="minorEastAsia" w:cstheme="minorEastAsia"/>
          <w:color w:val="auto"/>
          <w:sz w:val="24"/>
          <w:szCs w:val="24"/>
          <w:lang w:eastAsia="zh-CN"/>
        </w:rPr>
      </w:pPr>
    </w:p>
    <w:p w14:paraId="06269450">
      <w:pPr>
        <w:pStyle w:val="6"/>
        <w:keepNext w:val="0"/>
        <w:keepLines w:val="0"/>
        <w:widowControl/>
        <w:suppressLineNumbers w:val="0"/>
        <w:wordWrap w:val="0"/>
        <w:spacing w:before="0" w:beforeAutospacing="0" w:after="0" w:afterAutospacing="0" w:line="368" w:lineRule="atLeast"/>
        <w:ind w:right="0"/>
        <w:rPr>
          <w:rFonts w:hint="eastAsia" w:asciiTheme="minorEastAsia" w:hAnsiTheme="minorEastAsia" w:eastAsiaTheme="minorEastAsia" w:cstheme="minorEastAsia"/>
          <w:color w:val="auto"/>
          <w:sz w:val="24"/>
          <w:szCs w:val="24"/>
          <w:lang w:eastAsia="zh-CN"/>
        </w:rPr>
      </w:pPr>
    </w:p>
    <w:p w14:paraId="7F36EA07">
      <w:pPr>
        <w:spacing w:before="65" w:line="230" w:lineRule="auto"/>
        <w:ind w:left="3213"/>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第一节</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b/>
          <w:bCs/>
          <w:color w:val="auto"/>
          <w:spacing w:val="7"/>
          <w:sz w:val="24"/>
          <w:szCs w:val="24"/>
        </w:rPr>
        <w:t>采购清单及技术参数</w:t>
      </w:r>
    </w:p>
    <w:p w14:paraId="0A4BEB99">
      <w:pPr>
        <w:spacing w:line="401" w:lineRule="auto"/>
        <w:rPr>
          <w:rFonts w:hint="eastAsia" w:asciiTheme="minorEastAsia" w:hAnsiTheme="minorEastAsia" w:eastAsiaTheme="minorEastAsia" w:cstheme="minorEastAsia"/>
          <w:color w:val="auto"/>
          <w:sz w:val="24"/>
          <w:szCs w:val="24"/>
        </w:rPr>
      </w:pPr>
    </w:p>
    <w:p w14:paraId="152B129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招标内容：</w:t>
      </w:r>
    </w:p>
    <w:p w14:paraId="77B11982">
      <w:pPr>
        <w:keepNext w:val="0"/>
        <w:keepLines w:val="0"/>
        <w:pageBreakBefore w:val="0"/>
        <w:widowControl/>
        <w:numPr>
          <w:ilvl w:val="0"/>
          <w:numId w:val="2"/>
        </w:numPr>
        <w:tabs>
          <w:tab w:val="left" w:pos="3780"/>
        </w:tabs>
        <w:kinsoku w:val="0"/>
        <w:wordWrap/>
        <w:overflowPunct/>
        <w:topLinePunct w:val="0"/>
        <w:autoSpaceDE w:val="0"/>
        <w:autoSpaceDN w:val="0"/>
        <w:bidi w:val="0"/>
        <w:adjustRightInd w:val="0"/>
        <w:snapToGrid w:val="0"/>
        <w:spacing w:line="560" w:lineRule="exact"/>
        <w:ind w:left="0"/>
        <w:textAlignment w:val="baseline"/>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val="0"/>
          <w:color w:val="auto"/>
          <w:kern w:val="2"/>
          <w:sz w:val="32"/>
          <w:szCs w:val="32"/>
          <w:highlight w:val="none"/>
          <w:lang w:val="en-US" w:eastAsia="zh-CN" w:bidi="ar-SA"/>
        </w:rPr>
        <w:t>招标范围：编制剑河县11个乡镇控制性详细规划，包含单元规划和地块规划两个层次。规划编制过程及成果需满足《中华人民共和国土地管理法》《中华人民共和国城乡规划法》《贵州省土地管理实施条例》《贵州省城乡规划条例》及《贵州省详细规划编制技术指南（试行）》等法律法规及规范要求（如出台新的规范要求，成果需满足新的规范要求。</w:t>
      </w:r>
    </w:p>
    <w:p w14:paraId="055EAA3F">
      <w:pPr>
        <w:numPr>
          <w:ilvl w:val="0"/>
          <w:numId w:val="0"/>
        </w:numPr>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t>（二）项目要求：</w:t>
      </w:r>
    </w:p>
    <w:p w14:paraId="209E40DE">
      <w:pPr>
        <w:numPr>
          <w:ilvl w:val="0"/>
          <w:numId w:val="3"/>
        </w:numP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项目主要目标和任务</w:t>
      </w:r>
    </w:p>
    <w:p w14:paraId="049B9D8B">
      <w:pPr>
        <w:numPr>
          <w:ilvl w:val="0"/>
          <w:numId w:val="0"/>
        </w:num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1.1项目目标</w:t>
      </w:r>
    </w:p>
    <w:p w14:paraId="32856F8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以习近平新时代中国特色社会主义思想为指导，全面贯彻党的二十大精神，深入落实习近平总书记视察贵州重要讲话和指示批示精神，</w:t>
      </w:r>
      <w:bookmarkStart w:id="0" w:name="OLE_LINK49"/>
      <w:bookmarkStart w:id="1" w:name="OLE_LINK48"/>
      <w:r>
        <w:rPr>
          <w:rFonts w:hint="eastAsia" w:ascii="仿宋_GB2312" w:hAnsi="仿宋_GB2312" w:eastAsia="仿宋_GB2312" w:cs="仿宋_GB2312"/>
          <w:color w:val="auto"/>
          <w:sz w:val="28"/>
          <w:szCs w:val="28"/>
          <w:lang w:val="en-US" w:eastAsia="zh-CN"/>
        </w:rPr>
        <w:t>统筹推进“五位一体”总体布局，协调推进</w:t>
      </w:r>
      <w:bookmarkStart w:id="2" w:name="OLE_LINK177"/>
      <w:bookmarkStart w:id="3" w:name="OLE_LINK179"/>
      <w:bookmarkStart w:id="4" w:name="OLE_LINK175"/>
      <w:r>
        <w:rPr>
          <w:rFonts w:hint="eastAsia" w:ascii="仿宋_GB2312" w:hAnsi="仿宋_GB2312" w:eastAsia="仿宋_GB2312" w:cs="仿宋_GB2312"/>
          <w:color w:val="auto"/>
          <w:sz w:val="28"/>
          <w:szCs w:val="28"/>
          <w:lang w:val="en-US" w:eastAsia="zh-CN"/>
        </w:rPr>
        <w:t>“</w:t>
      </w:r>
      <w:bookmarkEnd w:id="2"/>
      <w:bookmarkEnd w:id="3"/>
      <w:bookmarkEnd w:id="4"/>
      <w:r>
        <w:rPr>
          <w:rFonts w:hint="eastAsia" w:ascii="仿宋_GB2312" w:hAnsi="仿宋_GB2312" w:eastAsia="仿宋_GB2312" w:cs="仿宋_GB2312"/>
          <w:color w:val="auto"/>
          <w:sz w:val="28"/>
          <w:szCs w:val="28"/>
          <w:lang w:val="en-US" w:eastAsia="zh-CN"/>
        </w:rPr>
        <w:t>四个全面”战略布局，坚持总体国家安全观，</w:t>
      </w:r>
      <w:bookmarkEnd w:id="0"/>
      <w:bookmarkEnd w:id="1"/>
      <w:r>
        <w:rPr>
          <w:rFonts w:hint="eastAsia" w:ascii="仿宋_GB2312" w:hAnsi="仿宋_GB2312" w:eastAsia="仿宋_GB2312" w:cs="仿宋_GB2312"/>
          <w:color w:val="auto"/>
          <w:sz w:val="28"/>
          <w:szCs w:val="28"/>
          <w:lang w:val="en-US" w:eastAsia="zh-CN"/>
        </w:rPr>
        <w:t>统筹发展和安全，抢抓《国务院关于支持贵州在新时代西部大开发上闯新路的意见》</w:t>
      </w:r>
      <w:bookmarkStart w:id="5" w:name="OLE_LINK61"/>
      <w:r>
        <w:rPr>
          <w:rFonts w:hint="eastAsia" w:ascii="仿宋_GB2312" w:hAnsi="仿宋_GB2312" w:eastAsia="仿宋_GB2312" w:cs="仿宋_GB2312"/>
          <w:color w:val="auto"/>
          <w:sz w:val="28"/>
          <w:szCs w:val="28"/>
          <w:lang w:val="en-US" w:eastAsia="zh-CN"/>
        </w:rPr>
        <w:t>（国发〔2022〕2号）</w:t>
      </w:r>
      <w:bookmarkEnd w:id="5"/>
      <w:r>
        <w:rPr>
          <w:rFonts w:hint="eastAsia" w:ascii="仿宋_GB2312" w:hAnsi="仿宋_GB2312" w:eastAsia="仿宋_GB2312" w:cs="仿宋_GB2312"/>
          <w:color w:val="auto"/>
          <w:sz w:val="28"/>
          <w:szCs w:val="28"/>
          <w:lang w:val="en-US" w:eastAsia="zh-CN"/>
        </w:rPr>
        <w:t>重大机遇。</w:t>
      </w:r>
      <w:bookmarkStart w:id="6" w:name="OLE_LINK66"/>
      <w:bookmarkStart w:id="7" w:name="OLE_LINK65"/>
      <w:r>
        <w:rPr>
          <w:rFonts w:hint="eastAsia" w:ascii="仿宋_GB2312" w:hAnsi="仿宋_GB2312" w:eastAsia="仿宋_GB2312" w:cs="仿宋_GB2312"/>
          <w:color w:val="auto"/>
          <w:sz w:val="28"/>
          <w:szCs w:val="28"/>
          <w:lang w:val="en-US" w:eastAsia="zh-CN"/>
        </w:rPr>
        <w:t>全面落实贵州省第十三次党代会部署，完整准确全面贯彻新发展理念，服务融入新发展格局，坚持以高质量发展统揽全局，守好发展和生态两条底线，坚持围绕“四新”主攻“四化”主战略和“四区一高地”主定位，落实新型城镇化发展战略，构建“一核三轴多点”的县域城镇空间格局，突出核心引领，加强轴、带联动，强化多点支撑。坚持以高质量发展统揽全局，牢牢守好发展和生态两条底线，切实尊重城镇发展规律，优化城镇空间格局，不断提升城镇环境质量、人民生活质量，全面建成支撑剑河高质量发展的特色小城镇。</w:t>
      </w:r>
      <w:bookmarkEnd w:id="6"/>
      <w:bookmarkEnd w:id="7"/>
    </w:p>
    <w:p w14:paraId="13D15670">
      <w:pPr>
        <w:numPr>
          <w:ilvl w:val="0"/>
          <w:numId w:val="0"/>
        </w:num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1.2项目任务</w:t>
      </w:r>
    </w:p>
    <w:p w14:paraId="637C91E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（1）规划策略</w:t>
      </w:r>
    </w:p>
    <w:p w14:paraId="6501C03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1）安全韧性</w:t>
      </w:r>
    </w:p>
    <w:p w14:paraId="10A562E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强化底线安全意识，筑牢国土空间安全底线。坚持耕地保护优先，严格落实耕地和永久基本农田保护任务，严格落实耕地占补平衡制度，有序推进宜耕后备资源开发；立足重点生态功能区主体功能定位，守住自然生态安全边界，加强自然资源保护和利用，积极探索生态产品价值转化。以完善防灾减灾体系为重点，结合生态环境综合整治和海绵城市建设，提高城镇空间韧性。</w:t>
      </w:r>
    </w:p>
    <w:p w14:paraId="7727F24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2）集约高效</w:t>
      </w:r>
    </w:p>
    <w:p w14:paraId="2F45E3A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加强山水林田湖草沙全域全要素管控，坚持走“集中、集聚、集约”的国土空间开发道路，立足资源禀赋和剑河工业园区发展基础，引导要素高效集聚，优先保障县域主导产业链条和重点项目空间供给，推进农村一二三产融合发展空间利用，统筹推进增量空间精准拓展和存量空间盘活利用，构建高质量国土空间开发保护格局。</w:t>
      </w:r>
    </w:p>
    <w:p w14:paraId="5209342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3）城乡融合</w:t>
      </w:r>
    </w:p>
    <w:p w14:paraId="0A661FF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发挥国土空间多样性特征，优化城乡空间布局，完善城乡居民点体系。差异化推进山地特色新型城镇化建设，做强中心城区、做优重点乡镇、做好一般乡镇，促进城乡一二三产业融合发展。提高城乡融合发展质量，全面推进乡村振兴，推动特色小镇、美丽乡村、特色田园乡村、乡村振兴示范试点村建设，建立健全城乡统一的要素市场，推动城乡基础设施和公共服务设施均等化配置，加强农业转移人口市民化保障，完善城乡生活圈，改善农村人居环境。</w:t>
      </w:r>
    </w:p>
    <w:p w14:paraId="13BF62C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4）开放协同</w:t>
      </w:r>
    </w:p>
    <w:p w14:paraId="28B24CB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落实区域重大战略，积极融入沪昆走廊经济发展带，全面融入黔东南州发展格局，主动对接凯都城镇组群，加强资源保护和利用、生态环境、产业发展、支撑体系、城镇体系、历史文化保护、安全保障等领域协同，统筹推进区域国土空间格局开放畅通和县域国土空间开发保护格局优化。</w:t>
      </w:r>
    </w:p>
    <w:p w14:paraId="50ADF1E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5）数字治理</w:t>
      </w:r>
    </w:p>
    <w:p w14:paraId="1512635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落实“统一底图、统一标准、统一规划、统一平台”的要求，详细规划成果及实施管理、动态维护须纳入国土空间规划“一张图”，实现全生命周期管理和全过程实施监督。</w:t>
      </w:r>
    </w:p>
    <w:p w14:paraId="0734C2F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bookmarkStart w:id="8" w:name="_Toc25796"/>
      <w:r>
        <w:rPr>
          <w:rFonts w:hint="eastAsia" w:ascii="仿宋_GB2312" w:hAnsi="仿宋_GB2312" w:eastAsia="仿宋_GB2312" w:cs="仿宋_GB2312"/>
          <w:color w:val="auto"/>
          <w:sz w:val="28"/>
          <w:szCs w:val="28"/>
          <w:lang w:val="en-US" w:eastAsia="zh-CN"/>
        </w:rPr>
        <w:t>规划衔接传导</w:t>
      </w:r>
      <w:bookmarkEnd w:id="8"/>
    </w:p>
    <w:p w14:paraId="438BE88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全县11个乡镇各乡镇总规编制详细规划。城镇开发边界内分区分类编制详细规划，划示详细规划编制单元，严格落实城镇建设用地规模、各类用地比例上限、开发强度等约束性指标，保证用地全覆盖、指标不突破；严格落实城市四线等边界，依据中心城区功能分区细化用地布局；严格落实城市空间结构、总体风貌格局、绿地景观结构、公共服务设施体系和综合交通体系等，按照中心城区功能分区管控要求明确差异化控制要求，细化城市支路网系统，按照相关要求细化社区级及以下规划内容。城镇开发边界外特定区域、独立地块可按需编制。城镇开发边界外编制村庄规划，作为规划行政许可、实施规划管理的依据，村庄规划编制应严格落实乡村地区用途管制通则要求。零星分散在乡村地区的城镇开发边界，可纳入属地村庄规划一并编制，按地块图则深度进行编制。</w:t>
      </w:r>
    </w:p>
    <w:p w14:paraId="41132F4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（3）总体规模</w:t>
      </w:r>
    </w:p>
    <w:p w14:paraId="797834B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zh-CN" w:eastAsia="zh-CN"/>
        </w:rPr>
      </w:pPr>
      <w:r>
        <w:rPr>
          <w:rFonts w:hint="default" w:ascii="仿宋_GB2312" w:hAnsi="仿宋_GB2312" w:eastAsia="仿宋_GB2312" w:cs="仿宋_GB2312"/>
          <w:color w:val="auto"/>
          <w:sz w:val="28"/>
          <w:szCs w:val="28"/>
          <w:lang w:val="zh-CN" w:eastAsia="zh-CN"/>
        </w:rPr>
        <w:t>综合考虑</w:t>
      </w:r>
      <w:r>
        <w:rPr>
          <w:rFonts w:hint="eastAsia" w:ascii="仿宋_GB2312" w:hAnsi="仿宋_GB2312" w:eastAsia="仿宋_GB2312" w:cs="仿宋_GB2312"/>
          <w:color w:val="auto"/>
          <w:sz w:val="28"/>
          <w:szCs w:val="28"/>
          <w:lang w:val="en-US" w:eastAsia="zh-CN"/>
        </w:rPr>
        <w:t>各乡镇</w:t>
      </w:r>
      <w:r>
        <w:rPr>
          <w:rFonts w:hint="default" w:ascii="仿宋_GB2312" w:hAnsi="仿宋_GB2312" w:eastAsia="仿宋_GB2312" w:cs="仿宋_GB2312"/>
          <w:color w:val="auto"/>
          <w:sz w:val="28"/>
          <w:szCs w:val="28"/>
          <w:lang w:val="zh-CN" w:eastAsia="zh-CN"/>
        </w:rPr>
        <w:t>产业发展基础、资源禀赋和发展潜力，系统分析土地</w:t>
      </w:r>
      <w:r>
        <w:rPr>
          <w:rFonts w:hint="eastAsia" w:ascii="仿宋_GB2312" w:hAnsi="仿宋_GB2312" w:eastAsia="仿宋_GB2312" w:cs="仿宋_GB2312"/>
          <w:color w:val="auto"/>
          <w:sz w:val="28"/>
          <w:szCs w:val="28"/>
          <w:lang w:val="zh-CN" w:eastAsia="zh-CN"/>
        </w:rPr>
        <w:t>、</w:t>
      </w:r>
      <w:r>
        <w:rPr>
          <w:rFonts w:hint="default" w:ascii="仿宋_GB2312" w:hAnsi="仿宋_GB2312" w:eastAsia="仿宋_GB2312" w:cs="仿宋_GB2312"/>
          <w:color w:val="auto"/>
          <w:sz w:val="28"/>
          <w:szCs w:val="28"/>
          <w:lang w:val="zh-CN" w:eastAsia="zh-CN"/>
        </w:rPr>
        <w:t>交通和公共服务设施</w:t>
      </w:r>
      <w:r>
        <w:rPr>
          <w:rFonts w:hint="eastAsia" w:ascii="仿宋_GB2312" w:hAnsi="仿宋_GB2312" w:eastAsia="仿宋_GB2312" w:cs="仿宋_GB2312"/>
          <w:color w:val="auto"/>
          <w:sz w:val="28"/>
          <w:szCs w:val="28"/>
          <w:lang w:val="en-US" w:eastAsia="zh-CN"/>
        </w:rPr>
        <w:t>等</w:t>
      </w:r>
      <w:r>
        <w:rPr>
          <w:rFonts w:hint="default" w:ascii="仿宋_GB2312" w:hAnsi="仿宋_GB2312" w:eastAsia="仿宋_GB2312" w:cs="仿宋_GB2312"/>
          <w:color w:val="auto"/>
          <w:sz w:val="28"/>
          <w:szCs w:val="28"/>
          <w:lang w:val="zh-CN" w:eastAsia="zh-CN"/>
        </w:rPr>
        <w:t>承载力，</w:t>
      </w:r>
      <w:r>
        <w:rPr>
          <w:rFonts w:hint="eastAsia" w:ascii="仿宋_GB2312" w:hAnsi="仿宋_GB2312" w:eastAsia="仿宋_GB2312" w:cs="仿宋_GB2312"/>
          <w:color w:val="auto"/>
          <w:sz w:val="28"/>
          <w:szCs w:val="28"/>
          <w:lang w:val="en-US" w:eastAsia="zh-CN"/>
        </w:rPr>
        <w:t>落实乡镇级国土空间总体规划指标传导，建立单元-地块的发展指标体系</w:t>
      </w:r>
      <w:r>
        <w:rPr>
          <w:rFonts w:hint="default"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可以</w:t>
      </w:r>
      <w:r>
        <w:rPr>
          <w:rFonts w:hint="eastAsia" w:ascii="仿宋_GB2312" w:hAnsi="仿宋_GB2312" w:eastAsia="仿宋_GB2312" w:cs="仿宋_GB2312"/>
          <w:color w:val="auto"/>
          <w:sz w:val="28"/>
          <w:szCs w:val="28"/>
          <w:lang w:val="zh-CN" w:eastAsia="zh-CN"/>
        </w:rPr>
        <w:t>包括空间结构与效率、空间品质、基础保障、</w:t>
      </w:r>
      <w:r>
        <w:rPr>
          <w:rFonts w:hint="eastAsia" w:ascii="仿宋_GB2312" w:hAnsi="仿宋_GB2312" w:eastAsia="仿宋_GB2312" w:cs="仿宋_GB2312"/>
          <w:color w:val="auto"/>
          <w:sz w:val="28"/>
          <w:szCs w:val="28"/>
          <w:lang w:val="en-US" w:eastAsia="zh-CN"/>
        </w:rPr>
        <w:t>产业赋能等几个方面。</w:t>
      </w:r>
      <w:r>
        <w:rPr>
          <w:rFonts w:hint="default" w:ascii="仿宋_GB2312" w:hAnsi="仿宋_GB2312" w:eastAsia="仿宋_GB2312" w:cs="仿宋_GB2312"/>
          <w:color w:val="auto"/>
          <w:sz w:val="28"/>
          <w:szCs w:val="28"/>
          <w:lang w:val="zh-CN" w:eastAsia="zh-CN"/>
        </w:rPr>
        <w:t>强化常住人口规模、建设用地规模、建筑规模的管控，确保各项刚性管控要求有效落实。</w:t>
      </w:r>
    </w:p>
    <w:p w14:paraId="0A96E43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（4）城镇空间结构</w:t>
      </w:r>
    </w:p>
    <w:p w14:paraId="308B1F4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1）空间格局</w:t>
      </w:r>
    </w:p>
    <w:p w14:paraId="3CF1D7D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落实新型城镇化发展战略，构建“一核三轴多点”的县域城镇空间格局，突出核心引领，加强轴、带联动，强化多点支撑。“一核”即中心城区县域发展核心；“三轴”即以S311为支撑的中心城区—柳川—南加发展主轴，以S311、S202为支撑的中心城区—柳川—南哨发展主轴，以S505、S311、X830（提级）为支撑的南明—南哨—太拥发展次轴；“多点”即重点发展柳川镇、岑松镇、南加镇、南明镇、南哨镇，一般乡镇打造集镇区发展核心。构建中心城区、重点乡镇和一般乡镇三个层次规模等级结构。</w:t>
      </w:r>
    </w:p>
    <w:p w14:paraId="2B42FDE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2）等级规模</w:t>
      </w:r>
    </w:p>
    <w:p w14:paraId="09CCF5A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阿莎街道人口规模控制在5万～10万人。重点乡镇为柳川镇、岑松镇、南加镇、南明镇、南哨镇，人口规模控制在1万～3万人。革东镇、太拥镇、磻溪镇、久仰镇、南寨镇、观么镇、敏洞乡为一般乡镇，人口规模小于1万人。</w:t>
      </w:r>
    </w:p>
    <w:p w14:paraId="3260E1A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3）职能结构</w:t>
      </w:r>
    </w:p>
    <w:p w14:paraId="4BDACB4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将县域11个城镇职能类型划分为文化旅游型（革东镇、太拥镇、磻溪镇、南寨镇、敏洞乡）、旅游集贸型（柳川镇、南加镇、南哨镇）、农贸服务型（南明镇、久仰镇、观么镇）五种类型，加强重点乡镇的集聚和辐射作用，构建不同类型城镇互补协作、联动发展的职能结构。</w:t>
      </w:r>
    </w:p>
    <w:p w14:paraId="04666479">
      <w:pPr>
        <w:numPr>
          <w:ilvl w:val="0"/>
          <w:numId w:val="3"/>
        </w:numP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规划内容及深度要求</w:t>
      </w:r>
    </w:p>
    <w:p w14:paraId="0B853C5C">
      <w:pPr>
        <w:numPr>
          <w:ilvl w:val="0"/>
          <w:numId w:val="0"/>
        </w:num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2.1规划编制内容</w:t>
      </w:r>
    </w:p>
    <w:p w14:paraId="2F35EE0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2.1.1基础准备工作</w:t>
      </w:r>
    </w:p>
    <w:p w14:paraId="6C73B47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default" w:ascii="仿宋_GB2312" w:hAnsi="仿宋_GB2312" w:eastAsia="仿宋_GB2312" w:cs="仿宋_GB2312"/>
          <w:color w:val="auto"/>
          <w:sz w:val="28"/>
          <w:szCs w:val="28"/>
          <w:lang w:val="en-US" w:eastAsia="zh-CN"/>
        </w:rPr>
        <w:t>现状规划评估</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有详细规划覆盖的区域，应先行开展规划实施情况评估，梳理核心问题，剖析问题原因，提出规划的优化建议，确定详细规划修编重点。</w:t>
      </w:r>
    </w:p>
    <w:p w14:paraId="3C83F2BE">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开展现状调查</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结合国土“三调”变更调查、影像、城市体检评估、起底大调查等数据，总结现状特征，分析存在问题和发展条件。</w:t>
      </w:r>
    </w:p>
    <w:p w14:paraId="2228D130">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统一底数底图</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统-采用国家2000大地坐标系、1985国家高程基准作为空间定位基础，在现状调查和地类补充细化调查基础上完成基数转换工作，形成以二、三级用地分类为主的土地利用现状数据和工作底图。</w:t>
      </w:r>
    </w:p>
    <w:p w14:paraId="39AB838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2.1.2单元规划</w:t>
      </w:r>
    </w:p>
    <w:p w14:paraId="5FDF711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（1）落实总体规划，衔接专项规划：落实总体规划确定的底线约束、功能定位、规模控制等管控要求。并衔接相关专项规划确定的空间安排利用。</w:t>
      </w:r>
    </w:p>
    <w:p w14:paraId="7BA2102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（2）目标定位与规模控制:明确单元的四至范围、发展目标和功能定位合理常住人口和服务人口、规模容量等主要内容。</w:t>
      </w:r>
    </w:p>
    <w:p w14:paraId="37EB365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（3）专项支撑:优先落实上位空间布局安排，合理确定居住、产业、公共服务、市政公用、交通、综合防灾、绿地与开敞空间、城市四线等规划布局和控制要求。</w:t>
      </w:r>
    </w:p>
    <w:p w14:paraId="13A8E4B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（4）强化技术支撑:落实和细化上位规划、专项规划对城市设计、城市更新、地下空间开发利用等的引导与管控。</w:t>
      </w:r>
    </w:p>
    <w:p w14:paraId="147D99C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（5）规划统筹:与周边单元在交通、廊道控制、设施共享等方面的协调。</w:t>
      </w:r>
    </w:p>
    <w:p w14:paraId="23A18AF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（6）地块划分:形成空间布局结构性方案，并在此基础上进行地块划分。</w:t>
      </w:r>
    </w:p>
    <w:p w14:paraId="593FD52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2.1.3地块规划</w:t>
      </w:r>
    </w:p>
    <w:p w14:paraId="770F0EA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default" w:ascii="仿宋_GB2312" w:hAnsi="仿宋_GB2312" w:eastAsia="仿宋_GB2312" w:cs="仿宋_GB2312"/>
          <w:color w:val="auto"/>
          <w:sz w:val="28"/>
          <w:szCs w:val="28"/>
          <w:lang w:val="en-US" w:eastAsia="zh-CN"/>
        </w:rPr>
        <w:t>落实单元规划的传导内容，核实土地权属，划定地块边界，确定地块编号，明确土地使用性质及其兼容性等用地功能控制要求</w:t>
      </w:r>
      <w:r>
        <w:rPr>
          <w:rFonts w:hint="eastAsia" w:ascii="仿宋_GB2312" w:hAnsi="仿宋_GB2312" w:eastAsia="仿宋_GB2312" w:cs="仿宋_GB2312"/>
          <w:color w:val="auto"/>
          <w:sz w:val="28"/>
          <w:szCs w:val="28"/>
          <w:lang w:val="en-US" w:eastAsia="zh-CN"/>
        </w:rPr>
        <w:t>。</w:t>
      </w:r>
    </w:p>
    <w:p w14:paraId="44FC9C8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default" w:ascii="仿宋_GB2312" w:hAnsi="仿宋_GB2312" w:eastAsia="仿宋_GB2312" w:cs="仿宋_GB2312"/>
          <w:color w:val="auto"/>
          <w:sz w:val="28"/>
          <w:szCs w:val="28"/>
          <w:lang w:val="en-US" w:eastAsia="zh-CN"/>
        </w:rPr>
        <w:t>确定地块的人口容量、建筑高度、建筑密度、容积率、绿地率等指标，明确交通出入口方位、机动车停车位(含充电)建筑后退红线距离、混合用地地块内不同功能比例等要求。</w:t>
      </w:r>
    </w:p>
    <w:p w14:paraId="721ED1A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default" w:ascii="仿宋_GB2312" w:hAnsi="仿宋_GB2312" w:eastAsia="仿宋_GB2312" w:cs="仿宋_GB2312"/>
          <w:color w:val="auto"/>
          <w:sz w:val="28"/>
          <w:szCs w:val="28"/>
          <w:lang w:val="en-US" w:eastAsia="zh-CN"/>
        </w:rPr>
        <w:t>细化完善道路系统、公共服务及市政公用设施配置、城市设计要求等内容</w:t>
      </w:r>
      <w:r>
        <w:rPr>
          <w:rFonts w:hint="eastAsia" w:ascii="仿宋_GB2312" w:hAnsi="仿宋_GB2312" w:eastAsia="仿宋_GB2312" w:cs="仿宋_GB2312"/>
          <w:color w:val="auto"/>
          <w:sz w:val="28"/>
          <w:szCs w:val="28"/>
          <w:lang w:val="en-US" w:eastAsia="zh-CN"/>
        </w:rPr>
        <w:t>。</w:t>
      </w:r>
    </w:p>
    <w:p w14:paraId="6F389EB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r>
        <w:rPr>
          <w:rFonts w:hint="default" w:ascii="仿宋_GB2312" w:hAnsi="仿宋_GB2312" w:eastAsia="仿宋_GB2312" w:cs="仿宋_GB2312"/>
          <w:color w:val="auto"/>
          <w:sz w:val="28"/>
          <w:szCs w:val="28"/>
          <w:lang w:val="en-US" w:eastAsia="zh-CN"/>
        </w:rPr>
        <w:t>明确士地使用管理通则，规定各类用地内适建、不适建或者有条件允许建设的建筑类型</w:t>
      </w:r>
      <w:r>
        <w:rPr>
          <w:rFonts w:hint="eastAsia" w:ascii="仿宋_GB2312" w:hAnsi="仿宋_GB2312" w:eastAsia="仿宋_GB2312" w:cs="仿宋_GB2312"/>
          <w:color w:val="auto"/>
          <w:sz w:val="28"/>
          <w:szCs w:val="28"/>
          <w:lang w:val="en-US" w:eastAsia="zh-CN"/>
        </w:rPr>
        <w:t>。</w:t>
      </w:r>
    </w:p>
    <w:p w14:paraId="4298774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r>
        <w:rPr>
          <w:rFonts w:hint="default" w:ascii="仿宋_GB2312" w:hAnsi="仿宋_GB2312" w:eastAsia="仿宋_GB2312" w:cs="仿宋_GB2312"/>
          <w:color w:val="auto"/>
          <w:sz w:val="28"/>
          <w:szCs w:val="28"/>
          <w:lang w:val="en-US" w:eastAsia="zh-CN"/>
        </w:rPr>
        <w:t>明确地块出让、转让、拆分等规定，容积率奖励和补偿规定市政公用设施、交通设施的配置和管理要求，建设开发时序等有关通用的规定。</w:t>
      </w:r>
    </w:p>
    <w:p w14:paraId="0EB5574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2.2规划编制深度</w:t>
      </w:r>
    </w:p>
    <w:p w14:paraId="0A984D6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2.2.1严格落实总体规划</w:t>
      </w:r>
    </w:p>
    <w:p w14:paraId="4DA388F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color w:val="auto"/>
        </w:rPr>
      </w:pPr>
      <w:r>
        <w:rPr>
          <w:rFonts w:hint="default" w:ascii="仿宋_GB2312" w:hAnsi="仿宋_GB2312" w:eastAsia="仿宋_GB2312" w:cs="仿宋_GB2312"/>
          <w:color w:val="auto"/>
          <w:sz w:val="28"/>
          <w:szCs w:val="28"/>
          <w:lang w:val="en-US" w:eastAsia="zh-CN"/>
        </w:rPr>
        <w:t>按照总体规划确定的空间结构、规划分区、</w:t>
      </w:r>
      <w:r>
        <w:rPr>
          <w:rFonts w:hint="eastAsia" w:ascii="仿宋_GB2312" w:hAnsi="仿宋_GB2312" w:eastAsia="仿宋_GB2312" w:cs="仿宋_GB2312"/>
          <w:color w:val="auto"/>
          <w:sz w:val="28"/>
          <w:szCs w:val="28"/>
          <w:lang w:val="en-US" w:eastAsia="zh-CN"/>
        </w:rPr>
        <w:t>控制边界等，深化细化历史文化保护、结构性绿地和开敞空间、重要公共管理与公共服务设施、重大交通设施、重大安全设施、重大市政公用设施等具体范围及管控要求，合理确定各类用地边界。</w:t>
      </w:r>
    </w:p>
    <w:p w14:paraId="6F5679F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2.2.2统筹落实专项规划</w:t>
      </w:r>
    </w:p>
    <w:p w14:paraId="56F9E2E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color w:val="auto"/>
          <w:sz w:val="28"/>
          <w:szCs w:val="28"/>
          <w:lang w:val="en-US" w:eastAsia="zh-CN"/>
        </w:rPr>
      </w:pPr>
      <w:r>
        <w:rPr>
          <w:rFonts w:hint="default" w:ascii="仿宋_GB2312" w:hAnsi="仿宋_GB2312" w:eastAsia="仿宋_GB2312" w:cs="仿宋_GB2312"/>
          <w:color w:val="auto"/>
          <w:sz w:val="28"/>
          <w:szCs w:val="28"/>
          <w:lang w:val="en-US" w:eastAsia="zh-CN"/>
        </w:rPr>
        <w:t>加强与相关专项规划的衔接，综合协调各类专项规划涉</w:t>
      </w:r>
      <w:r>
        <w:rPr>
          <w:rFonts w:hint="eastAsia" w:ascii="仿宋_GB2312" w:hAnsi="仿宋_GB2312" w:eastAsia="仿宋_GB2312" w:cs="仿宋_GB2312"/>
          <w:color w:val="auto"/>
          <w:sz w:val="28"/>
          <w:szCs w:val="28"/>
          <w:lang w:val="en-US" w:eastAsia="zh-CN"/>
        </w:rPr>
        <w:t>及空间利用的主要内容，落实各项设施用地布局及控制要求，细化城市控制线范围，加强空间管控。衔接水利水务、蓝绿空间、公共管理与公共服务、综合交通、市政公用、防灾减灾等相关专项规划，统筹落实各类设施用地布局和规模。</w:t>
      </w:r>
    </w:p>
    <w:p w14:paraId="5E509BE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2.2.3加强城市设计研究</w:t>
      </w:r>
    </w:p>
    <w:p w14:paraId="273E63A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color w:val="auto"/>
        </w:rPr>
      </w:pPr>
      <w:r>
        <w:rPr>
          <w:rFonts w:hint="default" w:ascii="仿宋_GB2312" w:hAnsi="仿宋_GB2312" w:eastAsia="仿宋_GB2312" w:cs="仿宋_GB2312"/>
          <w:color w:val="auto"/>
          <w:sz w:val="28"/>
          <w:szCs w:val="28"/>
          <w:lang w:val="en-US" w:eastAsia="zh-CN"/>
        </w:rPr>
        <w:t>按照《国土空间规划城市设计指南》要求，加强详细规</w:t>
      </w:r>
      <w:r>
        <w:rPr>
          <w:rFonts w:hint="eastAsia" w:ascii="仿宋_GB2312" w:hAnsi="仿宋_GB2312" w:eastAsia="仿宋_GB2312" w:cs="仿宋_GB2312"/>
          <w:color w:val="auto"/>
          <w:sz w:val="28"/>
          <w:szCs w:val="28"/>
          <w:lang w:val="en-US" w:eastAsia="zh-CN"/>
        </w:rPr>
        <w:t>划中城市设计方法运用。依据总体规划和相关专项规划确定的城市风貌特色定位、空间景观系统、重点地区分布、开发强度分区等控制指引内容，针对廊道、节点、特色地段等重点控制区，围绕交通组织、建筑布局、开放空间、景观风貌、建筑色彩、第五立面、天际线、地上地下复合开发、竖向管控等，提出空间形态引导和相应图则增补等方面编制要求。</w:t>
      </w:r>
    </w:p>
    <w:p w14:paraId="65B56EA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2.2.4多渠道保障公众参与</w:t>
      </w:r>
    </w:p>
    <w:p w14:paraId="6147EFD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color w:val="auto"/>
          <w:sz w:val="28"/>
          <w:szCs w:val="28"/>
          <w:lang w:val="en-US" w:eastAsia="zh-CN"/>
        </w:rPr>
      </w:pPr>
      <w:r>
        <w:rPr>
          <w:rFonts w:hint="eastAsia" w:ascii="仿宋_GB2312" w:hAnsi="仿宋_GB2312" w:eastAsia="仿宋_GB2312" w:cs="仿宋_GB2312"/>
          <w:color w:val="auto"/>
          <w:sz w:val="28"/>
          <w:szCs w:val="28"/>
          <w:lang w:val="en-US" w:eastAsia="zh-CN"/>
        </w:rPr>
        <w:t>尊重多元主体的合法权益，遵循公平、公正、公开的原则，在规划评估、方案编制、草案公告、成果公示等阶段，通过调查问卷、信息交互、两微一端等形式，强化规划编制全过程的公众参与，保障公众知情权、参与权和监督权。鼓励支持社区自治组织、社区规划师等参与规划编制全过程，协调各方诉求，保障公共利益。</w:t>
      </w:r>
    </w:p>
    <w:p w14:paraId="1FE20B7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2.2.5强化土地开发策划</w:t>
      </w:r>
    </w:p>
    <w:p w14:paraId="0BE89A0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统筹考虑士地综合开发、存量盘活、低效再开发利用、城市更新、老旧小区改造等实际需求，合理布局各类用地和设施，提升空间利用效益。</w:t>
      </w:r>
    </w:p>
    <w:p w14:paraId="2EE2ED5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2.2.6倡导用地功能混合</w:t>
      </w:r>
    </w:p>
    <w:p w14:paraId="4CC958A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支持城市功能品质提升，鼓励功能用途关联度高、社会需求强烈、环境要求相似、相互之间没有不利影响的用地混合设置，倡导公共活动中心区、交通枢纽区加强用地功能混合，提高空间利用效率。功能用途相互干扰、环境要求相斥的用地之间一般不得混合。详细规划中混合用地可采用两种或两种以上用地分类代码组合表达的方式，即“主导用途+兼容用途”的表达方式。</w:t>
      </w:r>
    </w:p>
    <w:p w14:paraId="3DDCEBF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2.2.7分类管控留白用地</w:t>
      </w:r>
    </w:p>
    <w:p w14:paraId="3CA1F95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color w:val="auto"/>
          <w:sz w:val="28"/>
          <w:szCs w:val="28"/>
          <w:lang w:val="en-US" w:eastAsia="zh-CN"/>
        </w:rPr>
      </w:pPr>
      <w:r>
        <w:rPr>
          <w:rFonts w:hint="eastAsia" w:ascii="仿宋_GB2312" w:hAnsi="仿宋_GB2312" w:eastAsia="仿宋_GB2312" w:cs="仿宋_GB2312"/>
          <w:color w:val="auto"/>
          <w:sz w:val="28"/>
          <w:szCs w:val="28"/>
          <w:lang w:val="en-US" w:eastAsia="zh-CN"/>
        </w:rPr>
        <w:t>总体规划确定的战略性留白用地，宜单独划分为一个单元或地块，适时开展详细规划编制。留白用地在发展意图未明确时，详细规划应延续总体规划管控要求，规模不扩大，布局不调整，其范围内现状建设用地原则上以拆除或维持现状为主；发展意图明确时，详细规划按照具体用途进行规划管控。</w:t>
      </w:r>
    </w:p>
    <w:p w14:paraId="567C429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2.2.8重点地区编制要求</w:t>
      </w:r>
    </w:p>
    <w:p w14:paraId="109764C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重点地区在详细规划编制时，应根据区域类型特征，加强精细化研究，突出相应控制要素，细化相关管控要求。城市更新区域应强化更新范围和更新方式的衔接，关注土地整备、土地置换、畸零地处理、更新改造项目土地移交、配套建设等要求，注重经济平衡和空间统筹。历史文化保护区域要依据历史文化保护相关要求，落实好核心保护范围、建设控制地带的建设管控与风貌控制，并加强周边区域的协调管控。沿山滨水景观区域要加强与相邻生态空间、自然资源保护与管控要求的衔接，协调优化建设空间与山水资源的格局和形态关系，明确景观廊道、视线通廊等管控要求。其他城市核心区、新城新区、重要街道、重要民族文化活动区、重要交通枢纽区等城市重点地区，可结合其特殊管控要求，在公共空间序列、视线廊道骨架、景观系统框架等内容上明确具有针对性的规划管控要求和城市设计引导。</w:t>
      </w:r>
    </w:p>
    <w:p w14:paraId="5BBB997A">
      <w:pPr>
        <w:numPr>
          <w:ilvl w:val="0"/>
          <w:numId w:val="3"/>
        </w:numP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规划成果要求</w:t>
      </w:r>
    </w:p>
    <w:p w14:paraId="2ABAD55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3.1文本</w:t>
      </w:r>
    </w:p>
    <w:p w14:paraId="3173136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color w:val="auto"/>
        </w:rPr>
      </w:pPr>
      <w:r>
        <w:rPr>
          <w:rFonts w:hint="eastAsia" w:ascii="仿宋_GB2312" w:hAnsi="仿宋_GB2312" w:eastAsia="仿宋_GB2312" w:cs="仿宋_GB2312"/>
          <w:color w:val="auto"/>
          <w:sz w:val="28"/>
          <w:szCs w:val="28"/>
          <w:lang w:val="en-US" w:eastAsia="zh-CN"/>
        </w:rPr>
        <w:t>规划文本应当以条文格式准确规范、简明扼要表述规划结论，明确规划强制性内容。单元规划和地块规划文本可合并编写，内容主要包括总则、目标策略、总体规模、空间结构和用地布局、居住用地布局、产业用地布局、公共管理与公共服务设施、商业服务设施、市政公用设施、综合交通体系、蓝绿空间系统、地下空间开发利用、综合防灾系统、城市设计引导、城市控制线、环境影响评价、规划实施与管理、附则、附表以及其他内容。</w:t>
      </w:r>
    </w:p>
    <w:p w14:paraId="3FECA14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3.2图件</w:t>
      </w:r>
    </w:p>
    <w:p w14:paraId="47B4BB6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3.2.1单元规划</w:t>
      </w:r>
    </w:p>
    <w:p w14:paraId="0EB0D49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default" w:ascii="仿宋_GB2312" w:hAnsi="仿宋_GB2312" w:eastAsia="仿宋_GB2312" w:cs="仿宋_GB2312"/>
          <w:color w:val="auto"/>
          <w:sz w:val="28"/>
          <w:szCs w:val="28"/>
          <w:lang w:val="en-US" w:eastAsia="zh-CN"/>
        </w:rPr>
        <w:t>单元划分图</w:t>
      </w:r>
    </w:p>
    <w:p w14:paraId="6FCB211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default" w:ascii="仿宋_GB2312" w:hAnsi="仿宋_GB2312" w:eastAsia="仿宋_GB2312" w:cs="仿宋_GB2312"/>
          <w:color w:val="auto"/>
          <w:sz w:val="28"/>
          <w:szCs w:val="28"/>
          <w:lang w:val="en-US" w:eastAsia="zh-CN"/>
        </w:rPr>
        <w:t>土地使用现状图</w:t>
      </w:r>
    </w:p>
    <w:p w14:paraId="12EA70B4">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default" w:ascii="仿宋_GB2312" w:hAnsi="仿宋_GB2312" w:eastAsia="仿宋_GB2312" w:cs="仿宋_GB2312"/>
          <w:color w:val="auto"/>
          <w:sz w:val="28"/>
          <w:szCs w:val="28"/>
          <w:lang w:val="en-US" w:eastAsia="zh-CN"/>
        </w:rPr>
        <w:t>土地权属情况图</w:t>
      </w:r>
    </w:p>
    <w:p w14:paraId="2A34A0D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r>
        <w:rPr>
          <w:rFonts w:hint="default" w:ascii="仿宋_GB2312" w:hAnsi="仿宋_GB2312" w:eastAsia="仿宋_GB2312" w:cs="仿宋_GB2312"/>
          <w:color w:val="auto"/>
          <w:sz w:val="28"/>
          <w:szCs w:val="28"/>
          <w:lang w:val="en-US" w:eastAsia="zh-CN"/>
        </w:rPr>
        <w:t>土地使用规划图</w:t>
      </w:r>
    </w:p>
    <w:p w14:paraId="14562E4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r>
        <w:rPr>
          <w:rFonts w:hint="default" w:ascii="仿宋_GB2312" w:hAnsi="仿宋_GB2312" w:eastAsia="仿宋_GB2312" w:cs="仿宋_GB2312"/>
          <w:color w:val="auto"/>
          <w:sz w:val="28"/>
          <w:szCs w:val="28"/>
          <w:lang w:val="en-US" w:eastAsia="zh-CN"/>
        </w:rPr>
        <w:t>居住用地规划图</w:t>
      </w:r>
    </w:p>
    <w:p w14:paraId="2C68149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default" w:ascii="仿宋_GB2312" w:hAnsi="仿宋_GB2312" w:eastAsia="仿宋_GB2312" w:cs="仿宋_GB2312"/>
          <w:color w:val="auto"/>
          <w:sz w:val="28"/>
          <w:szCs w:val="28"/>
          <w:lang w:val="en-US" w:eastAsia="zh-CN"/>
        </w:rPr>
        <w:t>公共服务设施规划图</w:t>
      </w:r>
    </w:p>
    <w:p w14:paraId="5B7281A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default" w:ascii="仿宋_GB2312" w:hAnsi="仿宋_GB2312" w:eastAsia="仿宋_GB2312" w:cs="仿宋_GB2312"/>
          <w:color w:val="auto"/>
          <w:sz w:val="28"/>
          <w:szCs w:val="28"/>
          <w:lang w:val="en-US" w:eastAsia="zh-CN"/>
        </w:rPr>
        <w:t>商业服务业设施规划图</w:t>
      </w:r>
    </w:p>
    <w:p w14:paraId="78E553A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r>
        <w:rPr>
          <w:rFonts w:hint="default" w:ascii="仿宋_GB2312" w:hAnsi="仿宋_GB2312" w:eastAsia="仿宋_GB2312" w:cs="仿宋_GB2312"/>
          <w:color w:val="auto"/>
          <w:sz w:val="28"/>
          <w:szCs w:val="28"/>
          <w:lang w:val="en-US" w:eastAsia="zh-CN"/>
        </w:rPr>
        <w:t>市政公用设施规划图</w:t>
      </w:r>
    </w:p>
    <w:p w14:paraId="0E2620E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default" w:ascii="仿宋_GB2312" w:hAnsi="仿宋_GB2312" w:eastAsia="仿宋_GB2312" w:cs="仿宋_GB2312"/>
          <w:color w:val="auto"/>
          <w:sz w:val="28"/>
          <w:szCs w:val="28"/>
          <w:lang w:val="en-US" w:eastAsia="zh-CN"/>
        </w:rPr>
        <w:t>综合交通规划图</w:t>
      </w:r>
    </w:p>
    <w:p w14:paraId="11873B9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r>
        <w:rPr>
          <w:rFonts w:hint="default" w:ascii="仿宋_GB2312" w:hAnsi="仿宋_GB2312" w:eastAsia="仿宋_GB2312" w:cs="仿宋_GB2312"/>
          <w:color w:val="auto"/>
          <w:sz w:val="28"/>
          <w:szCs w:val="28"/>
          <w:lang w:val="en-US" w:eastAsia="zh-CN"/>
        </w:rPr>
        <w:t>竖向规划图</w:t>
      </w:r>
    </w:p>
    <w:p w14:paraId="7B02C45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w:t>
      </w:r>
      <w:r>
        <w:rPr>
          <w:rFonts w:hint="default" w:ascii="仿宋_GB2312" w:hAnsi="仿宋_GB2312" w:eastAsia="仿宋_GB2312" w:cs="仿宋_GB2312"/>
          <w:color w:val="auto"/>
          <w:sz w:val="28"/>
          <w:szCs w:val="28"/>
          <w:lang w:val="en-US" w:eastAsia="zh-CN"/>
        </w:rPr>
        <w:t>绿地水系规划图</w:t>
      </w:r>
    </w:p>
    <w:p w14:paraId="5237659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w:t>
      </w:r>
      <w:r>
        <w:rPr>
          <w:rFonts w:hint="default" w:ascii="仿宋_GB2312" w:hAnsi="仿宋_GB2312" w:eastAsia="仿宋_GB2312" w:cs="仿宋_GB2312"/>
          <w:color w:val="auto"/>
          <w:sz w:val="28"/>
          <w:szCs w:val="28"/>
          <w:lang w:val="en-US" w:eastAsia="zh-CN"/>
        </w:rPr>
        <w:t>地下空间开发利用规划图</w:t>
      </w:r>
    </w:p>
    <w:p w14:paraId="7FBE642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w:t>
      </w:r>
      <w:r>
        <w:rPr>
          <w:rFonts w:hint="default" w:ascii="仿宋_GB2312" w:hAnsi="仿宋_GB2312" w:eastAsia="仿宋_GB2312" w:cs="仿宋_GB2312"/>
          <w:color w:val="auto"/>
          <w:sz w:val="28"/>
          <w:szCs w:val="28"/>
          <w:lang w:val="en-US" w:eastAsia="zh-CN"/>
        </w:rPr>
        <w:t>综合防灾规划图</w:t>
      </w:r>
    </w:p>
    <w:p w14:paraId="04D88B8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w:t>
      </w:r>
      <w:r>
        <w:rPr>
          <w:rFonts w:hint="default" w:ascii="仿宋_GB2312" w:hAnsi="仿宋_GB2312" w:eastAsia="仿宋_GB2312" w:cs="仿宋_GB2312"/>
          <w:color w:val="auto"/>
          <w:sz w:val="28"/>
          <w:szCs w:val="28"/>
          <w:lang w:val="en-US" w:eastAsia="zh-CN"/>
        </w:rPr>
        <w:t>开发强度分区规划图</w:t>
      </w:r>
    </w:p>
    <w:p w14:paraId="537B9A0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（16）</w:t>
      </w:r>
      <w:r>
        <w:rPr>
          <w:rFonts w:hint="default" w:ascii="仿宋_GB2312" w:hAnsi="仿宋_GB2312" w:eastAsia="仿宋_GB2312" w:cs="仿宋_GB2312"/>
          <w:color w:val="auto"/>
          <w:sz w:val="28"/>
          <w:szCs w:val="28"/>
          <w:lang w:val="en-US" w:eastAsia="zh-CN"/>
        </w:rPr>
        <w:t>建筑高度分区规划图</w:t>
      </w:r>
    </w:p>
    <w:p w14:paraId="61D5D65C">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w:t>
      </w:r>
      <w:r>
        <w:rPr>
          <w:rFonts w:hint="default" w:ascii="仿宋_GB2312" w:hAnsi="仿宋_GB2312" w:eastAsia="仿宋_GB2312" w:cs="仿宋_GB2312"/>
          <w:color w:val="auto"/>
          <w:sz w:val="28"/>
          <w:szCs w:val="28"/>
          <w:lang w:val="en-US" w:eastAsia="zh-CN"/>
        </w:rPr>
        <w:t>“城市控制线”规划图</w:t>
      </w:r>
    </w:p>
    <w:p w14:paraId="1DC7735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w:t>
      </w:r>
      <w:r>
        <w:rPr>
          <w:rFonts w:hint="default" w:ascii="仿宋_GB2312" w:hAnsi="仿宋_GB2312" w:eastAsia="仿宋_GB2312" w:cs="仿宋_GB2312"/>
          <w:color w:val="auto"/>
          <w:sz w:val="28"/>
          <w:szCs w:val="28"/>
          <w:lang w:val="en-US" w:eastAsia="zh-CN"/>
        </w:rPr>
        <w:t>地块划分图</w:t>
      </w:r>
    </w:p>
    <w:p w14:paraId="2BAF536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3.2.2地块规划</w:t>
      </w:r>
    </w:p>
    <w:p w14:paraId="5A58DC9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default" w:ascii="仿宋_GB2312" w:hAnsi="仿宋_GB2312" w:eastAsia="仿宋_GB2312" w:cs="仿宋_GB2312"/>
          <w:color w:val="auto"/>
          <w:sz w:val="28"/>
          <w:szCs w:val="28"/>
          <w:lang w:val="en-US" w:eastAsia="zh-CN"/>
        </w:rPr>
        <w:t>地块土地使用现状图</w:t>
      </w:r>
    </w:p>
    <w:p w14:paraId="5740DC4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default" w:ascii="仿宋_GB2312" w:hAnsi="仿宋_GB2312" w:eastAsia="仿宋_GB2312" w:cs="仿宋_GB2312"/>
          <w:color w:val="auto"/>
          <w:sz w:val="28"/>
          <w:szCs w:val="28"/>
          <w:lang w:val="en-US" w:eastAsia="zh-CN"/>
        </w:rPr>
        <w:t>地块土地权属情况图</w:t>
      </w:r>
    </w:p>
    <w:p w14:paraId="4F78B814">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default" w:ascii="仿宋_GB2312" w:hAnsi="仿宋_GB2312" w:eastAsia="仿宋_GB2312" w:cs="仿宋_GB2312"/>
          <w:color w:val="auto"/>
          <w:sz w:val="28"/>
          <w:szCs w:val="28"/>
          <w:lang w:val="en-US" w:eastAsia="zh-CN"/>
        </w:rPr>
        <w:t>地块土地使用规划图</w:t>
      </w:r>
    </w:p>
    <w:p w14:paraId="3745B8B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r>
        <w:rPr>
          <w:rFonts w:hint="default" w:ascii="仿宋_GB2312" w:hAnsi="仿宋_GB2312" w:eastAsia="仿宋_GB2312" w:cs="仿宋_GB2312"/>
          <w:color w:val="auto"/>
          <w:sz w:val="28"/>
          <w:szCs w:val="28"/>
          <w:lang w:val="en-US" w:eastAsia="zh-CN"/>
        </w:rPr>
        <w:t>地块道路系统规划图</w:t>
      </w:r>
    </w:p>
    <w:p w14:paraId="4328BA9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r>
        <w:rPr>
          <w:rFonts w:hint="default" w:ascii="仿宋_GB2312" w:hAnsi="仿宋_GB2312" w:eastAsia="仿宋_GB2312" w:cs="仿宋_GB2312"/>
          <w:color w:val="auto"/>
          <w:sz w:val="28"/>
          <w:szCs w:val="28"/>
          <w:lang w:val="en-US" w:eastAsia="zh-CN"/>
        </w:rPr>
        <w:t>地块公共服务设施规划图</w:t>
      </w:r>
    </w:p>
    <w:p w14:paraId="58038E0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default" w:ascii="仿宋_GB2312" w:hAnsi="仿宋_GB2312" w:eastAsia="仿宋_GB2312" w:cs="仿宋_GB2312"/>
          <w:color w:val="auto"/>
          <w:sz w:val="28"/>
          <w:szCs w:val="28"/>
          <w:lang w:val="en-US" w:eastAsia="zh-CN"/>
        </w:rPr>
        <w:t>地块市政公用设施规划图</w:t>
      </w:r>
    </w:p>
    <w:p w14:paraId="12A0810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default" w:ascii="仿宋_GB2312" w:hAnsi="仿宋_GB2312" w:eastAsia="仿宋_GB2312" w:cs="仿宋_GB2312"/>
          <w:color w:val="auto"/>
          <w:sz w:val="28"/>
          <w:szCs w:val="28"/>
          <w:lang w:val="en-US" w:eastAsia="zh-CN"/>
        </w:rPr>
        <w:t>地块城市设计引导图</w:t>
      </w:r>
    </w:p>
    <w:p w14:paraId="470ED2C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r>
        <w:rPr>
          <w:rFonts w:hint="default" w:ascii="仿宋_GB2312" w:hAnsi="仿宋_GB2312" w:eastAsia="仿宋_GB2312" w:cs="仿宋_GB2312"/>
          <w:color w:val="auto"/>
          <w:sz w:val="28"/>
          <w:szCs w:val="28"/>
          <w:lang w:val="en-US" w:eastAsia="zh-CN"/>
        </w:rPr>
        <w:t>地块图则</w:t>
      </w:r>
    </w:p>
    <w:p w14:paraId="7D08A8A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3.3附件</w:t>
      </w:r>
    </w:p>
    <w:p w14:paraId="2E7390A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规划附件包含规划说明、现状资料分析汇总、必要的研究报告、相关文件汇编等内容。</w:t>
      </w:r>
    </w:p>
    <w:p w14:paraId="28DAC30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3.4数据库</w:t>
      </w:r>
    </w:p>
    <w:p w14:paraId="5E3E308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规划批准之日起</w:t>
      </w:r>
      <w:r>
        <w:rPr>
          <w:rFonts w:hint="default"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en-US" w:eastAsia="zh-CN"/>
        </w:rPr>
        <w:t>个工作日内，规划成果应通过</w:t>
      </w:r>
      <w:r>
        <w:rPr>
          <w:rFonts w:hint="default"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上墙、上网</w:t>
      </w:r>
      <w:r>
        <w:rPr>
          <w:rFonts w:hint="default"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等多种方式公开，</w:t>
      </w:r>
      <w:r>
        <w:rPr>
          <w:rFonts w:hint="default"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lang w:val="en-US" w:eastAsia="zh-CN"/>
        </w:rPr>
        <w:t>个工作日内，规划成果逐级汇交至省自然资源厅，叠加到国土空间规划</w:t>
      </w:r>
      <w:r>
        <w:rPr>
          <w:rFonts w:hint="default"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一张图</w:t>
      </w:r>
      <w:r>
        <w:rPr>
          <w:rFonts w:hint="default"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上。</w:t>
      </w:r>
    </w:p>
    <w:p w14:paraId="567D88B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汇交要求在贵州省国土空间规划“一张图”实施监督信息系统建设要求中明确。</w:t>
      </w:r>
    </w:p>
    <w:p w14:paraId="0007666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p>
    <w:p w14:paraId="4684AA3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p>
    <w:p w14:paraId="644D9CC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28"/>
          <w:szCs w:val="28"/>
          <w:lang w:val="en-US" w:eastAsia="zh-CN"/>
        </w:rPr>
      </w:pPr>
      <w:permStart w:id="0" w:edGrp="everyone"/>
      <w:permEnd w:id="0"/>
    </w:p>
    <w:p w14:paraId="6D889284">
      <w:pPr>
        <w:keepNext w:val="0"/>
        <w:keepLines w:val="0"/>
        <w:pageBreakBefore w:val="0"/>
        <w:wordWrap/>
        <w:overflowPunct/>
        <w:topLinePunct w:val="0"/>
        <w:bidi w:val="0"/>
        <w:spacing w:line="560" w:lineRule="exact"/>
        <w:ind w:firstLine="2844" w:firstLineChars="900"/>
        <w:outlineLvl w:val="2"/>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第二节 商务要求</w:t>
      </w:r>
    </w:p>
    <w:p w14:paraId="3B60ADFB">
      <w:pPr>
        <w:keepNext w:val="0"/>
        <w:keepLines w:val="0"/>
        <w:pageBreakBefore w:val="0"/>
        <w:wordWrap/>
        <w:overflowPunct/>
        <w:topLinePunct w:val="0"/>
        <w:bidi w:val="0"/>
        <w:spacing w:line="560" w:lineRule="exact"/>
        <w:ind w:left="0"/>
        <w:rPr>
          <w:rFonts w:hint="eastAsia" w:ascii="仿宋_GB2312" w:hAnsi="仿宋_GB2312" w:eastAsia="仿宋_GB2312" w:cs="仿宋_GB2312"/>
          <w:sz w:val="32"/>
          <w:szCs w:val="32"/>
          <w:highlight w:val="none"/>
        </w:rPr>
      </w:pPr>
    </w:p>
    <w:p w14:paraId="27192B0B">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一、服务时间及地点</w:t>
      </w:r>
    </w:p>
    <w:p w14:paraId="07DA4E09">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firstLine="660" w:firstLineChars="200"/>
        <w:jc w:val="both"/>
        <w:textAlignment w:val="baseline"/>
        <w:rPr>
          <w:rFonts w:hint="default" w:ascii="仿宋_GB2312" w:hAnsi="仿宋_GB2312" w:eastAsia="仿宋_GB2312" w:cs="仿宋_GB2312"/>
          <w:b w:val="0"/>
          <w:snapToGrid w:val="0"/>
          <w:color w:val="000000"/>
          <w:spacing w:val="5"/>
          <w:kern w:val="0"/>
          <w:sz w:val="32"/>
          <w:szCs w:val="32"/>
          <w:highlight w:val="none"/>
          <w:lang w:val="en-US" w:eastAsia="zh-CN"/>
        </w:rPr>
      </w:pPr>
      <w:r>
        <w:rPr>
          <w:rFonts w:hint="eastAsia" w:ascii="仿宋_GB2312" w:hAnsi="仿宋_GB2312" w:eastAsia="仿宋_GB2312" w:cs="仿宋_GB2312"/>
          <w:b w:val="0"/>
          <w:snapToGrid w:val="0"/>
          <w:color w:val="000000"/>
          <w:spacing w:val="5"/>
          <w:kern w:val="0"/>
          <w:sz w:val="32"/>
          <w:szCs w:val="32"/>
          <w:highlight w:val="none"/>
          <w:lang w:val="en-US" w:eastAsia="zh-CN"/>
        </w:rPr>
        <w:t>服务期：签订合同后365日历天内提交成果文件，但重点镇签合同后180天内提交成果文件。</w:t>
      </w:r>
    </w:p>
    <w:p w14:paraId="7FABDB12">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firstLine="660" w:firstLineChars="20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服务地点：采购人指定地点</w:t>
      </w:r>
    </w:p>
    <w:p w14:paraId="6ED983D9">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二、验收标准、规范</w:t>
      </w:r>
    </w:p>
    <w:p w14:paraId="5DC89690">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firstLine="660" w:firstLineChars="20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质量标准及验收标准：须达到国家现行规范及验收合格标准。执行本项目所在国家和地区颁发的现行法律、法规、规范、规定、规程、标准、规划和要求，并符合本项目招标文件的规定。如果颁发新的技术标准，则按新标准规定执行。验收过程中所产生的一切费用由中标供应商承担。</w:t>
      </w:r>
    </w:p>
    <w:p w14:paraId="0FCAD40B">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三、质保期：不低于国家质保年限。</w:t>
      </w:r>
    </w:p>
    <w:p w14:paraId="30D7399D">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四、售后服务</w:t>
      </w:r>
    </w:p>
    <w:p w14:paraId="06511D14">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firstLine="660" w:firstLineChars="20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供应商必须对本项目进行技术跟踪服务，技术跟踪服务期应不少于3年。全程无偿提供技术咨询、技术培训和现场技术指导等，当采购方需要技术指导时，供应商必须无条件在两日内到达指定地点进行技术指导。</w:t>
      </w:r>
    </w:p>
    <w:p w14:paraId="572283E4">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五、付款方式：按项目实施进度支付（具体以签订合同为准）</w:t>
      </w:r>
    </w:p>
    <w:p w14:paraId="75173EBE">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六、履约保证金：/</w:t>
      </w:r>
    </w:p>
    <w:p w14:paraId="493EF0BF">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七、其他要求</w:t>
      </w:r>
    </w:p>
    <w:p w14:paraId="70BFD93B">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（一）与本项目相关的所有安全事故全由投标供应商承担。（须提供承诺函）</w:t>
      </w:r>
    </w:p>
    <w:p w14:paraId="5D9C7AC6">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（二）供应商提供的所有材料（包括投标文件全部内容） 要求内容真实有效。在评审过程以及中标后实施过程中，如发现供应商提供虚假资料的，将取消供应商的投标资格或中标资格 并将违规情况上报采购主管部门。给采购人造成损失的，供应商应当予以赔偿并承担相应的法律责任。</w:t>
      </w:r>
    </w:p>
    <w:p w14:paraId="0F343E6E">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（三）其它未尽事宜，由采购人与中标供应商在签订合同时商定。</w:t>
      </w:r>
    </w:p>
    <w:p w14:paraId="4B4BF98B">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（四）对被列入失信被执行人、重大税收违法案件当事人名单、政府采购严重违法失信行为记录名单且还在执行期的供应商，拒绝其参与本次采购活动；（查询渠道：信用中国网站、 中国政府采购网）。若发现投标单位违反此条，将取消其投标资格。</w:t>
      </w:r>
    </w:p>
    <w:p w14:paraId="52367CFB">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五）本项目在中标公示期间，采购人将组织相关监督和职能部门根据中标供应商的投标文件所提交的资料对中标供应商实地检查核实，若发生与其投标承诺及资料不符合、不一致等虚假行为的，将取消其中标资格。</w:t>
      </w:r>
    </w:p>
    <w:p w14:paraId="17C39216">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（六）违约：成交供应商不能履行合同或部分达不到服务要求的则认为违约，违约造成的直接损失按可以预见的损失计算。</w:t>
      </w:r>
    </w:p>
    <w:p w14:paraId="15D4F0D3">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color w:val="auto"/>
          <w:sz w:val="24"/>
          <w:szCs w:val="24"/>
          <w:lang w:eastAsia="zh-CN"/>
        </w:rPr>
      </w:pPr>
    </w:p>
    <w:p w14:paraId="563AC83F">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该项目采用综合评分法</w:t>
      </w:r>
    </w:p>
    <w:p w14:paraId="2BA15B76">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eastAsia="zh-CN"/>
        </w:rPr>
        <w:t>最终内容</w:t>
      </w:r>
      <w:r>
        <w:rPr>
          <w:rFonts w:hint="eastAsia" w:asciiTheme="minorEastAsia" w:hAnsiTheme="minorEastAsia" w:eastAsiaTheme="minorEastAsia" w:cstheme="minorEastAsia"/>
          <w:b/>
          <w:bCs/>
          <w:color w:val="auto"/>
          <w:sz w:val="24"/>
          <w:szCs w:val="24"/>
          <w:lang w:val="en-US" w:eastAsia="zh-CN"/>
        </w:rPr>
        <w:t>以发布的采购文件内容为准。</w:t>
      </w:r>
    </w:p>
    <w:p w14:paraId="6CC81B2F">
      <w:pPr>
        <w:rPr>
          <w:rFonts w:hint="eastAsia" w:asciiTheme="minorEastAsia" w:hAnsiTheme="minorEastAsia" w:eastAsiaTheme="minorEastAsia" w:cstheme="minorEastAsia"/>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31AD2">
    <w:pPr>
      <w:spacing w:line="242" w:lineRule="exact"/>
      <w:ind w:left="4355"/>
      <w:rPr>
        <w:rFonts w:ascii="Calibri" w:hAnsi="Calibri" w:eastAsia="Calibri" w:cs="Calibri"/>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CADBD"/>
    <w:multiLevelType w:val="singleLevel"/>
    <w:tmpl w:val="A0CCADBD"/>
    <w:lvl w:ilvl="0" w:tentative="0">
      <w:start w:val="1"/>
      <w:numFmt w:val="chineseCounting"/>
      <w:suff w:val="nothing"/>
      <w:lvlText w:val="（%1）"/>
      <w:lvlJc w:val="left"/>
      <w:rPr>
        <w:rFonts w:hint="eastAsia"/>
      </w:rPr>
    </w:lvl>
  </w:abstractNum>
  <w:abstractNum w:abstractNumId="1">
    <w:nsid w:val="B0F3A18A"/>
    <w:multiLevelType w:val="singleLevel"/>
    <w:tmpl w:val="B0F3A18A"/>
    <w:lvl w:ilvl="0" w:tentative="0">
      <w:start w:val="1"/>
      <w:numFmt w:val="chineseCounting"/>
      <w:suff w:val="nothing"/>
      <w:lvlText w:val="%1、"/>
      <w:lvlJc w:val="left"/>
      <w:rPr>
        <w:rFonts w:hint="eastAsia"/>
      </w:rPr>
    </w:lvl>
  </w:abstractNum>
  <w:abstractNum w:abstractNumId="2">
    <w:nsid w:val="C58C7BB9"/>
    <w:multiLevelType w:val="singleLevel"/>
    <w:tmpl w:val="C58C7BB9"/>
    <w:lvl w:ilvl="0" w:tentative="0">
      <w:start w:val="1"/>
      <w:numFmt w:val="decimal"/>
      <w:lvlText w:val="%1."/>
      <w:lvlJc w:val="left"/>
      <w:pPr>
        <w:tabs>
          <w:tab w:val="left" w:pos="312"/>
        </w:tabs>
      </w:pPr>
    </w:lvl>
  </w:abstractNum>
  <w:abstractNum w:abstractNumId="3">
    <w:nsid w:val="4CE3BF19"/>
    <w:multiLevelType w:val="singleLevel"/>
    <w:tmpl w:val="4CE3BF19"/>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dit="readOnly" w:enforcement="1" w:cryptProviderType="rsaFull" w:cryptAlgorithmClass="hash" w:cryptAlgorithmType="typeAny" w:cryptAlgorithmSid="4" w:cryptSpinCount="0" w:hash="c0ZVllKdjMaHOI3Dnmc9KWqzFMo=" w:salt="bTOsb8S1euwl5J59Vq9aa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MjI4ZGU0ZmM1YzJiNGM0NTRiZDI2ZTA5OTRiMjYifQ=="/>
  </w:docVars>
  <w:rsids>
    <w:rsidRoot w:val="365D1938"/>
    <w:rsid w:val="07FC6867"/>
    <w:rsid w:val="0F7F6605"/>
    <w:rsid w:val="16EA4D52"/>
    <w:rsid w:val="17D20A0A"/>
    <w:rsid w:val="17D2722C"/>
    <w:rsid w:val="19604B82"/>
    <w:rsid w:val="1E673695"/>
    <w:rsid w:val="1F4C77B0"/>
    <w:rsid w:val="23402213"/>
    <w:rsid w:val="287F06FD"/>
    <w:rsid w:val="2E7204E8"/>
    <w:rsid w:val="355E2670"/>
    <w:rsid w:val="363D28C0"/>
    <w:rsid w:val="365D1938"/>
    <w:rsid w:val="36B778C2"/>
    <w:rsid w:val="4001120E"/>
    <w:rsid w:val="4D313A78"/>
    <w:rsid w:val="51443F32"/>
    <w:rsid w:val="52523A1D"/>
    <w:rsid w:val="64473B19"/>
    <w:rsid w:val="68814437"/>
    <w:rsid w:val="6E341EDA"/>
    <w:rsid w:val="71911F8C"/>
    <w:rsid w:val="7D5C2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spacing w:line="500" w:lineRule="exact"/>
      <w:jc w:val="center"/>
    </w:pPr>
    <w:rPr>
      <w:rFonts w:hAnsi="宋体" w:eastAsia="方正小标宋_GBK"/>
      <w:spacing w:val="-20"/>
      <w:sz w:val="44"/>
      <w:szCs w:val="32"/>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yperlink"/>
    <w:basedOn w:val="8"/>
    <w:qFormat/>
    <w:uiPriority w:val="0"/>
    <w:rPr>
      <w:color w:val="333333"/>
      <w:u w:val="none"/>
    </w:rPr>
  </w:style>
  <w:style w:type="character" w:styleId="13">
    <w:name w:val="HTML Code"/>
    <w:basedOn w:val="8"/>
    <w:qFormat/>
    <w:uiPriority w:val="0"/>
    <w:rPr>
      <w:rFonts w:ascii="Courier New" w:hAnsi="Courier New"/>
      <w:sz w:val="20"/>
    </w:rPr>
  </w:style>
  <w:style w:type="character" w:styleId="14">
    <w:name w:val="HTML Sample"/>
    <w:basedOn w:val="8"/>
    <w:qFormat/>
    <w:uiPriority w:val="0"/>
    <w:rPr>
      <w:rFonts w:ascii="Courier New" w:hAnsi="Courier New"/>
    </w:rPr>
  </w:style>
  <w:style w:type="character" w:customStyle="1" w:styleId="15">
    <w:name w:val="hover16"/>
    <w:basedOn w:val="8"/>
    <w:qFormat/>
    <w:uiPriority w:val="0"/>
    <w:rPr>
      <w:color w:val="5FB878"/>
    </w:rPr>
  </w:style>
  <w:style w:type="character" w:customStyle="1" w:styleId="16">
    <w:name w:val="hover17"/>
    <w:basedOn w:val="8"/>
    <w:qFormat/>
    <w:uiPriority w:val="0"/>
    <w:rPr>
      <w:color w:val="5FB878"/>
    </w:rPr>
  </w:style>
  <w:style w:type="character" w:customStyle="1" w:styleId="17">
    <w:name w:val="hover18"/>
    <w:basedOn w:val="8"/>
    <w:qFormat/>
    <w:uiPriority w:val="0"/>
    <w:rPr>
      <w:color w:val="FFFFFF"/>
    </w:rPr>
  </w:style>
  <w:style w:type="character" w:customStyle="1" w:styleId="18">
    <w:name w:val="before"/>
    <w:basedOn w:val="8"/>
    <w:qFormat/>
    <w:uiPriority w:val="0"/>
  </w:style>
  <w:style w:type="character" w:customStyle="1" w:styleId="19">
    <w:name w:val="layui-this"/>
    <w:basedOn w:val="8"/>
    <w:qFormat/>
    <w:uiPriority w:val="0"/>
    <w:rPr>
      <w:bdr w:val="single" w:color="EEEEEE" w:sz="6" w:space="0"/>
      <w:shd w:val="clear" w:fill="FFFFFF"/>
    </w:rPr>
  </w:style>
  <w:style w:type="character" w:customStyle="1" w:styleId="20">
    <w:name w:val="first-child"/>
    <w:basedOn w:val="8"/>
    <w:qFormat/>
    <w:uiPriority w:val="0"/>
  </w:style>
  <w:style w:type="character" w:customStyle="1" w:styleId="21">
    <w:name w:val="layui-laydate-preview"/>
    <w:basedOn w:val="8"/>
    <w:qFormat/>
    <w:uiPriority w:val="0"/>
  </w:style>
  <w:style w:type="character" w:customStyle="1" w:styleId="22">
    <w:name w:val="medfont"/>
    <w:basedOn w:val="8"/>
    <w:qFormat/>
    <w:uiPriority w:val="0"/>
  </w:style>
  <w:style w:type="character" w:customStyle="1" w:styleId="23">
    <w:name w:val="largefont2"/>
    <w:basedOn w:val="8"/>
    <w:qFormat/>
    <w:uiPriority w:val="0"/>
  </w:style>
  <w:style w:type="character" w:customStyle="1" w:styleId="24">
    <w:name w:val="layui-laypage-curr"/>
    <w:basedOn w:val="8"/>
    <w:qFormat/>
    <w:uiPriority w:val="0"/>
  </w:style>
  <w:style w:type="character" w:customStyle="1" w:styleId="25">
    <w:name w:val="zh"/>
    <w:basedOn w:val="8"/>
    <w:qFormat/>
    <w:uiPriority w:val="0"/>
    <w:rPr>
      <w:sz w:val="21"/>
      <w:szCs w:val="21"/>
    </w:rPr>
  </w:style>
  <w:style w:type="character" w:customStyle="1" w:styleId="26">
    <w:name w:val="smallfont2"/>
    <w:basedOn w:val="8"/>
    <w:qFormat/>
    <w:uiPriority w:val="0"/>
  </w:style>
  <w:style w:type="character" w:customStyle="1" w:styleId="27">
    <w:name w:val="name"/>
    <w:basedOn w:val="8"/>
    <w:qFormat/>
    <w:uiPriority w:val="0"/>
    <w:rPr>
      <w:color w:val="222222"/>
      <w:sz w:val="27"/>
      <w:szCs w:val="27"/>
    </w:rPr>
  </w:style>
  <w:style w:type="character" w:customStyle="1" w:styleId="28">
    <w:name w:val="name1"/>
    <w:basedOn w:val="8"/>
    <w:qFormat/>
    <w:uiPriority w:val="0"/>
    <w:rPr>
      <w:b/>
      <w:bCs/>
      <w:color w:val="046CCD"/>
    </w:rPr>
  </w:style>
  <w:style w:type="character" w:customStyle="1" w:styleId="29">
    <w:name w:val="times"/>
    <w:basedOn w:val="8"/>
    <w:qFormat/>
    <w:uiPriority w:val="0"/>
    <w:rPr>
      <w:color w:val="222222"/>
      <w:sz w:val="21"/>
      <w:szCs w:val="21"/>
    </w:rPr>
  </w:style>
  <w:style w:type="paragraph" w:customStyle="1" w:styleId="30">
    <w:name w:val="null3"/>
    <w:hidden/>
    <w:qFormat/>
    <w:uiPriority w:val="0"/>
    <w:rPr>
      <w:rFonts w:hint="eastAsia" w:asciiTheme="minorHAnsi" w:hAnsiTheme="minorHAnsi" w:eastAsiaTheme="minorEastAsia" w:cstheme="minorBidi"/>
      <w:lang w:val="en-US" w:eastAsia="zh-Hans"/>
    </w:rPr>
  </w:style>
  <w:style w:type="paragraph" w:customStyle="1" w:styleId="31">
    <w:name w:val="正文_1"/>
    <w:autoRedefine/>
    <w:qFormat/>
    <w:uiPriority w:val="0"/>
    <w:rPr>
      <w:rFonts w:ascii="Times New Roman" w:hAnsi="Times New Roman" w:eastAsia="宋体" w:cs="Times New Roman"/>
      <w:sz w:val="21"/>
      <w:lang w:val="en-US" w:eastAsia="zh-CN" w:bidi="ar-SA"/>
    </w:rPr>
  </w:style>
  <w:style w:type="character" w:customStyle="1" w:styleId="32">
    <w:name w:val="font51"/>
    <w:basedOn w:val="8"/>
    <w:qFormat/>
    <w:uiPriority w:val="0"/>
    <w:rPr>
      <w:rFonts w:hint="default" w:ascii="Calibri" w:hAnsi="Calibri" w:cs="Calibri"/>
      <w:color w:val="000000"/>
      <w:sz w:val="24"/>
      <w:szCs w:val="24"/>
      <w:u w:val="none"/>
    </w:rPr>
  </w:style>
  <w:style w:type="character" w:customStyle="1" w:styleId="33">
    <w:name w:val="font11"/>
    <w:basedOn w:val="8"/>
    <w:qFormat/>
    <w:uiPriority w:val="0"/>
    <w:rPr>
      <w:rFonts w:hint="eastAsia" w:ascii="宋体" w:hAnsi="宋体" w:eastAsia="宋体" w:cs="宋体"/>
      <w:color w:val="000000"/>
      <w:sz w:val="24"/>
      <w:szCs w:val="24"/>
      <w:u w:val="none"/>
    </w:rPr>
  </w:style>
  <w:style w:type="character" w:customStyle="1" w:styleId="34">
    <w:name w:val="font101"/>
    <w:basedOn w:val="8"/>
    <w:qFormat/>
    <w:uiPriority w:val="0"/>
    <w:rPr>
      <w:rFonts w:ascii="Arial" w:hAnsi="Arial" w:cs="Arial"/>
      <w:color w:val="000000"/>
      <w:sz w:val="24"/>
      <w:szCs w:val="24"/>
      <w:u w:val="none"/>
    </w:rPr>
  </w:style>
  <w:style w:type="paragraph" w:customStyle="1" w:styleId="35">
    <w:name w:val="标题 Char Char"/>
    <w:basedOn w:val="1"/>
    <w:autoRedefine/>
    <w:qFormat/>
    <w:uiPriority w:val="99"/>
    <w:pPr>
      <w:jc w:val="center"/>
      <w:outlineLvl w:val="0"/>
    </w:pPr>
    <w:rPr>
      <w:rFonts w:ascii="Arial" w:hAnsi="Arial"/>
      <w:b/>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6684</Words>
  <Characters>6870</Characters>
  <Lines>0</Lines>
  <Paragraphs>0</Paragraphs>
  <TotalTime>9</TotalTime>
  <ScaleCrop>false</ScaleCrop>
  <LinksUpToDate>false</LinksUpToDate>
  <CharactersWithSpaces>6881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2024-08-05T08:46:00Z</dcterms:created>
  <dc:creator>Ys。</dc:creator>
  <cp:lastModifiedBy>Ys。</cp:lastModifiedBy>
  <dcterms:modified xsi:type="dcterms:W3CDTF">2025-07-10T06:08:21Z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D82A87AC78524511B61B02ADE10B59A3_13</vt:lpwstr>
  </property>
  <property fmtid="{D5CDD505-2E9C-101B-9397-08002B2CF9AE}" pid="4" name="KSOTemplateDocerSaveRecord">
    <vt:lpwstr>eyJoZGlkIjoiYzFlYzU0ZWY2OTk0M2IwOGI2OGY0MWEzNDNiOWM4ODYiLCJ1c2VySWQiOiI0NTUzNDUyMzQifQ==</vt:lpwstr>
  </property>
</Properties>
</file>