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00"/>
        <w:ind w:left="620"/>
        <w:jc w:val="both"/>
      </w:pPr>
      <w:r>
        <w:rPr>
          <w:w w:val="95"/>
        </w:rPr>
        <w:t>符合《中华人民共和国政府采购法》第二十二条规定：</w:t>
      </w:r>
    </w:p>
    <w:p>
      <w:pPr>
        <w:pStyle w:val="2"/>
        <w:keepNext w:val="0"/>
        <w:keepLines w:val="0"/>
        <w:pageBreakBefore w:val="0"/>
        <w:widowControl w:val="0"/>
        <w:kinsoku/>
        <w:wordWrap/>
        <w:overflowPunct/>
        <w:topLinePunct w:val="0"/>
        <w:autoSpaceDE w:val="0"/>
        <w:autoSpaceDN w:val="0"/>
        <w:bidi w:val="0"/>
        <w:adjustRightInd w:val="0"/>
        <w:snapToGrid w:val="0"/>
        <w:spacing w:before="0"/>
        <w:ind w:left="1040"/>
        <w:textAlignment w:val="auto"/>
      </w:pPr>
      <w:r>
        <w:rPr>
          <w:w w:val="95"/>
        </w:rPr>
        <w:t>（1）具有独立承担民事责任的能力：</w:t>
      </w:r>
    </w:p>
    <w:p>
      <w:pPr>
        <w:pStyle w:val="2"/>
        <w:keepNext w:val="0"/>
        <w:keepLines w:val="0"/>
        <w:pageBreakBefore w:val="0"/>
        <w:widowControl w:val="0"/>
        <w:kinsoku/>
        <w:wordWrap/>
        <w:overflowPunct/>
        <w:topLinePunct w:val="0"/>
        <w:autoSpaceDE w:val="0"/>
        <w:autoSpaceDN w:val="0"/>
        <w:bidi w:val="0"/>
        <w:adjustRightInd w:val="0"/>
        <w:snapToGrid w:val="0"/>
        <w:spacing w:before="0"/>
        <w:ind w:left="1040"/>
        <w:textAlignment w:val="auto"/>
      </w:pPr>
      <w:r>
        <w:rPr>
          <w:w w:val="95"/>
        </w:rPr>
        <w:t>提供法人或者其他组织的营业执照等证明文件，自然人投标的提供身份证明。</w:t>
      </w:r>
    </w:p>
    <w:p>
      <w:pPr>
        <w:pStyle w:val="2"/>
        <w:keepNext w:val="0"/>
        <w:keepLines w:val="0"/>
        <w:pageBreakBefore w:val="0"/>
        <w:widowControl w:val="0"/>
        <w:kinsoku/>
        <w:wordWrap/>
        <w:overflowPunct/>
        <w:topLinePunct w:val="0"/>
        <w:autoSpaceDE w:val="0"/>
        <w:autoSpaceDN w:val="0"/>
        <w:bidi w:val="0"/>
        <w:adjustRightInd w:val="0"/>
        <w:snapToGrid w:val="0"/>
        <w:spacing w:before="0"/>
        <w:ind w:left="1040"/>
        <w:textAlignment w:val="auto"/>
      </w:pPr>
      <w:r>
        <w:rPr>
          <w:w w:val="95"/>
        </w:rPr>
        <w:t>（2）具有良好的商业信誉和健全的财务会计制度：</w:t>
      </w:r>
    </w:p>
    <w:p>
      <w:pPr>
        <w:pStyle w:val="2"/>
        <w:keepNext w:val="0"/>
        <w:keepLines w:val="0"/>
        <w:pageBreakBefore w:val="0"/>
        <w:widowControl w:val="0"/>
        <w:kinsoku/>
        <w:wordWrap/>
        <w:overflowPunct/>
        <w:topLinePunct w:val="0"/>
        <w:autoSpaceDE w:val="0"/>
        <w:autoSpaceDN w:val="0"/>
        <w:bidi w:val="0"/>
        <w:adjustRightInd w:val="0"/>
        <w:snapToGrid w:val="0"/>
        <w:spacing w:before="0"/>
        <w:ind w:left="1040"/>
        <w:textAlignment w:val="auto"/>
        <w:rPr>
          <w:rFonts w:hint="eastAsia" w:ascii="宋体" w:hAnsi="宋体" w:eastAsia="宋体" w:cs="宋体"/>
          <w:w w:val="95"/>
        </w:rPr>
      </w:pPr>
      <w:r>
        <w:rPr>
          <w:rFonts w:hint="eastAsia" w:ascii="宋体" w:hAnsi="宋体" w:eastAsia="宋体" w:cs="宋体"/>
          <w:w w:val="95"/>
        </w:rPr>
        <w:t>具体要求：供应商是法人的，应提供2022年度经审计的财务报告(包含三表一注即资产负债表、损益表、现金流表、附注)并提供会计师事务所的执业证书，新成立的公司提供基本开户（或存款账户）银行出具的资信证明；</w:t>
      </w:r>
    </w:p>
    <w:p>
      <w:pPr>
        <w:pStyle w:val="2"/>
        <w:keepNext w:val="0"/>
        <w:keepLines w:val="0"/>
        <w:pageBreakBefore w:val="0"/>
        <w:widowControl w:val="0"/>
        <w:kinsoku/>
        <w:wordWrap/>
        <w:overflowPunct/>
        <w:topLinePunct w:val="0"/>
        <w:autoSpaceDE w:val="0"/>
        <w:autoSpaceDN w:val="0"/>
        <w:bidi w:val="0"/>
        <w:adjustRightInd w:val="0"/>
        <w:snapToGrid w:val="0"/>
        <w:spacing w:before="0"/>
        <w:ind w:left="1040"/>
        <w:textAlignment w:val="auto"/>
      </w:pPr>
      <w:r>
        <w:rPr>
          <w:w w:val="95"/>
        </w:rPr>
        <w:t>(3)具有履行合同所必需的设备和专业技术能力：</w:t>
      </w:r>
    </w:p>
    <w:p>
      <w:pPr>
        <w:pStyle w:val="2"/>
        <w:keepNext w:val="0"/>
        <w:keepLines w:val="0"/>
        <w:pageBreakBefore w:val="0"/>
        <w:widowControl w:val="0"/>
        <w:kinsoku/>
        <w:wordWrap/>
        <w:overflowPunct/>
        <w:topLinePunct w:val="0"/>
        <w:autoSpaceDE w:val="0"/>
        <w:autoSpaceDN w:val="0"/>
        <w:bidi w:val="0"/>
        <w:adjustRightInd w:val="0"/>
        <w:snapToGrid w:val="0"/>
        <w:spacing w:before="0"/>
        <w:textAlignment w:val="auto"/>
        <w:rPr>
          <w:sz w:val="8"/>
        </w:rPr>
      </w:pPr>
      <w:r>
        <w:rPr>
          <w:w w:val="95"/>
        </w:rPr>
        <w:t>自行承诺具备履行合同所必需的设备和专业技术能力（承诺函格式自拟）。</w:t>
      </w:r>
    </w:p>
    <w:p>
      <w:pPr>
        <w:pStyle w:val="2"/>
        <w:keepNext w:val="0"/>
        <w:keepLines w:val="0"/>
        <w:pageBreakBefore w:val="0"/>
        <w:widowControl w:val="0"/>
        <w:kinsoku/>
        <w:wordWrap/>
        <w:overflowPunct/>
        <w:topLinePunct w:val="0"/>
        <w:autoSpaceDE w:val="0"/>
        <w:autoSpaceDN w:val="0"/>
        <w:bidi w:val="0"/>
        <w:adjustRightInd w:val="0"/>
        <w:snapToGrid w:val="0"/>
        <w:spacing w:before="0"/>
        <w:ind w:left="960"/>
        <w:textAlignment w:val="auto"/>
      </w:pPr>
      <w:r>
        <w:rPr>
          <w:w w:val="95"/>
        </w:rPr>
        <w:t>(4)具有依法缴纳税收和社会保障资金的良好记录：</w:t>
      </w:r>
    </w:p>
    <w:p>
      <w:pPr>
        <w:pStyle w:val="2"/>
        <w:keepNext w:val="0"/>
        <w:keepLines w:val="0"/>
        <w:pageBreakBefore w:val="0"/>
        <w:widowControl w:val="0"/>
        <w:kinsoku/>
        <w:wordWrap/>
        <w:overflowPunct/>
        <w:topLinePunct w:val="0"/>
        <w:autoSpaceDE w:val="0"/>
        <w:autoSpaceDN w:val="0"/>
        <w:bidi w:val="0"/>
        <w:adjustRightInd w:val="0"/>
        <w:snapToGrid w:val="0"/>
        <w:spacing w:before="0" w:line="384" w:lineRule="auto"/>
        <w:ind w:left="540" w:right="160" w:firstLine="420"/>
        <w:jc w:val="both"/>
        <w:textAlignment w:val="auto"/>
      </w:pPr>
      <w:r>
        <w:rPr>
          <w:spacing w:val="-15"/>
        </w:rPr>
        <w:t xml:space="preserve">①提供 </w:t>
      </w:r>
      <w:r>
        <w:t>2022</w:t>
      </w:r>
      <w:r>
        <w:rPr>
          <w:spacing w:val="-38"/>
        </w:rPr>
        <w:t xml:space="preserve"> 年 </w:t>
      </w:r>
      <w:r>
        <w:t>10</w:t>
      </w:r>
      <w:r>
        <w:rPr>
          <w:spacing w:val="-17"/>
        </w:rPr>
        <w:t xml:space="preserve"> 月至今任意 </w:t>
      </w:r>
      <w:r>
        <w:t>3</w:t>
      </w:r>
      <w:r>
        <w:rPr>
          <w:spacing w:val="-10"/>
        </w:rPr>
        <w:t xml:space="preserve"> 个月缴纳税收的凭据或证明材料</w:t>
      </w:r>
      <w:r>
        <w:t>（</w:t>
      </w:r>
      <w:r>
        <w:rPr>
          <w:spacing w:val="-5"/>
        </w:rPr>
        <w:t>依法免税的，提供有效的</w:t>
      </w:r>
      <w:r>
        <w:rPr>
          <w:spacing w:val="-5"/>
          <w:w w:val="95"/>
        </w:rPr>
        <w:t>证明文件）。</w:t>
      </w:r>
    </w:p>
    <w:p>
      <w:pPr>
        <w:pStyle w:val="2"/>
        <w:keepNext w:val="0"/>
        <w:keepLines w:val="0"/>
        <w:pageBreakBefore w:val="0"/>
        <w:widowControl w:val="0"/>
        <w:kinsoku/>
        <w:wordWrap/>
        <w:overflowPunct/>
        <w:topLinePunct w:val="0"/>
        <w:autoSpaceDE w:val="0"/>
        <w:autoSpaceDN w:val="0"/>
        <w:bidi w:val="0"/>
        <w:adjustRightInd w:val="0"/>
        <w:snapToGrid w:val="0"/>
        <w:spacing w:before="0" w:line="384" w:lineRule="auto"/>
        <w:ind w:left="540" w:right="104" w:firstLine="420"/>
        <w:jc w:val="both"/>
        <w:textAlignment w:val="auto"/>
      </w:pPr>
      <w:r>
        <w:rPr>
          <w:spacing w:val="-15"/>
        </w:rPr>
        <w:t xml:space="preserve">②提供 </w:t>
      </w:r>
      <w:r>
        <w:t>2022</w:t>
      </w:r>
      <w:r>
        <w:rPr>
          <w:spacing w:val="-38"/>
        </w:rPr>
        <w:t xml:space="preserve"> 年 </w:t>
      </w:r>
      <w:r>
        <w:t>10</w:t>
      </w:r>
      <w:r>
        <w:rPr>
          <w:spacing w:val="-17"/>
        </w:rPr>
        <w:t xml:space="preserve"> 月至今任意 </w:t>
      </w:r>
      <w:r>
        <w:t>3</w:t>
      </w:r>
      <w:r>
        <w:rPr>
          <w:spacing w:val="-8"/>
        </w:rPr>
        <w:t xml:space="preserve"> 个月社会保障资金缴纳证明材料</w:t>
      </w:r>
      <w:r>
        <w:t xml:space="preserve">（不需要缴纳社保资金的， </w:t>
      </w:r>
      <w:r>
        <w:rPr>
          <w:w w:val="95"/>
        </w:rPr>
        <w:t>提供有效的证明文件）。</w:t>
      </w:r>
    </w:p>
    <w:p>
      <w:pPr>
        <w:pStyle w:val="2"/>
        <w:keepNext w:val="0"/>
        <w:keepLines w:val="0"/>
        <w:pageBreakBefore w:val="0"/>
        <w:widowControl w:val="0"/>
        <w:kinsoku/>
        <w:wordWrap/>
        <w:overflowPunct/>
        <w:topLinePunct w:val="0"/>
        <w:autoSpaceDE w:val="0"/>
        <w:autoSpaceDN w:val="0"/>
        <w:bidi w:val="0"/>
        <w:adjustRightInd w:val="0"/>
        <w:snapToGrid w:val="0"/>
        <w:spacing w:before="0" w:line="384" w:lineRule="auto"/>
        <w:ind w:left="540" w:right="160" w:firstLine="420"/>
        <w:jc w:val="both"/>
        <w:textAlignment w:val="auto"/>
      </w:pPr>
      <w:r>
        <w:t>(5)参加本次政府采购活动前三年内，在经营活动中没有违法违规记录：提供参加本次政府</w:t>
      </w:r>
      <w:r>
        <w:rPr>
          <w:spacing w:val="-2"/>
          <w:w w:val="95"/>
        </w:rPr>
        <w:t>采购活动前三年内未因违法经营受到刑事处罚或者责令停产停业、吊销许可证或者执照、较大数   额罚款等行政处罚的书面声明（自行声明）。</w:t>
      </w:r>
    </w:p>
    <w:p>
      <w:pPr>
        <w:pStyle w:val="2"/>
        <w:keepNext w:val="0"/>
        <w:keepLines w:val="0"/>
        <w:pageBreakBefore w:val="0"/>
        <w:widowControl w:val="0"/>
        <w:kinsoku/>
        <w:wordWrap/>
        <w:overflowPunct/>
        <w:topLinePunct w:val="0"/>
        <w:autoSpaceDE w:val="0"/>
        <w:autoSpaceDN w:val="0"/>
        <w:bidi w:val="0"/>
        <w:adjustRightInd w:val="0"/>
        <w:snapToGrid w:val="0"/>
        <w:spacing w:before="0"/>
        <w:ind w:left="960"/>
        <w:textAlignment w:val="auto"/>
      </w:pPr>
      <w:r>
        <w:rPr>
          <w:w w:val="95"/>
        </w:rPr>
        <w:t>(6)</w:t>
      </w:r>
      <w:r>
        <w:rPr>
          <w:b/>
          <w:w w:val="95"/>
        </w:rPr>
        <w:t>诚信资格要求：</w:t>
      </w:r>
      <w:r>
        <w:rPr>
          <w:w w:val="95"/>
        </w:rPr>
        <w:t>在“信用中国”网站（</w:t>
      </w:r>
      <w:r>
        <w:fldChar w:fldCharType="begin"/>
      </w:r>
      <w:r>
        <w:instrText xml:space="preserve"> HYPERLINK "http://www.creditchina.gov.cn/" \h </w:instrText>
      </w:r>
      <w:r>
        <w:fldChar w:fldCharType="separate"/>
      </w:r>
      <w:r>
        <w:rPr>
          <w:w w:val="95"/>
        </w:rPr>
        <w:t>www.creditchina.gov.cn</w:t>
      </w:r>
      <w:r>
        <w:rPr>
          <w:w w:val="95"/>
        </w:rPr>
        <w:fldChar w:fldCharType="end"/>
      </w:r>
      <w:r>
        <w:rPr>
          <w:w w:val="95"/>
        </w:rPr>
        <w:t>）、中国政府采购网</w:t>
      </w:r>
    </w:p>
    <w:p>
      <w:pPr>
        <w:pStyle w:val="2"/>
        <w:keepNext w:val="0"/>
        <w:keepLines w:val="0"/>
        <w:pageBreakBefore w:val="0"/>
        <w:widowControl w:val="0"/>
        <w:kinsoku/>
        <w:wordWrap/>
        <w:overflowPunct/>
        <w:topLinePunct w:val="0"/>
        <w:autoSpaceDE w:val="0"/>
        <w:autoSpaceDN w:val="0"/>
        <w:bidi w:val="0"/>
        <w:adjustRightInd w:val="0"/>
        <w:snapToGrid w:val="0"/>
        <w:spacing w:before="0" w:line="384" w:lineRule="auto"/>
        <w:ind w:left="540" w:right="160"/>
        <w:jc w:val="both"/>
        <w:textAlignment w:val="auto"/>
      </w:pPr>
      <w:r>
        <w:t>（</w:t>
      </w:r>
      <w:r>
        <w:fldChar w:fldCharType="begin"/>
      </w:r>
      <w:r>
        <w:instrText xml:space="preserve"> HYPERLINK "http://www.ccgp.gov.cn/" \h </w:instrText>
      </w:r>
      <w:r>
        <w:fldChar w:fldCharType="separate"/>
      </w:r>
      <w:r>
        <w:t>www.ccgp.gov.cn</w:t>
      </w:r>
      <w:r>
        <w:fldChar w:fldCharType="end"/>
      </w:r>
      <w:r>
        <w:t>）渠道查询中未被列入失信被执行人名单、重大税收违法案件当事人名单、</w:t>
      </w:r>
      <w:r>
        <w:rPr>
          <w:spacing w:val="-3"/>
          <w:w w:val="95"/>
        </w:rPr>
        <w:t xml:space="preserve">政府采购严重违法失信行为记录名单中，承诺如被列入失信被执行人、重大税收违法案件当事人   </w:t>
      </w:r>
      <w:r>
        <w:rPr>
          <w:spacing w:val="-7"/>
          <w:w w:val="95"/>
        </w:rPr>
        <w:t>名单、政府采购严重违法失信行为记录名单中的供应商取消其投标资格，并承担由此造成的一切   法律责任及后果（附采购公告发布之后查询的相应网页截图）。</w:t>
      </w:r>
    </w:p>
    <w:p>
      <w:pPr>
        <w:pStyle w:val="2"/>
        <w:keepNext w:val="0"/>
        <w:keepLines w:val="0"/>
        <w:pageBreakBefore w:val="0"/>
        <w:widowControl w:val="0"/>
        <w:kinsoku/>
        <w:wordWrap/>
        <w:overflowPunct/>
        <w:topLinePunct w:val="0"/>
        <w:autoSpaceDE w:val="0"/>
        <w:autoSpaceDN w:val="0"/>
        <w:bidi w:val="0"/>
        <w:adjustRightInd w:val="0"/>
        <w:snapToGrid w:val="0"/>
        <w:spacing w:before="0"/>
        <w:ind w:left="960"/>
        <w:textAlignment w:val="auto"/>
      </w:pPr>
      <w:r>
        <w:rPr>
          <w:w w:val="95"/>
        </w:rPr>
        <w:t>（7）投标人自行承诺不存在下述情形：</w:t>
      </w:r>
    </w:p>
    <w:p>
      <w:pPr>
        <w:pStyle w:val="2"/>
        <w:keepNext w:val="0"/>
        <w:keepLines w:val="0"/>
        <w:pageBreakBefore w:val="0"/>
        <w:widowControl w:val="0"/>
        <w:kinsoku/>
        <w:wordWrap/>
        <w:overflowPunct/>
        <w:topLinePunct w:val="0"/>
        <w:autoSpaceDE w:val="0"/>
        <w:autoSpaceDN w:val="0"/>
        <w:bidi w:val="0"/>
        <w:adjustRightInd w:val="0"/>
        <w:snapToGrid w:val="0"/>
        <w:spacing w:before="0" w:line="386" w:lineRule="auto"/>
        <w:ind w:left="540" w:right="160" w:firstLine="420"/>
        <w:jc w:val="both"/>
        <w:textAlignment w:val="auto"/>
      </w:pPr>
      <w:r>
        <w:rPr>
          <w:spacing w:val="-3"/>
          <w:w w:val="95"/>
        </w:rPr>
        <w:t>①单位负责人为同一人或者存在直接控股、管理关系的不同投标人，不得参加同一合同项下的政府采购活动。</w:t>
      </w:r>
    </w:p>
    <w:p>
      <w:pPr>
        <w:pStyle w:val="2"/>
        <w:keepNext w:val="0"/>
        <w:keepLines w:val="0"/>
        <w:pageBreakBefore w:val="0"/>
        <w:widowControl w:val="0"/>
        <w:kinsoku/>
        <w:wordWrap/>
        <w:overflowPunct/>
        <w:topLinePunct w:val="0"/>
        <w:autoSpaceDE w:val="0"/>
        <w:autoSpaceDN w:val="0"/>
        <w:bidi w:val="0"/>
        <w:adjustRightInd w:val="0"/>
        <w:snapToGrid w:val="0"/>
        <w:spacing w:before="0" w:line="384" w:lineRule="auto"/>
        <w:ind w:left="540" w:right="160" w:firstLine="420"/>
        <w:jc w:val="both"/>
        <w:textAlignment w:val="auto"/>
      </w:pPr>
      <w:r>
        <w:rPr>
          <w:spacing w:val="-5"/>
          <w:w w:val="95"/>
        </w:rPr>
        <w:t>②为项目提供整体设计、规范编制或项目管理、监理、检测等服务的投标人，不得再参加该项目的其他采购活动。</w:t>
      </w:r>
    </w:p>
    <w:p>
      <w:pPr>
        <w:pStyle w:val="3"/>
        <w:keepNext w:val="0"/>
        <w:keepLines w:val="0"/>
        <w:pageBreakBefore w:val="0"/>
        <w:widowControl w:val="0"/>
        <w:kinsoku/>
        <w:wordWrap/>
        <w:overflowPunct/>
        <w:topLinePunct w:val="0"/>
        <w:autoSpaceDE w:val="0"/>
        <w:autoSpaceDN w:val="0"/>
        <w:bidi w:val="0"/>
        <w:adjustRightInd w:val="0"/>
        <w:snapToGrid w:val="0"/>
        <w:spacing w:before="0" w:line="272" w:lineRule="exact"/>
        <w:jc w:val="both"/>
        <w:textAlignment w:val="auto"/>
      </w:pPr>
      <w:r>
        <w:rPr>
          <w:w w:val="95"/>
        </w:rPr>
        <w:t>（8）本项目的特定资格要求：</w:t>
      </w:r>
    </w:p>
    <w:p>
      <w:pPr>
        <w:pStyle w:val="2"/>
        <w:keepNext w:val="0"/>
        <w:keepLines w:val="0"/>
        <w:pageBreakBefore w:val="0"/>
        <w:widowControl w:val="0"/>
        <w:kinsoku/>
        <w:wordWrap/>
        <w:overflowPunct/>
        <w:topLinePunct w:val="0"/>
        <w:autoSpaceDE w:val="0"/>
        <w:autoSpaceDN w:val="0"/>
        <w:bidi w:val="0"/>
        <w:adjustRightInd w:val="0"/>
        <w:snapToGrid w:val="0"/>
        <w:spacing w:before="0"/>
        <w:textAlignment w:val="auto"/>
        <w:rPr>
          <w:b/>
          <w:sz w:val="14"/>
        </w:rPr>
      </w:pPr>
    </w:p>
    <w:p>
      <w:pPr>
        <w:pStyle w:val="3"/>
        <w:keepNext w:val="0"/>
        <w:keepLines w:val="0"/>
        <w:pageBreakBefore w:val="0"/>
        <w:widowControl w:val="0"/>
        <w:kinsoku/>
        <w:wordWrap/>
        <w:overflowPunct/>
        <w:topLinePunct w:val="0"/>
        <w:autoSpaceDE w:val="0"/>
        <w:autoSpaceDN w:val="0"/>
        <w:bidi w:val="0"/>
        <w:adjustRightInd w:val="0"/>
        <w:snapToGrid w:val="0"/>
        <w:spacing w:before="0" w:line="384" w:lineRule="auto"/>
        <w:ind w:left="120" w:right="161" w:firstLine="779" w:firstLineChars="390"/>
        <w:jc w:val="both"/>
        <w:textAlignment w:val="auto"/>
        <w:rPr>
          <w:rFonts w:hint="eastAsia" w:eastAsia="宋体"/>
          <w:w w:val="95"/>
          <w:lang w:eastAsia="zh-CN"/>
        </w:rPr>
      </w:pPr>
      <w:r>
        <w:rPr>
          <w:rFonts w:hint="eastAsia"/>
          <w:w w:val="95"/>
          <w:lang w:eastAsia="zh-CN"/>
        </w:rPr>
        <w:t>无</w:t>
      </w:r>
    </w:p>
    <w:p>
      <w:pPr>
        <w:pStyle w:val="3"/>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384" w:lineRule="auto"/>
        <w:ind w:left="120" w:right="161" w:firstLine="420"/>
        <w:jc w:val="both"/>
        <w:textAlignment w:val="auto"/>
        <w:rPr>
          <w:color w:val="C00000"/>
          <w:w w:val="95"/>
        </w:rPr>
      </w:pPr>
      <w:r>
        <w:rPr>
          <w:color w:val="C00000"/>
        </w:rPr>
        <w:t>落实政府采购政策需满足的资格要求：已落实，详见招标文件</w:t>
      </w:r>
      <w:r>
        <w:rPr>
          <w:b/>
          <w:sz w:val="21"/>
        </w:rPr>
        <w:t>（本项目非专门面向中</w:t>
      </w:r>
      <w:r>
        <w:rPr>
          <w:b/>
          <w:w w:val="95"/>
          <w:sz w:val="21"/>
        </w:rPr>
        <w:t>小企业采购）</w:t>
      </w:r>
      <w:r>
        <w:rPr>
          <w:color w:val="C00000"/>
        </w:rPr>
        <w:t>（</w:t>
      </w:r>
      <w:r>
        <w:rPr>
          <w:rFonts w:hint="eastAsia"/>
          <w:color w:val="C00000"/>
        </w:rPr>
        <w:t>本项目预留采购预算总额的 30%专门面向中小企业采购，其中预留给小微企业比例不低于 60%，投标人承诺在中标后，将采购项目合同总金额的 30%分包给中小企业，其中分包给小微企业比例不低于 60%。</w:t>
      </w:r>
      <w:r>
        <w:rPr>
          <w:color w:val="C00000"/>
          <w:w w:val="95"/>
        </w:rPr>
        <w:t>）。</w:t>
      </w:r>
    </w:p>
    <w:p>
      <w:pPr>
        <w:keepNext w:val="0"/>
        <w:keepLines w:val="0"/>
        <w:pageBreakBefore w:val="0"/>
        <w:widowControl w:val="0"/>
        <w:numPr>
          <w:numId w:val="0"/>
        </w:numPr>
        <w:kinsoku/>
        <w:wordWrap/>
        <w:overflowPunct/>
        <w:topLinePunct w:val="0"/>
        <w:autoSpaceDE w:val="0"/>
        <w:autoSpaceDN w:val="0"/>
        <w:bidi w:val="0"/>
        <w:adjustRightInd w:val="0"/>
        <w:snapToGrid w:val="0"/>
        <w:spacing w:before="0"/>
        <w:ind w:right="0" w:rightChars="0"/>
        <w:textAlignment w:val="auto"/>
        <w:rPr>
          <w:rFonts w:hint="default" w:eastAsia="宋体"/>
          <w:lang w:val="en-US" w:eastAsia="zh-CN"/>
        </w:rPr>
      </w:pPr>
      <w:r>
        <w:rPr>
          <w:rFonts w:hint="eastAsia"/>
          <w:lang w:val="en-US" w:eastAsia="zh-CN"/>
        </w:rPr>
        <w:t>采购需求：评见清单附件</w:t>
      </w:r>
    </w:p>
    <w:p>
      <w:pPr>
        <w:pStyle w:val="6"/>
        <w:numPr>
          <w:numId w:val="0"/>
        </w:numPr>
        <w:tabs>
          <w:tab w:val="left" w:pos="1172"/>
        </w:tabs>
        <w:spacing w:before="34" w:after="0" w:line="408" w:lineRule="auto"/>
        <w:ind w:left="540" w:leftChars="0" w:right="223" w:rightChars="0"/>
        <w:jc w:val="left"/>
        <w:rPr>
          <w:sz w:val="21"/>
        </w:rPr>
      </w:pPr>
      <w:r>
        <w:rPr>
          <w:rFonts w:hint="eastAsia"/>
          <w:b/>
          <w:bCs/>
          <w:sz w:val="21"/>
          <w:lang w:val="en-US" w:eastAsia="zh-CN"/>
        </w:rPr>
        <w:t>评标办法:</w:t>
      </w:r>
      <w:r>
        <w:rPr>
          <w:sz w:val="21"/>
        </w:rPr>
        <w:t>本次招标采用的是 105</w:t>
      </w:r>
      <w:r>
        <w:rPr>
          <w:spacing w:val="-26"/>
          <w:sz w:val="21"/>
        </w:rPr>
        <w:t xml:space="preserve"> 分</w:t>
      </w:r>
      <w:r>
        <w:rPr>
          <w:sz w:val="21"/>
        </w:rPr>
        <w:t>（包括政策性加分</w:t>
      </w:r>
      <w:r>
        <w:rPr>
          <w:spacing w:val="4"/>
          <w:sz w:val="21"/>
        </w:rPr>
        <w:t>）</w:t>
      </w:r>
      <w:r>
        <w:rPr>
          <w:sz w:val="21"/>
        </w:rPr>
        <w:t>制最高分确定中标的综合评分法，由评标</w:t>
      </w:r>
      <w:r>
        <w:rPr>
          <w:w w:val="95"/>
          <w:sz w:val="21"/>
        </w:rPr>
        <w:t>委员会在开评标会议上现场评定中标候选人。</w:t>
      </w:r>
    </w:p>
    <w:p>
      <w:pPr>
        <w:pStyle w:val="2"/>
        <w:spacing w:before="230"/>
        <w:ind w:left="540"/>
      </w:pPr>
    </w:p>
    <w:p>
      <w:pPr>
        <w:pStyle w:val="2"/>
        <w:spacing w:before="230"/>
        <w:ind w:left="540"/>
      </w:pPr>
      <w:r>
        <w:t xml:space="preserve">评审得分： </w:t>
      </w:r>
      <w:r>
        <w:rPr>
          <w:u w:val="single"/>
        </w:rPr>
        <w:t xml:space="preserve">105 </w:t>
      </w:r>
      <w:r>
        <w:t>分，评分分值（权重）分配如下：</w:t>
      </w:r>
    </w:p>
    <w:p>
      <w:pPr>
        <w:pStyle w:val="2"/>
        <w:rPr>
          <w:sz w:val="5"/>
        </w:rPr>
      </w:pPr>
    </w:p>
    <w:tbl>
      <w:tblPr>
        <w:tblStyle w:val="4"/>
        <w:tblW w:w="0" w:type="auto"/>
        <w:tblInd w:w="155" w:type="dxa"/>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2497"/>
        <w:gridCol w:w="1759"/>
        <w:gridCol w:w="1700"/>
        <w:gridCol w:w="1700"/>
        <w:gridCol w:w="1416"/>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485" w:hRule="exact"/>
        </w:trPr>
        <w:tc>
          <w:tcPr>
            <w:tcW w:w="2497" w:type="dxa"/>
            <w:tcBorders>
              <w:bottom w:val="single" w:color="000000" w:sz="6" w:space="0"/>
              <w:right w:val="single" w:color="000000" w:sz="6" w:space="0"/>
            </w:tcBorders>
          </w:tcPr>
          <w:p>
            <w:pPr>
              <w:pStyle w:val="7"/>
              <w:spacing w:before="59"/>
              <w:ind w:left="807" w:right="819"/>
              <w:jc w:val="center"/>
              <w:rPr>
                <w:b/>
                <w:sz w:val="21"/>
              </w:rPr>
            </w:pPr>
            <w:r>
              <w:rPr>
                <w:b/>
                <w:w w:val="95"/>
                <w:sz w:val="21"/>
              </w:rPr>
              <w:t>评分因素</w:t>
            </w:r>
          </w:p>
        </w:tc>
        <w:tc>
          <w:tcPr>
            <w:tcW w:w="1759" w:type="dxa"/>
            <w:tcBorders>
              <w:left w:val="single" w:color="000000" w:sz="6" w:space="0"/>
              <w:bottom w:val="single" w:color="000000" w:sz="6" w:space="0"/>
              <w:right w:val="single" w:color="000000" w:sz="6" w:space="0"/>
            </w:tcBorders>
          </w:tcPr>
          <w:p>
            <w:pPr>
              <w:pStyle w:val="7"/>
              <w:spacing w:before="59"/>
              <w:ind w:left="349" w:right="353"/>
              <w:jc w:val="center"/>
              <w:rPr>
                <w:b/>
                <w:sz w:val="21"/>
              </w:rPr>
            </w:pPr>
            <w:r>
              <w:rPr>
                <w:b/>
                <w:w w:val="95"/>
                <w:sz w:val="21"/>
              </w:rPr>
              <w:t>投标报价分</w:t>
            </w:r>
          </w:p>
        </w:tc>
        <w:tc>
          <w:tcPr>
            <w:tcW w:w="1700" w:type="dxa"/>
            <w:tcBorders>
              <w:left w:val="single" w:color="000000" w:sz="6" w:space="0"/>
              <w:bottom w:val="single" w:color="000000" w:sz="6" w:space="0"/>
              <w:right w:val="single" w:color="000000" w:sz="6" w:space="0"/>
            </w:tcBorders>
          </w:tcPr>
          <w:p>
            <w:pPr>
              <w:pStyle w:val="7"/>
              <w:spacing w:before="59"/>
              <w:ind w:left="520" w:right="521"/>
              <w:jc w:val="center"/>
              <w:rPr>
                <w:b/>
                <w:sz w:val="21"/>
              </w:rPr>
            </w:pPr>
            <w:r>
              <w:rPr>
                <w:b/>
                <w:w w:val="95"/>
                <w:sz w:val="21"/>
              </w:rPr>
              <w:t>技术分</w:t>
            </w:r>
          </w:p>
        </w:tc>
        <w:tc>
          <w:tcPr>
            <w:tcW w:w="1700" w:type="dxa"/>
            <w:tcBorders>
              <w:left w:val="single" w:color="000000" w:sz="6" w:space="0"/>
              <w:bottom w:val="single" w:color="000000" w:sz="6" w:space="0"/>
              <w:right w:val="single" w:color="000000" w:sz="6" w:space="0"/>
            </w:tcBorders>
          </w:tcPr>
          <w:p>
            <w:pPr>
              <w:pStyle w:val="7"/>
              <w:spacing w:before="59"/>
              <w:ind w:left="521" w:right="520"/>
              <w:jc w:val="center"/>
              <w:rPr>
                <w:b/>
                <w:sz w:val="21"/>
              </w:rPr>
            </w:pPr>
            <w:r>
              <w:rPr>
                <w:b/>
                <w:w w:val="95"/>
                <w:sz w:val="21"/>
              </w:rPr>
              <w:t>商务分</w:t>
            </w:r>
          </w:p>
        </w:tc>
        <w:tc>
          <w:tcPr>
            <w:tcW w:w="1416" w:type="dxa"/>
            <w:tcBorders>
              <w:left w:val="single" w:color="000000" w:sz="6" w:space="0"/>
              <w:bottom w:val="single" w:color="000000" w:sz="6" w:space="0"/>
            </w:tcBorders>
          </w:tcPr>
          <w:p>
            <w:pPr>
              <w:pStyle w:val="7"/>
              <w:spacing w:before="59"/>
              <w:ind w:left="178" w:right="166"/>
              <w:jc w:val="center"/>
              <w:rPr>
                <w:b/>
                <w:sz w:val="21"/>
              </w:rPr>
            </w:pPr>
            <w:r>
              <w:rPr>
                <w:b/>
                <w:w w:val="95"/>
                <w:sz w:val="21"/>
              </w:rPr>
              <w:t>政策性加分</w:t>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483" w:hRule="exact"/>
        </w:trPr>
        <w:tc>
          <w:tcPr>
            <w:tcW w:w="2497" w:type="dxa"/>
            <w:tcBorders>
              <w:top w:val="single" w:color="000000" w:sz="6" w:space="0"/>
              <w:right w:val="single" w:color="000000" w:sz="6" w:space="0"/>
            </w:tcBorders>
          </w:tcPr>
          <w:p>
            <w:pPr>
              <w:pStyle w:val="7"/>
              <w:spacing w:before="57"/>
              <w:ind w:left="802" w:right="819"/>
              <w:jc w:val="center"/>
              <w:rPr>
                <w:b/>
                <w:sz w:val="21"/>
              </w:rPr>
            </w:pPr>
            <w:r>
              <w:rPr>
                <w:b/>
                <w:w w:val="95"/>
                <w:sz w:val="21"/>
              </w:rPr>
              <w:t>分值</w:t>
            </w:r>
          </w:p>
        </w:tc>
        <w:tc>
          <w:tcPr>
            <w:tcW w:w="1759" w:type="dxa"/>
            <w:tcBorders>
              <w:top w:val="single" w:color="000000" w:sz="6" w:space="0"/>
              <w:left w:val="single" w:color="000000" w:sz="6" w:space="0"/>
              <w:right w:val="single" w:color="000000" w:sz="6" w:space="0"/>
            </w:tcBorders>
          </w:tcPr>
          <w:p>
            <w:pPr>
              <w:pStyle w:val="7"/>
              <w:spacing w:before="57"/>
              <w:ind w:left="349" w:right="349"/>
              <w:jc w:val="center"/>
              <w:rPr>
                <w:sz w:val="21"/>
              </w:rPr>
            </w:pPr>
            <w:r>
              <w:rPr>
                <w:sz w:val="21"/>
              </w:rPr>
              <w:t>30</w:t>
            </w:r>
          </w:p>
        </w:tc>
        <w:tc>
          <w:tcPr>
            <w:tcW w:w="1700" w:type="dxa"/>
            <w:tcBorders>
              <w:top w:val="single" w:color="000000" w:sz="6" w:space="0"/>
              <w:left w:val="single" w:color="000000" w:sz="6" w:space="0"/>
              <w:right w:val="single" w:color="000000" w:sz="6" w:space="0"/>
            </w:tcBorders>
          </w:tcPr>
          <w:p>
            <w:pPr>
              <w:pStyle w:val="7"/>
              <w:spacing w:before="57"/>
              <w:ind w:left="521" w:right="521"/>
              <w:jc w:val="center"/>
              <w:rPr>
                <w:rFonts w:hint="default" w:eastAsia="宋体"/>
                <w:sz w:val="21"/>
                <w:lang w:val="en-US" w:eastAsia="zh-CN"/>
              </w:rPr>
            </w:pPr>
            <w:r>
              <w:rPr>
                <w:rFonts w:hint="eastAsia"/>
                <w:sz w:val="21"/>
                <w:lang w:val="en-US" w:eastAsia="zh-CN"/>
              </w:rPr>
              <w:t>45</w:t>
            </w:r>
          </w:p>
        </w:tc>
        <w:tc>
          <w:tcPr>
            <w:tcW w:w="1700" w:type="dxa"/>
            <w:tcBorders>
              <w:top w:val="single" w:color="000000" w:sz="6" w:space="0"/>
              <w:left w:val="single" w:color="000000" w:sz="6" w:space="0"/>
              <w:right w:val="single" w:color="000000" w:sz="6" w:space="0"/>
            </w:tcBorders>
          </w:tcPr>
          <w:p>
            <w:pPr>
              <w:pStyle w:val="7"/>
              <w:spacing w:before="57"/>
              <w:ind w:left="521" w:right="521"/>
              <w:jc w:val="center"/>
              <w:rPr>
                <w:rFonts w:hint="default" w:eastAsia="宋体"/>
                <w:sz w:val="21"/>
                <w:lang w:val="en-US" w:eastAsia="zh-CN"/>
              </w:rPr>
            </w:pPr>
            <w:r>
              <w:rPr>
                <w:rFonts w:hint="eastAsia"/>
                <w:sz w:val="21"/>
                <w:lang w:val="en-US" w:eastAsia="zh-CN"/>
              </w:rPr>
              <w:t>25</w:t>
            </w:r>
          </w:p>
        </w:tc>
        <w:tc>
          <w:tcPr>
            <w:tcW w:w="1416" w:type="dxa"/>
            <w:tcBorders>
              <w:top w:val="single" w:color="000000" w:sz="6" w:space="0"/>
              <w:left w:val="single" w:color="000000" w:sz="6" w:space="0"/>
            </w:tcBorders>
          </w:tcPr>
          <w:p>
            <w:pPr>
              <w:pStyle w:val="7"/>
              <w:spacing w:before="57"/>
              <w:ind w:left="11"/>
              <w:jc w:val="center"/>
              <w:rPr>
                <w:sz w:val="21"/>
              </w:rPr>
            </w:pPr>
            <w:r>
              <w:rPr>
                <w:w w:val="99"/>
                <w:sz w:val="21"/>
              </w:rPr>
              <w:t>5</w:t>
            </w:r>
          </w:p>
        </w:tc>
      </w:tr>
    </w:tbl>
    <w:p>
      <w:pPr>
        <w:pStyle w:val="3"/>
        <w:spacing w:before="141"/>
      </w:pPr>
      <w:r>
        <w:t>1．投标报价【满分 30 分】：</w:t>
      </w:r>
    </w:p>
    <w:p>
      <w:pPr>
        <w:pStyle w:val="2"/>
        <w:spacing w:before="1"/>
        <w:rPr>
          <w:b/>
          <w:sz w:val="5"/>
        </w:rPr>
      </w:pPr>
    </w:p>
    <w:tbl>
      <w:tblPr>
        <w:tblStyle w:val="4"/>
        <w:tblW w:w="0" w:type="auto"/>
        <w:tblInd w:w="155" w:type="dxa"/>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851"/>
        <w:gridCol w:w="1276"/>
        <w:gridCol w:w="992"/>
        <w:gridCol w:w="5953"/>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485" w:hRule="exact"/>
        </w:trPr>
        <w:tc>
          <w:tcPr>
            <w:tcW w:w="851" w:type="dxa"/>
            <w:tcBorders>
              <w:bottom w:val="single" w:color="000000" w:sz="6" w:space="0"/>
              <w:right w:val="single" w:color="000000" w:sz="6" w:space="0"/>
            </w:tcBorders>
          </w:tcPr>
          <w:p>
            <w:pPr>
              <w:pStyle w:val="7"/>
              <w:spacing w:before="59"/>
              <w:ind w:right="206"/>
              <w:jc w:val="right"/>
              <w:rPr>
                <w:b/>
                <w:sz w:val="21"/>
              </w:rPr>
            </w:pPr>
            <w:r>
              <w:rPr>
                <w:b/>
                <w:w w:val="95"/>
                <w:sz w:val="21"/>
              </w:rPr>
              <w:t>序号</w:t>
            </w:r>
          </w:p>
        </w:tc>
        <w:tc>
          <w:tcPr>
            <w:tcW w:w="1276" w:type="dxa"/>
            <w:tcBorders>
              <w:left w:val="single" w:color="000000" w:sz="6" w:space="0"/>
              <w:bottom w:val="single" w:color="000000" w:sz="6" w:space="0"/>
              <w:right w:val="single" w:color="000000" w:sz="6" w:space="0"/>
            </w:tcBorders>
          </w:tcPr>
          <w:p>
            <w:pPr>
              <w:pStyle w:val="7"/>
              <w:spacing w:before="59"/>
              <w:ind w:left="109" w:right="110"/>
              <w:jc w:val="center"/>
              <w:rPr>
                <w:b/>
                <w:sz w:val="21"/>
              </w:rPr>
            </w:pPr>
            <w:r>
              <w:rPr>
                <w:b/>
                <w:w w:val="95"/>
                <w:sz w:val="21"/>
              </w:rPr>
              <w:t>评分因素</w:t>
            </w:r>
          </w:p>
        </w:tc>
        <w:tc>
          <w:tcPr>
            <w:tcW w:w="992" w:type="dxa"/>
            <w:tcBorders>
              <w:left w:val="single" w:color="000000" w:sz="6" w:space="0"/>
              <w:bottom w:val="single" w:color="000000" w:sz="6" w:space="0"/>
              <w:right w:val="single" w:color="000000" w:sz="6" w:space="0"/>
            </w:tcBorders>
          </w:tcPr>
          <w:p>
            <w:pPr>
              <w:pStyle w:val="7"/>
              <w:spacing w:before="59"/>
              <w:ind w:left="204" w:right="205"/>
              <w:jc w:val="center"/>
              <w:rPr>
                <w:b/>
                <w:sz w:val="21"/>
              </w:rPr>
            </w:pPr>
            <w:r>
              <w:rPr>
                <w:b/>
                <w:w w:val="95"/>
                <w:sz w:val="21"/>
              </w:rPr>
              <w:t>分值</w:t>
            </w:r>
          </w:p>
        </w:tc>
        <w:tc>
          <w:tcPr>
            <w:tcW w:w="5953" w:type="dxa"/>
            <w:tcBorders>
              <w:left w:val="single" w:color="000000" w:sz="6" w:space="0"/>
              <w:bottom w:val="single" w:color="000000" w:sz="6" w:space="0"/>
            </w:tcBorders>
          </w:tcPr>
          <w:p>
            <w:pPr>
              <w:pStyle w:val="7"/>
              <w:spacing w:before="59"/>
              <w:ind w:left="255" w:right="240"/>
              <w:jc w:val="center"/>
              <w:rPr>
                <w:b/>
                <w:sz w:val="21"/>
              </w:rPr>
            </w:pPr>
            <w:r>
              <w:rPr>
                <w:b/>
                <w:w w:val="95"/>
                <w:sz w:val="21"/>
              </w:rPr>
              <w:t>评分标准</w:t>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11304" w:hRule="exact"/>
        </w:trPr>
        <w:tc>
          <w:tcPr>
            <w:tcW w:w="851" w:type="dxa"/>
            <w:tcBorders>
              <w:top w:val="single" w:color="000000" w:sz="6" w:space="0"/>
              <w:right w:val="single" w:color="000000" w:sz="6" w:space="0"/>
            </w:tcBorders>
          </w:tcPr>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3"/>
              <w:rPr>
                <w:b/>
                <w:sz w:val="16"/>
              </w:rPr>
            </w:pPr>
          </w:p>
          <w:p>
            <w:pPr>
              <w:pStyle w:val="7"/>
              <w:ind w:right="258"/>
              <w:jc w:val="right"/>
              <w:rPr>
                <w:sz w:val="21"/>
              </w:rPr>
            </w:pPr>
            <w:r>
              <w:rPr>
                <w:sz w:val="21"/>
              </w:rPr>
              <w:t>1.1</w:t>
            </w:r>
          </w:p>
        </w:tc>
        <w:tc>
          <w:tcPr>
            <w:tcW w:w="1276" w:type="dxa"/>
            <w:tcBorders>
              <w:top w:val="single" w:color="000000" w:sz="6" w:space="0"/>
              <w:left w:val="single" w:color="000000" w:sz="6" w:space="0"/>
              <w:right w:val="single" w:color="000000" w:sz="6" w:space="0"/>
            </w:tcBorders>
          </w:tcPr>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3"/>
              <w:rPr>
                <w:b/>
                <w:sz w:val="16"/>
              </w:rPr>
            </w:pPr>
          </w:p>
          <w:p>
            <w:pPr>
              <w:pStyle w:val="7"/>
              <w:ind w:left="109" w:right="110"/>
              <w:jc w:val="center"/>
              <w:rPr>
                <w:b/>
                <w:sz w:val="21"/>
              </w:rPr>
            </w:pPr>
            <w:r>
              <w:rPr>
                <w:b/>
                <w:w w:val="95"/>
                <w:sz w:val="21"/>
              </w:rPr>
              <w:t>投标报价分</w:t>
            </w:r>
          </w:p>
        </w:tc>
        <w:tc>
          <w:tcPr>
            <w:tcW w:w="992" w:type="dxa"/>
            <w:tcBorders>
              <w:top w:val="single" w:color="000000" w:sz="6" w:space="0"/>
              <w:left w:val="single" w:color="000000" w:sz="6" w:space="0"/>
              <w:right w:val="single" w:color="000000" w:sz="6" w:space="0"/>
            </w:tcBorders>
          </w:tcPr>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3"/>
              <w:rPr>
                <w:b/>
                <w:sz w:val="16"/>
              </w:rPr>
            </w:pPr>
          </w:p>
          <w:p>
            <w:pPr>
              <w:pStyle w:val="7"/>
              <w:ind w:left="204" w:right="205"/>
              <w:jc w:val="center"/>
              <w:rPr>
                <w:b/>
                <w:sz w:val="21"/>
              </w:rPr>
            </w:pPr>
            <w:r>
              <w:rPr>
                <w:b/>
                <w:sz w:val="21"/>
              </w:rPr>
              <w:t>30 分</w:t>
            </w:r>
          </w:p>
        </w:tc>
        <w:tc>
          <w:tcPr>
            <w:tcW w:w="5953" w:type="dxa"/>
            <w:tcBorders>
              <w:top w:val="single" w:color="000000" w:sz="6" w:space="0"/>
              <w:left w:val="single" w:color="000000" w:sz="6" w:space="0"/>
            </w:tcBorders>
          </w:tcPr>
          <w:p>
            <w:pPr>
              <w:pStyle w:val="7"/>
              <w:spacing w:before="64" w:line="408" w:lineRule="auto"/>
              <w:ind w:left="100" w:right="85"/>
              <w:jc w:val="both"/>
              <w:rPr>
                <w:sz w:val="21"/>
              </w:rPr>
            </w:pPr>
            <w:r>
              <w:rPr>
                <w:sz w:val="21"/>
              </w:rPr>
              <w:t xml:space="preserve">满足招标文件要求且投标价格最低的投标报价为评标基准价， </w:t>
            </w:r>
            <w:r>
              <w:rPr>
                <w:w w:val="95"/>
                <w:sz w:val="21"/>
              </w:rPr>
              <w:t>按照下列公式计算每个投标人的投标报价得分。</w:t>
            </w:r>
          </w:p>
          <w:p>
            <w:pPr>
              <w:pStyle w:val="7"/>
              <w:spacing w:before="46" w:line="386" w:lineRule="auto"/>
              <w:ind w:left="100" w:right="206" w:rightChars="0"/>
              <w:rPr>
                <w:rFonts w:ascii="Times New Roman" w:hAnsi="Times New Roman" w:eastAsia="Times New Roman"/>
                <w:w w:val="95"/>
                <w:sz w:val="21"/>
              </w:rPr>
            </w:pPr>
            <w:r>
              <w:rPr>
                <w:w w:val="95"/>
                <w:sz w:val="21"/>
              </w:rPr>
              <w:t>投标报价得分</w:t>
            </w:r>
            <w:r>
              <w:rPr>
                <w:rFonts w:ascii="Times New Roman" w:hAnsi="Times New Roman" w:eastAsia="Times New Roman"/>
                <w:w w:val="95"/>
                <w:sz w:val="21"/>
              </w:rPr>
              <w:t>=</w:t>
            </w:r>
            <w:r>
              <w:rPr>
                <w:w w:val="95"/>
                <w:sz w:val="21"/>
              </w:rPr>
              <w:t>（评标基准价</w:t>
            </w:r>
            <w:r>
              <w:rPr>
                <w:rFonts w:ascii="Times New Roman" w:hAnsi="Times New Roman" w:eastAsia="Times New Roman"/>
                <w:w w:val="95"/>
                <w:sz w:val="21"/>
              </w:rPr>
              <w:t>/</w:t>
            </w:r>
            <w:r>
              <w:rPr>
                <w:w w:val="95"/>
                <w:sz w:val="21"/>
              </w:rPr>
              <w:t>投标报价）×</w:t>
            </w:r>
            <w:r>
              <w:rPr>
                <w:rFonts w:ascii="Times New Roman" w:hAnsi="Times New Roman" w:eastAsia="Times New Roman"/>
                <w:w w:val="95"/>
                <w:sz w:val="21"/>
              </w:rPr>
              <w:t xml:space="preserve">30 </w:t>
            </w:r>
          </w:p>
          <w:p>
            <w:pPr>
              <w:pStyle w:val="7"/>
              <w:spacing w:before="46" w:line="386" w:lineRule="auto"/>
              <w:ind w:left="100" w:right="206" w:rightChars="0"/>
              <w:rPr>
                <w:sz w:val="21"/>
              </w:rPr>
            </w:pPr>
            <w:r>
              <w:rPr>
                <w:w w:val="95"/>
                <w:sz w:val="21"/>
              </w:rPr>
              <w:t>备注：</w:t>
            </w:r>
          </w:p>
          <w:p>
            <w:pPr>
              <w:pStyle w:val="7"/>
              <w:tabs>
                <w:tab w:val="left" w:pos="2951"/>
              </w:tabs>
              <w:spacing w:before="65" w:line="388" w:lineRule="auto"/>
              <w:ind w:left="100" w:right="85"/>
              <w:rPr>
                <w:sz w:val="21"/>
              </w:rPr>
            </w:pPr>
            <w:r>
              <w:rPr>
                <w:sz w:val="21"/>
              </w:rPr>
              <w:t>根据《政府采购促进中小企业发展管理办法》财库〔</w:t>
            </w:r>
            <w:r>
              <w:rPr>
                <w:rFonts w:ascii="Times New Roman" w:eastAsia="Times New Roman"/>
                <w:sz w:val="21"/>
              </w:rPr>
              <w:t>2020</w:t>
            </w:r>
            <w:r>
              <w:rPr>
                <w:sz w:val="21"/>
              </w:rPr>
              <w:t>〕</w:t>
            </w:r>
            <w:r>
              <w:rPr>
                <w:rFonts w:ascii="Times New Roman" w:eastAsia="Times New Roman"/>
                <w:sz w:val="21"/>
              </w:rPr>
              <w:t xml:space="preserve">46 </w:t>
            </w:r>
            <w:r>
              <w:rPr>
                <w:sz w:val="21"/>
              </w:rPr>
              <w:t>号及财库〔</w:t>
            </w:r>
            <w:r>
              <w:rPr>
                <w:rFonts w:ascii="Times New Roman" w:eastAsia="Times New Roman"/>
                <w:sz w:val="21"/>
              </w:rPr>
              <w:t>2022</w:t>
            </w:r>
            <w:r>
              <w:rPr>
                <w:sz w:val="21"/>
              </w:rPr>
              <w:t>〕</w:t>
            </w:r>
            <w:r>
              <w:rPr>
                <w:rFonts w:ascii="Times New Roman" w:eastAsia="Times New Roman"/>
                <w:sz w:val="21"/>
              </w:rPr>
              <w:t>19</w:t>
            </w:r>
            <w:r>
              <w:rPr>
                <w:rFonts w:ascii="Times New Roman" w:eastAsia="Times New Roman"/>
                <w:spacing w:val="-11"/>
                <w:sz w:val="21"/>
              </w:rPr>
              <w:t xml:space="preserve"> </w:t>
            </w:r>
            <w:r>
              <w:rPr>
                <w:sz w:val="21"/>
              </w:rPr>
              <w:t>号，关于政府采购支持监狱企业发展有关问题的通知</w:t>
            </w:r>
            <w:r>
              <w:rPr>
                <w:rFonts w:ascii="Times New Roman" w:eastAsia="Times New Roman"/>
                <w:sz w:val="21"/>
              </w:rPr>
              <w:t>(</w:t>
            </w:r>
            <w:r>
              <w:rPr>
                <w:sz w:val="21"/>
              </w:rPr>
              <w:t>财库〔</w:t>
            </w:r>
            <w:r>
              <w:rPr>
                <w:rFonts w:ascii="Times New Roman" w:eastAsia="Times New Roman"/>
                <w:sz w:val="21"/>
              </w:rPr>
              <w:t>2014</w:t>
            </w:r>
            <w:r>
              <w:rPr>
                <w:sz w:val="21"/>
              </w:rPr>
              <w:t>〕</w:t>
            </w:r>
            <w:r>
              <w:rPr>
                <w:rFonts w:ascii="Times New Roman" w:eastAsia="Times New Roman"/>
                <w:sz w:val="21"/>
              </w:rPr>
              <w:t>68</w:t>
            </w:r>
            <w:r>
              <w:rPr>
                <w:rFonts w:ascii="Times New Roman" w:eastAsia="Times New Roman"/>
                <w:spacing w:val="-5"/>
                <w:sz w:val="21"/>
              </w:rPr>
              <w:t xml:space="preserve"> </w:t>
            </w:r>
            <w:r>
              <w:rPr>
                <w:sz w:val="21"/>
              </w:rPr>
              <w:t>号</w:t>
            </w:r>
            <w:r>
              <w:rPr>
                <w:rFonts w:ascii="Times New Roman" w:eastAsia="Times New Roman"/>
                <w:sz w:val="21"/>
              </w:rPr>
              <w:t>)</w:t>
            </w:r>
            <w:r>
              <w:rPr>
                <w:sz w:val="21"/>
              </w:rPr>
              <w:t>、关于促进残疾人就业政府采购政策的通</w:t>
            </w:r>
            <w:r>
              <w:rPr>
                <w:spacing w:val="-13"/>
                <w:sz w:val="21"/>
              </w:rPr>
              <w:t>知</w:t>
            </w:r>
            <w:r>
              <w:rPr>
                <w:sz w:val="21"/>
              </w:rPr>
              <w:t>（财</w:t>
            </w:r>
            <w:r>
              <w:rPr>
                <w:spacing w:val="-13"/>
                <w:sz w:val="21"/>
              </w:rPr>
              <w:t>库</w:t>
            </w:r>
            <w:r>
              <w:rPr>
                <w:sz w:val="21"/>
              </w:rPr>
              <w:t>〔</w:t>
            </w:r>
            <w:r>
              <w:rPr>
                <w:rFonts w:ascii="Times New Roman" w:eastAsia="Times New Roman"/>
                <w:sz w:val="21"/>
              </w:rPr>
              <w:t>2017</w:t>
            </w:r>
            <w:r>
              <w:rPr>
                <w:spacing w:val="-15"/>
                <w:sz w:val="21"/>
              </w:rPr>
              <w:t>〕</w:t>
            </w:r>
            <w:r>
              <w:rPr>
                <w:rFonts w:ascii="Times New Roman" w:eastAsia="Times New Roman"/>
                <w:sz w:val="21"/>
              </w:rPr>
              <w:t>141</w:t>
            </w:r>
            <w:r>
              <w:rPr>
                <w:rFonts w:ascii="Times New Roman" w:eastAsia="Times New Roman"/>
                <w:spacing w:val="-15"/>
                <w:sz w:val="21"/>
              </w:rPr>
              <w:t xml:space="preserve"> </w:t>
            </w:r>
            <w:r>
              <w:rPr>
                <w:sz w:val="21"/>
              </w:rPr>
              <w:t>号</w:t>
            </w:r>
            <w:r>
              <w:rPr>
                <w:spacing w:val="-15"/>
                <w:sz w:val="21"/>
              </w:rPr>
              <w:t>）</w:t>
            </w:r>
            <w:r>
              <w:rPr>
                <w:sz w:val="21"/>
              </w:rPr>
              <w:t>及相关规定</w:t>
            </w:r>
            <w:r>
              <w:rPr>
                <w:spacing w:val="-15"/>
                <w:sz w:val="21"/>
              </w:rPr>
              <w:t>，</w:t>
            </w:r>
            <w:r>
              <w:rPr>
                <w:sz w:val="21"/>
              </w:rPr>
              <w:t>在技术</w:t>
            </w:r>
            <w:r>
              <w:rPr>
                <w:spacing w:val="-15"/>
                <w:sz w:val="21"/>
              </w:rPr>
              <w:t>、</w:t>
            </w:r>
            <w:r>
              <w:rPr>
                <w:sz w:val="21"/>
              </w:rPr>
              <w:t>商务等均满足采购需求的前提下，本项目对享受价格扣除政策企业的产品给予</w:t>
            </w:r>
            <w:r>
              <w:rPr>
                <w:spacing w:val="-52"/>
                <w:sz w:val="21"/>
              </w:rPr>
              <w:t xml:space="preserve"> </w:t>
            </w:r>
            <w:r>
              <w:rPr>
                <w:rFonts w:ascii="Times New Roman" w:eastAsia="Times New Roman"/>
                <w:sz w:val="21"/>
              </w:rPr>
              <w:t>10%</w:t>
            </w:r>
            <w:r>
              <w:rPr>
                <w:rFonts w:ascii="Times New Roman" w:eastAsia="Times New Roman"/>
                <w:spacing w:val="48"/>
                <w:sz w:val="21"/>
              </w:rPr>
              <w:t xml:space="preserve"> </w:t>
            </w:r>
            <w:r>
              <w:rPr>
                <w:sz w:val="21"/>
              </w:rPr>
              <w:t>（联合体</w:t>
            </w:r>
            <w:r>
              <w:rPr>
                <w:sz w:val="21"/>
              </w:rPr>
              <w:tab/>
            </w:r>
            <w:r>
              <w:rPr>
                <w:rFonts w:ascii="Times New Roman" w:eastAsia="Times New Roman"/>
                <w:sz w:val="21"/>
              </w:rPr>
              <w:t>/</w:t>
            </w:r>
            <w:r>
              <w:rPr>
                <w:rFonts w:ascii="Times New Roman" w:eastAsia="Times New Roman"/>
                <w:spacing w:val="-10"/>
                <w:sz w:val="21"/>
              </w:rPr>
              <w:t xml:space="preserve"> </w:t>
            </w:r>
            <w:r>
              <w:rPr>
                <w:rFonts w:ascii="Times New Roman" w:eastAsia="Times New Roman"/>
                <w:sz w:val="21"/>
              </w:rPr>
              <w:t>%</w:t>
            </w:r>
            <w:r>
              <w:rPr>
                <w:sz w:val="21"/>
              </w:rPr>
              <w:t>）的价格扣除，用扣除后的</w:t>
            </w:r>
            <w:r>
              <w:rPr>
                <w:w w:val="95"/>
                <w:sz w:val="21"/>
              </w:rPr>
              <w:t>价格参与评审。</w:t>
            </w:r>
          </w:p>
          <w:p>
            <w:pPr>
              <w:pStyle w:val="7"/>
              <w:spacing w:before="63" w:line="408" w:lineRule="auto"/>
              <w:ind w:left="100" w:right="152"/>
              <w:jc w:val="both"/>
              <w:rPr>
                <w:sz w:val="21"/>
              </w:rPr>
            </w:pPr>
            <w:r>
              <w:rPr>
                <w:w w:val="95"/>
                <w:sz w:val="21"/>
              </w:rPr>
              <w:t>评标委员会认为投标人的报价明显低于其他通过资格审查投标 人的报价，有可能影响产品质量或者不能诚信履约的，应当要 求其在评标现场合理的时间内提供书面说明，必要时提交相关 证明材料；投标人不能证明其报价合理性的，评标委员会应当 将其作为无效投标处理。</w:t>
            </w:r>
          </w:p>
          <w:p>
            <w:pPr>
              <w:pStyle w:val="7"/>
              <w:spacing w:before="46"/>
              <w:ind w:left="100"/>
              <w:jc w:val="both"/>
              <w:rPr>
                <w:sz w:val="21"/>
              </w:rPr>
            </w:pPr>
            <w:r>
              <w:rPr>
                <w:w w:val="95"/>
                <w:sz w:val="21"/>
              </w:rPr>
              <w:t>说明：</w:t>
            </w:r>
          </w:p>
          <w:p>
            <w:pPr>
              <w:pStyle w:val="7"/>
              <w:spacing w:before="9"/>
              <w:rPr>
                <w:b/>
                <w:sz w:val="14"/>
              </w:rPr>
            </w:pPr>
          </w:p>
          <w:p>
            <w:pPr>
              <w:pStyle w:val="7"/>
              <w:spacing w:line="398" w:lineRule="auto"/>
              <w:ind w:left="100" w:right="87"/>
              <w:jc w:val="both"/>
              <w:rPr>
                <w:sz w:val="21"/>
              </w:rPr>
            </w:pPr>
            <w:r>
              <w:rPr>
                <w:spacing w:val="-3"/>
                <w:w w:val="95"/>
                <w:sz w:val="21"/>
              </w:rPr>
              <w:t>（</w:t>
            </w:r>
            <w:r>
              <w:rPr>
                <w:rFonts w:ascii="Times New Roman" w:eastAsia="Times New Roman"/>
                <w:spacing w:val="-3"/>
                <w:w w:val="95"/>
                <w:sz w:val="21"/>
              </w:rPr>
              <w:t>1</w:t>
            </w:r>
            <w:r>
              <w:rPr>
                <w:spacing w:val="-3"/>
                <w:w w:val="95"/>
                <w:sz w:val="21"/>
              </w:rPr>
              <w:t>）</w:t>
            </w:r>
            <w:r>
              <w:rPr>
                <w:spacing w:val="-4"/>
                <w:w w:val="95"/>
                <w:sz w:val="21"/>
              </w:rPr>
              <w:t xml:space="preserve">监狱企业视同小型、微型企业，享受预留份额、评审中价 </w:t>
            </w:r>
            <w:r>
              <w:rPr>
                <w:spacing w:val="-4"/>
                <w:sz w:val="21"/>
              </w:rPr>
              <w:t>格扣除等政府采购促进中小企业发展的政府采购政策，残疾人</w:t>
            </w:r>
            <w:r>
              <w:rPr>
                <w:spacing w:val="-4"/>
                <w:w w:val="95"/>
                <w:sz w:val="21"/>
              </w:rPr>
              <w:t>福利性单位属于小型、微型企业的，不重复享受政策。</w:t>
            </w:r>
          </w:p>
          <w:p>
            <w:pPr>
              <w:pStyle w:val="7"/>
              <w:spacing w:before="54" w:line="393" w:lineRule="auto"/>
              <w:ind w:left="100" w:right="85"/>
              <w:jc w:val="both"/>
              <w:rPr>
                <w:sz w:val="21"/>
              </w:rPr>
            </w:pPr>
            <w:r>
              <w:rPr>
                <w:spacing w:val="-13"/>
                <w:w w:val="95"/>
                <w:sz w:val="21"/>
              </w:rPr>
              <w:t>（</w:t>
            </w:r>
            <w:r>
              <w:rPr>
                <w:rFonts w:ascii="Times New Roman" w:eastAsia="Times New Roman"/>
                <w:spacing w:val="-13"/>
                <w:w w:val="95"/>
                <w:sz w:val="21"/>
              </w:rPr>
              <w:t>2</w:t>
            </w:r>
            <w:r>
              <w:rPr>
                <w:spacing w:val="-13"/>
                <w:w w:val="95"/>
                <w:sz w:val="21"/>
              </w:rPr>
              <w:t>）</w:t>
            </w:r>
            <w:r>
              <w:rPr>
                <w:w w:val="95"/>
                <w:sz w:val="21"/>
              </w:rPr>
              <w:t>对于经主管预算单位统筹后未预留份额专门面向中小企业</w:t>
            </w:r>
            <w:r>
              <w:rPr>
                <w:sz w:val="21"/>
              </w:rPr>
              <w:t>采购的项目，以及预留份额项目中的非预留部分采购包，对符</w:t>
            </w:r>
            <w:r>
              <w:rPr>
                <w:spacing w:val="-1"/>
                <w:sz w:val="21"/>
              </w:rPr>
              <w:t xml:space="preserve">合本办法规定的小微企业报价给予 </w:t>
            </w:r>
            <w:r>
              <w:rPr>
                <w:rFonts w:ascii="Times New Roman" w:eastAsia="Times New Roman"/>
                <w:sz w:val="21"/>
              </w:rPr>
              <w:t>10%</w:t>
            </w:r>
            <w:r>
              <w:rPr>
                <w:spacing w:val="-1"/>
                <w:sz w:val="21"/>
              </w:rPr>
              <w:t>的扣除，用扣除后的价</w:t>
            </w:r>
            <w:r>
              <w:rPr>
                <w:spacing w:val="-1"/>
                <w:w w:val="95"/>
                <w:sz w:val="21"/>
              </w:rPr>
              <w:t>格参加评审。</w:t>
            </w:r>
          </w:p>
        </w:tc>
      </w:tr>
    </w:tbl>
    <w:p>
      <w:pPr>
        <w:spacing w:after="0" w:line="393" w:lineRule="auto"/>
        <w:jc w:val="both"/>
        <w:rPr>
          <w:sz w:val="21"/>
        </w:rPr>
        <w:sectPr>
          <w:pgSz w:w="11910" w:h="16840"/>
          <w:pgMar w:top="1080" w:right="1240" w:bottom="1180" w:left="1240" w:header="891" w:footer="923" w:gutter="0"/>
          <w:cols w:space="720" w:num="1"/>
        </w:sectPr>
      </w:pPr>
    </w:p>
    <w:tbl>
      <w:tblPr>
        <w:tblStyle w:val="4"/>
        <w:tblW w:w="0" w:type="auto"/>
        <w:tblInd w:w="155" w:type="dxa"/>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851"/>
        <w:gridCol w:w="1276"/>
        <w:gridCol w:w="992"/>
        <w:gridCol w:w="5953"/>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4885" w:hRule="exact"/>
        </w:trPr>
        <w:tc>
          <w:tcPr>
            <w:tcW w:w="851" w:type="dxa"/>
            <w:tcBorders>
              <w:right w:val="single" w:color="000000" w:sz="6" w:space="0"/>
            </w:tcBorders>
          </w:tcPr>
          <w:p/>
        </w:tc>
        <w:tc>
          <w:tcPr>
            <w:tcW w:w="1276" w:type="dxa"/>
            <w:tcBorders>
              <w:left w:val="single" w:color="000000" w:sz="6" w:space="0"/>
              <w:right w:val="single" w:color="000000" w:sz="6" w:space="0"/>
            </w:tcBorders>
          </w:tcPr>
          <w:p/>
        </w:tc>
        <w:tc>
          <w:tcPr>
            <w:tcW w:w="992" w:type="dxa"/>
            <w:tcBorders>
              <w:left w:val="single" w:color="000000" w:sz="6" w:space="0"/>
              <w:right w:val="single" w:color="000000" w:sz="6" w:space="0"/>
            </w:tcBorders>
          </w:tcPr>
          <w:p/>
        </w:tc>
        <w:tc>
          <w:tcPr>
            <w:tcW w:w="5953" w:type="dxa"/>
            <w:tcBorders>
              <w:left w:val="single" w:color="000000" w:sz="6" w:space="0"/>
            </w:tcBorders>
          </w:tcPr>
          <w:p>
            <w:pPr>
              <w:pStyle w:val="7"/>
              <w:spacing w:before="65" w:line="398" w:lineRule="auto"/>
              <w:ind w:left="100" w:right="85"/>
              <w:jc w:val="both"/>
              <w:rPr>
                <w:sz w:val="21"/>
              </w:rPr>
            </w:pPr>
            <w:r>
              <w:rPr>
                <w:spacing w:val="-5"/>
                <w:w w:val="95"/>
                <w:sz w:val="21"/>
              </w:rPr>
              <w:t>（</w:t>
            </w:r>
            <w:r>
              <w:rPr>
                <w:rFonts w:hint="eastAsia" w:ascii="Times New Roman"/>
                <w:spacing w:val="-5"/>
                <w:w w:val="95"/>
                <w:sz w:val="21"/>
                <w:lang w:val="en-US" w:eastAsia="zh-CN"/>
              </w:rPr>
              <w:t>3</w:t>
            </w:r>
            <w:r>
              <w:rPr>
                <w:spacing w:val="-5"/>
                <w:w w:val="95"/>
                <w:sz w:val="21"/>
              </w:rPr>
              <w:t>）</w:t>
            </w:r>
            <w:r>
              <w:rPr>
                <w:spacing w:val="-2"/>
                <w:w w:val="95"/>
                <w:sz w:val="21"/>
              </w:rPr>
              <w:t>投标人必须对小型和微型企业、残疾人福利单位、监狱企</w:t>
            </w:r>
            <w:r>
              <w:rPr>
                <w:spacing w:val="-2"/>
                <w:sz w:val="21"/>
              </w:rPr>
              <w:t>业产品进行标注说明，且不得出现畸形报价，否则评标委员会</w:t>
            </w:r>
            <w:r>
              <w:rPr>
                <w:spacing w:val="-2"/>
                <w:w w:val="95"/>
                <w:sz w:val="21"/>
              </w:rPr>
              <w:t>有权不予认可。</w:t>
            </w:r>
          </w:p>
          <w:p>
            <w:pPr>
              <w:pStyle w:val="7"/>
              <w:spacing w:before="54" w:line="403" w:lineRule="auto"/>
              <w:ind w:left="100" w:right="85"/>
              <w:jc w:val="both"/>
              <w:rPr>
                <w:sz w:val="21"/>
              </w:rPr>
            </w:pPr>
            <w:r>
              <w:rPr>
                <w:spacing w:val="-6"/>
                <w:w w:val="95"/>
                <w:sz w:val="21"/>
              </w:rPr>
              <w:t>（</w:t>
            </w:r>
            <w:r>
              <w:rPr>
                <w:rFonts w:hint="eastAsia" w:ascii="Times New Roman"/>
                <w:spacing w:val="-6"/>
                <w:w w:val="95"/>
                <w:sz w:val="21"/>
                <w:lang w:val="en-US" w:eastAsia="zh-CN"/>
              </w:rPr>
              <w:t>4</w:t>
            </w:r>
            <w:r>
              <w:rPr>
                <w:spacing w:val="-6"/>
                <w:w w:val="95"/>
                <w:sz w:val="21"/>
              </w:rPr>
              <w:t>）</w:t>
            </w:r>
            <w:r>
              <w:rPr>
                <w:spacing w:val="-2"/>
                <w:w w:val="95"/>
                <w:sz w:val="21"/>
              </w:rPr>
              <w:t xml:space="preserve">《残疾人福利性单位声明函》和中小企业须提供《中小企 </w:t>
            </w:r>
            <w:r>
              <w:rPr>
                <w:spacing w:val="-2"/>
                <w:sz w:val="21"/>
              </w:rPr>
              <w:t>业声明函》且声明函所载内容必需真实，如有虚假，将依法承担相应责任，包括取消中标资格等。中小企业划分标准依照</w:t>
            </w:r>
            <w:r>
              <w:rPr>
                <w:rFonts w:hint="eastAsia"/>
                <w:spacing w:val="-2"/>
                <w:sz w:val="21"/>
                <w:lang w:eastAsia="zh-CN"/>
              </w:rPr>
              <w:t>信息传输业</w:t>
            </w:r>
            <w:r>
              <w:rPr>
                <w:spacing w:val="-2"/>
                <w:sz w:val="21"/>
              </w:rPr>
              <w:t>和信息化部、国家统计局、国家发展和改革委员会、财政部联合下发的《关于印发中小企业划型标准规定的通知》（工信部联企业《</w:t>
            </w:r>
            <w:r>
              <w:rPr>
                <w:rFonts w:ascii="Times New Roman" w:eastAsia="Times New Roman"/>
                <w:spacing w:val="-2"/>
                <w:sz w:val="21"/>
              </w:rPr>
              <w:t>2011</w:t>
            </w:r>
            <w:r>
              <w:rPr>
                <w:spacing w:val="-2"/>
                <w:sz w:val="21"/>
              </w:rPr>
              <w:t>》</w:t>
            </w:r>
            <w:r>
              <w:rPr>
                <w:rFonts w:ascii="Times New Roman" w:eastAsia="Times New Roman"/>
                <w:spacing w:val="-2"/>
                <w:sz w:val="21"/>
              </w:rPr>
              <w:t xml:space="preserve">300 </w:t>
            </w:r>
            <w:r>
              <w:rPr>
                <w:sz w:val="21"/>
              </w:rPr>
              <w:t>号）执行。</w:t>
            </w:r>
          </w:p>
          <w:p>
            <w:pPr>
              <w:pStyle w:val="7"/>
              <w:spacing w:line="217" w:lineRule="exact"/>
              <w:ind w:left="100"/>
              <w:jc w:val="both"/>
              <w:rPr>
                <w:sz w:val="21"/>
              </w:rPr>
            </w:pPr>
            <w:r>
              <w:rPr>
                <w:w w:val="95"/>
                <w:sz w:val="21"/>
              </w:rPr>
              <w:t>注：价格扣除政策针对投标产品的生产制造商，若生产制造商</w:t>
            </w:r>
          </w:p>
          <w:p>
            <w:pPr>
              <w:pStyle w:val="7"/>
              <w:spacing w:before="37"/>
              <w:ind w:left="100"/>
              <w:jc w:val="both"/>
              <w:rPr>
                <w:sz w:val="21"/>
              </w:rPr>
            </w:pPr>
            <w:r>
              <w:rPr>
                <w:w w:val="95"/>
                <w:sz w:val="21"/>
              </w:rPr>
              <w:t>为小微企业，且提供小微企业声明函，则享受响应的价格扣除；</w:t>
            </w:r>
          </w:p>
        </w:tc>
      </w:tr>
    </w:tbl>
    <w:p>
      <w:pPr>
        <w:spacing w:before="66"/>
        <w:ind w:left="540" w:right="0" w:firstLine="0"/>
        <w:jc w:val="left"/>
        <w:rPr>
          <w:b/>
          <w:sz w:val="21"/>
        </w:rPr>
      </w:pPr>
      <w:r>
        <w:rPr>
          <w:b/>
          <w:sz w:val="21"/>
        </w:rPr>
        <w:t xml:space="preserve">2．技术分【满分 </w:t>
      </w:r>
      <w:r>
        <w:rPr>
          <w:rFonts w:hint="eastAsia"/>
          <w:b/>
          <w:sz w:val="21"/>
          <w:lang w:val="en-US" w:eastAsia="zh-CN"/>
        </w:rPr>
        <w:t>70</w:t>
      </w:r>
      <w:r>
        <w:rPr>
          <w:b/>
          <w:sz w:val="21"/>
        </w:rPr>
        <w:t>分】：</w:t>
      </w:r>
    </w:p>
    <w:p>
      <w:pPr>
        <w:pStyle w:val="2"/>
        <w:spacing w:before="11"/>
        <w:rPr>
          <w:b/>
          <w:sz w:val="9"/>
        </w:rPr>
      </w:pPr>
    </w:p>
    <w:tbl>
      <w:tblPr>
        <w:tblStyle w:val="4"/>
        <w:tblW w:w="0" w:type="auto"/>
        <w:tblInd w:w="155" w:type="dxa"/>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851"/>
        <w:gridCol w:w="1276"/>
        <w:gridCol w:w="992"/>
        <w:gridCol w:w="5953"/>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499" w:hRule="exact"/>
        </w:trPr>
        <w:tc>
          <w:tcPr>
            <w:tcW w:w="851" w:type="dxa"/>
            <w:tcBorders>
              <w:bottom w:val="single" w:color="000000" w:sz="6" w:space="0"/>
              <w:right w:val="single" w:color="000000" w:sz="6" w:space="0"/>
            </w:tcBorders>
          </w:tcPr>
          <w:p>
            <w:pPr>
              <w:pStyle w:val="7"/>
              <w:spacing w:before="66"/>
              <w:ind w:right="206"/>
              <w:jc w:val="right"/>
              <w:rPr>
                <w:b/>
                <w:sz w:val="21"/>
              </w:rPr>
            </w:pPr>
            <w:r>
              <w:rPr>
                <w:b/>
                <w:w w:val="95"/>
                <w:sz w:val="21"/>
              </w:rPr>
              <w:t>序号</w:t>
            </w:r>
          </w:p>
        </w:tc>
        <w:tc>
          <w:tcPr>
            <w:tcW w:w="1276" w:type="dxa"/>
            <w:tcBorders>
              <w:left w:val="single" w:color="000000" w:sz="6" w:space="0"/>
              <w:bottom w:val="single" w:color="000000" w:sz="6" w:space="0"/>
              <w:right w:val="single" w:color="000000" w:sz="6" w:space="0"/>
            </w:tcBorders>
          </w:tcPr>
          <w:p>
            <w:pPr>
              <w:pStyle w:val="7"/>
              <w:spacing w:before="66"/>
              <w:ind w:left="208"/>
              <w:rPr>
                <w:b/>
                <w:sz w:val="21"/>
              </w:rPr>
            </w:pPr>
            <w:r>
              <w:rPr>
                <w:b/>
                <w:w w:val="95"/>
                <w:sz w:val="21"/>
              </w:rPr>
              <w:t>评分因素</w:t>
            </w:r>
          </w:p>
        </w:tc>
        <w:tc>
          <w:tcPr>
            <w:tcW w:w="992" w:type="dxa"/>
            <w:tcBorders>
              <w:left w:val="single" w:color="000000" w:sz="6" w:space="0"/>
              <w:bottom w:val="single" w:color="000000" w:sz="6" w:space="0"/>
              <w:right w:val="single" w:color="000000" w:sz="6" w:space="0"/>
            </w:tcBorders>
          </w:tcPr>
          <w:p>
            <w:pPr>
              <w:pStyle w:val="7"/>
              <w:spacing w:before="66"/>
              <w:ind w:left="204" w:right="205"/>
              <w:jc w:val="center"/>
              <w:rPr>
                <w:b/>
                <w:sz w:val="21"/>
              </w:rPr>
            </w:pPr>
            <w:r>
              <w:rPr>
                <w:b/>
                <w:w w:val="95"/>
                <w:sz w:val="21"/>
              </w:rPr>
              <w:t>分值</w:t>
            </w:r>
          </w:p>
        </w:tc>
        <w:tc>
          <w:tcPr>
            <w:tcW w:w="5953" w:type="dxa"/>
            <w:tcBorders>
              <w:left w:val="single" w:color="000000" w:sz="6" w:space="0"/>
              <w:bottom w:val="single" w:color="000000" w:sz="6" w:space="0"/>
            </w:tcBorders>
          </w:tcPr>
          <w:p>
            <w:pPr>
              <w:pStyle w:val="7"/>
              <w:spacing w:before="66"/>
              <w:ind w:left="255" w:right="240"/>
              <w:jc w:val="center"/>
              <w:rPr>
                <w:b/>
                <w:sz w:val="21"/>
              </w:rPr>
            </w:pPr>
            <w:r>
              <w:rPr>
                <w:b/>
                <w:w w:val="95"/>
                <w:sz w:val="21"/>
              </w:rPr>
              <w:t>评分标准</w:t>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3215" w:hRule="exact"/>
        </w:trPr>
        <w:tc>
          <w:tcPr>
            <w:tcW w:w="851" w:type="dxa"/>
            <w:tcBorders>
              <w:top w:val="single" w:color="000000" w:sz="6" w:space="0"/>
              <w:bottom w:val="single" w:color="000000" w:sz="6" w:space="0"/>
              <w:right w:val="single" w:color="000000" w:sz="6" w:space="0"/>
            </w:tcBorders>
          </w:tcPr>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131"/>
              <w:ind w:right="258"/>
              <w:jc w:val="right"/>
              <w:rPr>
                <w:b/>
                <w:sz w:val="21"/>
              </w:rPr>
            </w:pPr>
            <w:r>
              <w:rPr>
                <w:b/>
                <w:w w:val="95"/>
                <w:sz w:val="21"/>
              </w:rPr>
              <w:t>2.1</w:t>
            </w:r>
          </w:p>
        </w:tc>
        <w:tc>
          <w:tcPr>
            <w:tcW w:w="1276" w:type="dxa"/>
            <w:tcBorders>
              <w:top w:val="single" w:color="000000" w:sz="6" w:space="0"/>
              <w:left w:val="single" w:color="000000" w:sz="6" w:space="0"/>
              <w:bottom w:val="single" w:color="000000" w:sz="6" w:space="0"/>
              <w:right w:val="single" w:color="000000" w:sz="6" w:space="0"/>
            </w:tcBorders>
          </w:tcPr>
          <w:p>
            <w:pPr>
              <w:pStyle w:val="7"/>
              <w:rPr>
                <w:b/>
                <w:sz w:val="20"/>
              </w:rPr>
            </w:pPr>
          </w:p>
          <w:p>
            <w:pPr>
              <w:pStyle w:val="7"/>
              <w:rPr>
                <w:b/>
                <w:sz w:val="20"/>
              </w:rPr>
            </w:pPr>
          </w:p>
          <w:p>
            <w:pPr>
              <w:pStyle w:val="7"/>
              <w:rPr>
                <w:b/>
                <w:sz w:val="20"/>
              </w:rPr>
            </w:pPr>
          </w:p>
          <w:p>
            <w:pPr>
              <w:pStyle w:val="7"/>
              <w:rPr>
                <w:b/>
                <w:sz w:val="20"/>
              </w:rPr>
            </w:pPr>
          </w:p>
          <w:p>
            <w:pPr>
              <w:pStyle w:val="7"/>
              <w:spacing w:before="148" w:line="355" w:lineRule="auto"/>
              <w:ind w:left="419" w:hanging="317"/>
              <w:rPr>
                <w:b/>
                <w:sz w:val="21"/>
              </w:rPr>
            </w:pPr>
            <w:r>
              <w:rPr>
                <w:b/>
                <w:w w:val="95"/>
                <w:sz w:val="21"/>
              </w:rPr>
              <w:t>技术要求评价分</w:t>
            </w:r>
          </w:p>
          <w:p>
            <w:pPr>
              <w:pStyle w:val="7"/>
              <w:spacing w:before="130"/>
              <w:ind w:left="103"/>
              <w:rPr>
                <w:b/>
                <w:sz w:val="21"/>
              </w:rPr>
            </w:pPr>
            <w:r>
              <w:rPr>
                <w:b/>
                <w:w w:val="95"/>
                <w:sz w:val="21"/>
              </w:rPr>
              <w:t>（客观分）</w:t>
            </w:r>
          </w:p>
        </w:tc>
        <w:tc>
          <w:tcPr>
            <w:tcW w:w="992" w:type="dxa"/>
            <w:tcBorders>
              <w:top w:val="single" w:color="000000" w:sz="6" w:space="0"/>
              <w:left w:val="single" w:color="000000" w:sz="6" w:space="0"/>
              <w:bottom w:val="single" w:color="000000" w:sz="6" w:space="0"/>
              <w:right w:val="single" w:color="000000" w:sz="6" w:space="0"/>
            </w:tcBorders>
          </w:tcPr>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131"/>
              <w:ind w:left="204" w:right="205"/>
              <w:jc w:val="center"/>
              <w:rPr>
                <w:b/>
                <w:sz w:val="21"/>
              </w:rPr>
            </w:pPr>
            <w:r>
              <w:rPr>
                <w:rFonts w:hint="eastAsia"/>
                <w:b/>
                <w:sz w:val="21"/>
                <w:lang w:val="en-US" w:eastAsia="zh-CN"/>
              </w:rPr>
              <w:t>35</w:t>
            </w:r>
            <w:r>
              <w:rPr>
                <w:b/>
                <w:sz w:val="21"/>
              </w:rPr>
              <w:t xml:space="preserve"> 分</w:t>
            </w:r>
          </w:p>
        </w:tc>
        <w:tc>
          <w:tcPr>
            <w:tcW w:w="5953" w:type="dxa"/>
            <w:tcBorders>
              <w:top w:val="single" w:color="000000" w:sz="6" w:space="0"/>
              <w:left w:val="single" w:color="000000" w:sz="6" w:space="0"/>
              <w:bottom w:val="single" w:color="000000" w:sz="6" w:space="0"/>
            </w:tcBorders>
          </w:tcPr>
          <w:p>
            <w:pPr>
              <w:pStyle w:val="7"/>
              <w:spacing w:before="64" w:line="408" w:lineRule="auto"/>
              <w:ind w:right="217"/>
              <w:rPr>
                <w:b/>
                <w:sz w:val="14"/>
              </w:rPr>
            </w:pPr>
            <w:r>
              <w:rPr>
                <w:w w:val="95"/>
                <w:sz w:val="21"/>
              </w:rPr>
              <w:t>评标委员会根据投标人技术偏离表中技术响应偏离情况进 行评审：</w:t>
            </w:r>
            <w:r>
              <w:rPr>
                <w:spacing w:val="-6"/>
                <w:sz w:val="21"/>
              </w:rPr>
              <w:t>投标产品的响应与招标文件“</w:t>
            </w:r>
            <w:r>
              <w:rPr>
                <w:rFonts w:hint="eastAsia"/>
                <w:spacing w:val="-6"/>
                <w:sz w:val="21"/>
                <w:lang w:eastAsia="zh-CN"/>
              </w:rPr>
              <w:t>招标清单</w:t>
            </w:r>
            <w:r>
              <w:rPr>
                <w:spacing w:val="-10"/>
                <w:sz w:val="21"/>
              </w:rPr>
              <w:t>：采购需求”中</w:t>
            </w:r>
            <w:r>
              <w:rPr>
                <w:b/>
                <w:sz w:val="21"/>
              </w:rPr>
              <w:t>“技术参数（规格）要求”</w:t>
            </w:r>
            <w:r>
              <w:rPr>
                <w:spacing w:val="-4"/>
                <w:sz w:val="21"/>
              </w:rPr>
              <w:t xml:space="preserve">完全满足或优于招标文件技术参数的得 </w:t>
            </w:r>
            <w:r>
              <w:rPr>
                <w:rFonts w:hint="eastAsia"/>
                <w:sz w:val="21"/>
                <w:lang w:val="en-US" w:eastAsia="zh-CN"/>
              </w:rPr>
              <w:t>35</w:t>
            </w:r>
            <w:r>
              <w:rPr>
                <w:sz w:val="21"/>
              </w:rPr>
              <w:t>分；存在负偏离扣减</w:t>
            </w:r>
            <w:r>
              <w:rPr>
                <w:rFonts w:hint="eastAsia"/>
                <w:sz w:val="21"/>
                <w:lang w:val="en-US" w:eastAsia="zh-CN"/>
              </w:rPr>
              <w:t>1</w:t>
            </w:r>
            <w:r>
              <w:rPr>
                <w:sz w:val="21"/>
              </w:rPr>
              <w:t xml:space="preserve"> 分/条；扣完为止。</w:t>
            </w:r>
          </w:p>
          <w:p>
            <w:pPr>
              <w:pStyle w:val="7"/>
              <w:ind w:left="520"/>
              <w:rPr>
                <w:sz w:val="21"/>
              </w:rPr>
            </w:pPr>
            <w:r>
              <w:rPr>
                <w:sz w:val="21"/>
              </w:rPr>
              <w:t xml:space="preserve">注：①若技术参数负偏离超过 </w:t>
            </w:r>
            <w:r>
              <w:rPr>
                <w:rFonts w:hint="eastAsia"/>
                <w:sz w:val="21"/>
                <w:lang w:val="en-US" w:eastAsia="zh-CN"/>
              </w:rPr>
              <w:t>35</w:t>
            </w:r>
            <w:r>
              <w:rPr>
                <w:sz w:val="21"/>
              </w:rPr>
              <w:t xml:space="preserve"> 项，作无效投标处理。</w:t>
            </w:r>
          </w:p>
          <w:p>
            <w:pPr>
              <w:pStyle w:val="7"/>
              <w:spacing w:before="9"/>
              <w:rPr>
                <w:b/>
                <w:sz w:val="14"/>
              </w:rPr>
            </w:pPr>
          </w:p>
          <w:p>
            <w:pPr>
              <w:pStyle w:val="7"/>
              <w:spacing w:line="408" w:lineRule="auto"/>
              <w:ind w:left="100" w:right="85" w:firstLine="420"/>
              <w:rPr>
                <w:sz w:val="21"/>
              </w:rPr>
            </w:pPr>
            <w:r>
              <w:rPr>
                <w:sz w:val="21"/>
              </w:rPr>
              <w:t>②有要求提供证明材料的须提供制造商盖章的技术参数确</w:t>
            </w:r>
            <w:r>
              <w:rPr>
                <w:w w:val="95"/>
                <w:sz w:val="21"/>
              </w:rPr>
              <w:t>认函扫描件或产品彩页或产品质检报告等作为证明材料。</w:t>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4293" w:hRule="exact"/>
        </w:trPr>
        <w:tc>
          <w:tcPr>
            <w:tcW w:w="851" w:type="dxa"/>
            <w:tcBorders>
              <w:top w:val="single" w:color="000000" w:sz="6" w:space="0"/>
              <w:bottom w:val="single" w:color="000000" w:sz="6" w:space="0"/>
              <w:right w:val="single" w:color="000000" w:sz="6" w:space="0"/>
            </w:tcBorders>
          </w:tcPr>
          <w:p>
            <w:pPr>
              <w:pStyle w:val="7"/>
              <w:spacing w:before="11"/>
              <w:rPr>
                <w:b/>
                <w:sz w:val="22"/>
              </w:rPr>
            </w:pPr>
          </w:p>
          <w:p>
            <w:pPr>
              <w:pStyle w:val="7"/>
              <w:ind w:right="258"/>
              <w:jc w:val="right"/>
              <w:rPr>
                <w:sz w:val="21"/>
              </w:rPr>
            </w:pPr>
            <w:r>
              <w:rPr>
                <w:sz w:val="21"/>
              </w:rPr>
              <w:t>2.2</w:t>
            </w:r>
          </w:p>
        </w:tc>
        <w:tc>
          <w:tcPr>
            <w:tcW w:w="1276" w:type="dxa"/>
            <w:tcBorders>
              <w:top w:val="single" w:color="000000" w:sz="6" w:space="0"/>
              <w:left w:val="single" w:color="000000" w:sz="6" w:space="0"/>
              <w:bottom w:val="single" w:color="000000" w:sz="6" w:space="0"/>
              <w:right w:val="single" w:color="000000" w:sz="6" w:space="0"/>
            </w:tcBorders>
          </w:tcPr>
          <w:p>
            <w:pPr>
              <w:pStyle w:val="7"/>
              <w:spacing w:before="25" w:line="355" w:lineRule="auto"/>
              <w:ind w:left="208" w:hanging="106"/>
              <w:rPr>
                <w:b/>
                <w:sz w:val="21"/>
              </w:rPr>
            </w:pPr>
            <w:r>
              <w:rPr>
                <w:b/>
                <w:w w:val="95"/>
                <w:sz w:val="21"/>
              </w:rPr>
              <w:t>功能要求综合评价分(主观分)</w:t>
            </w:r>
          </w:p>
        </w:tc>
        <w:tc>
          <w:tcPr>
            <w:tcW w:w="992" w:type="dxa"/>
            <w:tcBorders>
              <w:top w:val="single" w:color="000000" w:sz="6" w:space="0"/>
              <w:left w:val="single" w:color="000000" w:sz="6" w:space="0"/>
              <w:bottom w:val="single" w:color="000000" w:sz="6" w:space="0"/>
              <w:right w:val="single" w:color="000000" w:sz="6" w:space="0"/>
            </w:tcBorders>
          </w:tcPr>
          <w:p>
            <w:pPr>
              <w:pStyle w:val="7"/>
              <w:spacing w:line="269" w:lineRule="exact"/>
              <w:ind w:left="204" w:right="205"/>
              <w:jc w:val="center"/>
              <w:rPr>
                <w:b/>
                <w:sz w:val="21"/>
              </w:rPr>
            </w:pPr>
            <w:r>
              <w:rPr>
                <w:rFonts w:hint="eastAsia"/>
                <w:b/>
                <w:sz w:val="21"/>
                <w:lang w:val="en-US" w:eastAsia="zh-CN"/>
              </w:rPr>
              <w:t>10</w:t>
            </w:r>
            <w:r>
              <w:rPr>
                <w:b/>
                <w:sz w:val="21"/>
              </w:rPr>
              <w:t xml:space="preserve"> 分</w:t>
            </w:r>
          </w:p>
        </w:tc>
        <w:tc>
          <w:tcPr>
            <w:tcW w:w="5953" w:type="dxa"/>
            <w:tcBorders>
              <w:top w:val="single" w:color="000000" w:sz="6" w:space="0"/>
              <w:left w:val="single" w:color="000000" w:sz="6" w:space="0"/>
              <w:bottom w:val="single" w:color="000000" w:sz="6" w:space="0"/>
            </w:tcBorders>
            <w:vAlign w:val="center"/>
          </w:tcPr>
          <w:p>
            <w:pPr>
              <w:keepNext w:val="0"/>
              <w:keepLines w:val="0"/>
              <w:widowControl/>
              <w:numPr>
                <w:ilvl w:val="0"/>
                <w:numId w:val="0"/>
              </w:numPr>
              <w:suppressLineNumbers w:val="0"/>
              <w:ind w:right="0" w:rightChars="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1、</w:t>
            </w:r>
            <w:r>
              <w:rPr>
                <w:rFonts w:hint="eastAsia" w:ascii="宋体" w:hAnsi="宋体" w:eastAsia="宋体" w:cs="宋体"/>
                <w:b/>
                <w:bCs/>
                <w:i w:val="0"/>
                <w:iCs w:val="0"/>
                <w:color w:val="000000"/>
                <w:kern w:val="0"/>
                <w:sz w:val="20"/>
                <w:szCs w:val="20"/>
                <w:u w:val="none"/>
                <w:lang w:val="en-US" w:eastAsia="zh-CN" w:bidi="ar"/>
              </w:rPr>
              <w:t>项目方案</w:t>
            </w:r>
          </w:p>
          <w:p>
            <w:pPr>
              <w:keepNext w:val="0"/>
              <w:keepLines w:val="0"/>
              <w:widowControl/>
              <w:numPr>
                <w:ilvl w:val="0"/>
                <w:numId w:val="0"/>
              </w:numPr>
              <w:suppressLineNumbers w:val="0"/>
              <w:ind w:right="0" w:righ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方案是否切实可行，安装、调试方案和措施是否科学有效，设备选型、建设内容是否完整有效，用户使用是否方便，能否满足用户需求方面：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方案符合用户需求，准确清晰、完善，得5分；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方案基本符合用户需求，较准确清晰、较完善，得3分；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方案不符合用户需求、有错误不清晰，不完善，得0-1分。</w:t>
            </w:r>
          </w:p>
          <w:p>
            <w:pPr>
              <w:pStyle w:val="2"/>
              <w:numPr>
                <w:ilvl w:val="0"/>
                <w:numId w:val="0"/>
              </w:numPr>
              <w:ind w:right="0" w:rightChars="0"/>
              <w:rPr>
                <w:rFonts w:hint="eastAsia"/>
                <w:lang w:val="en-US" w:eastAsia="en-US"/>
              </w:rPr>
            </w:pPr>
            <w:r>
              <w:rPr>
                <w:rFonts w:hint="eastAsia"/>
                <w:b/>
                <w:bCs/>
                <w:lang w:val="en-US" w:eastAsia="zh-CN"/>
              </w:rPr>
              <w:t>2、</w:t>
            </w:r>
            <w:r>
              <w:rPr>
                <w:rFonts w:hint="eastAsia"/>
                <w:b/>
                <w:bCs/>
                <w:lang w:val="en-US" w:eastAsia="en-US"/>
              </w:rPr>
              <w:t>施工方案设计</w:t>
            </w:r>
            <w:r>
              <w:rPr>
                <w:rFonts w:hint="eastAsia"/>
                <w:b/>
                <w:bCs/>
                <w:lang w:val="en-US" w:eastAsia="zh-CN"/>
              </w:rPr>
              <w:t>：</w:t>
            </w:r>
            <w:r>
              <w:rPr>
                <w:rFonts w:hint="eastAsia"/>
                <w:lang w:val="en-US" w:eastAsia="en-US"/>
              </w:rPr>
              <w:t>要求科学合理，要有针对性，评标时主要考察施工方案与技术的可行性和科学性：</w:t>
            </w:r>
          </w:p>
          <w:p>
            <w:pPr>
              <w:pStyle w:val="2"/>
              <w:numPr>
                <w:ilvl w:val="0"/>
                <w:numId w:val="0"/>
              </w:numPr>
              <w:ind w:right="0" w:rightChars="0"/>
              <w:rPr>
                <w:rFonts w:hint="eastAsia"/>
                <w:lang w:val="en-US" w:eastAsia="en-US"/>
              </w:rPr>
            </w:pPr>
            <w:r>
              <w:rPr>
                <w:rFonts w:hint="eastAsia"/>
                <w:lang w:val="en-US" w:eastAsia="en-US"/>
              </w:rPr>
              <w:t>施工质量、交货期保障安排合理完善,施工组织方案详尽，人员配备充足、施工工艺规范，得5分；</w:t>
            </w:r>
          </w:p>
          <w:p>
            <w:pPr>
              <w:pStyle w:val="2"/>
              <w:numPr>
                <w:ilvl w:val="0"/>
                <w:numId w:val="0"/>
              </w:numPr>
              <w:ind w:right="0" w:rightChars="0"/>
              <w:rPr>
                <w:rFonts w:hint="eastAsia"/>
                <w:lang w:val="en-US" w:eastAsia="en-US"/>
              </w:rPr>
            </w:pPr>
            <w:r>
              <w:rPr>
                <w:rFonts w:hint="eastAsia"/>
                <w:lang w:val="en-US" w:eastAsia="en-US"/>
              </w:rPr>
              <w:t>施工质量、交货期保障安排比较合理，施工组织方案一般，人员配备一般、施工工艺较为规范，得3分；</w:t>
            </w:r>
          </w:p>
          <w:p>
            <w:pPr>
              <w:pStyle w:val="2"/>
              <w:numPr>
                <w:ilvl w:val="0"/>
                <w:numId w:val="0"/>
              </w:numPr>
              <w:ind w:right="0" w:rightChars="0"/>
              <w:rPr>
                <w:rFonts w:hint="eastAsia"/>
                <w:lang w:val="en-US" w:eastAsia="en-US"/>
              </w:rPr>
            </w:pPr>
            <w:r>
              <w:rPr>
                <w:rFonts w:hint="eastAsia"/>
                <w:lang w:val="en-US" w:eastAsia="en-US"/>
              </w:rPr>
              <w:t>施工质量、交货期保障安排不合理，施工组织方案较差，人员配备不足、施工工艺不规范，得0-1分。</w:t>
            </w:r>
          </w:p>
        </w:tc>
      </w:tr>
    </w:tbl>
    <w:p>
      <w:pPr>
        <w:spacing w:after="0"/>
        <w:rPr>
          <w:sz w:val="21"/>
        </w:rPr>
        <w:sectPr>
          <w:pgSz w:w="11910" w:h="16840"/>
          <w:pgMar w:top="1120" w:right="1240" w:bottom="1120" w:left="1240" w:header="891" w:footer="923" w:gutter="0"/>
          <w:cols w:space="720" w:num="1"/>
        </w:sectPr>
      </w:pPr>
    </w:p>
    <w:p>
      <w:pPr>
        <w:pStyle w:val="2"/>
        <w:spacing w:before="3"/>
        <w:rPr>
          <w:b/>
          <w:sz w:val="3"/>
        </w:rPr>
      </w:pPr>
      <w:bookmarkStart w:id="0" w:name="_GoBack"/>
    </w:p>
    <w:bookmarkEnd w:id="0"/>
    <w:p>
      <w:pPr>
        <w:pStyle w:val="2"/>
        <w:spacing w:before="1"/>
        <w:rPr>
          <w:b/>
          <w:sz w:val="8"/>
        </w:rPr>
      </w:pPr>
    </w:p>
    <w:p>
      <w:pPr>
        <w:spacing w:before="35"/>
        <w:ind w:left="700" w:right="0" w:firstLine="0"/>
        <w:jc w:val="left"/>
        <w:rPr>
          <w:b/>
          <w:sz w:val="21"/>
        </w:rPr>
      </w:pPr>
      <w:r>
        <w:rPr>
          <w:b/>
          <w:sz w:val="21"/>
        </w:rPr>
        <w:t xml:space="preserve">3.商务分【满分 </w:t>
      </w:r>
      <w:r>
        <w:rPr>
          <w:rFonts w:hint="eastAsia"/>
          <w:b/>
          <w:sz w:val="21"/>
          <w:lang w:val="en-US" w:eastAsia="zh-CN"/>
        </w:rPr>
        <w:t>2</w:t>
      </w:r>
      <w:r>
        <w:rPr>
          <w:b/>
          <w:sz w:val="21"/>
        </w:rPr>
        <w:t>5 分】：</w:t>
      </w:r>
    </w:p>
    <w:p>
      <w:pPr>
        <w:pStyle w:val="2"/>
        <w:spacing w:before="1"/>
        <w:rPr>
          <w:b/>
          <w:sz w:val="5"/>
        </w:rPr>
      </w:pPr>
    </w:p>
    <w:tbl>
      <w:tblPr>
        <w:tblStyle w:val="4"/>
        <w:tblW w:w="9391" w:type="dxa"/>
        <w:tblInd w:w="315" w:type="dxa"/>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851"/>
        <w:gridCol w:w="1135"/>
        <w:gridCol w:w="837"/>
        <w:gridCol w:w="6568"/>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485" w:hRule="exact"/>
        </w:trPr>
        <w:tc>
          <w:tcPr>
            <w:tcW w:w="851" w:type="dxa"/>
            <w:tcBorders>
              <w:bottom w:val="single" w:color="000000" w:sz="6" w:space="0"/>
              <w:right w:val="single" w:color="000000" w:sz="6" w:space="0"/>
            </w:tcBorders>
          </w:tcPr>
          <w:p>
            <w:pPr>
              <w:pStyle w:val="7"/>
              <w:spacing w:before="59"/>
              <w:ind w:right="206"/>
              <w:jc w:val="right"/>
              <w:rPr>
                <w:b/>
                <w:sz w:val="21"/>
              </w:rPr>
            </w:pPr>
            <w:r>
              <w:rPr>
                <w:b/>
                <w:w w:val="95"/>
                <w:sz w:val="21"/>
              </w:rPr>
              <w:t>序号</w:t>
            </w:r>
          </w:p>
        </w:tc>
        <w:tc>
          <w:tcPr>
            <w:tcW w:w="1135" w:type="dxa"/>
            <w:tcBorders>
              <w:left w:val="single" w:color="000000" w:sz="6" w:space="0"/>
              <w:bottom w:val="single" w:color="000000" w:sz="6" w:space="0"/>
              <w:right w:val="single" w:color="000000" w:sz="6" w:space="0"/>
            </w:tcBorders>
          </w:tcPr>
          <w:p>
            <w:pPr>
              <w:pStyle w:val="7"/>
              <w:spacing w:before="59"/>
              <w:ind w:left="208"/>
              <w:rPr>
                <w:b/>
                <w:sz w:val="21"/>
              </w:rPr>
            </w:pPr>
            <w:r>
              <w:rPr>
                <w:b/>
                <w:w w:val="95"/>
                <w:sz w:val="21"/>
              </w:rPr>
              <w:t>评分因素</w:t>
            </w:r>
          </w:p>
        </w:tc>
        <w:tc>
          <w:tcPr>
            <w:tcW w:w="837" w:type="dxa"/>
            <w:tcBorders>
              <w:left w:val="single" w:color="000000" w:sz="6" w:space="0"/>
              <w:bottom w:val="single" w:color="000000" w:sz="6" w:space="0"/>
              <w:right w:val="single" w:color="000000" w:sz="6" w:space="0"/>
            </w:tcBorders>
          </w:tcPr>
          <w:p>
            <w:pPr>
              <w:pStyle w:val="7"/>
              <w:spacing w:before="59"/>
              <w:ind w:left="204" w:right="205"/>
              <w:jc w:val="center"/>
              <w:rPr>
                <w:b/>
                <w:sz w:val="21"/>
              </w:rPr>
            </w:pPr>
            <w:r>
              <w:rPr>
                <w:b/>
                <w:w w:val="95"/>
                <w:sz w:val="21"/>
              </w:rPr>
              <w:t>分值</w:t>
            </w:r>
          </w:p>
        </w:tc>
        <w:tc>
          <w:tcPr>
            <w:tcW w:w="6568" w:type="dxa"/>
            <w:tcBorders>
              <w:left w:val="single" w:color="000000" w:sz="6" w:space="0"/>
              <w:bottom w:val="single" w:color="000000" w:sz="6" w:space="0"/>
            </w:tcBorders>
          </w:tcPr>
          <w:p>
            <w:pPr>
              <w:pStyle w:val="7"/>
              <w:spacing w:before="59"/>
              <w:ind w:left="255" w:right="240"/>
              <w:jc w:val="center"/>
              <w:rPr>
                <w:b/>
                <w:sz w:val="21"/>
              </w:rPr>
            </w:pPr>
            <w:r>
              <w:rPr>
                <w:b/>
                <w:w w:val="95"/>
                <w:sz w:val="21"/>
              </w:rPr>
              <w:t>评分标准</w:t>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1356" w:hRule="exact"/>
        </w:trPr>
        <w:tc>
          <w:tcPr>
            <w:tcW w:w="851" w:type="dxa"/>
            <w:tcBorders>
              <w:top w:val="single" w:color="000000" w:sz="6" w:space="0"/>
              <w:bottom w:val="single" w:color="000000" w:sz="6" w:space="0"/>
              <w:right w:val="single" w:color="000000" w:sz="6" w:space="0"/>
            </w:tcBorders>
          </w:tcPr>
          <w:p>
            <w:pPr>
              <w:pStyle w:val="7"/>
              <w:rPr>
                <w:b/>
                <w:sz w:val="20"/>
              </w:rPr>
            </w:pPr>
          </w:p>
          <w:p>
            <w:pPr>
              <w:pStyle w:val="7"/>
              <w:rPr>
                <w:b/>
                <w:sz w:val="20"/>
              </w:rPr>
            </w:pPr>
          </w:p>
          <w:p>
            <w:pPr>
              <w:pStyle w:val="7"/>
              <w:rPr>
                <w:b/>
                <w:sz w:val="20"/>
              </w:rPr>
            </w:pPr>
          </w:p>
          <w:p>
            <w:pPr>
              <w:pStyle w:val="7"/>
              <w:spacing w:before="12"/>
              <w:rPr>
                <w:b/>
                <w:sz w:val="29"/>
              </w:rPr>
            </w:pPr>
          </w:p>
          <w:p>
            <w:pPr>
              <w:pStyle w:val="7"/>
              <w:ind w:right="258"/>
              <w:jc w:val="right"/>
              <w:rPr>
                <w:rFonts w:hint="eastAsia" w:eastAsia="宋体"/>
                <w:sz w:val="21"/>
                <w:lang w:eastAsia="zh-CN"/>
              </w:rPr>
            </w:pPr>
            <w:r>
              <w:rPr>
                <w:sz w:val="21"/>
              </w:rPr>
              <w:t>3.</w:t>
            </w:r>
            <w:r>
              <w:rPr>
                <w:rFonts w:hint="eastAsia"/>
                <w:sz w:val="21"/>
                <w:lang w:val="en-US" w:eastAsia="zh-CN"/>
              </w:rPr>
              <w:t>1</w:t>
            </w:r>
          </w:p>
        </w:tc>
        <w:tc>
          <w:tcPr>
            <w:tcW w:w="1135" w:type="dxa"/>
            <w:tcBorders>
              <w:top w:val="single" w:color="000000" w:sz="6" w:space="0"/>
              <w:left w:val="single" w:color="000000" w:sz="6" w:space="0"/>
              <w:bottom w:val="single" w:color="000000" w:sz="6" w:space="0"/>
              <w:right w:val="single" w:color="000000" w:sz="6" w:space="0"/>
            </w:tcBorders>
          </w:tcPr>
          <w:p>
            <w:pPr>
              <w:pStyle w:val="7"/>
              <w:spacing w:before="34"/>
              <w:ind w:left="100"/>
              <w:rPr>
                <w:b/>
                <w:sz w:val="21"/>
              </w:rPr>
            </w:pPr>
            <w:r>
              <w:rPr>
                <w:rFonts w:hint="eastAsia"/>
                <w:b/>
                <w:w w:val="95"/>
                <w:sz w:val="21"/>
              </w:rPr>
              <w:t>完善的管理体系</w:t>
            </w:r>
            <w:r>
              <w:rPr>
                <w:b/>
                <w:w w:val="95"/>
                <w:sz w:val="21"/>
              </w:rPr>
              <w:t>（客观分）</w:t>
            </w:r>
          </w:p>
        </w:tc>
        <w:tc>
          <w:tcPr>
            <w:tcW w:w="837" w:type="dxa"/>
            <w:tcBorders>
              <w:top w:val="single" w:color="000000" w:sz="6" w:space="0"/>
              <w:left w:val="single" w:color="000000" w:sz="6" w:space="0"/>
              <w:bottom w:val="single" w:color="000000" w:sz="6" w:space="0"/>
              <w:right w:val="single" w:color="000000" w:sz="6" w:space="0"/>
            </w:tcBorders>
          </w:tcPr>
          <w:p>
            <w:pPr>
              <w:pStyle w:val="7"/>
              <w:rPr>
                <w:b/>
                <w:sz w:val="20"/>
              </w:rPr>
            </w:pPr>
          </w:p>
          <w:p>
            <w:pPr>
              <w:pStyle w:val="7"/>
              <w:ind w:right="205"/>
              <w:jc w:val="both"/>
              <w:rPr>
                <w:rFonts w:hint="eastAsia"/>
                <w:b/>
                <w:sz w:val="21"/>
              </w:rPr>
            </w:pPr>
          </w:p>
          <w:p>
            <w:pPr>
              <w:pStyle w:val="7"/>
              <w:ind w:right="205" w:firstLine="211" w:firstLineChars="100"/>
              <w:jc w:val="both"/>
              <w:rPr>
                <w:b/>
                <w:sz w:val="21"/>
              </w:rPr>
            </w:pPr>
            <w:r>
              <w:rPr>
                <w:rFonts w:hint="eastAsia"/>
                <w:b/>
                <w:sz w:val="21"/>
                <w:lang w:val="en-US" w:eastAsia="zh-CN"/>
              </w:rPr>
              <w:t>3</w:t>
            </w:r>
            <w:r>
              <w:rPr>
                <w:rFonts w:hint="eastAsia"/>
                <w:b/>
                <w:sz w:val="21"/>
              </w:rPr>
              <w:t>分</w:t>
            </w:r>
          </w:p>
        </w:tc>
        <w:tc>
          <w:tcPr>
            <w:tcW w:w="6568" w:type="dxa"/>
            <w:tcBorders>
              <w:top w:val="single" w:color="000000" w:sz="6" w:space="0"/>
              <w:left w:val="single" w:color="000000" w:sz="6" w:space="0"/>
              <w:bottom w:val="single" w:color="000000" w:sz="6" w:space="0"/>
            </w:tcBorders>
            <w:vAlign w:val="top"/>
          </w:tcPr>
          <w:p>
            <w:pPr>
              <w:keepNext w:val="0"/>
              <w:keepLines w:val="0"/>
              <w:widowControl/>
              <w:suppressLineNumbers w:val="0"/>
              <w:ind w:left="0" w:leftChars="0" w:right="0" w:rightChars="0"/>
              <w:jc w:val="both"/>
              <w:textAlignment w:val="bottom"/>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1、质量管理体系认证证书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2、环境管理体系认证证书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3、职业健康安全管理体系认证证书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投标人具以上管理体系认证，全部通过者得</w:t>
            </w:r>
            <w:r>
              <w:rPr>
                <w:rFonts w:hint="eastAsia"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分，每一项不满足扣</w:t>
            </w:r>
            <w:r>
              <w:rPr>
                <w:rFonts w:hint="eastAsia"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分，扣完为止。</w:t>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855" w:hRule="exact"/>
        </w:trPr>
        <w:tc>
          <w:tcPr>
            <w:tcW w:w="851" w:type="dxa"/>
            <w:tcBorders>
              <w:top w:val="single" w:color="000000" w:sz="6" w:space="0"/>
              <w:bottom w:val="single" w:color="000000" w:sz="6" w:space="0"/>
              <w:right w:val="single" w:color="000000" w:sz="6" w:space="0"/>
            </w:tcBorders>
            <w:vAlign w:val="center"/>
          </w:tcPr>
          <w:p>
            <w:pPr>
              <w:pStyle w:val="7"/>
              <w:ind w:right="258"/>
              <w:jc w:val="center"/>
              <w:rPr>
                <w:rFonts w:hint="default" w:eastAsia="宋体"/>
                <w:sz w:val="21"/>
                <w:lang w:val="en-US" w:eastAsia="zh-CN"/>
              </w:rPr>
            </w:pPr>
            <w:r>
              <w:rPr>
                <w:rFonts w:hint="eastAsia"/>
                <w:sz w:val="21"/>
                <w:lang w:val="en-US" w:eastAsia="zh-CN"/>
              </w:rPr>
              <w:t>3.3</w:t>
            </w:r>
          </w:p>
        </w:tc>
        <w:tc>
          <w:tcPr>
            <w:tcW w:w="1135" w:type="dxa"/>
            <w:tcBorders>
              <w:top w:val="single" w:color="000000" w:sz="6" w:space="0"/>
              <w:left w:val="single" w:color="000000" w:sz="6" w:space="0"/>
              <w:bottom w:val="single" w:color="000000" w:sz="6" w:space="0"/>
              <w:right w:val="single" w:color="000000" w:sz="6" w:space="0"/>
            </w:tcBorders>
            <w:vAlign w:val="center"/>
          </w:tcPr>
          <w:p>
            <w:pPr>
              <w:pStyle w:val="7"/>
              <w:spacing w:before="34"/>
              <w:ind w:left="100"/>
              <w:jc w:val="center"/>
              <w:rPr>
                <w:rFonts w:hint="eastAsia"/>
                <w:b/>
                <w:w w:val="95"/>
                <w:sz w:val="21"/>
              </w:rPr>
            </w:pPr>
            <w:r>
              <w:rPr>
                <w:rFonts w:hint="eastAsia"/>
                <w:b/>
                <w:w w:val="95"/>
                <w:sz w:val="21"/>
              </w:rPr>
              <w:t>项目业绩</w:t>
            </w:r>
          </w:p>
        </w:tc>
        <w:tc>
          <w:tcPr>
            <w:tcW w:w="837" w:type="dxa"/>
            <w:tcBorders>
              <w:top w:val="single" w:color="000000" w:sz="6" w:space="0"/>
              <w:left w:val="single" w:color="000000" w:sz="6" w:space="0"/>
              <w:bottom w:val="single" w:color="000000" w:sz="6" w:space="0"/>
              <w:right w:val="single" w:color="000000" w:sz="6" w:space="0"/>
            </w:tcBorders>
            <w:vAlign w:val="center"/>
          </w:tcPr>
          <w:p>
            <w:pPr>
              <w:pStyle w:val="7"/>
              <w:ind w:right="205"/>
              <w:jc w:val="center"/>
              <w:rPr>
                <w:rFonts w:hint="eastAsia"/>
                <w:b/>
                <w:sz w:val="21"/>
                <w:lang w:val="en-US" w:eastAsia="zh-CN"/>
              </w:rPr>
            </w:pPr>
            <w:r>
              <w:rPr>
                <w:rFonts w:hint="eastAsia"/>
                <w:b/>
                <w:sz w:val="21"/>
                <w:lang w:val="en-US" w:eastAsia="zh-CN"/>
              </w:rPr>
              <w:t>10</w:t>
            </w:r>
            <w:r>
              <w:rPr>
                <w:b/>
                <w:sz w:val="21"/>
              </w:rPr>
              <w:t xml:space="preserve"> 分</w:t>
            </w:r>
          </w:p>
        </w:tc>
        <w:tc>
          <w:tcPr>
            <w:tcW w:w="6568" w:type="dxa"/>
            <w:tcBorders>
              <w:top w:val="single" w:color="000000" w:sz="6" w:space="0"/>
              <w:left w:val="single" w:color="000000" w:sz="6" w:space="0"/>
              <w:bottom w:val="single" w:color="000000" w:sz="6" w:space="0"/>
            </w:tcBorders>
            <w:vAlign w:val="top"/>
          </w:tcPr>
          <w:p>
            <w:pPr>
              <w:keepNext w:val="0"/>
              <w:keepLines w:val="0"/>
              <w:widowControl/>
              <w:suppressLineNumbers w:val="0"/>
              <w:ind w:left="0" w:leftChars="0" w:right="0" w:rightChars="0"/>
              <w:jc w:val="both"/>
              <w:textAlignment w:val="bottom"/>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业绩：提供 2019 年 1 月 1 日至今类似项目业绩，每提供一个业绩得 2分，满分 10 分。注、应提供合同协议书，日期以签订合同为准。否则该项业绩不予认定。</w:t>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2724" w:hRule="exact"/>
        </w:trPr>
        <w:tc>
          <w:tcPr>
            <w:tcW w:w="851" w:type="dxa"/>
            <w:tcBorders>
              <w:top w:val="single" w:color="000000" w:sz="6" w:space="0"/>
              <w:bottom w:val="single" w:color="000000" w:sz="6" w:space="0"/>
              <w:right w:val="single" w:color="000000" w:sz="6" w:space="0"/>
            </w:tcBorders>
            <w:vAlign w:val="center"/>
          </w:tcPr>
          <w:p>
            <w:pPr>
              <w:pStyle w:val="7"/>
              <w:ind w:right="258"/>
              <w:jc w:val="center"/>
              <w:rPr>
                <w:rFonts w:hint="default"/>
                <w:sz w:val="21"/>
                <w:lang w:val="en-US" w:eastAsia="zh-CN"/>
              </w:rPr>
            </w:pPr>
            <w:r>
              <w:rPr>
                <w:rFonts w:hint="eastAsia"/>
                <w:sz w:val="21"/>
                <w:lang w:val="en-US" w:eastAsia="zh-CN"/>
              </w:rPr>
              <w:t>3.4</w:t>
            </w:r>
          </w:p>
        </w:tc>
        <w:tc>
          <w:tcPr>
            <w:tcW w:w="1135" w:type="dxa"/>
            <w:tcBorders>
              <w:top w:val="single" w:color="000000" w:sz="6" w:space="0"/>
              <w:left w:val="single" w:color="000000" w:sz="6" w:space="0"/>
              <w:bottom w:val="single" w:color="000000" w:sz="6" w:space="0"/>
              <w:right w:val="single" w:color="000000" w:sz="6" w:space="0"/>
            </w:tcBorders>
            <w:vAlign w:val="center"/>
          </w:tcPr>
          <w:p>
            <w:pPr>
              <w:pStyle w:val="7"/>
              <w:spacing w:before="34"/>
              <w:ind w:left="100"/>
              <w:jc w:val="center"/>
              <w:rPr>
                <w:rFonts w:hint="eastAsia" w:eastAsia="宋体"/>
                <w:b/>
                <w:w w:val="95"/>
                <w:sz w:val="21"/>
                <w:lang w:eastAsia="zh-CN"/>
              </w:rPr>
            </w:pPr>
            <w:r>
              <w:rPr>
                <w:rFonts w:hint="eastAsia"/>
                <w:b/>
                <w:w w:val="95"/>
                <w:sz w:val="21"/>
                <w:lang w:eastAsia="zh-CN"/>
              </w:rPr>
              <w:t>项目组成员</w:t>
            </w:r>
          </w:p>
        </w:tc>
        <w:tc>
          <w:tcPr>
            <w:tcW w:w="837" w:type="dxa"/>
            <w:tcBorders>
              <w:top w:val="single" w:color="000000" w:sz="6" w:space="0"/>
              <w:left w:val="single" w:color="000000" w:sz="6" w:space="0"/>
              <w:bottom w:val="single" w:color="000000" w:sz="6" w:space="0"/>
              <w:right w:val="single" w:color="000000" w:sz="6" w:space="0"/>
            </w:tcBorders>
            <w:vAlign w:val="center"/>
          </w:tcPr>
          <w:p>
            <w:pPr>
              <w:pStyle w:val="7"/>
              <w:ind w:right="205"/>
              <w:jc w:val="center"/>
              <w:rPr>
                <w:rFonts w:hint="eastAsia" w:eastAsia="宋体"/>
                <w:b/>
                <w:sz w:val="21"/>
                <w:lang w:val="en-US" w:eastAsia="zh-CN"/>
              </w:rPr>
            </w:pPr>
            <w:r>
              <w:rPr>
                <w:rFonts w:hint="eastAsia"/>
                <w:b/>
                <w:sz w:val="21"/>
                <w:lang w:val="en-US" w:eastAsia="zh-CN"/>
              </w:rPr>
              <w:t>6分</w:t>
            </w:r>
          </w:p>
        </w:tc>
        <w:tc>
          <w:tcPr>
            <w:tcW w:w="6568" w:type="dxa"/>
            <w:tcBorders>
              <w:top w:val="single" w:color="000000" w:sz="6" w:space="0"/>
              <w:left w:val="single" w:color="000000" w:sz="6" w:space="0"/>
              <w:bottom w:val="single" w:color="000000" w:sz="6"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1、负责本项目项目经理 1 人,工作年限5年以上且具备安防工程高级工程师得 2分，否则不得分。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2、负责本项目技术工程师 1 人,工作年限5年以上且具备安防工程高级工程师得2分，否则不得分。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3、负责本项目运维实施工程师 1 人,工作年限5年以上且具备安全防范系统安装维护员证书得2分,否则不得分。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注:以上人员不能为同一人,且上述所有人员需提供投标人 2023 年至今为其缴纳社保的任意1个月社保证明。职称证的单位与投标人单位不一致或未注明单位的 , 由投标人单位提供劳动合同的扫描件或复印件未提供相关证明不得分。</w:t>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895" w:hRule="exact"/>
        </w:trPr>
        <w:tc>
          <w:tcPr>
            <w:tcW w:w="851" w:type="dxa"/>
            <w:tcBorders>
              <w:top w:val="single" w:color="000000" w:sz="6" w:space="0"/>
              <w:right w:val="single" w:color="000000" w:sz="6" w:space="0"/>
            </w:tcBorders>
            <w:vAlign w:val="center"/>
          </w:tcPr>
          <w:p>
            <w:pPr>
              <w:pStyle w:val="7"/>
              <w:ind w:right="258"/>
              <w:jc w:val="center"/>
              <w:rPr>
                <w:rFonts w:hint="default"/>
                <w:sz w:val="21"/>
                <w:lang w:val="en-US" w:eastAsia="zh-CN"/>
              </w:rPr>
            </w:pPr>
            <w:r>
              <w:rPr>
                <w:rFonts w:hint="eastAsia"/>
                <w:sz w:val="21"/>
                <w:lang w:val="en-US" w:eastAsia="zh-CN"/>
              </w:rPr>
              <w:t>3.5</w:t>
            </w:r>
          </w:p>
        </w:tc>
        <w:tc>
          <w:tcPr>
            <w:tcW w:w="1135" w:type="dxa"/>
            <w:tcBorders>
              <w:top w:val="single" w:color="000000" w:sz="6" w:space="0"/>
              <w:left w:val="single" w:color="000000" w:sz="6" w:space="0"/>
              <w:right w:val="single" w:color="000000" w:sz="6" w:space="0"/>
            </w:tcBorders>
            <w:vAlign w:val="center"/>
          </w:tcPr>
          <w:p>
            <w:pPr>
              <w:pStyle w:val="7"/>
              <w:spacing w:before="34"/>
              <w:ind w:left="100"/>
              <w:jc w:val="center"/>
              <w:rPr>
                <w:rFonts w:hint="eastAsia"/>
                <w:b/>
                <w:w w:val="95"/>
                <w:sz w:val="21"/>
                <w:lang w:eastAsia="zh-CN"/>
              </w:rPr>
            </w:pPr>
            <w:r>
              <w:rPr>
                <w:rFonts w:hint="eastAsia"/>
                <w:b/>
                <w:w w:val="95"/>
                <w:sz w:val="21"/>
                <w:lang w:eastAsia="zh-CN"/>
              </w:rPr>
              <w:t>质保期</w:t>
            </w:r>
          </w:p>
        </w:tc>
        <w:tc>
          <w:tcPr>
            <w:tcW w:w="837" w:type="dxa"/>
            <w:tcBorders>
              <w:top w:val="single" w:color="000000" w:sz="6" w:space="0"/>
              <w:left w:val="single" w:color="000000" w:sz="6" w:space="0"/>
              <w:right w:val="single" w:color="000000" w:sz="6" w:space="0"/>
            </w:tcBorders>
            <w:vAlign w:val="center"/>
          </w:tcPr>
          <w:p>
            <w:pPr>
              <w:pStyle w:val="7"/>
              <w:ind w:right="205"/>
              <w:jc w:val="center"/>
              <w:rPr>
                <w:rFonts w:hint="eastAsia" w:eastAsia="宋体"/>
                <w:b/>
                <w:sz w:val="21"/>
                <w:lang w:val="en-US" w:eastAsia="zh-CN"/>
              </w:rPr>
            </w:pPr>
            <w:r>
              <w:rPr>
                <w:rFonts w:hint="eastAsia"/>
                <w:b/>
                <w:sz w:val="21"/>
                <w:lang w:val="en-US" w:eastAsia="zh-CN"/>
              </w:rPr>
              <w:t>6分</w:t>
            </w:r>
          </w:p>
        </w:tc>
        <w:tc>
          <w:tcPr>
            <w:tcW w:w="6568" w:type="dxa"/>
            <w:tcBorders>
              <w:top w:val="single" w:color="000000" w:sz="6" w:space="0"/>
              <w:left w:val="single" w:color="000000" w:sz="6"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为保证甲方工作便利，投标企业质保期提供3年质保期承诺得</w:t>
            </w:r>
            <w:r>
              <w:rPr>
                <w:rFonts w:hint="eastAsia"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分，两年质保承诺得</w:t>
            </w:r>
            <w:r>
              <w:rPr>
                <w:rFonts w:hint="eastAsia"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分，一年质保承诺得</w:t>
            </w:r>
            <w:r>
              <w:rPr>
                <w:rFonts w:hint="eastAsia"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w:t>
            </w:r>
          </w:p>
        </w:tc>
      </w:tr>
    </w:tbl>
    <w:p>
      <w:pPr>
        <w:spacing w:before="140"/>
        <w:ind w:left="700" w:right="0" w:firstLine="0"/>
        <w:jc w:val="left"/>
        <w:rPr>
          <w:b/>
          <w:sz w:val="21"/>
        </w:rPr>
      </w:pPr>
      <w:r>
        <w:rPr>
          <w:b/>
          <w:sz w:val="21"/>
        </w:rPr>
        <w:t>4.政策性加分（在总得分基础上加分）【满分 5 分】：</w:t>
      </w:r>
    </w:p>
    <w:p>
      <w:pPr>
        <w:pStyle w:val="2"/>
        <w:spacing w:before="1"/>
        <w:rPr>
          <w:b/>
          <w:sz w:val="5"/>
        </w:rPr>
      </w:pPr>
    </w:p>
    <w:tbl>
      <w:tblPr>
        <w:tblStyle w:val="4"/>
        <w:tblW w:w="9374" w:type="dxa"/>
        <w:tblInd w:w="315" w:type="dxa"/>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851"/>
        <w:gridCol w:w="1276"/>
        <w:gridCol w:w="992"/>
        <w:gridCol w:w="6255"/>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485" w:hRule="exact"/>
        </w:trPr>
        <w:tc>
          <w:tcPr>
            <w:tcW w:w="851" w:type="dxa"/>
            <w:tcBorders>
              <w:bottom w:val="single" w:color="000000" w:sz="6" w:space="0"/>
              <w:right w:val="single" w:color="000000" w:sz="6" w:space="0"/>
            </w:tcBorders>
          </w:tcPr>
          <w:p>
            <w:pPr>
              <w:pStyle w:val="7"/>
              <w:spacing w:before="59"/>
              <w:ind w:right="206"/>
              <w:jc w:val="right"/>
              <w:rPr>
                <w:b/>
                <w:sz w:val="21"/>
              </w:rPr>
            </w:pPr>
            <w:r>
              <w:rPr>
                <w:b/>
                <w:w w:val="95"/>
                <w:sz w:val="21"/>
              </w:rPr>
              <w:t>序号</w:t>
            </w:r>
          </w:p>
        </w:tc>
        <w:tc>
          <w:tcPr>
            <w:tcW w:w="1276" w:type="dxa"/>
            <w:tcBorders>
              <w:left w:val="single" w:color="000000" w:sz="6" w:space="0"/>
              <w:bottom w:val="single" w:color="000000" w:sz="6" w:space="0"/>
              <w:right w:val="single" w:color="000000" w:sz="6" w:space="0"/>
            </w:tcBorders>
          </w:tcPr>
          <w:p>
            <w:pPr>
              <w:pStyle w:val="7"/>
              <w:spacing w:before="59"/>
              <w:ind w:left="109" w:right="110"/>
              <w:jc w:val="center"/>
              <w:rPr>
                <w:b/>
                <w:sz w:val="21"/>
              </w:rPr>
            </w:pPr>
            <w:r>
              <w:rPr>
                <w:b/>
                <w:w w:val="95"/>
                <w:sz w:val="21"/>
              </w:rPr>
              <w:t>评分因素</w:t>
            </w:r>
          </w:p>
        </w:tc>
        <w:tc>
          <w:tcPr>
            <w:tcW w:w="992" w:type="dxa"/>
            <w:tcBorders>
              <w:left w:val="single" w:color="000000" w:sz="6" w:space="0"/>
              <w:bottom w:val="single" w:color="000000" w:sz="6" w:space="0"/>
              <w:right w:val="single" w:color="000000" w:sz="6" w:space="0"/>
            </w:tcBorders>
          </w:tcPr>
          <w:p>
            <w:pPr>
              <w:pStyle w:val="7"/>
              <w:spacing w:before="59"/>
              <w:ind w:left="204" w:right="205"/>
              <w:jc w:val="center"/>
              <w:rPr>
                <w:b/>
                <w:sz w:val="21"/>
              </w:rPr>
            </w:pPr>
            <w:r>
              <w:rPr>
                <w:b/>
                <w:w w:val="95"/>
                <w:sz w:val="21"/>
              </w:rPr>
              <w:t>分值</w:t>
            </w:r>
          </w:p>
        </w:tc>
        <w:tc>
          <w:tcPr>
            <w:tcW w:w="6255" w:type="dxa"/>
            <w:tcBorders>
              <w:left w:val="single" w:color="000000" w:sz="6" w:space="0"/>
              <w:bottom w:val="single" w:color="000000" w:sz="6" w:space="0"/>
            </w:tcBorders>
          </w:tcPr>
          <w:p>
            <w:pPr>
              <w:pStyle w:val="7"/>
              <w:spacing w:before="59"/>
              <w:ind w:left="255" w:right="240"/>
              <w:jc w:val="center"/>
              <w:rPr>
                <w:b/>
                <w:sz w:val="21"/>
              </w:rPr>
            </w:pPr>
            <w:r>
              <w:rPr>
                <w:b/>
                <w:w w:val="95"/>
                <w:sz w:val="21"/>
              </w:rPr>
              <w:t>评分标准</w:t>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1721" w:hRule="exact"/>
        </w:trPr>
        <w:tc>
          <w:tcPr>
            <w:tcW w:w="851" w:type="dxa"/>
            <w:tcBorders>
              <w:top w:val="single" w:color="000000" w:sz="6" w:space="0"/>
              <w:bottom w:val="single" w:color="000000" w:sz="6" w:space="0"/>
              <w:right w:val="single" w:color="000000" w:sz="6" w:space="0"/>
            </w:tcBorders>
          </w:tcPr>
          <w:p>
            <w:pPr>
              <w:pStyle w:val="7"/>
              <w:spacing w:line="261" w:lineRule="exact"/>
              <w:ind w:right="258"/>
              <w:jc w:val="right"/>
              <w:rPr>
                <w:b/>
                <w:sz w:val="21"/>
              </w:rPr>
            </w:pPr>
            <w:r>
              <w:rPr>
                <w:b/>
                <w:w w:val="95"/>
                <w:sz w:val="21"/>
              </w:rPr>
              <w:t>4.1</w:t>
            </w:r>
          </w:p>
        </w:tc>
        <w:tc>
          <w:tcPr>
            <w:tcW w:w="1276" w:type="dxa"/>
            <w:tcBorders>
              <w:top w:val="single" w:color="000000" w:sz="6" w:space="0"/>
              <w:left w:val="single" w:color="000000" w:sz="6" w:space="0"/>
              <w:bottom w:val="single" w:color="000000" w:sz="6" w:space="0"/>
              <w:right w:val="single" w:color="000000" w:sz="6" w:space="0"/>
            </w:tcBorders>
          </w:tcPr>
          <w:p>
            <w:pPr>
              <w:pStyle w:val="7"/>
              <w:spacing w:before="143"/>
              <w:ind w:left="109" w:right="110"/>
              <w:jc w:val="center"/>
              <w:rPr>
                <w:b/>
                <w:w w:val="95"/>
                <w:sz w:val="21"/>
              </w:rPr>
            </w:pPr>
            <w:r>
              <w:rPr>
                <w:b/>
                <w:w w:val="95"/>
                <w:sz w:val="21"/>
              </w:rPr>
              <w:t>政策性加分</w:t>
            </w:r>
          </w:p>
          <w:p>
            <w:pPr>
              <w:pStyle w:val="7"/>
              <w:spacing w:line="261" w:lineRule="exact"/>
              <w:ind w:left="109" w:right="110"/>
              <w:jc w:val="center"/>
              <w:rPr>
                <w:b/>
                <w:sz w:val="21"/>
              </w:rPr>
            </w:pPr>
            <w:r>
              <w:rPr>
                <w:b/>
                <w:sz w:val="21"/>
              </w:rPr>
              <w:t>（1）</w:t>
            </w:r>
          </w:p>
          <w:p>
            <w:pPr>
              <w:pStyle w:val="7"/>
              <w:spacing w:before="142"/>
              <w:ind w:left="109" w:right="110"/>
              <w:jc w:val="center"/>
              <w:rPr>
                <w:b/>
                <w:sz w:val="21"/>
              </w:rPr>
            </w:pPr>
            <w:r>
              <w:rPr>
                <w:b/>
                <w:w w:val="95"/>
                <w:sz w:val="21"/>
              </w:rPr>
              <w:t>（客观分）</w:t>
            </w:r>
          </w:p>
        </w:tc>
        <w:tc>
          <w:tcPr>
            <w:tcW w:w="992" w:type="dxa"/>
            <w:tcBorders>
              <w:top w:val="single" w:color="000000" w:sz="6" w:space="0"/>
              <w:left w:val="single" w:color="000000" w:sz="6" w:space="0"/>
              <w:bottom w:val="single" w:color="000000" w:sz="6" w:space="0"/>
              <w:right w:val="single" w:color="000000" w:sz="6" w:space="0"/>
            </w:tcBorders>
          </w:tcPr>
          <w:p>
            <w:pPr>
              <w:pStyle w:val="7"/>
              <w:spacing w:line="261" w:lineRule="exact"/>
              <w:ind w:left="204" w:right="205"/>
              <w:jc w:val="center"/>
              <w:rPr>
                <w:sz w:val="21"/>
              </w:rPr>
            </w:pPr>
            <w:r>
              <w:rPr>
                <w:sz w:val="21"/>
              </w:rPr>
              <w:t>2 分</w:t>
            </w:r>
          </w:p>
        </w:tc>
        <w:tc>
          <w:tcPr>
            <w:tcW w:w="6255" w:type="dxa"/>
            <w:tcBorders>
              <w:top w:val="single" w:color="000000" w:sz="6" w:space="0"/>
              <w:left w:val="single" w:color="000000" w:sz="6" w:space="0"/>
              <w:bottom w:val="single" w:color="000000" w:sz="6" w:space="0"/>
            </w:tcBorders>
          </w:tcPr>
          <w:p>
            <w:pPr>
              <w:pStyle w:val="7"/>
              <w:spacing w:line="256" w:lineRule="auto"/>
              <w:ind w:left="100" w:right="85"/>
              <w:rPr>
                <w:sz w:val="21"/>
              </w:rPr>
            </w:pPr>
            <w:r>
              <w:rPr>
                <w:w w:val="95"/>
                <w:sz w:val="21"/>
              </w:rPr>
              <w:t>所投产品属于</w:t>
            </w:r>
            <w:r>
              <w:rPr>
                <w:rFonts w:ascii="Times New Roman" w:hAnsi="Times New Roman" w:eastAsia="Times New Roman"/>
                <w:w w:val="95"/>
                <w:sz w:val="21"/>
              </w:rPr>
              <w:t>“</w:t>
            </w:r>
            <w:r>
              <w:rPr>
                <w:spacing w:val="-8"/>
                <w:w w:val="95"/>
                <w:sz w:val="21"/>
              </w:rPr>
              <w:t>节能产品、环境标志产品政府采购品目清单</w:t>
            </w:r>
            <w:r>
              <w:rPr>
                <w:rFonts w:ascii="Times New Roman" w:hAnsi="Times New Roman" w:eastAsia="Times New Roman"/>
                <w:spacing w:val="-29"/>
                <w:w w:val="95"/>
                <w:sz w:val="21"/>
              </w:rPr>
              <w:t>”</w:t>
            </w:r>
            <w:r>
              <w:rPr>
                <w:spacing w:val="-29"/>
                <w:w w:val="95"/>
                <w:sz w:val="21"/>
              </w:rPr>
              <w:t>（</w:t>
            </w:r>
            <w:r>
              <w:rPr>
                <w:w w:val="95"/>
                <w:sz w:val="21"/>
              </w:rPr>
              <w:t>财 政部等相关部门公示</w:t>
            </w:r>
            <w:r>
              <w:rPr>
                <w:spacing w:val="4"/>
                <w:w w:val="95"/>
                <w:sz w:val="21"/>
              </w:rPr>
              <w:t>）</w:t>
            </w:r>
            <w:r>
              <w:rPr>
                <w:w w:val="95"/>
                <w:sz w:val="21"/>
              </w:rPr>
              <w:t>范围内的产品，投标人提供国家确定的认证机构出具的、处于有效期之内的节能产品、环境标志产品</w:t>
            </w:r>
            <w:r>
              <w:rPr>
                <w:spacing w:val="-5"/>
                <w:w w:val="95"/>
                <w:sz w:val="21"/>
              </w:rPr>
              <w:t>认证证书，在采购评审工作过程中给予加分，在总得分基础上，</w:t>
            </w:r>
            <w:r>
              <w:rPr>
                <w:sz w:val="21"/>
              </w:rPr>
              <w:t xml:space="preserve">每一项加 </w:t>
            </w:r>
            <w:r>
              <w:rPr>
                <w:rFonts w:ascii="Times New Roman" w:eastAsia="Times New Roman"/>
                <w:sz w:val="21"/>
              </w:rPr>
              <w:t xml:space="preserve">0.3 </w:t>
            </w:r>
            <w:r>
              <w:rPr>
                <w:sz w:val="21"/>
              </w:rPr>
              <w:t xml:space="preserve">分，最高不得超过 </w:t>
            </w:r>
            <w:r>
              <w:rPr>
                <w:rFonts w:ascii="Times New Roman" w:eastAsia="Times New Roman"/>
                <w:sz w:val="21"/>
              </w:rPr>
              <w:t xml:space="preserve">2 </w:t>
            </w:r>
            <w:r>
              <w:rPr>
                <w:sz w:val="21"/>
              </w:rPr>
              <w:t>分。</w:t>
            </w:r>
            <w:r>
              <w:rPr>
                <w:w w:val="95"/>
                <w:sz w:val="21"/>
              </w:rPr>
              <w:t>注：属于</w:t>
            </w:r>
            <w:r>
              <w:rPr>
                <w:rFonts w:ascii="Times New Roman" w:hAnsi="Times New Roman" w:eastAsia="Times New Roman"/>
                <w:w w:val="95"/>
                <w:sz w:val="21"/>
              </w:rPr>
              <w:t>“</w:t>
            </w:r>
            <w:r>
              <w:rPr>
                <w:w w:val="95"/>
                <w:sz w:val="21"/>
              </w:rPr>
              <w:t>节能产品政府采购品目清单</w:t>
            </w:r>
            <w:r>
              <w:rPr>
                <w:rFonts w:ascii="Times New Roman" w:hAnsi="Times New Roman" w:eastAsia="Times New Roman"/>
                <w:w w:val="95"/>
                <w:sz w:val="21"/>
              </w:rPr>
              <w:t>”</w:t>
            </w:r>
            <w:r>
              <w:rPr>
                <w:w w:val="95"/>
                <w:sz w:val="21"/>
              </w:rPr>
              <w:t>范围且标注为</w:t>
            </w:r>
            <w:r>
              <w:rPr>
                <w:rFonts w:ascii="Times New Roman" w:hAnsi="Times New Roman" w:eastAsia="Times New Roman"/>
                <w:w w:val="95"/>
                <w:sz w:val="21"/>
              </w:rPr>
              <w:t>“</w:t>
            </w:r>
            <w:r>
              <w:rPr>
                <w:w w:val="95"/>
                <w:sz w:val="21"/>
              </w:rPr>
              <w:t>政府强制采购产品</w:t>
            </w:r>
            <w:r>
              <w:rPr>
                <w:rFonts w:ascii="Times New Roman" w:hAnsi="Times New Roman" w:eastAsia="Times New Roman"/>
                <w:w w:val="95"/>
                <w:sz w:val="21"/>
              </w:rPr>
              <w:t>”</w:t>
            </w:r>
            <w:r>
              <w:rPr>
                <w:w w:val="95"/>
                <w:sz w:val="21"/>
              </w:rPr>
              <w:t>实施强制采购的产品，不再进行计分。</w:t>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3115" w:hRule="exact"/>
        </w:trPr>
        <w:tc>
          <w:tcPr>
            <w:tcW w:w="851" w:type="dxa"/>
            <w:tcBorders>
              <w:top w:val="single" w:color="000000" w:sz="6" w:space="0"/>
              <w:right w:val="single" w:color="000000" w:sz="6" w:space="0"/>
            </w:tcBorders>
          </w:tcPr>
          <w:p>
            <w:pPr>
              <w:pStyle w:val="7"/>
              <w:spacing w:line="261" w:lineRule="exact"/>
              <w:ind w:right="258"/>
              <w:jc w:val="right"/>
              <w:rPr>
                <w:b/>
                <w:w w:val="95"/>
                <w:sz w:val="21"/>
              </w:rPr>
            </w:pPr>
            <w:r>
              <w:rPr>
                <w:b/>
                <w:sz w:val="21"/>
              </w:rPr>
              <w:t>4.2</w:t>
            </w:r>
          </w:p>
        </w:tc>
        <w:tc>
          <w:tcPr>
            <w:tcW w:w="1276" w:type="dxa"/>
            <w:tcBorders>
              <w:top w:val="single" w:color="000000" w:sz="6" w:space="0"/>
              <w:left w:val="single" w:color="000000" w:sz="6" w:space="0"/>
              <w:right w:val="single" w:color="000000" w:sz="6" w:space="0"/>
            </w:tcBorders>
          </w:tcPr>
          <w:p>
            <w:pPr>
              <w:pStyle w:val="7"/>
              <w:spacing w:before="134"/>
              <w:ind w:left="109" w:right="110"/>
              <w:jc w:val="center"/>
              <w:rPr>
                <w:b/>
                <w:sz w:val="21"/>
              </w:rPr>
            </w:pPr>
            <w:r>
              <w:rPr>
                <w:b/>
                <w:w w:val="95"/>
                <w:sz w:val="21"/>
              </w:rPr>
              <w:t>政策性加分</w:t>
            </w:r>
          </w:p>
          <w:p>
            <w:pPr>
              <w:pStyle w:val="7"/>
              <w:spacing w:line="264" w:lineRule="exact"/>
              <w:ind w:left="109" w:right="110"/>
              <w:jc w:val="center"/>
              <w:rPr>
                <w:b/>
                <w:sz w:val="21"/>
              </w:rPr>
            </w:pPr>
            <w:r>
              <w:rPr>
                <w:b/>
                <w:sz w:val="21"/>
              </w:rPr>
              <w:t>（2）</w:t>
            </w:r>
          </w:p>
          <w:p>
            <w:pPr>
              <w:pStyle w:val="7"/>
              <w:spacing w:before="142"/>
              <w:ind w:left="109" w:right="110"/>
              <w:jc w:val="center"/>
              <w:rPr>
                <w:b/>
                <w:w w:val="95"/>
                <w:sz w:val="21"/>
              </w:rPr>
            </w:pPr>
            <w:r>
              <w:rPr>
                <w:b/>
                <w:w w:val="95"/>
                <w:sz w:val="21"/>
              </w:rPr>
              <w:t>（客观分）</w:t>
            </w:r>
          </w:p>
        </w:tc>
        <w:tc>
          <w:tcPr>
            <w:tcW w:w="992" w:type="dxa"/>
            <w:tcBorders>
              <w:top w:val="single" w:color="000000" w:sz="6" w:space="0"/>
              <w:left w:val="single" w:color="000000" w:sz="6" w:space="0"/>
              <w:right w:val="single" w:color="000000" w:sz="6" w:space="0"/>
            </w:tcBorders>
          </w:tcPr>
          <w:p>
            <w:pPr>
              <w:pStyle w:val="7"/>
              <w:spacing w:line="261" w:lineRule="exact"/>
              <w:ind w:left="204" w:right="205"/>
              <w:jc w:val="center"/>
              <w:rPr>
                <w:sz w:val="21"/>
              </w:rPr>
            </w:pPr>
            <w:r>
              <w:rPr>
                <w:sz w:val="21"/>
              </w:rPr>
              <w:t>3 分</w:t>
            </w:r>
          </w:p>
        </w:tc>
        <w:tc>
          <w:tcPr>
            <w:tcW w:w="6255" w:type="dxa"/>
            <w:tcBorders>
              <w:top w:val="single" w:color="000000" w:sz="6" w:space="0"/>
              <w:left w:val="single" w:color="000000" w:sz="6" w:space="0"/>
            </w:tcBorders>
          </w:tcPr>
          <w:p>
            <w:pPr>
              <w:pStyle w:val="7"/>
              <w:spacing w:line="262" w:lineRule="exact"/>
              <w:ind w:left="100"/>
              <w:rPr>
                <w:w w:val="95"/>
                <w:sz w:val="21"/>
              </w:rPr>
            </w:pPr>
            <w:r>
              <w:rPr>
                <w:w w:val="95"/>
                <w:sz w:val="21"/>
              </w:rPr>
              <w:t>根据《中华人民共和国政府采购法》（中华人民共和国主席令</w:t>
            </w:r>
          </w:p>
          <w:p>
            <w:pPr>
              <w:pStyle w:val="7"/>
              <w:spacing w:line="280" w:lineRule="exact"/>
              <w:ind w:left="100"/>
              <w:rPr>
                <w:sz w:val="21"/>
              </w:rPr>
            </w:pPr>
            <w:r>
              <w:rPr>
                <w:spacing w:val="-31"/>
                <w:sz w:val="21"/>
              </w:rPr>
              <w:t xml:space="preserve">第 </w:t>
            </w:r>
            <w:r>
              <w:rPr>
                <w:rFonts w:ascii="Times New Roman" w:eastAsia="Times New Roman"/>
                <w:sz w:val="21"/>
              </w:rPr>
              <w:t xml:space="preserve">68 </w:t>
            </w:r>
            <w:r>
              <w:rPr>
                <w:sz w:val="21"/>
              </w:rPr>
              <w:t>号</w:t>
            </w:r>
            <w:r>
              <w:rPr>
                <w:spacing w:val="-8"/>
                <w:sz w:val="21"/>
              </w:rPr>
              <w:t>）</w:t>
            </w:r>
            <w:r>
              <w:rPr>
                <w:spacing w:val="-5"/>
                <w:sz w:val="21"/>
              </w:rPr>
              <w:t>、《中华人民共和国政府采购实施条例》</w:t>
            </w:r>
            <w:r>
              <w:rPr>
                <w:sz w:val="21"/>
              </w:rPr>
              <w:t>（国务院第</w:t>
            </w:r>
          </w:p>
          <w:p>
            <w:pPr>
              <w:pStyle w:val="7"/>
              <w:spacing w:line="272" w:lineRule="exact"/>
              <w:ind w:left="100" w:right="-19"/>
              <w:rPr>
                <w:sz w:val="21"/>
              </w:rPr>
            </w:pPr>
            <w:r>
              <w:rPr>
                <w:rFonts w:ascii="Times New Roman" w:eastAsia="Times New Roman"/>
                <w:sz w:val="21"/>
              </w:rPr>
              <w:t>658</w:t>
            </w:r>
            <w:r>
              <w:rPr>
                <w:rFonts w:ascii="Times New Roman" w:eastAsia="Times New Roman"/>
                <w:spacing w:val="-12"/>
                <w:sz w:val="21"/>
              </w:rPr>
              <w:t xml:space="preserve"> </w:t>
            </w:r>
            <w:r>
              <w:rPr>
                <w:sz w:val="21"/>
              </w:rPr>
              <w:t>号令</w:t>
            </w:r>
            <w:r>
              <w:rPr>
                <w:spacing w:val="-25"/>
                <w:sz w:val="21"/>
              </w:rPr>
              <w:t>）</w:t>
            </w:r>
            <w:r>
              <w:rPr>
                <w:spacing w:val="-7"/>
                <w:sz w:val="21"/>
              </w:rPr>
              <w:t>、贵州省财政厅文件</w:t>
            </w:r>
            <w:r>
              <w:rPr>
                <w:sz w:val="21"/>
              </w:rPr>
              <w:t>（</w:t>
            </w:r>
            <w:r>
              <w:rPr>
                <w:spacing w:val="-6"/>
                <w:sz w:val="21"/>
              </w:rPr>
              <w:t>黔财采【</w:t>
            </w:r>
            <w:r>
              <w:rPr>
                <w:rFonts w:ascii="Times New Roman" w:eastAsia="Times New Roman"/>
                <w:sz w:val="21"/>
              </w:rPr>
              <w:t>2017</w:t>
            </w:r>
            <w:r>
              <w:rPr>
                <w:spacing w:val="-25"/>
                <w:sz w:val="21"/>
              </w:rPr>
              <w:t>】</w:t>
            </w:r>
            <w:r>
              <w:rPr>
                <w:rFonts w:ascii="Times New Roman" w:eastAsia="Times New Roman"/>
                <w:sz w:val="21"/>
              </w:rPr>
              <w:t>6</w:t>
            </w:r>
            <w:r>
              <w:rPr>
                <w:rFonts w:ascii="Times New Roman" w:eastAsia="Times New Roman"/>
                <w:spacing w:val="-10"/>
                <w:sz w:val="21"/>
              </w:rPr>
              <w:t xml:space="preserve"> </w:t>
            </w:r>
            <w:r>
              <w:rPr>
                <w:sz w:val="21"/>
              </w:rPr>
              <w:t>号</w:t>
            </w:r>
            <w:r>
              <w:rPr>
                <w:spacing w:val="-22"/>
                <w:sz w:val="21"/>
              </w:rPr>
              <w:t>）</w:t>
            </w:r>
            <w:r>
              <w:rPr>
                <w:sz w:val="21"/>
              </w:rPr>
              <w:t>的规定，</w:t>
            </w:r>
          </w:p>
          <w:p>
            <w:pPr>
              <w:pStyle w:val="7"/>
              <w:spacing w:line="253" w:lineRule="exact"/>
              <w:ind w:left="100"/>
              <w:rPr>
                <w:sz w:val="21"/>
              </w:rPr>
            </w:pPr>
            <w:r>
              <w:rPr>
                <w:w w:val="95"/>
                <w:sz w:val="21"/>
              </w:rPr>
              <w:t>对原产地在少数民族自治区和享受少数民族自治待遇的省份的</w:t>
            </w:r>
          </w:p>
          <w:p>
            <w:pPr>
              <w:pStyle w:val="7"/>
              <w:spacing w:before="37"/>
              <w:ind w:left="100"/>
              <w:rPr>
                <w:sz w:val="21"/>
              </w:rPr>
            </w:pPr>
            <w:r>
              <w:rPr>
                <w:w w:val="95"/>
                <w:sz w:val="21"/>
              </w:rPr>
              <w:t>投标主产品（不含附带产品），采用综合评分法或性价比法评</w:t>
            </w:r>
          </w:p>
          <w:p>
            <w:pPr>
              <w:pStyle w:val="7"/>
              <w:spacing w:line="280" w:lineRule="exact"/>
              <w:ind w:left="100"/>
              <w:rPr>
                <w:sz w:val="21"/>
              </w:rPr>
            </w:pPr>
            <w:r>
              <w:rPr>
                <w:sz w:val="21"/>
              </w:rPr>
              <w:t xml:space="preserve">审的，在总得分基础上加 </w:t>
            </w:r>
            <w:r>
              <w:rPr>
                <w:rFonts w:ascii="Times New Roman" w:eastAsia="Times New Roman"/>
                <w:sz w:val="21"/>
              </w:rPr>
              <w:t xml:space="preserve">3 </w:t>
            </w:r>
            <w:r>
              <w:rPr>
                <w:sz w:val="21"/>
              </w:rPr>
              <w:t>分。</w:t>
            </w:r>
          </w:p>
          <w:p>
            <w:pPr>
              <w:pStyle w:val="7"/>
              <w:spacing w:line="253" w:lineRule="exact"/>
              <w:ind w:left="100"/>
              <w:rPr>
                <w:sz w:val="21"/>
              </w:rPr>
            </w:pPr>
            <w:r>
              <w:rPr>
                <w:w w:val="95"/>
                <w:sz w:val="21"/>
              </w:rPr>
              <w:t>注：①本项加分仅适用于货物采购项目。②少数民族自治区：</w:t>
            </w:r>
          </w:p>
          <w:p>
            <w:pPr>
              <w:pStyle w:val="7"/>
              <w:spacing w:before="37"/>
              <w:ind w:left="100"/>
              <w:rPr>
                <w:sz w:val="21"/>
              </w:rPr>
            </w:pPr>
            <w:r>
              <w:rPr>
                <w:w w:val="95"/>
                <w:sz w:val="21"/>
              </w:rPr>
              <w:t>内蒙古自治区、新疆维吾尔自治区、宁夏回族自治区、广西壮</w:t>
            </w:r>
          </w:p>
          <w:p>
            <w:pPr>
              <w:pStyle w:val="7"/>
              <w:spacing w:line="261" w:lineRule="exact"/>
              <w:ind w:left="100"/>
              <w:rPr>
                <w:sz w:val="21"/>
              </w:rPr>
            </w:pPr>
            <w:r>
              <w:rPr>
                <w:w w:val="95"/>
                <w:sz w:val="21"/>
              </w:rPr>
              <w:t>族自治区、西藏自治区；③享受少数民族自治待遇的省份：青</w:t>
            </w:r>
          </w:p>
          <w:p>
            <w:pPr>
              <w:pStyle w:val="7"/>
              <w:spacing w:line="261" w:lineRule="exact"/>
              <w:ind w:left="100"/>
              <w:rPr>
                <w:sz w:val="21"/>
              </w:rPr>
            </w:pPr>
            <w:r>
              <w:rPr>
                <w:w w:val="95"/>
                <w:sz w:val="21"/>
              </w:rPr>
              <w:t>海省、云南省、贵州省。④投标主产品按照不得低于本采购项</w:t>
            </w:r>
          </w:p>
          <w:p>
            <w:pPr>
              <w:pStyle w:val="7"/>
              <w:spacing w:line="249" w:lineRule="exact"/>
              <w:ind w:left="100"/>
              <w:rPr>
                <w:sz w:val="21"/>
              </w:rPr>
            </w:pPr>
            <w:r>
              <w:rPr>
                <w:sz w:val="21"/>
              </w:rPr>
              <w:t xml:space="preserve">目预算金额 </w:t>
            </w:r>
            <w:r>
              <w:rPr>
                <w:rFonts w:ascii="Times New Roman" w:eastAsia="Times New Roman"/>
                <w:sz w:val="21"/>
              </w:rPr>
              <w:t>50%</w:t>
            </w:r>
            <w:r>
              <w:rPr>
                <w:sz w:val="21"/>
              </w:rPr>
              <w:t>进行确定。</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C79AD"/>
    <w:multiLevelType w:val="singleLevel"/>
    <w:tmpl w:val="DABC79AD"/>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NDM3YzQ4NDA3ZWQwYjIyZjM2YjU4YzQ4OGQyMWQifQ=="/>
  </w:docVars>
  <w:rsids>
    <w:rsidRoot w:val="4C637920"/>
    <w:rsid w:val="4C63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4"/>
    <w:basedOn w:val="1"/>
    <w:next w:val="1"/>
    <w:qFormat/>
    <w:uiPriority w:val="1"/>
    <w:pPr>
      <w:ind w:left="540"/>
      <w:outlineLvl w:val="4"/>
    </w:pPr>
    <w:rPr>
      <w:rFonts w:ascii="宋体" w:hAnsi="宋体" w:eastAsia="宋体" w:cs="宋体"/>
      <w:b/>
      <w:bCs/>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rPr>
  </w:style>
  <w:style w:type="paragraph" w:styleId="6">
    <w:name w:val="List Paragraph"/>
    <w:basedOn w:val="1"/>
    <w:qFormat/>
    <w:uiPriority w:val="1"/>
    <w:pPr>
      <w:spacing w:before="86"/>
      <w:ind w:left="120" w:hanging="420"/>
    </w:pPr>
    <w:rPr>
      <w:rFonts w:ascii="宋体" w:hAnsi="宋体" w:eastAsia="宋体" w:cs="宋体"/>
    </w:rPr>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2023-10-14T04:49:00Z</dcterms:created>
  <dc:creator>Tao Liutaotao</dc:creator>
  <cp:lastModifiedBy>Tao Liutaotao</cp:lastModifiedBy>
  <dcterms:modified xsi:type="dcterms:W3CDTF">2023-10-14T04:55:51Z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989D93ECAE484BF7AB271B0600B45B1A_11</vt:lpwstr>
  </property>
</Properties>
</file>