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ECBE0">
      <w:pPr>
        <w:jc w:val="center"/>
        <w:rPr>
          <w:rFonts w:hint="eastAsia"/>
          <w:b/>
          <w:bCs/>
          <w:color w:val="auto"/>
          <w:sz w:val="48"/>
          <w:szCs w:val="56"/>
          <w:highlight w:val="none"/>
        </w:rPr>
      </w:pPr>
      <w:r>
        <w:rPr>
          <w:rFonts w:hint="eastAsia"/>
          <w:b/>
          <w:bCs/>
          <w:color w:val="auto"/>
          <w:sz w:val="48"/>
          <w:szCs w:val="56"/>
          <w:highlight w:val="none"/>
          <w:lang w:eastAsia="zh-CN"/>
        </w:rPr>
        <w:t>贵州医科大学附属医院中西医协同“旗舰”医院建设项目二（3）</w:t>
      </w:r>
    </w:p>
    <w:p w14:paraId="2E00FCB1">
      <w:pPr>
        <w:jc w:val="center"/>
        <w:rPr>
          <w:rFonts w:hint="eastAsia"/>
          <w:b/>
          <w:bCs/>
          <w:color w:val="auto"/>
          <w:sz w:val="48"/>
          <w:szCs w:val="56"/>
          <w:highlight w:val="none"/>
        </w:rPr>
      </w:pPr>
    </w:p>
    <w:p w14:paraId="7F3C3022">
      <w:pPr>
        <w:pStyle w:val="5"/>
        <w:rPr>
          <w:rFonts w:hint="eastAsia"/>
          <w:b/>
          <w:bCs/>
          <w:color w:val="auto"/>
          <w:sz w:val="48"/>
          <w:szCs w:val="56"/>
          <w:highlight w:val="none"/>
        </w:rPr>
      </w:pPr>
    </w:p>
    <w:p w14:paraId="1AF0F279">
      <w:pPr>
        <w:pStyle w:val="5"/>
        <w:rPr>
          <w:rFonts w:hint="eastAsia"/>
          <w:b/>
          <w:bCs/>
          <w:color w:val="auto"/>
          <w:sz w:val="48"/>
          <w:szCs w:val="56"/>
          <w:highlight w:val="none"/>
        </w:rPr>
      </w:pPr>
    </w:p>
    <w:p w14:paraId="610F26BD">
      <w:pPr>
        <w:pStyle w:val="5"/>
        <w:rPr>
          <w:rFonts w:hint="eastAsia"/>
          <w:b/>
          <w:bCs/>
          <w:color w:val="auto"/>
          <w:sz w:val="48"/>
          <w:szCs w:val="56"/>
          <w:highlight w:val="none"/>
        </w:rPr>
      </w:pPr>
    </w:p>
    <w:p w14:paraId="21AB0F72">
      <w:pPr>
        <w:jc w:val="center"/>
        <w:rPr>
          <w:rFonts w:hint="default"/>
          <w:b/>
          <w:bCs/>
          <w:color w:val="auto"/>
          <w:sz w:val="48"/>
          <w:szCs w:val="56"/>
          <w:highlight w:val="none"/>
          <w:lang w:val="en-US" w:eastAsia="zh-CN"/>
        </w:rPr>
      </w:pPr>
      <w:r>
        <w:rPr>
          <w:rFonts w:hint="eastAsia"/>
          <w:b/>
          <w:bCs/>
          <w:color w:val="auto"/>
          <w:sz w:val="48"/>
          <w:szCs w:val="56"/>
          <w:highlight w:val="none"/>
          <w:lang w:val="en-US" w:eastAsia="zh-CN"/>
        </w:rPr>
        <w:t>采购需求文件</w:t>
      </w:r>
    </w:p>
    <w:p w14:paraId="6844D400">
      <w:pPr>
        <w:jc w:val="center"/>
        <w:rPr>
          <w:rFonts w:hint="eastAsia"/>
          <w:b/>
          <w:bCs/>
          <w:color w:val="auto"/>
          <w:sz w:val="32"/>
          <w:szCs w:val="40"/>
          <w:highlight w:val="none"/>
          <w:lang w:val="en-US" w:eastAsia="zh-CN"/>
        </w:rPr>
      </w:pPr>
    </w:p>
    <w:p w14:paraId="27D9F288">
      <w:pPr>
        <w:jc w:val="both"/>
        <w:rPr>
          <w:rFonts w:hint="eastAsia"/>
          <w:b/>
          <w:bCs/>
          <w:color w:val="auto"/>
          <w:sz w:val="32"/>
          <w:szCs w:val="40"/>
          <w:highlight w:val="none"/>
          <w:lang w:val="en-US" w:eastAsia="zh-CN"/>
        </w:rPr>
      </w:pPr>
    </w:p>
    <w:p w14:paraId="41179452">
      <w:pPr>
        <w:jc w:val="center"/>
        <w:rPr>
          <w:rFonts w:hint="eastAsia"/>
          <w:b/>
          <w:bCs/>
          <w:color w:val="auto"/>
          <w:sz w:val="32"/>
          <w:szCs w:val="40"/>
          <w:highlight w:val="none"/>
          <w:lang w:val="en-US" w:eastAsia="zh-CN"/>
        </w:rPr>
      </w:pPr>
    </w:p>
    <w:p w14:paraId="5DD2C1A5">
      <w:pPr>
        <w:pStyle w:val="5"/>
        <w:rPr>
          <w:rFonts w:hint="eastAsia"/>
          <w:color w:val="auto"/>
          <w:highlight w:val="none"/>
          <w:lang w:val="en-US" w:eastAsia="zh-CN"/>
        </w:rPr>
      </w:pPr>
    </w:p>
    <w:p w14:paraId="21CE871C">
      <w:pPr>
        <w:jc w:val="center"/>
        <w:rPr>
          <w:rFonts w:hint="eastAsia"/>
          <w:b/>
          <w:bCs/>
          <w:color w:val="auto"/>
          <w:sz w:val="32"/>
          <w:szCs w:val="40"/>
          <w:highlight w:val="none"/>
          <w:lang w:val="en-US" w:eastAsia="zh-CN"/>
        </w:rPr>
      </w:pPr>
      <w:r>
        <w:rPr>
          <w:rFonts w:hint="eastAsia"/>
          <w:b/>
          <w:bCs/>
          <w:color w:val="auto"/>
          <w:sz w:val="32"/>
          <w:szCs w:val="40"/>
          <w:highlight w:val="none"/>
          <w:lang w:val="en-US" w:eastAsia="zh-CN"/>
        </w:rPr>
        <w:t>项目编号：GC-CG-2025060</w:t>
      </w:r>
    </w:p>
    <w:p w14:paraId="686A38DA">
      <w:pPr>
        <w:pStyle w:val="5"/>
        <w:ind w:left="0" w:leftChars="0" w:firstLine="0" w:firstLineChars="0"/>
        <w:rPr>
          <w:rFonts w:hint="eastAsia"/>
          <w:b/>
          <w:bCs/>
          <w:color w:val="auto"/>
          <w:sz w:val="32"/>
          <w:szCs w:val="40"/>
          <w:highlight w:val="none"/>
          <w:lang w:val="en-US" w:eastAsia="zh-CN"/>
        </w:rPr>
      </w:pPr>
    </w:p>
    <w:p w14:paraId="374D6B8E">
      <w:pPr>
        <w:pStyle w:val="5"/>
        <w:rPr>
          <w:rFonts w:hint="eastAsia"/>
          <w:b/>
          <w:bCs/>
          <w:color w:val="auto"/>
          <w:sz w:val="32"/>
          <w:szCs w:val="40"/>
          <w:highlight w:val="none"/>
          <w:lang w:val="en-US" w:eastAsia="zh-CN"/>
        </w:rPr>
      </w:pPr>
    </w:p>
    <w:p w14:paraId="79BB9928">
      <w:pPr>
        <w:pStyle w:val="5"/>
        <w:rPr>
          <w:rFonts w:hint="eastAsia"/>
          <w:b/>
          <w:bCs/>
          <w:color w:val="auto"/>
          <w:sz w:val="32"/>
          <w:szCs w:val="40"/>
          <w:highlight w:val="none"/>
          <w:lang w:val="en-US" w:eastAsia="zh-CN"/>
        </w:rPr>
      </w:pPr>
    </w:p>
    <w:p w14:paraId="1402EE1B">
      <w:pPr>
        <w:jc w:val="both"/>
        <w:rPr>
          <w:rFonts w:hint="eastAsia"/>
          <w:b/>
          <w:bCs/>
          <w:color w:val="auto"/>
          <w:sz w:val="32"/>
          <w:szCs w:val="40"/>
          <w:highlight w:val="none"/>
          <w:lang w:val="en-US" w:eastAsia="zh-CN"/>
        </w:rPr>
      </w:pPr>
    </w:p>
    <w:p w14:paraId="7DFE69A0">
      <w:pPr>
        <w:spacing w:line="360" w:lineRule="auto"/>
        <w:jc w:val="both"/>
        <w:rPr>
          <w:rFonts w:hint="default" w:eastAsia="宋体"/>
          <w:b/>
          <w:bCs/>
          <w:sz w:val="32"/>
          <w:szCs w:val="40"/>
          <w:lang w:val="en-US" w:eastAsia="zh-CN"/>
        </w:rPr>
      </w:pPr>
      <w:r>
        <w:rPr>
          <w:rFonts w:hint="eastAsia" w:eastAsia="宋体"/>
          <w:b/>
          <w:bCs/>
          <w:sz w:val="32"/>
          <w:szCs w:val="40"/>
          <w:lang w:val="en-US" w:eastAsia="zh-CN"/>
        </w:rPr>
        <w:t>采购人：贵州医科大学附属医院</w:t>
      </w:r>
    </w:p>
    <w:p w14:paraId="65D356F5">
      <w:pPr>
        <w:spacing w:line="360" w:lineRule="auto"/>
        <w:jc w:val="both"/>
        <w:rPr>
          <w:rFonts w:hint="default" w:eastAsia="宋体"/>
          <w:b/>
          <w:bCs/>
          <w:sz w:val="32"/>
          <w:szCs w:val="40"/>
          <w:lang w:val="en-US" w:eastAsia="zh-CN"/>
        </w:rPr>
      </w:pPr>
      <w:r>
        <w:rPr>
          <w:rFonts w:hint="eastAsia" w:eastAsia="宋体"/>
          <w:b/>
          <w:bCs/>
          <w:sz w:val="32"/>
          <w:szCs w:val="40"/>
          <w:lang w:val="en-US" w:eastAsia="zh-CN"/>
        </w:rPr>
        <w:t>采购代理机构：贵州功成项目管理咨询有限公司</w:t>
      </w:r>
    </w:p>
    <w:p w14:paraId="207FE1FA">
      <w:pPr>
        <w:spacing w:line="360" w:lineRule="auto"/>
        <w:jc w:val="both"/>
        <w:rPr>
          <w:rFonts w:hint="eastAsia" w:eastAsia="宋体"/>
          <w:b/>
          <w:bCs/>
          <w:sz w:val="32"/>
          <w:szCs w:val="40"/>
          <w:lang w:val="en-US" w:eastAsia="zh-CN"/>
        </w:rPr>
      </w:pPr>
      <w:r>
        <w:rPr>
          <w:rFonts w:hint="eastAsia" w:eastAsia="宋体"/>
          <w:b/>
          <w:bCs/>
          <w:sz w:val="32"/>
          <w:szCs w:val="40"/>
          <w:lang w:val="en-US" w:eastAsia="zh-CN"/>
        </w:rPr>
        <w:t>日期：2025年0</w:t>
      </w:r>
      <w:r>
        <w:rPr>
          <w:rFonts w:hint="eastAsia"/>
          <w:b/>
          <w:bCs/>
          <w:sz w:val="32"/>
          <w:szCs w:val="40"/>
          <w:lang w:val="en-US" w:eastAsia="zh-CN"/>
        </w:rPr>
        <w:t>7</w:t>
      </w:r>
      <w:r>
        <w:rPr>
          <w:rFonts w:hint="eastAsia" w:eastAsia="宋体"/>
          <w:b/>
          <w:bCs/>
          <w:sz w:val="32"/>
          <w:szCs w:val="40"/>
          <w:lang w:val="en-US" w:eastAsia="zh-CN"/>
        </w:rPr>
        <w:t>月</w:t>
      </w:r>
      <w:r>
        <w:rPr>
          <w:rFonts w:hint="eastAsia"/>
          <w:b/>
          <w:bCs/>
          <w:sz w:val="32"/>
          <w:szCs w:val="40"/>
          <w:lang w:val="en-US" w:eastAsia="zh-CN"/>
        </w:rPr>
        <w:t>14</w:t>
      </w:r>
      <w:r>
        <w:rPr>
          <w:rFonts w:hint="eastAsia" w:eastAsia="宋体"/>
          <w:b/>
          <w:bCs/>
          <w:sz w:val="32"/>
          <w:szCs w:val="40"/>
          <w:lang w:val="en-US" w:eastAsia="zh-CN"/>
        </w:rPr>
        <w:t>日</w:t>
      </w:r>
    </w:p>
    <w:p w14:paraId="76211545">
      <w:pPr>
        <w:pStyle w:val="3"/>
        <w:bidi w:val="0"/>
        <w:spacing w:line="360" w:lineRule="auto"/>
        <w:rPr>
          <w:rFonts w:hint="eastAsia" w:eastAsia="宋体"/>
          <w:b/>
          <w:bCs/>
          <w:sz w:val="32"/>
          <w:szCs w:val="40"/>
          <w:lang w:val="en-US" w:eastAsia="zh-CN"/>
        </w:rPr>
      </w:pPr>
      <w:r>
        <w:rPr>
          <w:rFonts w:hint="eastAsia" w:eastAsia="宋体"/>
          <w:b/>
          <w:bCs/>
          <w:sz w:val="32"/>
          <w:szCs w:val="40"/>
          <w:lang w:val="en-US" w:eastAsia="zh-CN"/>
        </w:rPr>
        <w:t>（注：需求文件为采购人初步需求，最终请以招标公告为准）</w:t>
      </w:r>
    </w:p>
    <w:p w14:paraId="541B64EC">
      <w:pPr>
        <w:rPr>
          <w:rFonts w:hint="eastAsia" w:eastAsia="宋体"/>
          <w:b/>
          <w:bCs/>
          <w:sz w:val="32"/>
          <w:szCs w:val="40"/>
          <w:lang w:val="en-US" w:eastAsia="zh-CN"/>
        </w:rPr>
      </w:pPr>
      <w:r>
        <w:rPr>
          <w:rFonts w:hint="eastAsia" w:eastAsia="宋体"/>
          <w:b/>
          <w:bCs/>
          <w:sz w:val="32"/>
          <w:szCs w:val="40"/>
          <w:lang w:val="en-US" w:eastAsia="zh-CN"/>
        </w:rPr>
        <w:br w:type="page"/>
      </w:r>
    </w:p>
    <w:p w14:paraId="6D73207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b/>
          <w:bCs/>
          <w:color w:val="auto"/>
          <w:sz w:val="32"/>
          <w:szCs w:val="40"/>
          <w:highlight w:val="none"/>
          <w:lang w:val="en-US" w:eastAsia="zh-CN"/>
        </w:rPr>
      </w:pPr>
      <w:r>
        <w:rPr>
          <w:rFonts w:hint="eastAsia"/>
          <w:b/>
          <w:bCs/>
          <w:color w:val="auto"/>
          <w:sz w:val="32"/>
          <w:szCs w:val="40"/>
          <w:highlight w:val="none"/>
          <w:lang w:val="en-US" w:eastAsia="zh-CN"/>
        </w:rPr>
        <w:t>资格要求</w:t>
      </w:r>
    </w:p>
    <w:p w14:paraId="29F4069B">
      <w:pPr>
        <w:pStyle w:val="3"/>
        <w:bidi w:val="0"/>
        <w:spacing w:line="360" w:lineRule="auto"/>
        <w:rPr>
          <w:rFonts w:hint="eastAsia"/>
          <w:color w:val="auto"/>
          <w:highlight w:val="none"/>
          <w:lang w:val="en-US" w:eastAsia="zh-CN"/>
        </w:rPr>
      </w:pPr>
      <w:r>
        <w:rPr>
          <w:rFonts w:hint="eastAsia"/>
          <w:color w:val="auto"/>
          <w:highlight w:val="none"/>
          <w:lang w:val="en-US" w:eastAsia="zh-CN"/>
        </w:rPr>
        <w:t>申请人的资格要求:</w:t>
      </w:r>
    </w:p>
    <w:p w14:paraId="5A4A08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1.满足《中华人民共和国政府采购法》第二十二条规定:</w:t>
      </w:r>
    </w:p>
    <w:p w14:paraId="752D43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2.落实政府采购政策需满足的资格要求:本项目非专门面向中小企业采购</w:t>
      </w:r>
    </w:p>
    <w:p w14:paraId="75D8CCB8">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3.申请人的一般资格要求:</w:t>
      </w:r>
    </w:p>
    <w:p w14:paraId="131A65D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bCs/>
          <w:color w:val="auto"/>
          <w:sz w:val="24"/>
          <w:szCs w:val="24"/>
          <w:highlight w:val="none"/>
        </w:rPr>
      </w:pPr>
      <w:r>
        <w:rPr>
          <w:rFonts w:ascii="Times New Roman" w:hAnsi="Times New Roman" w:eastAsia="宋体"/>
          <w:bCs/>
          <w:color w:val="auto"/>
          <w:kern w:val="2"/>
          <w:sz w:val="24"/>
          <w:szCs w:val="24"/>
          <w:highlight w:val="none"/>
          <w:lang w:val="en-US" w:eastAsia="zh-CN" w:bidi="ar-SA"/>
        </w:rPr>
        <w:t>（1）</w:t>
      </w:r>
      <w:r>
        <w:rPr>
          <w:rStyle w:val="17"/>
          <w:color w:val="auto"/>
          <w:sz w:val="24"/>
          <w:szCs w:val="24"/>
          <w:highlight w:val="none"/>
          <w:shd w:val="clear" w:color="auto" w:fill="FFFFFF"/>
        </w:rPr>
        <w:t>具有独立承担民事责任的能力：提供</w:t>
      </w:r>
      <w:r>
        <w:rPr>
          <w:color w:val="auto"/>
          <w:sz w:val="24"/>
          <w:szCs w:val="24"/>
          <w:highlight w:val="none"/>
        </w:rPr>
        <w:t>法人或者其他组织的营业执照等证明文件，自然人投标的提供身份证明。</w:t>
      </w: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Style w:val="17"/>
          <w:color w:val="auto"/>
          <w:sz w:val="24"/>
          <w:szCs w:val="24"/>
          <w:highlight w:val="none"/>
          <w:shd w:val="clear" w:color="auto" w:fill="FFFFFF"/>
        </w:rPr>
        <w:t>具有良好的商业信誉和健全的财务会计制度：</w:t>
      </w:r>
      <w:r>
        <w:rPr>
          <w:rStyle w:val="17"/>
          <w:rFonts w:hint="eastAsia" w:eastAsia="宋体"/>
          <w:color w:val="auto"/>
          <w:sz w:val="24"/>
          <w:szCs w:val="24"/>
          <w:highlight w:val="none"/>
          <w:shd w:val="clear" w:color="auto" w:fill="FFFFFF"/>
          <w:lang w:eastAsia="zh-CN"/>
        </w:rPr>
        <w:t>提供合法审计机构出</w:t>
      </w:r>
      <w:r>
        <w:rPr>
          <w:rStyle w:val="17"/>
          <w:rFonts w:hint="eastAsia"/>
          <w:color w:val="auto"/>
          <w:sz w:val="24"/>
          <w:szCs w:val="24"/>
          <w:highlight w:val="none"/>
          <w:shd w:val="clear" w:color="auto" w:fill="FFFFFF"/>
          <w:lang w:eastAsia="zh-CN"/>
        </w:rPr>
        <w:t>具的2023年度（或2024年度）的财务审计报告</w:t>
      </w:r>
      <w:r>
        <w:rPr>
          <w:rStyle w:val="17"/>
          <w:rFonts w:hint="eastAsia" w:eastAsia="宋体"/>
          <w:color w:val="auto"/>
          <w:sz w:val="24"/>
          <w:szCs w:val="24"/>
          <w:highlight w:val="none"/>
          <w:shd w:val="clear" w:color="auto" w:fill="FFFFFF"/>
          <w:lang w:eastAsia="zh-CN"/>
        </w:rPr>
        <w:t>，</w:t>
      </w:r>
      <w:r>
        <w:rPr>
          <w:rStyle w:val="17"/>
          <w:rFonts w:hint="eastAsia"/>
          <w:color w:val="auto"/>
          <w:sz w:val="24"/>
          <w:szCs w:val="24"/>
          <w:highlight w:val="none"/>
          <w:shd w:val="clear" w:color="auto" w:fill="FFFFFF"/>
          <w:lang w:val="en-US" w:eastAsia="zh-CN"/>
        </w:rPr>
        <w:t>或其基本账户开户银行出具的有效资信证明。</w:t>
      </w:r>
      <w:r>
        <w:rPr>
          <w:rStyle w:val="17"/>
          <w:rFonts w:hint="eastAsia" w:eastAsia="宋体"/>
          <w:color w:val="auto"/>
          <w:sz w:val="24"/>
          <w:szCs w:val="24"/>
          <w:highlight w:val="none"/>
          <w:shd w:val="clear" w:color="auto" w:fill="FFFFFF"/>
          <w:lang w:eastAsia="zh-CN"/>
        </w:rPr>
        <w:t>（</w:t>
      </w:r>
      <w:r>
        <w:rPr>
          <w:rStyle w:val="17"/>
          <w:rFonts w:hint="eastAsia" w:eastAsia="宋体"/>
          <w:color w:val="auto"/>
          <w:sz w:val="24"/>
          <w:szCs w:val="24"/>
          <w:highlight w:val="none"/>
          <w:shd w:val="clear" w:color="auto" w:fill="FFFFFF"/>
          <w:lang w:val="en-US" w:eastAsia="zh-CN"/>
        </w:rPr>
        <w:t>3</w:t>
      </w:r>
      <w:r>
        <w:rPr>
          <w:rStyle w:val="17"/>
          <w:rFonts w:hint="eastAsia" w:eastAsia="宋体"/>
          <w:color w:val="auto"/>
          <w:sz w:val="24"/>
          <w:szCs w:val="24"/>
          <w:highlight w:val="none"/>
          <w:shd w:val="clear" w:color="auto" w:fill="FFFFFF"/>
          <w:lang w:eastAsia="zh-CN"/>
        </w:rPr>
        <w:t>）</w:t>
      </w:r>
      <w:r>
        <w:rPr>
          <w:rStyle w:val="17"/>
          <w:color w:val="auto"/>
          <w:sz w:val="24"/>
          <w:szCs w:val="24"/>
          <w:highlight w:val="none"/>
          <w:shd w:val="clear" w:color="auto" w:fill="FFFFFF"/>
        </w:rPr>
        <w:t>具有履行合同所必需的设备和专业技术能力：自行承诺具备履行合同所必需的设备和专业技术能力（承诺函自拟）</w:t>
      </w:r>
      <w:r>
        <w:rPr>
          <w:color w:val="auto"/>
          <w:sz w:val="24"/>
          <w:szCs w:val="24"/>
          <w:highlight w:val="none"/>
        </w:rPr>
        <w:t>。</w:t>
      </w: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Style w:val="17"/>
          <w:color w:val="auto"/>
          <w:sz w:val="24"/>
          <w:szCs w:val="24"/>
          <w:highlight w:val="none"/>
          <w:shd w:val="clear" w:color="auto" w:fill="FFFFFF"/>
        </w:rPr>
        <w:t>具有依法缴纳税收和社会保障资金的良好记录：</w:t>
      </w:r>
      <w:r>
        <w:rPr>
          <w:color w:val="auto"/>
          <w:sz w:val="24"/>
          <w:szCs w:val="24"/>
          <w:highlight w:val="none"/>
          <w:shd w:val="clear" w:color="auto" w:fill="FFFFFF"/>
        </w:rPr>
        <w:fldChar w:fldCharType="begin"/>
      </w:r>
      <w:r>
        <w:rPr>
          <w:rStyle w:val="17"/>
          <w:color w:val="auto"/>
          <w:sz w:val="24"/>
          <w:szCs w:val="24"/>
          <w:highlight w:val="none"/>
          <w:shd w:val="clear" w:color="auto" w:fill="FFFFFF"/>
        </w:rPr>
        <w:instrText xml:space="preserve"> = 1 \* GB3 </w:instrText>
      </w:r>
      <w:r>
        <w:rPr>
          <w:color w:val="auto"/>
          <w:sz w:val="24"/>
          <w:szCs w:val="24"/>
          <w:highlight w:val="none"/>
          <w:shd w:val="clear" w:color="auto" w:fill="FFFFFF"/>
        </w:rPr>
        <w:fldChar w:fldCharType="separate"/>
      </w:r>
      <w:r>
        <w:rPr>
          <w:rStyle w:val="17"/>
          <w:rFonts w:hint="eastAsia" w:ascii="宋体" w:hAnsi="宋体" w:cs="宋体"/>
          <w:color w:val="auto"/>
          <w:sz w:val="24"/>
          <w:szCs w:val="24"/>
          <w:highlight w:val="none"/>
          <w:shd w:val="clear" w:color="auto" w:fill="FFFFFF"/>
        </w:rPr>
        <w:t>①</w:t>
      </w:r>
      <w:r>
        <w:rPr>
          <w:color w:val="auto"/>
          <w:sz w:val="24"/>
          <w:szCs w:val="24"/>
          <w:highlight w:val="none"/>
          <w:shd w:val="clear" w:color="auto" w:fill="FFFFFF"/>
        </w:rPr>
        <w:fldChar w:fldCharType="end"/>
      </w:r>
      <w:r>
        <w:rPr>
          <w:rStyle w:val="17"/>
          <w:rFonts w:hint="eastAsia"/>
          <w:color w:val="auto"/>
          <w:sz w:val="24"/>
          <w:szCs w:val="24"/>
          <w:highlight w:val="none"/>
          <w:shd w:val="clear" w:color="auto" w:fill="FFFFFF"/>
          <w:lang w:eastAsia="zh-CN"/>
        </w:rPr>
        <w:t>提供2024年至投标截止日任意三个月</w:t>
      </w:r>
      <w:r>
        <w:rPr>
          <w:rStyle w:val="17"/>
          <w:color w:val="auto"/>
          <w:sz w:val="24"/>
          <w:szCs w:val="24"/>
          <w:highlight w:val="none"/>
          <w:shd w:val="clear" w:color="auto" w:fill="FFFFFF"/>
        </w:rPr>
        <w:t>缴纳税收的凭据或证明材料（依法免税的，提供有效的证明文件）。</w:t>
      </w:r>
      <w:r>
        <w:rPr>
          <w:color w:val="auto"/>
          <w:sz w:val="24"/>
          <w:szCs w:val="24"/>
          <w:highlight w:val="none"/>
          <w:shd w:val="clear" w:color="auto" w:fill="FFFFFF"/>
        </w:rPr>
        <w:fldChar w:fldCharType="begin"/>
      </w:r>
      <w:r>
        <w:rPr>
          <w:rStyle w:val="17"/>
          <w:color w:val="auto"/>
          <w:sz w:val="24"/>
          <w:szCs w:val="24"/>
          <w:highlight w:val="none"/>
          <w:shd w:val="clear" w:color="auto" w:fill="FFFFFF"/>
        </w:rPr>
        <w:instrText xml:space="preserve"> = 2 \* GB3 </w:instrText>
      </w:r>
      <w:r>
        <w:rPr>
          <w:color w:val="auto"/>
          <w:sz w:val="24"/>
          <w:szCs w:val="24"/>
          <w:highlight w:val="none"/>
          <w:shd w:val="clear" w:color="auto" w:fill="FFFFFF"/>
        </w:rPr>
        <w:fldChar w:fldCharType="separate"/>
      </w:r>
      <w:r>
        <w:rPr>
          <w:rStyle w:val="17"/>
          <w:rFonts w:hint="eastAsia" w:ascii="宋体" w:hAnsi="宋体" w:cs="宋体"/>
          <w:color w:val="auto"/>
          <w:sz w:val="24"/>
          <w:szCs w:val="24"/>
          <w:highlight w:val="none"/>
          <w:shd w:val="clear" w:color="auto" w:fill="FFFFFF"/>
        </w:rPr>
        <w:t>②</w:t>
      </w:r>
      <w:r>
        <w:rPr>
          <w:color w:val="auto"/>
          <w:sz w:val="24"/>
          <w:szCs w:val="24"/>
          <w:highlight w:val="none"/>
          <w:shd w:val="clear" w:color="auto" w:fill="FFFFFF"/>
        </w:rPr>
        <w:fldChar w:fldCharType="end"/>
      </w:r>
      <w:r>
        <w:rPr>
          <w:rStyle w:val="17"/>
          <w:rFonts w:hint="eastAsia"/>
          <w:color w:val="auto"/>
          <w:sz w:val="24"/>
          <w:szCs w:val="24"/>
          <w:highlight w:val="none"/>
          <w:shd w:val="clear" w:color="auto" w:fill="FFFFFF"/>
          <w:lang w:eastAsia="zh-CN"/>
        </w:rPr>
        <w:t>提供2024年至投标截止日任意三个月</w:t>
      </w:r>
      <w:r>
        <w:rPr>
          <w:rStyle w:val="17"/>
          <w:color w:val="auto"/>
          <w:sz w:val="24"/>
          <w:szCs w:val="24"/>
          <w:highlight w:val="none"/>
          <w:shd w:val="clear" w:color="auto" w:fill="FFFFFF"/>
        </w:rPr>
        <w:t>社会保障资金缴纳证明材料（不需要缴纳社保资金的，提供有效的证明文件）</w:t>
      </w:r>
      <w:r>
        <w:rPr>
          <w:color w:val="auto"/>
          <w:sz w:val="24"/>
          <w:szCs w:val="24"/>
          <w:highlight w:val="none"/>
        </w:rPr>
        <w:t>。</w:t>
      </w: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Style w:val="17"/>
          <w:rFonts w:hint="eastAsia"/>
          <w:color w:val="auto"/>
          <w:sz w:val="24"/>
          <w:szCs w:val="24"/>
          <w:highlight w:val="none"/>
          <w:shd w:val="clear" w:color="auto" w:fill="FFFFFF"/>
        </w:rPr>
        <w:t>参加本次政府采购活动前三年内，在经营活动中没有重大违法记录：提供参加政府采购活动前三年内在经营活动中无重大违法记录的书面声明（自行声明）。</w:t>
      </w:r>
      <w:r>
        <w:rPr>
          <w:rStyle w:val="17"/>
          <w:rFonts w:hint="eastAsia"/>
          <w:color w:val="auto"/>
          <w:sz w:val="24"/>
          <w:szCs w:val="24"/>
          <w:highlight w:val="none"/>
          <w:shd w:val="clear" w:color="auto" w:fill="FFFFFF"/>
          <w:lang w:eastAsia="zh-CN"/>
        </w:rPr>
        <w:t>（</w:t>
      </w:r>
      <w:r>
        <w:rPr>
          <w:rStyle w:val="17"/>
          <w:rFonts w:hint="eastAsia"/>
          <w:color w:val="auto"/>
          <w:sz w:val="24"/>
          <w:szCs w:val="24"/>
          <w:highlight w:val="none"/>
          <w:shd w:val="clear" w:color="auto" w:fill="FFFFFF"/>
          <w:lang w:val="en-US" w:eastAsia="zh-CN"/>
        </w:rPr>
        <w:t>6</w:t>
      </w:r>
      <w:r>
        <w:rPr>
          <w:rStyle w:val="17"/>
          <w:rFonts w:hint="eastAsia"/>
          <w:color w:val="auto"/>
          <w:sz w:val="24"/>
          <w:szCs w:val="24"/>
          <w:highlight w:val="none"/>
          <w:shd w:val="clear" w:color="auto" w:fill="FFFFFF"/>
          <w:lang w:eastAsia="zh-CN"/>
        </w:rPr>
        <w:t>）</w:t>
      </w:r>
      <w:r>
        <w:rPr>
          <w:rStyle w:val="17"/>
          <w:color w:val="auto"/>
          <w:sz w:val="24"/>
          <w:szCs w:val="24"/>
          <w:highlight w:val="none"/>
        </w:rPr>
        <w:t>法律、行政法规规定的</w:t>
      </w:r>
      <w:r>
        <w:rPr>
          <w:rStyle w:val="17"/>
          <w:color w:val="auto"/>
          <w:sz w:val="24"/>
          <w:szCs w:val="24"/>
          <w:highlight w:val="none"/>
          <w:shd w:val="clear" w:color="auto" w:fill="FFFFFF"/>
        </w:rPr>
        <w:t>其他条件</w:t>
      </w:r>
      <w:r>
        <w:rPr>
          <w:b/>
          <w:color w:val="auto"/>
          <w:kern w:val="0"/>
          <w:sz w:val="24"/>
          <w:szCs w:val="24"/>
          <w:highlight w:val="none"/>
        </w:rPr>
        <w:t>：</w:t>
      </w:r>
      <w:r>
        <w:rPr>
          <w:bCs/>
          <w:color w:val="auto"/>
          <w:kern w:val="0"/>
          <w:sz w:val="24"/>
          <w:szCs w:val="24"/>
          <w:highlight w:val="none"/>
        </w:rPr>
        <w:fldChar w:fldCharType="begin"/>
      </w:r>
      <w:r>
        <w:rPr>
          <w:bCs/>
          <w:color w:val="auto"/>
          <w:kern w:val="0"/>
          <w:sz w:val="24"/>
          <w:szCs w:val="24"/>
          <w:highlight w:val="none"/>
        </w:rPr>
        <w:instrText xml:space="preserve"> = 1 \* GB3 </w:instrText>
      </w:r>
      <w:r>
        <w:rPr>
          <w:bCs/>
          <w:color w:val="auto"/>
          <w:kern w:val="0"/>
          <w:sz w:val="24"/>
          <w:szCs w:val="24"/>
          <w:highlight w:val="none"/>
        </w:rPr>
        <w:fldChar w:fldCharType="separate"/>
      </w:r>
      <w:r>
        <w:rPr>
          <w:rFonts w:hint="eastAsia" w:ascii="宋体" w:hAnsi="宋体" w:cs="宋体"/>
          <w:bCs/>
          <w:color w:val="auto"/>
          <w:kern w:val="0"/>
          <w:sz w:val="24"/>
          <w:szCs w:val="24"/>
          <w:highlight w:val="none"/>
        </w:rPr>
        <w:t>①</w:t>
      </w:r>
      <w:r>
        <w:rPr>
          <w:bCs/>
          <w:color w:val="auto"/>
          <w:kern w:val="0"/>
          <w:sz w:val="24"/>
          <w:szCs w:val="24"/>
          <w:highlight w:val="none"/>
        </w:rPr>
        <w:fldChar w:fldCharType="end"/>
      </w:r>
      <w:r>
        <w:rPr>
          <w:bCs/>
          <w:color w:val="auto"/>
          <w:kern w:val="0"/>
          <w:sz w:val="24"/>
          <w:szCs w:val="24"/>
          <w:highlight w:val="none"/>
        </w:rPr>
        <w:t>投标人</w:t>
      </w:r>
      <w:r>
        <w:rPr>
          <w:rStyle w:val="17"/>
          <w:color w:val="auto"/>
          <w:sz w:val="24"/>
          <w:szCs w:val="24"/>
          <w:highlight w:val="none"/>
          <w:shd w:val="clear" w:color="auto" w:fill="FFFFFF"/>
        </w:rPr>
        <w:t>自行承诺：在“信用中国”网站（www.creditchina.gov.cn）、中国政府采购网（www.ccgp.gov.cn）等渠道查询中未被列入失信被执行人名单、重大税收违法失信主体、政府采购严重违法失信行为记录名单，查询截止时点为开标当日评审前，对列入失信被执行人、重大税收违法失信主体、政府采购严重违法失信行为记录名单的供应商，拒绝参与本次政府采购活动，并承担由此造成的一切法律责任及后果（承诺自拟）。</w:t>
      </w:r>
      <w:r>
        <w:rPr>
          <w:color w:val="auto"/>
          <w:sz w:val="24"/>
          <w:szCs w:val="24"/>
          <w:highlight w:val="none"/>
        </w:rPr>
        <w:fldChar w:fldCharType="begin"/>
      </w:r>
      <w:r>
        <w:rPr>
          <w:color w:val="auto"/>
          <w:sz w:val="24"/>
          <w:szCs w:val="24"/>
          <w:highlight w:val="none"/>
        </w:rPr>
        <w:instrText xml:space="preserve"> = 2 \* GB3 </w:instrText>
      </w:r>
      <w:r>
        <w:rPr>
          <w:color w:val="auto"/>
          <w:sz w:val="24"/>
          <w:szCs w:val="24"/>
          <w:highlight w:val="none"/>
        </w:rPr>
        <w:fldChar w:fldCharType="separate"/>
      </w:r>
      <w:r>
        <w:rPr>
          <w:rFonts w:hint="eastAsia" w:ascii="宋体" w:hAnsi="宋体" w:cs="宋体"/>
          <w:color w:val="auto"/>
          <w:sz w:val="24"/>
          <w:szCs w:val="24"/>
          <w:highlight w:val="none"/>
        </w:rPr>
        <w:t>②</w:t>
      </w:r>
      <w:r>
        <w:rPr>
          <w:color w:val="auto"/>
          <w:sz w:val="24"/>
          <w:szCs w:val="24"/>
          <w:highlight w:val="none"/>
        </w:rPr>
        <w:fldChar w:fldCharType="end"/>
      </w:r>
      <w:r>
        <w:rPr>
          <w:color w:val="auto"/>
          <w:sz w:val="24"/>
          <w:szCs w:val="24"/>
          <w:highlight w:val="none"/>
        </w:rPr>
        <w:t>根据《省发展改革委 省法院 省公共资源交易中心关于推进全省公共资源交易领域对法院失信被执行人实施信用联合惩戒的通知》黔发改财金（2020）421号文件要求，采购人或采购代理机构在递交投标文件截止时间后现场根据贵州信用联合惩戒平台反馈信息，查询投标人是否属于法院失信被执行人，如被列入将拒绝其参与本次政府采购活动。</w:t>
      </w: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color w:val="auto"/>
          <w:sz w:val="24"/>
          <w:szCs w:val="24"/>
          <w:highlight w:val="none"/>
        </w:rPr>
        <w:t>投标人自行承诺不存在下述情形：</w:t>
      </w:r>
      <w:r>
        <w:rPr>
          <w:color w:val="auto"/>
          <w:sz w:val="24"/>
          <w:szCs w:val="24"/>
          <w:highlight w:val="none"/>
        </w:rPr>
        <w:fldChar w:fldCharType="begin"/>
      </w:r>
      <w:r>
        <w:rPr>
          <w:color w:val="auto"/>
          <w:sz w:val="24"/>
          <w:szCs w:val="24"/>
          <w:highlight w:val="none"/>
        </w:rPr>
        <w:instrText xml:space="preserve"> = 1 \* GB3 </w:instrText>
      </w:r>
      <w:r>
        <w:rPr>
          <w:color w:val="auto"/>
          <w:sz w:val="24"/>
          <w:szCs w:val="24"/>
          <w:highlight w:val="none"/>
        </w:rPr>
        <w:fldChar w:fldCharType="separate"/>
      </w:r>
      <w:r>
        <w:rPr>
          <w:rFonts w:hint="eastAsia" w:ascii="宋体" w:hAnsi="宋体" w:cs="宋体"/>
          <w:color w:val="auto"/>
          <w:sz w:val="24"/>
          <w:szCs w:val="24"/>
          <w:highlight w:val="none"/>
        </w:rPr>
        <w:t>①</w:t>
      </w:r>
      <w:r>
        <w:rPr>
          <w:color w:val="auto"/>
          <w:sz w:val="24"/>
          <w:szCs w:val="24"/>
          <w:highlight w:val="none"/>
        </w:rPr>
        <w:fldChar w:fldCharType="end"/>
      </w:r>
      <w:r>
        <w:rPr>
          <w:color w:val="auto"/>
          <w:sz w:val="24"/>
          <w:szCs w:val="24"/>
          <w:highlight w:val="none"/>
        </w:rPr>
        <w:t>单位负责人为同一人或者存在直接控股、管理关系的不同投标人，不得参加同一合同项下的政府采购活动。</w:t>
      </w:r>
      <w:r>
        <w:rPr>
          <w:color w:val="auto"/>
          <w:sz w:val="24"/>
          <w:szCs w:val="24"/>
          <w:highlight w:val="none"/>
        </w:rPr>
        <w:fldChar w:fldCharType="begin"/>
      </w:r>
      <w:r>
        <w:rPr>
          <w:color w:val="auto"/>
          <w:sz w:val="24"/>
          <w:szCs w:val="24"/>
          <w:highlight w:val="none"/>
        </w:rPr>
        <w:instrText xml:space="preserve"> = 2 \* GB3 </w:instrText>
      </w:r>
      <w:r>
        <w:rPr>
          <w:color w:val="auto"/>
          <w:sz w:val="24"/>
          <w:szCs w:val="24"/>
          <w:highlight w:val="none"/>
        </w:rPr>
        <w:fldChar w:fldCharType="separate"/>
      </w:r>
      <w:r>
        <w:rPr>
          <w:rFonts w:hint="eastAsia" w:ascii="宋体" w:hAnsi="宋体" w:cs="宋体"/>
          <w:color w:val="auto"/>
          <w:sz w:val="24"/>
          <w:szCs w:val="24"/>
          <w:highlight w:val="none"/>
        </w:rPr>
        <w:t>②</w:t>
      </w:r>
      <w:r>
        <w:rPr>
          <w:color w:val="auto"/>
          <w:sz w:val="24"/>
          <w:szCs w:val="24"/>
          <w:highlight w:val="none"/>
        </w:rPr>
        <w:fldChar w:fldCharType="end"/>
      </w:r>
      <w:r>
        <w:rPr>
          <w:bCs/>
          <w:color w:val="auto"/>
          <w:sz w:val="24"/>
          <w:szCs w:val="24"/>
          <w:highlight w:val="none"/>
        </w:rPr>
        <w:t>为项目提供整体设计、规范编制或项目管理、监理、检测等服务的投标人，不得再参加该项目的其他采购活动。</w:t>
      </w:r>
    </w:p>
    <w:p w14:paraId="73AA2BF7">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default"/>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4.</w:t>
      </w:r>
      <w:r>
        <w:rPr>
          <w:rFonts w:hint="default"/>
          <w:b w:val="0"/>
          <w:bCs w:val="0"/>
          <w:color w:val="auto"/>
          <w:sz w:val="24"/>
          <w:szCs w:val="24"/>
          <w:highlight w:val="none"/>
          <w:lang w:val="en-US" w:eastAsia="zh-CN"/>
        </w:rPr>
        <w:t>本项目的特定资格要求:</w:t>
      </w:r>
    </w:p>
    <w:p w14:paraId="15C4B414">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color w:val="auto"/>
          <w:kern w:val="0"/>
          <w:sz w:val="24"/>
          <w:szCs w:val="24"/>
          <w:highlight w:val="none"/>
          <w:lang w:eastAsia="zh-CN"/>
        </w:rPr>
      </w:pPr>
      <w:r>
        <w:rPr>
          <w:rFonts w:hint="eastAsia" w:ascii="Times New Roman" w:hAnsi="Times New Roman" w:eastAsia="宋体" w:cs="Times New Roman"/>
          <w:bCs/>
          <w:color w:val="auto"/>
          <w:kern w:val="0"/>
          <w:sz w:val="24"/>
          <w:szCs w:val="24"/>
          <w:highlight w:val="none"/>
          <w:lang w:val="en-US" w:eastAsia="zh-CN"/>
        </w:rPr>
        <w:t>①</w:t>
      </w:r>
      <w:r>
        <w:rPr>
          <w:rFonts w:hint="eastAsia" w:ascii="Times New Roman" w:hAnsi="Times New Roman" w:eastAsia="宋体" w:cs="Times New Roman"/>
          <w:bCs/>
          <w:color w:val="auto"/>
          <w:kern w:val="0"/>
          <w:sz w:val="24"/>
          <w:szCs w:val="24"/>
          <w:highlight w:val="none"/>
        </w:rPr>
        <w:t>投标产品属于医疗器械管理的产品且</w:t>
      </w:r>
      <w:r>
        <w:rPr>
          <w:rFonts w:hint="eastAsia" w:ascii="Times New Roman" w:hAnsi="Times New Roman" w:eastAsia="宋体" w:cs="Times New Roman"/>
          <w:bCs/>
          <w:color w:val="auto"/>
          <w:kern w:val="0"/>
          <w:sz w:val="24"/>
          <w:szCs w:val="24"/>
          <w:highlight w:val="none"/>
          <w:lang w:eastAsia="zh-CN"/>
        </w:rPr>
        <w:t>投标供应商</w:t>
      </w:r>
      <w:r>
        <w:rPr>
          <w:rFonts w:hint="eastAsia" w:ascii="Times New Roman" w:hAnsi="Times New Roman" w:eastAsia="宋体" w:cs="Times New Roman"/>
          <w:bCs/>
          <w:color w:val="auto"/>
          <w:kern w:val="0"/>
          <w:sz w:val="24"/>
          <w:szCs w:val="24"/>
          <w:highlight w:val="none"/>
        </w:rPr>
        <w:t>为代理商的须提供《医疗器械经营企业许可证》（经营范围覆盖所投标产品）或医疗器械经营许可备案证明材料复印件</w:t>
      </w:r>
      <w:r>
        <w:rPr>
          <w:rFonts w:hint="eastAsia" w:ascii="Times New Roman" w:hAnsi="Times New Roman" w:eastAsia="宋体" w:cs="Times New Roman"/>
          <w:bCs/>
          <w:color w:val="auto"/>
          <w:kern w:val="0"/>
          <w:sz w:val="24"/>
          <w:szCs w:val="24"/>
          <w:highlight w:val="none"/>
          <w:lang w:eastAsia="zh-CN"/>
        </w:rPr>
        <w:t>；</w:t>
      </w:r>
    </w:p>
    <w:p w14:paraId="3EC1662D">
      <w:pPr>
        <w:keepNext w:val="0"/>
        <w:keepLines w:val="0"/>
        <w:pageBreakBefore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bCs/>
          <w:color w:val="auto"/>
          <w:kern w:val="0"/>
          <w:sz w:val="24"/>
          <w:szCs w:val="24"/>
          <w:highlight w:val="none"/>
        </w:rPr>
      </w:pPr>
      <w:r>
        <w:rPr>
          <w:rFonts w:hint="eastAsia" w:ascii="Times New Roman" w:hAnsi="Times New Roman" w:eastAsia="宋体" w:cs="Times New Roman"/>
          <w:bCs/>
          <w:color w:val="auto"/>
          <w:kern w:val="0"/>
          <w:sz w:val="24"/>
          <w:szCs w:val="24"/>
          <w:highlight w:val="none"/>
          <w:lang w:val="en-US" w:eastAsia="zh-CN"/>
        </w:rPr>
        <w:t>②</w:t>
      </w:r>
      <w:r>
        <w:rPr>
          <w:rFonts w:hint="eastAsia" w:ascii="Times New Roman" w:hAnsi="Times New Roman" w:eastAsia="宋体" w:cs="Times New Roman"/>
          <w:bCs/>
          <w:color w:val="auto"/>
          <w:kern w:val="0"/>
          <w:sz w:val="24"/>
          <w:szCs w:val="24"/>
          <w:highlight w:val="none"/>
        </w:rPr>
        <w:t>投标产品属于医疗器械管理的产品须提供投标产品医疗器械注册证（含登记表（若有）等附件）复印件或医疗器械备案证书（凭证）复印件。</w:t>
      </w:r>
    </w:p>
    <w:p w14:paraId="3D50347F">
      <w:pPr>
        <w:pStyle w:val="5"/>
        <w:spacing w:line="480" w:lineRule="exact"/>
        <w:ind w:firstLine="480"/>
        <w:rPr>
          <w:rFonts w:ascii="宋体" w:hAnsi="宋体" w:cs="宋体"/>
          <w:bCs/>
          <w:kern w:val="0"/>
          <w:sz w:val="24"/>
          <w:szCs w:val="24"/>
          <w:highlight w:val="yellow"/>
        </w:rPr>
      </w:pPr>
      <w:r>
        <w:rPr>
          <w:rFonts w:hint="eastAsia" w:ascii="宋体" w:hAnsi="宋体" w:cs="宋体"/>
          <w:bCs/>
          <w:kern w:val="0"/>
          <w:sz w:val="24"/>
          <w:szCs w:val="24"/>
        </w:rPr>
        <w:t>③针对本项目允许原装进口产品投标的产品，投标人所投产品若为原装进口产品的，须提供投标产品制造商或有效授权单位（提供证明材料）出具的针对本次采购项目的有效授权书。</w:t>
      </w:r>
    </w:p>
    <w:p w14:paraId="70C004B4">
      <w:pPr>
        <w:rPr>
          <w:rFonts w:hint="eastAsia"/>
          <w:b/>
          <w:bCs/>
          <w:sz w:val="32"/>
          <w:szCs w:val="40"/>
          <w:lang w:val="en-US" w:eastAsia="zh-CN"/>
        </w:rPr>
      </w:pPr>
      <w:r>
        <w:rPr>
          <w:rFonts w:hint="eastAsia"/>
          <w:b/>
          <w:bCs/>
          <w:sz w:val="32"/>
          <w:szCs w:val="40"/>
          <w:lang w:val="en-US" w:eastAsia="zh-CN"/>
        </w:rPr>
        <w:br w:type="page"/>
      </w:r>
    </w:p>
    <w:p w14:paraId="2E67E97E">
      <w:pPr>
        <w:keepNext w:val="0"/>
        <w:keepLines w:val="0"/>
        <w:pageBreakBefore w:val="0"/>
        <w:numPr>
          <w:ilvl w:val="0"/>
          <w:numId w:val="1"/>
        </w:numPr>
        <w:kinsoku/>
        <w:wordWrap/>
        <w:overflowPunct/>
        <w:topLinePunct w:val="0"/>
        <w:bidi w:val="0"/>
        <w:spacing w:line="480" w:lineRule="exact"/>
        <w:ind w:left="0" w:leftChars="0" w:firstLine="0" w:firstLineChars="0"/>
        <w:jc w:val="center"/>
        <w:outlineLvl w:val="1"/>
        <w:rPr>
          <w:rFonts w:hint="eastAsia"/>
          <w:b/>
          <w:bCs/>
          <w:sz w:val="32"/>
          <w:szCs w:val="40"/>
          <w:lang w:val="en-US" w:eastAsia="zh-CN"/>
        </w:rPr>
      </w:pPr>
      <w:r>
        <w:rPr>
          <w:rFonts w:hint="eastAsia"/>
          <w:b/>
          <w:bCs/>
          <w:sz w:val="32"/>
          <w:szCs w:val="40"/>
          <w:lang w:val="en-US" w:eastAsia="zh-CN"/>
        </w:rPr>
        <w:t>技术要求</w:t>
      </w:r>
    </w:p>
    <w:p w14:paraId="4EC40E7B">
      <w:pPr>
        <w:keepNext w:val="0"/>
        <w:keepLines w:val="0"/>
        <w:pageBreakBefore w:val="0"/>
        <w:kinsoku/>
        <w:wordWrap/>
        <w:overflowPunct/>
        <w:topLinePunct w:val="0"/>
        <w:bidi w:val="0"/>
        <w:spacing w:line="480" w:lineRule="exact"/>
        <w:outlineLvl w:val="1"/>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一、采购清单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667"/>
        <w:gridCol w:w="1100"/>
        <w:gridCol w:w="1234"/>
        <w:gridCol w:w="1383"/>
        <w:gridCol w:w="1250"/>
        <w:gridCol w:w="1688"/>
      </w:tblGrid>
      <w:tr w14:paraId="6614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075" w:type="dxa"/>
            <w:noWrap w:val="0"/>
            <w:vAlign w:val="center"/>
          </w:tcPr>
          <w:p w14:paraId="4D7363C7">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产品包</w:t>
            </w:r>
          </w:p>
        </w:tc>
        <w:tc>
          <w:tcPr>
            <w:tcW w:w="1667" w:type="dxa"/>
            <w:noWrap w:val="0"/>
            <w:vAlign w:val="center"/>
          </w:tcPr>
          <w:p w14:paraId="0D3DB9A7">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产品名称</w:t>
            </w:r>
          </w:p>
        </w:tc>
        <w:tc>
          <w:tcPr>
            <w:tcW w:w="1100" w:type="dxa"/>
            <w:noWrap w:val="0"/>
            <w:vAlign w:val="center"/>
          </w:tcPr>
          <w:p w14:paraId="6343AFDA">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c>
          <w:tcPr>
            <w:tcW w:w="1234" w:type="dxa"/>
            <w:noWrap w:val="0"/>
            <w:vAlign w:val="center"/>
          </w:tcPr>
          <w:p w14:paraId="5DCA0591">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83" w:type="dxa"/>
            <w:noWrap w:val="0"/>
            <w:vAlign w:val="center"/>
          </w:tcPr>
          <w:p w14:paraId="49AEA7E1">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单价限价（万元）</w:t>
            </w:r>
          </w:p>
        </w:tc>
        <w:tc>
          <w:tcPr>
            <w:tcW w:w="1250" w:type="dxa"/>
            <w:noWrap w:val="0"/>
            <w:vAlign w:val="center"/>
          </w:tcPr>
          <w:p w14:paraId="50670097">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总价</w:t>
            </w:r>
            <w:r>
              <w:rPr>
                <w:rFonts w:hint="eastAsia" w:ascii="宋体" w:hAnsi="宋体" w:eastAsia="宋体" w:cs="宋体"/>
                <w:b/>
                <w:bCs/>
                <w:color w:val="auto"/>
                <w:sz w:val="24"/>
                <w:szCs w:val="24"/>
                <w:highlight w:val="none"/>
                <w:vertAlign w:val="baseline"/>
                <w:lang w:val="en-US" w:eastAsia="zh-CN"/>
              </w:rPr>
              <w:t>限价（万元）</w:t>
            </w:r>
          </w:p>
        </w:tc>
        <w:tc>
          <w:tcPr>
            <w:tcW w:w="1688" w:type="dxa"/>
            <w:noWrap w:val="0"/>
            <w:vAlign w:val="center"/>
          </w:tcPr>
          <w:p w14:paraId="629043B7">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备注</w:t>
            </w:r>
          </w:p>
        </w:tc>
      </w:tr>
      <w:tr w14:paraId="7376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75" w:type="dxa"/>
            <w:noWrap w:val="0"/>
            <w:vAlign w:val="center"/>
          </w:tcPr>
          <w:p w14:paraId="685932FF">
            <w:pPr>
              <w:pStyle w:val="11"/>
              <w:spacing w:afterLines="0" w:line="480" w:lineRule="exact"/>
              <w:ind w:left="0" w:leftChars="0"/>
              <w:jc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A包</w:t>
            </w:r>
          </w:p>
        </w:tc>
        <w:tc>
          <w:tcPr>
            <w:tcW w:w="1667" w:type="dxa"/>
            <w:noWrap w:val="0"/>
            <w:vAlign w:val="center"/>
          </w:tcPr>
          <w:p w14:paraId="7FBCCEA6">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lang w:val="en-US" w:eastAsia="zh-CN" w:bidi="ar-SA"/>
              </w:rPr>
              <w:t>肝纤维化检测仪</w:t>
            </w:r>
          </w:p>
        </w:tc>
        <w:tc>
          <w:tcPr>
            <w:tcW w:w="1100" w:type="dxa"/>
            <w:noWrap w:val="0"/>
            <w:vAlign w:val="center"/>
          </w:tcPr>
          <w:p w14:paraId="3D5A6BCB">
            <w:pPr>
              <w:widowControl/>
              <w:jc w:val="center"/>
              <w:textAlignment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color w:val="000000"/>
                <w:kern w:val="0"/>
                <w:sz w:val="24"/>
                <w:szCs w:val="24"/>
              </w:rPr>
              <w:t>1</w:t>
            </w:r>
          </w:p>
        </w:tc>
        <w:tc>
          <w:tcPr>
            <w:tcW w:w="1234" w:type="dxa"/>
            <w:noWrap w:val="0"/>
            <w:vAlign w:val="center"/>
          </w:tcPr>
          <w:p w14:paraId="4FA047D7">
            <w:pPr>
              <w:pStyle w:val="11"/>
              <w:ind w:left="0" w:leftChars="0"/>
              <w:jc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sz w:val="24"/>
                <w:szCs w:val="24"/>
              </w:rPr>
              <w:t>台（套）</w:t>
            </w:r>
          </w:p>
        </w:tc>
        <w:tc>
          <w:tcPr>
            <w:tcW w:w="1383" w:type="dxa"/>
            <w:noWrap w:val="0"/>
            <w:vAlign w:val="center"/>
          </w:tcPr>
          <w:p w14:paraId="1F0908A2">
            <w:pPr>
              <w:widowControl/>
              <w:jc w:val="center"/>
              <w:textAlignment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color w:val="000000"/>
                <w:kern w:val="0"/>
                <w:sz w:val="24"/>
                <w:szCs w:val="24"/>
                <w:lang w:val="en-US" w:eastAsia="zh-CN"/>
              </w:rPr>
              <w:t>200</w:t>
            </w:r>
          </w:p>
        </w:tc>
        <w:tc>
          <w:tcPr>
            <w:tcW w:w="1250" w:type="dxa"/>
            <w:noWrap w:val="0"/>
            <w:vAlign w:val="center"/>
          </w:tcPr>
          <w:p w14:paraId="131810FB">
            <w:pPr>
              <w:widowControl/>
              <w:jc w:val="center"/>
              <w:textAlignment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sz w:val="24"/>
                <w:szCs w:val="24"/>
                <w:lang w:val="en-US" w:eastAsia="zh-CN"/>
              </w:rPr>
              <w:t>200</w:t>
            </w:r>
          </w:p>
        </w:tc>
        <w:tc>
          <w:tcPr>
            <w:tcW w:w="1688" w:type="dxa"/>
            <w:noWrap w:val="0"/>
            <w:vAlign w:val="center"/>
          </w:tcPr>
          <w:p w14:paraId="5BD898BD">
            <w:pPr>
              <w:pStyle w:val="11"/>
              <w:ind w:left="0" w:leftChars="0"/>
              <w:jc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sz w:val="24"/>
                <w:szCs w:val="24"/>
              </w:rPr>
              <w:t>国产</w:t>
            </w:r>
            <w:r>
              <w:rPr>
                <w:rFonts w:hint="eastAsia" w:ascii="宋体" w:hAnsi="宋体" w:cs="宋体"/>
                <w:sz w:val="24"/>
                <w:szCs w:val="24"/>
                <w:lang w:val="en-US" w:eastAsia="zh-CN"/>
              </w:rPr>
              <w:t>产品</w:t>
            </w:r>
          </w:p>
        </w:tc>
      </w:tr>
      <w:tr w14:paraId="0D98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397" w:type="dxa"/>
            <w:gridSpan w:val="7"/>
            <w:noWrap w:val="0"/>
            <w:vAlign w:val="center"/>
          </w:tcPr>
          <w:p w14:paraId="3E433111">
            <w:pPr>
              <w:keepNext w:val="0"/>
              <w:keepLines w:val="0"/>
              <w:pageBreakBefore w:val="0"/>
              <w:widowControl/>
              <w:suppressLineNumbers w:val="0"/>
              <w:kinsoku/>
              <w:wordWrap/>
              <w:overflowPunct/>
              <w:topLinePunct w:val="0"/>
              <w:bidi w:val="0"/>
              <w:spacing w:afterLines="0" w:line="480" w:lineRule="exact"/>
              <w:ind w:left="0" w:leftChars="0" w:firstLine="0" w:firstLineChars="0"/>
              <w:jc w:val="both"/>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投标供应商所投产品报价明细，单个产品报价不能超过产品单价限价，否则按无效标处理。</w:t>
            </w:r>
          </w:p>
        </w:tc>
      </w:tr>
    </w:tbl>
    <w:p w14:paraId="729F1F87">
      <w:pPr>
        <w:keepNext w:val="0"/>
        <w:keepLines w:val="0"/>
        <w:pageBreakBefore w:val="0"/>
        <w:kinsoku/>
        <w:wordWrap/>
        <w:overflowPunct/>
        <w:topLinePunct w:val="0"/>
        <w:bidi w:val="0"/>
        <w:spacing w:line="480" w:lineRule="exact"/>
        <w:outlineLvl w:val="9"/>
        <w:rPr>
          <w:rFonts w:hint="eastAsia" w:ascii="宋体" w:hAnsi="宋体" w:cs="Times New Roman"/>
          <w:b/>
          <w:bCs w:val="0"/>
          <w:color w:val="auto"/>
          <w:kern w:val="2"/>
          <w:sz w:val="24"/>
          <w:szCs w:val="24"/>
          <w:highlight w:val="none"/>
          <w:lang w:val="en-US" w:eastAsia="zh-CN" w:bidi="ar-SA"/>
        </w:rPr>
      </w:pPr>
    </w:p>
    <w:p w14:paraId="4A4ECEF3">
      <w:pPr>
        <w:keepNext w:val="0"/>
        <w:keepLines w:val="0"/>
        <w:pageBreakBefore w:val="0"/>
        <w:numPr>
          <w:ilvl w:val="0"/>
          <w:numId w:val="0"/>
        </w:numPr>
        <w:kinsoku/>
        <w:wordWrap/>
        <w:overflowPunct/>
        <w:topLinePunct w:val="0"/>
        <w:autoSpaceDE w:val="0"/>
        <w:autoSpaceDN w:val="0"/>
        <w:bidi w:val="0"/>
        <w:adjustRightInd w:val="0"/>
        <w:spacing w:line="480" w:lineRule="exact"/>
        <w:jc w:val="left"/>
        <w:outlineLvl w:val="9"/>
        <w:rPr>
          <w:rFonts w:hint="eastAsia" w:ascii="宋体" w:hAnsi="宋体" w:eastAsia="宋体" w:cs="Times New Roman"/>
          <w:b/>
          <w:bCs w:val="0"/>
          <w:color w:val="auto"/>
          <w:sz w:val="24"/>
          <w:szCs w:val="24"/>
          <w:highlight w:val="none"/>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667"/>
        <w:gridCol w:w="1100"/>
        <w:gridCol w:w="1234"/>
        <w:gridCol w:w="1383"/>
        <w:gridCol w:w="1250"/>
        <w:gridCol w:w="1688"/>
      </w:tblGrid>
      <w:tr w14:paraId="32BA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5" w:type="dxa"/>
            <w:noWrap w:val="0"/>
            <w:vAlign w:val="center"/>
          </w:tcPr>
          <w:p w14:paraId="236668BE">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 xml:space="preserve">产品包 </w:t>
            </w:r>
          </w:p>
        </w:tc>
        <w:tc>
          <w:tcPr>
            <w:tcW w:w="1667" w:type="dxa"/>
            <w:noWrap w:val="0"/>
            <w:vAlign w:val="center"/>
          </w:tcPr>
          <w:p w14:paraId="16C9A028">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产品名称</w:t>
            </w:r>
          </w:p>
        </w:tc>
        <w:tc>
          <w:tcPr>
            <w:tcW w:w="1100" w:type="dxa"/>
            <w:noWrap w:val="0"/>
            <w:vAlign w:val="center"/>
          </w:tcPr>
          <w:p w14:paraId="0A8A2F6F">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c>
          <w:tcPr>
            <w:tcW w:w="1234" w:type="dxa"/>
            <w:noWrap w:val="0"/>
            <w:vAlign w:val="center"/>
          </w:tcPr>
          <w:p w14:paraId="10337417">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83" w:type="dxa"/>
            <w:noWrap w:val="0"/>
            <w:vAlign w:val="center"/>
          </w:tcPr>
          <w:p w14:paraId="124225D4">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单价限价（万元）</w:t>
            </w:r>
          </w:p>
        </w:tc>
        <w:tc>
          <w:tcPr>
            <w:tcW w:w="1250" w:type="dxa"/>
            <w:noWrap w:val="0"/>
            <w:vAlign w:val="center"/>
          </w:tcPr>
          <w:p w14:paraId="668AE22E">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总价</w:t>
            </w:r>
            <w:r>
              <w:rPr>
                <w:rFonts w:hint="eastAsia" w:ascii="宋体" w:hAnsi="宋体" w:eastAsia="宋体" w:cs="宋体"/>
                <w:b/>
                <w:bCs/>
                <w:color w:val="auto"/>
                <w:sz w:val="24"/>
                <w:szCs w:val="24"/>
                <w:highlight w:val="none"/>
                <w:vertAlign w:val="baseline"/>
                <w:lang w:val="en-US" w:eastAsia="zh-CN"/>
              </w:rPr>
              <w:t>限价（万元）</w:t>
            </w:r>
          </w:p>
        </w:tc>
        <w:tc>
          <w:tcPr>
            <w:tcW w:w="1688" w:type="dxa"/>
            <w:noWrap w:val="0"/>
            <w:vAlign w:val="center"/>
          </w:tcPr>
          <w:p w14:paraId="677E6B29">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备注</w:t>
            </w:r>
          </w:p>
        </w:tc>
      </w:tr>
      <w:tr w14:paraId="7B9D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75" w:type="dxa"/>
            <w:noWrap w:val="0"/>
            <w:vAlign w:val="center"/>
          </w:tcPr>
          <w:p w14:paraId="6AA5531D">
            <w:pPr>
              <w:pStyle w:val="11"/>
              <w:spacing w:afterLines="0" w:line="480" w:lineRule="exact"/>
              <w:ind w:left="0" w:leftChars="0"/>
              <w:jc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B包</w:t>
            </w:r>
          </w:p>
        </w:tc>
        <w:tc>
          <w:tcPr>
            <w:tcW w:w="1667" w:type="dxa"/>
            <w:noWrap w:val="0"/>
            <w:vAlign w:val="center"/>
          </w:tcPr>
          <w:p w14:paraId="7F5FD2E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lang w:val="en-US" w:eastAsia="zh-CN" w:bidi="ar-SA"/>
              </w:rPr>
              <w:t>肝病治疗仪</w:t>
            </w:r>
          </w:p>
        </w:tc>
        <w:tc>
          <w:tcPr>
            <w:tcW w:w="1100" w:type="dxa"/>
            <w:noWrap w:val="0"/>
            <w:vAlign w:val="center"/>
          </w:tcPr>
          <w:p w14:paraId="0E4FCA08">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color w:val="000000"/>
                <w:kern w:val="0"/>
                <w:sz w:val="24"/>
                <w:szCs w:val="24"/>
                <w:lang w:val="en-US" w:eastAsia="zh-CN"/>
              </w:rPr>
              <w:t>3</w:t>
            </w:r>
          </w:p>
        </w:tc>
        <w:tc>
          <w:tcPr>
            <w:tcW w:w="1234" w:type="dxa"/>
            <w:noWrap w:val="0"/>
            <w:vAlign w:val="center"/>
          </w:tcPr>
          <w:p w14:paraId="4E5EF4CD">
            <w:pPr>
              <w:pStyle w:val="11"/>
              <w:ind w:left="0" w:leftChars="0"/>
              <w:jc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sz w:val="24"/>
                <w:szCs w:val="24"/>
              </w:rPr>
              <w:t>台（套）</w:t>
            </w:r>
          </w:p>
        </w:tc>
        <w:tc>
          <w:tcPr>
            <w:tcW w:w="1383" w:type="dxa"/>
            <w:noWrap w:val="0"/>
            <w:vAlign w:val="center"/>
          </w:tcPr>
          <w:p w14:paraId="2D1EE149">
            <w:pPr>
              <w:widowControl/>
              <w:jc w:val="center"/>
              <w:textAlignment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sz w:val="24"/>
                <w:szCs w:val="24"/>
                <w:lang w:val="en-US" w:eastAsia="zh-CN"/>
              </w:rPr>
              <w:t>20</w:t>
            </w:r>
          </w:p>
        </w:tc>
        <w:tc>
          <w:tcPr>
            <w:tcW w:w="1250" w:type="dxa"/>
            <w:noWrap w:val="0"/>
            <w:vAlign w:val="center"/>
          </w:tcPr>
          <w:p w14:paraId="6D649243">
            <w:pPr>
              <w:widowControl/>
              <w:jc w:val="center"/>
              <w:textAlignment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sz w:val="24"/>
                <w:szCs w:val="24"/>
                <w:lang w:val="en-US" w:eastAsia="zh-CN"/>
              </w:rPr>
              <w:t>60</w:t>
            </w:r>
          </w:p>
        </w:tc>
        <w:tc>
          <w:tcPr>
            <w:tcW w:w="1688" w:type="dxa"/>
            <w:noWrap w:val="0"/>
            <w:vAlign w:val="center"/>
          </w:tcPr>
          <w:p w14:paraId="3E893FB8">
            <w:pPr>
              <w:pStyle w:val="11"/>
              <w:ind w:left="0" w:leftChars="0"/>
              <w:jc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sz w:val="24"/>
                <w:szCs w:val="24"/>
                <w:lang w:val="en-US" w:eastAsia="zh-CN"/>
              </w:rPr>
              <w:t>国产产品</w:t>
            </w:r>
          </w:p>
        </w:tc>
      </w:tr>
      <w:tr w14:paraId="5B90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397" w:type="dxa"/>
            <w:gridSpan w:val="7"/>
            <w:noWrap w:val="0"/>
            <w:vAlign w:val="center"/>
          </w:tcPr>
          <w:p w14:paraId="7C772220">
            <w:pPr>
              <w:keepNext w:val="0"/>
              <w:keepLines w:val="0"/>
              <w:pageBreakBefore w:val="0"/>
              <w:widowControl/>
              <w:suppressLineNumbers w:val="0"/>
              <w:kinsoku/>
              <w:wordWrap/>
              <w:overflowPunct/>
              <w:topLinePunct w:val="0"/>
              <w:bidi w:val="0"/>
              <w:spacing w:afterLines="0" w:line="480" w:lineRule="exact"/>
              <w:ind w:left="0" w:leftChars="0" w:firstLine="0" w:firstLineChars="0"/>
              <w:jc w:val="both"/>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投标供应商所投产品报价明细，单个产品报价不能超过产品单价限价，否则按无效标处理。</w:t>
            </w:r>
          </w:p>
        </w:tc>
      </w:tr>
    </w:tbl>
    <w:p w14:paraId="60ABAAEA">
      <w:pPr>
        <w:keepNext w:val="0"/>
        <w:keepLines w:val="0"/>
        <w:pageBreakBefore w:val="0"/>
        <w:numPr>
          <w:ilvl w:val="0"/>
          <w:numId w:val="0"/>
        </w:numPr>
        <w:kinsoku/>
        <w:wordWrap/>
        <w:overflowPunct/>
        <w:topLinePunct w:val="0"/>
        <w:autoSpaceDE w:val="0"/>
        <w:autoSpaceDN w:val="0"/>
        <w:bidi w:val="0"/>
        <w:adjustRightInd w:val="0"/>
        <w:spacing w:line="480" w:lineRule="exact"/>
        <w:jc w:val="left"/>
        <w:outlineLvl w:val="1"/>
        <w:rPr>
          <w:rFonts w:hint="eastAsia" w:ascii="宋体" w:hAnsi="宋体" w:eastAsia="宋体" w:cs="Times New Roman"/>
          <w:b/>
          <w:bCs w:val="0"/>
          <w:color w:val="auto"/>
          <w:sz w:val="24"/>
          <w:szCs w:val="24"/>
          <w:highlight w:val="none"/>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667"/>
        <w:gridCol w:w="1100"/>
        <w:gridCol w:w="1234"/>
        <w:gridCol w:w="1383"/>
        <w:gridCol w:w="1250"/>
        <w:gridCol w:w="1688"/>
      </w:tblGrid>
      <w:tr w14:paraId="3563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075" w:type="dxa"/>
            <w:noWrap w:val="0"/>
            <w:vAlign w:val="center"/>
          </w:tcPr>
          <w:p w14:paraId="443A4640">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 xml:space="preserve">产品包 </w:t>
            </w:r>
          </w:p>
        </w:tc>
        <w:tc>
          <w:tcPr>
            <w:tcW w:w="1667" w:type="dxa"/>
            <w:noWrap w:val="0"/>
            <w:vAlign w:val="center"/>
          </w:tcPr>
          <w:p w14:paraId="4B1B3D00">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产品名称</w:t>
            </w:r>
          </w:p>
        </w:tc>
        <w:tc>
          <w:tcPr>
            <w:tcW w:w="1100" w:type="dxa"/>
            <w:noWrap w:val="0"/>
            <w:vAlign w:val="center"/>
          </w:tcPr>
          <w:p w14:paraId="15A87FF0">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c>
          <w:tcPr>
            <w:tcW w:w="1234" w:type="dxa"/>
            <w:noWrap w:val="0"/>
            <w:vAlign w:val="center"/>
          </w:tcPr>
          <w:p w14:paraId="5E9CA2B5">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83" w:type="dxa"/>
            <w:noWrap w:val="0"/>
            <w:vAlign w:val="center"/>
          </w:tcPr>
          <w:p w14:paraId="73B90F91">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单价限价（万元）</w:t>
            </w:r>
          </w:p>
        </w:tc>
        <w:tc>
          <w:tcPr>
            <w:tcW w:w="1250" w:type="dxa"/>
            <w:noWrap w:val="0"/>
            <w:vAlign w:val="center"/>
          </w:tcPr>
          <w:p w14:paraId="687372F0">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总价</w:t>
            </w:r>
            <w:r>
              <w:rPr>
                <w:rFonts w:hint="eastAsia" w:ascii="宋体" w:hAnsi="宋体" w:eastAsia="宋体" w:cs="宋体"/>
                <w:b/>
                <w:bCs/>
                <w:color w:val="auto"/>
                <w:sz w:val="24"/>
                <w:szCs w:val="24"/>
                <w:highlight w:val="none"/>
                <w:vertAlign w:val="baseline"/>
                <w:lang w:val="en-US" w:eastAsia="zh-CN"/>
              </w:rPr>
              <w:t>限价（万元）</w:t>
            </w:r>
          </w:p>
        </w:tc>
        <w:tc>
          <w:tcPr>
            <w:tcW w:w="1688" w:type="dxa"/>
            <w:noWrap w:val="0"/>
            <w:vAlign w:val="center"/>
          </w:tcPr>
          <w:p w14:paraId="7CFB9350">
            <w:pPr>
              <w:pStyle w:val="7"/>
              <w:keepNext w:val="0"/>
              <w:keepLines w:val="0"/>
              <w:pageBreakBefore w:val="0"/>
              <w:kinsoku/>
              <w:wordWrap/>
              <w:overflowPunct/>
              <w:topLinePunct w:val="0"/>
              <w:bidi w:val="0"/>
              <w:spacing w:after="0" w:afterLines="0" w:line="480" w:lineRule="exact"/>
              <w:ind w:left="0" w:leftChars="0" w:firstLine="0" w:firstLineChars="0"/>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备注</w:t>
            </w:r>
          </w:p>
        </w:tc>
      </w:tr>
      <w:tr w14:paraId="5654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75" w:type="dxa"/>
            <w:noWrap w:val="0"/>
            <w:vAlign w:val="center"/>
          </w:tcPr>
          <w:p w14:paraId="6683D08A">
            <w:pPr>
              <w:pStyle w:val="11"/>
              <w:spacing w:afterLines="0" w:line="480" w:lineRule="exact"/>
              <w:ind w:left="0" w:leftChars="0"/>
              <w:jc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C包</w:t>
            </w:r>
          </w:p>
        </w:tc>
        <w:tc>
          <w:tcPr>
            <w:tcW w:w="1667" w:type="dxa"/>
            <w:noWrap w:val="0"/>
            <w:vAlign w:val="center"/>
          </w:tcPr>
          <w:p w14:paraId="5AD330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lang w:val="en-US" w:eastAsia="zh-CN" w:bidi="ar-SA"/>
              </w:rPr>
              <w:t>全自动生长曲线分析仪</w:t>
            </w:r>
          </w:p>
        </w:tc>
        <w:tc>
          <w:tcPr>
            <w:tcW w:w="1100" w:type="dxa"/>
            <w:noWrap w:val="0"/>
            <w:vAlign w:val="center"/>
          </w:tcPr>
          <w:p w14:paraId="7A2D9E87">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color w:val="000000"/>
                <w:kern w:val="0"/>
                <w:sz w:val="24"/>
                <w:szCs w:val="24"/>
              </w:rPr>
              <w:t>1</w:t>
            </w:r>
          </w:p>
        </w:tc>
        <w:tc>
          <w:tcPr>
            <w:tcW w:w="1234" w:type="dxa"/>
            <w:noWrap w:val="0"/>
            <w:vAlign w:val="center"/>
          </w:tcPr>
          <w:p w14:paraId="180E5EFC">
            <w:pPr>
              <w:pStyle w:val="11"/>
              <w:ind w:left="0" w:leftChars="0"/>
              <w:jc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sz w:val="24"/>
                <w:szCs w:val="24"/>
              </w:rPr>
              <w:t>台（套）</w:t>
            </w:r>
          </w:p>
        </w:tc>
        <w:tc>
          <w:tcPr>
            <w:tcW w:w="1383" w:type="dxa"/>
            <w:noWrap w:val="0"/>
            <w:vAlign w:val="center"/>
          </w:tcPr>
          <w:p w14:paraId="265FD4F0">
            <w:pPr>
              <w:widowControl/>
              <w:jc w:val="center"/>
              <w:textAlignment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color w:val="000000"/>
                <w:kern w:val="0"/>
                <w:sz w:val="24"/>
                <w:szCs w:val="24"/>
                <w:lang w:val="en-US" w:eastAsia="zh-CN"/>
              </w:rPr>
              <w:t>60</w:t>
            </w:r>
          </w:p>
        </w:tc>
        <w:tc>
          <w:tcPr>
            <w:tcW w:w="1250" w:type="dxa"/>
            <w:noWrap w:val="0"/>
            <w:vAlign w:val="center"/>
          </w:tcPr>
          <w:p w14:paraId="5427FF1C">
            <w:pPr>
              <w:widowControl/>
              <w:jc w:val="center"/>
              <w:textAlignment w:val="center"/>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color w:val="000000"/>
                <w:kern w:val="0"/>
                <w:sz w:val="24"/>
                <w:szCs w:val="24"/>
                <w:lang w:val="en-US" w:eastAsia="zh-CN"/>
              </w:rPr>
              <w:t>60</w:t>
            </w:r>
          </w:p>
        </w:tc>
        <w:tc>
          <w:tcPr>
            <w:tcW w:w="1688" w:type="dxa"/>
            <w:noWrap w:val="0"/>
            <w:vAlign w:val="center"/>
          </w:tcPr>
          <w:p w14:paraId="351B081F">
            <w:pPr>
              <w:pStyle w:val="11"/>
              <w:ind w:left="0" w:leftChars="0"/>
              <w:jc w:val="center"/>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sz w:val="24"/>
                <w:szCs w:val="24"/>
              </w:rPr>
              <w:t>进口产品</w:t>
            </w:r>
          </w:p>
        </w:tc>
      </w:tr>
      <w:tr w14:paraId="47D1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397" w:type="dxa"/>
            <w:gridSpan w:val="7"/>
            <w:noWrap w:val="0"/>
            <w:vAlign w:val="center"/>
          </w:tcPr>
          <w:p w14:paraId="520E9CCA">
            <w:pPr>
              <w:keepNext w:val="0"/>
              <w:keepLines w:val="0"/>
              <w:pageBreakBefore w:val="0"/>
              <w:widowControl/>
              <w:suppressLineNumbers w:val="0"/>
              <w:kinsoku/>
              <w:wordWrap/>
              <w:overflowPunct/>
              <w:topLinePunct w:val="0"/>
              <w:bidi w:val="0"/>
              <w:spacing w:afterLines="0" w:line="480" w:lineRule="exact"/>
              <w:ind w:left="0" w:leftChars="0" w:firstLine="0" w:firstLineChars="0"/>
              <w:jc w:val="both"/>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投标供应商所投产品报价明细，单个产品报价不能超过产品单价限价，否则按无效标处理。</w:t>
            </w:r>
          </w:p>
        </w:tc>
      </w:tr>
    </w:tbl>
    <w:p w14:paraId="6A825716">
      <w:pPr>
        <w:keepNext w:val="0"/>
        <w:keepLines w:val="0"/>
        <w:pageBreakBefore w:val="0"/>
        <w:numPr>
          <w:ilvl w:val="0"/>
          <w:numId w:val="0"/>
        </w:numPr>
        <w:kinsoku/>
        <w:wordWrap/>
        <w:overflowPunct/>
        <w:topLinePunct w:val="0"/>
        <w:autoSpaceDE w:val="0"/>
        <w:autoSpaceDN w:val="0"/>
        <w:bidi w:val="0"/>
        <w:adjustRightInd w:val="0"/>
        <w:spacing w:line="480" w:lineRule="exact"/>
        <w:jc w:val="left"/>
        <w:outlineLvl w:val="1"/>
        <w:rPr>
          <w:rFonts w:hint="eastAsia" w:ascii="宋体" w:hAnsi="宋体" w:eastAsia="宋体" w:cs="Times New Roman"/>
          <w:b/>
          <w:bCs w:val="0"/>
          <w:color w:val="auto"/>
          <w:sz w:val="24"/>
          <w:szCs w:val="24"/>
          <w:highlight w:val="none"/>
          <w:lang w:val="en-US" w:eastAsia="zh-CN"/>
        </w:rPr>
      </w:pPr>
      <w:r>
        <w:rPr>
          <w:rFonts w:hint="eastAsia" w:ascii="宋体" w:hAnsi="宋体" w:eastAsia="宋体" w:cs="Times New Roman"/>
          <w:b/>
          <w:bCs w:val="0"/>
          <w:color w:val="auto"/>
          <w:sz w:val="24"/>
          <w:szCs w:val="24"/>
          <w:highlight w:val="none"/>
          <w:lang w:val="en-US" w:eastAsia="zh-CN"/>
        </w:rPr>
        <w:br w:type="page"/>
      </w:r>
      <w:r>
        <w:rPr>
          <w:rFonts w:hint="eastAsia" w:ascii="宋体" w:hAnsi="宋体" w:eastAsia="宋体" w:cs="Times New Roman"/>
          <w:b/>
          <w:bCs w:val="0"/>
          <w:color w:val="auto"/>
          <w:sz w:val="24"/>
          <w:szCs w:val="24"/>
          <w:highlight w:val="none"/>
          <w:lang w:val="en-US" w:eastAsia="zh-CN"/>
        </w:rPr>
        <w:t>二、技术规格参数（要求）</w:t>
      </w:r>
      <w:bookmarkStart w:id="0" w:name="_GoBack"/>
      <w:bookmarkEnd w:id="0"/>
    </w:p>
    <w:p w14:paraId="1EA4398B">
      <w:pPr>
        <w:numPr>
          <w:ilvl w:val="0"/>
          <w:numId w:val="0"/>
        </w:numPr>
        <w:autoSpaceDE w:val="0"/>
        <w:autoSpaceDN w:val="0"/>
        <w:adjustRightInd w:val="0"/>
        <w:spacing w:line="360" w:lineRule="auto"/>
        <w:jc w:val="center"/>
        <w:outlineLvl w:val="9"/>
        <w:rPr>
          <w:rFonts w:hint="eastAsia" w:ascii="宋体" w:hAnsi="宋体" w:cs="Times New Roman"/>
          <w:b/>
          <w:color w:val="auto"/>
          <w:kern w:val="2"/>
          <w:sz w:val="24"/>
          <w:szCs w:val="24"/>
          <w:lang w:val="en-US" w:eastAsia="zh-CN" w:bidi="ar-SA"/>
        </w:rPr>
      </w:pPr>
    </w:p>
    <w:p w14:paraId="1F1713AF">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color w:val="auto"/>
          <w:szCs w:val="24"/>
          <w:highlight w:val="none"/>
          <w:lang w:val="en-US" w:eastAsia="zh-CN"/>
        </w:rPr>
      </w:pPr>
      <w:r>
        <w:rPr>
          <w:rFonts w:hint="eastAsia" w:asciiTheme="minorEastAsia" w:hAnsiTheme="minorEastAsia" w:eastAsiaTheme="minorEastAsia" w:cstheme="minorEastAsia"/>
          <w:b/>
          <w:color w:val="auto"/>
          <w:kern w:val="2"/>
          <w:sz w:val="24"/>
          <w:szCs w:val="24"/>
          <w:lang w:val="en-US" w:eastAsia="zh-CN" w:bidi="ar-SA"/>
        </w:rPr>
        <w:t>A包：</w:t>
      </w:r>
      <w:r>
        <w:rPr>
          <w:rFonts w:hint="eastAsia" w:asciiTheme="minorEastAsia" w:hAnsiTheme="minorEastAsia" w:eastAsiaTheme="minorEastAsia" w:cstheme="minorEastAsia"/>
          <w:b/>
          <w:color w:val="auto"/>
          <w:szCs w:val="24"/>
          <w:highlight w:val="none"/>
          <w:lang w:val="en-US" w:eastAsia="zh-CN"/>
        </w:rPr>
        <w:t>肝纤维化检测仪</w:t>
      </w:r>
    </w:p>
    <w:p w14:paraId="3398AF5C">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1.1、原理：利用瞬时弹性成像技术来评估肝脏和脾脏的硬度；利用超声衰减理论来评估肝组织的脂肪变数值。 </w:t>
      </w:r>
    </w:p>
    <w:p w14:paraId="31007E83">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1.</w:t>
      </w:r>
      <w:r>
        <w:rPr>
          <w:rFonts w:hint="eastAsia" w:asciiTheme="minorEastAsia" w:hAnsiTheme="minorEastAsia" w:eastAsiaTheme="minorEastAsia" w:cstheme="minorEastAsia"/>
          <w:color w:val="000000"/>
          <w:kern w:val="0"/>
          <w:sz w:val="24"/>
          <w:lang w:val="en-US" w:eastAsia="zh-CN"/>
        </w:rPr>
        <w:t>2</w:t>
      </w:r>
      <w:r>
        <w:rPr>
          <w:rFonts w:hint="eastAsia" w:asciiTheme="minorEastAsia" w:hAnsiTheme="minorEastAsia" w:eastAsiaTheme="minorEastAsia" w:cstheme="minorEastAsia"/>
          <w:color w:val="000000"/>
          <w:kern w:val="0"/>
          <w:sz w:val="24"/>
        </w:rPr>
        <w:t xml:space="preserve">、可移动一体化单元车。 </w:t>
      </w:r>
    </w:p>
    <w:p w14:paraId="3EDB1C27">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1.</w:t>
      </w:r>
      <w:r>
        <w:rPr>
          <w:rFonts w:hint="eastAsia" w:asciiTheme="minorEastAsia" w:hAnsiTheme="minorEastAsia" w:eastAsiaTheme="minorEastAsia" w:cstheme="minorEastAsia"/>
          <w:color w:val="000000"/>
          <w:kern w:val="0"/>
          <w:sz w:val="24"/>
          <w:lang w:val="en-US" w:eastAsia="zh-CN"/>
        </w:rPr>
        <w:t>3</w:t>
      </w:r>
      <w:r>
        <w:rPr>
          <w:rFonts w:hint="eastAsia" w:asciiTheme="minorEastAsia" w:hAnsiTheme="minorEastAsia" w:eastAsiaTheme="minorEastAsia" w:cstheme="minorEastAsia"/>
          <w:color w:val="000000"/>
          <w:kern w:val="0"/>
          <w:sz w:val="24"/>
        </w:rPr>
        <w:t xml:space="preserve">、探头组成方式：影像引导探头与纤维扫描探头连接同一台主机及控制中心。 </w:t>
      </w:r>
    </w:p>
    <w:p w14:paraId="1C5FCB13">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1.</w:t>
      </w:r>
      <w:r>
        <w:rPr>
          <w:rFonts w:hint="eastAsia" w:asciiTheme="minorEastAsia" w:hAnsiTheme="minorEastAsia" w:eastAsiaTheme="minorEastAsia" w:cstheme="minorEastAsia"/>
          <w:color w:val="000000"/>
          <w:kern w:val="0"/>
          <w:sz w:val="24"/>
          <w:lang w:val="en-US" w:eastAsia="zh-CN"/>
        </w:rPr>
        <w:t>4</w:t>
      </w:r>
      <w:r>
        <w:rPr>
          <w:rFonts w:hint="eastAsia" w:asciiTheme="minorEastAsia" w:hAnsiTheme="minorEastAsia" w:eastAsiaTheme="minorEastAsia" w:cstheme="minorEastAsia"/>
          <w:color w:val="000000"/>
          <w:kern w:val="0"/>
          <w:sz w:val="24"/>
        </w:rPr>
        <w:t xml:space="preserve">、探头剪切波触动方式：脚踏开关触发探头剪切波发射。 </w:t>
      </w:r>
    </w:p>
    <w:p w14:paraId="2091337C">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2、主机： </w:t>
      </w:r>
    </w:p>
    <w:p w14:paraId="4964B29A">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2.1、控制平台高速处理及控制平台。 </w:t>
      </w:r>
    </w:p>
    <w:p w14:paraId="6FAAF706">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2.2、显示屏组成一体机身双屏显示 </w:t>
      </w:r>
    </w:p>
    <w:p w14:paraId="47C24A99">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2.21、显示器≥21</w:t>
      </w:r>
      <w:r>
        <w:rPr>
          <w:rFonts w:hint="eastAsia" w:asciiTheme="minorEastAsia" w:hAnsiTheme="minorEastAsia" w:eastAsiaTheme="minorEastAsia" w:cstheme="minorEastAsia"/>
          <w:color w:val="000000"/>
          <w:kern w:val="0"/>
          <w:sz w:val="24"/>
          <w:lang w:val="en-US" w:eastAsia="zh-CN"/>
        </w:rPr>
        <w:t xml:space="preserve">吋  </w:t>
      </w:r>
      <w:r>
        <w:rPr>
          <w:rFonts w:hint="eastAsia" w:asciiTheme="minorEastAsia" w:hAnsiTheme="minorEastAsia" w:eastAsiaTheme="minorEastAsia" w:cstheme="minorEastAsia"/>
          <w:color w:val="000000"/>
          <w:kern w:val="0"/>
          <w:sz w:val="24"/>
        </w:rPr>
        <w:t xml:space="preserve">高分辨率宽屏液晶显示器；分辨率≥1920*1080。 </w:t>
      </w:r>
    </w:p>
    <w:p w14:paraId="3F83D5A9">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2.22、触摸屏≥10 </w:t>
      </w:r>
      <w:r>
        <w:rPr>
          <w:rFonts w:hint="eastAsia" w:asciiTheme="minorEastAsia" w:hAnsiTheme="minorEastAsia" w:eastAsiaTheme="minorEastAsia" w:cstheme="minorEastAsia"/>
          <w:color w:val="000000"/>
          <w:kern w:val="0"/>
          <w:sz w:val="24"/>
          <w:lang w:val="en-US" w:eastAsia="zh-CN"/>
        </w:rPr>
        <w:t>吋</w:t>
      </w:r>
      <w:r>
        <w:rPr>
          <w:rFonts w:hint="eastAsia" w:asciiTheme="minorEastAsia" w:hAnsiTheme="minorEastAsia" w:eastAsiaTheme="minorEastAsia" w:cstheme="minorEastAsia"/>
          <w:color w:val="000000"/>
          <w:kern w:val="0"/>
          <w:sz w:val="24"/>
        </w:rPr>
        <w:t xml:space="preserve">高清高灵敏触摸屏；分辨率≥1280*800。 </w:t>
      </w:r>
    </w:p>
    <w:p w14:paraId="20BE30FF">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2.3、自由臂支持自由臂可调节的维度≥2 个，包含左右旋转≥90º；上下俯仰≥15º。</w:t>
      </w:r>
    </w:p>
    <w:p w14:paraId="0F69C624">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2.4、信号端口 USB≥4 个，网口，DVI，SVIDEO，AUDIO。 </w:t>
      </w:r>
    </w:p>
    <w:p w14:paraId="5B8E1603">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2.5、DICOM 接口 DICOM3.0 标准图像和患者信息传输 </w:t>
      </w:r>
    </w:p>
    <w:p w14:paraId="72CC9ACB">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2.6、纤维扫描探头接口 1 个。 </w:t>
      </w:r>
    </w:p>
    <w:p w14:paraId="1A544AC8">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2.7、影像引导探头接口支持 4 个，非扩展接口。 </w:t>
      </w:r>
    </w:p>
    <w:p w14:paraId="074B8419">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2.8、</w:t>
      </w:r>
      <w:r>
        <w:rPr>
          <w:rFonts w:hint="eastAsia" w:asciiTheme="minorEastAsia" w:hAnsiTheme="minorEastAsia" w:eastAsiaTheme="minorEastAsia" w:cstheme="minorEastAsia"/>
          <w:color w:val="000000"/>
          <w:kern w:val="0"/>
          <w:sz w:val="24"/>
          <w:lang w:val="en-US" w:eastAsia="zh-CN"/>
        </w:rPr>
        <w:t>具备</w:t>
      </w:r>
      <w:r>
        <w:rPr>
          <w:rFonts w:hint="eastAsia" w:asciiTheme="minorEastAsia" w:hAnsiTheme="minorEastAsia" w:eastAsiaTheme="minorEastAsia" w:cstheme="minorEastAsia"/>
          <w:color w:val="000000"/>
          <w:kern w:val="0"/>
          <w:sz w:val="24"/>
        </w:rPr>
        <w:t xml:space="preserve">人机交互控制面板。 </w:t>
      </w:r>
    </w:p>
    <w:p w14:paraId="3E9646D2">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2.9、影像引导功能全数字彩超影像模块。 </w:t>
      </w:r>
    </w:p>
    <w:p w14:paraId="61C582A5">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2.10、纤维扫描功能数字化肝纤维诊断模块。 </w:t>
      </w:r>
    </w:p>
    <w:p w14:paraId="6CEB17B0">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2.11、穿刺引导支持穿刺引导，具有穿刺线校正功能。 </w:t>
      </w:r>
    </w:p>
    <w:p w14:paraId="7AD2D0F9">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2.12、内存大容量内存≥4G，存储容量≥1T。 </w:t>
      </w:r>
    </w:p>
    <w:p w14:paraId="0B069F94">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3、系统软件： </w:t>
      </w:r>
    </w:p>
    <w:p w14:paraId="2459D178">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3.1、多普勒成像彩色多普勒成像。 </w:t>
      </w:r>
    </w:p>
    <w:p w14:paraId="6963BEFA">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▲3.2、二维影像功能：二维超声影像功能评估肝脏和脾脏组织形态变化；</w:t>
      </w:r>
    </w:p>
    <w:p w14:paraId="148AF709">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3.3、显示模式 A/M/E；B、B/B、4B、B/M、M、PWD、CPWD、CFM。 </w:t>
      </w:r>
    </w:p>
    <w:p w14:paraId="69036FF5">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▲3.4、A 模式实时显示具备 A 模式，支持实时超声信号幅度显示。 </w:t>
      </w:r>
    </w:p>
    <w:p w14:paraId="5CB572EA">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3.5、图像处理具有局部放大，放大提升速度帧频，波束取样线功能。 </w:t>
      </w:r>
    </w:p>
    <w:p w14:paraId="633FCF2C">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3.6、具有焦点距离调节功能，具有增益调节功能。 </w:t>
      </w:r>
    </w:p>
    <w:p w14:paraId="583F4E38">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3.7、图像功能调节/翻转，具有血流图像功能调节，多普勒功能调节，穿刺引导等功能。 </w:t>
      </w:r>
    </w:p>
    <w:p w14:paraId="23094F5B">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3.8、测量分析模块：全套的测量和分析包，支持门静脉宽度(PVW) 、脾长径/短径、脾静脉宽度等测量。 </w:t>
      </w:r>
    </w:p>
    <w:p w14:paraId="7E4CD29B">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3.9、多普勒检测包：频谱多普勒的实时自动跟踪和测量包。 </w:t>
      </w:r>
    </w:p>
    <w:p w14:paraId="706733F5">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3.10、具有回放文件播放功能、具有患者信息数据库。 </w:t>
      </w:r>
    </w:p>
    <w:p w14:paraId="384A54E1">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3.11、图像存储功能：快速存储至本地硬盘；通过 USB 接口快速存储至外接存储器</w:t>
      </w:r>
      <w:r>
        <w:rPr>
          <w:rFonts w:hint="eastAsia" w:asciiTheme="minorEastAsia" w:hAnsiTheme="minorEastAsia" w:eastAsiaTheme="minorEastAsia" w:cstheme="minorEastAsia"/>
          <w:color w:val="000000"/>
          <w:kern w:val="0"/>
          <w:sz w:val="24"/>
          <w:lang w:eastAsia="zh-CN"/>
        </w:rPr>
        <w:t>。</w:t>
      </w:r>
      <w:r>
        <w:rPr>
          <w:rFonts w:hint="eastAsia" w:asciiTheme="minorEastAsia" w:hAnsiTheme="minorEastAsia" w:eastAsiaTheme="minorEastAsia" w:cstheme="minorEastAsia"/>
          <w:color w:val="000000"/>
          <w:kern w:val="0"/>
          <w:sz w:val="24"/>
        </w:rPr>
        <w:t xml:space="preserve"> </w:t>
      </w:r>
    </w:p>
    <w:p w14:paraId="0F56BB64">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3.12、具有快捷查询功能，具有多用户管理功能，具有系统自动诊断功能。 </w:t>
      </w:r>
    </w:p>
    <w:p w14:paraId="5BB0534E">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3.13、信息传输编辑软件对接模块实现信息传输编辑软件与医院信息系统的对接。 </w:t>
      </w:r>
    </w:p>
    <w:p w14:paraId="49224AED">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4、影像探头（供二维影像检查）： </w:t>
      </w:r>
    </w:p>
    <w:p w14:paraId="7AB556B4">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4.1、探头数量 1 个。 </w:t>
      </w:r>
    </w:p>
    <w:p w14:paraId="7437780A">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4.2、探头类型：腹部</w:t>
      </w:r>
      <w:r>
        <w:rPr>
          <w:rFonts w:hint="eastAsia" w:asciiTheme="minorEastAsia" w:hAnsiTheme="minorEastAsia" w:eastAsiaTheme="minorEastAsia" w:cstheme="minorEastAsia"/>
          <w:color w:val="000000"/>
          <w:kern w:val="0"/>
          <w:sz w:val="24"/>
          <w:lang w:val="en-US" w:eastAsia="zh-CN"/>
        </w:rPr>
        <w:t>凸阵</w:t>
      </w:r>
      <w:r>
        <w:rPr>
          <w:rFonts w:hint="eastAsia" w:asciiTheme="minorEastAsia" w:hAnsiTheme="minorEastAsia" w:eastAsiaTheme="minorEastAsia" w:cstheme="minorEastAsia"/>
          <w:color w:val="000000"/>
          <w:kern w:val="0"/>
          <w:sz w:val="24"/>
        </w:rPr>
        <w:t>探头。</w:t>
      </w:r>
    </w:p>
    <w:p w14:paraId="1798FAB2">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4.3、</w:t>
      </w:r>
      <w:r>
        <w:rPr>
          <w:rFonts w:hint="eastAsia" w:asciiTheme="minorEastAsia" w:hAnsiTheme="minorEastAsia" w:eastAsiaTheme="minorEastAsia" w:cstheme="minorEastAsia"/>
          <w:color w:val="000000"/>
          <w:kern w:val="0"/>
          <w:sz w:val="24"/>
          <w:lang w:val="en-US" w:eastAsia="zh-CN"/>
        </w:rPr>
        <w:t>探头</w:t>
      </w:r>
      <w:r>
        <w:rPr>
          <w:rFonts w:hint="eastAsia" w:asciiTheme="minorEastAsia" w:hAnsiTheme="minorEastAsia" w:eastAsiaTheme="minorEastAsia" w:cstheme="minorEastAsia"/>
          <w:color w:val="000000"/>
          <w:kern w:val="0"/>
          <w:sz w:val="24"/>
        </w:rPr>
        <w:t xml:space="preserve">频率：2.0MHz--5.5MHz。 </w:t>
      </w:r>
    </w:p>
    <w:p w14:paraId="327AA0AB">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4.4、侧向分辨率 3.0MHz：≤3mm（深度≤80mm）；≤4mm（80mm＜深度≤130mm）。 </w:t>
      </w:r>
    </w:p>
    <w:p w14:paraId="4B628B89">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4.5、盲区≤4mm。 </w:t>
      </w:r>
    </w:p>
    <w:p w14:paraId="563BE890">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4.6、检测深度 3.0MHz：≥190mm。 </w:t>
      </w:r>
    </w:p>
    <w:p w14:paraId="0790962C">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4.7、彩色血流成像模式 3.0MHz：深度≥60mm。 </w:t>
      </w:r>
    </w:p>
    <w:p w14:paraId="640E0D32">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4.9、影像探头扩展：可选配内窥探头、高频探头、心脏探头。 </w:t>
      </w:r>
    </w:p>
    <w:p w14:paraId="3C900047">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5、纤维扫描探头：适用于全体型人群的纤维化探头，即无需为适应不同体型而更换探头（提供指南推荐）。 </w:t>
      </w:r>
    </w:p>
    <w:p w14:paraId="1F114194">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5.1、纤维扫描探头数量 1 个。 </w:t>
      </w:r>
    </w:p>
    <w:p w14:paraId="31784995">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5.2、纤维扫描探头融合超声波及剪切波一体化探头。 </w:t>
      </w:r>
    </w:p>
    <w:p w14:paraId="4847B0AA">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▲5.2.1、单一纤维化探头超声波频率需宽频波，频率范围 1.5MHz-5.0MHz。 </w:t>
      </w:r>
    </w:p>
    <w:p w14:paraId="466DA57E">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▲5.2.2、剪切波探头传感器直径（提供检验报告及技术要求规定）≤8mm。 </w:t>
      </w:r>
    </w:p>
    <w:p w14:paraId="29A406A3">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▲5.2.3 剪切波探头前端传感器为圆形且最大宽度≤8mm。 </w:t>
      </w:r>
    </w:p>
    <w:p w14:paraId="42F59645">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▲5.3、探头频率自适应调节：自动检测皮肤表面到肝脏包膜的距离，并自动调节探头传感器频率。 </w:t>
      </w:r>
    </w:p>
    <w:p w14:paraId="0372844A">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5.4、</w:t>
      </w:r>
      <w:r>
        <w:rPr>
          <w:rFonts w:hint="eastAsia" w:asciiTheme="minorEastAsia" w:hAnsiTheme="minorEastAsia" w:eastAsiaTheme="minorEastAsia" w:cstheme="minorEastAsia"/>
          <w:color w:val="000000"/>
          <w:kern w:val="0"/>
          <w:sz w:val="24"/>
          <w:highlight w:val="none"/>
        </w:rPr>
        <w:t>剪切波频率 50Hz。</w:t>
      </w:r>
      <w:r>
        <w:rPr>
          <w:rFonts w:hint="eastAsia" w:asciiTheme="minorEastAsia" w:hAnsiTheme="minorEastAsia" w:eastAsiaTheme="minorEastAsia" w:cstheme="minorEastAsia"/>
          <w:color w:val="000000"/>
          <w:kern w:val="0"/>
          <w:sz w:val="24"/>
        </w:rPr>
        <w:t xml:space="preserve"> </w:t>
      </w:r>
    </w:p>
    <w:p w14:paraId="42C418F6">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6、硬度测量： </w:t>
      </w:r>
    </w:p>
    <w:p w14:paraId="5B8537C8">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▲6.1、单一纤维化探头测量深度范围 15mm-85mm。 </w:t>
      </w:r>
    </w:p>
    <w:p w14:paraId="0EFEB8BE">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6.2、单一硬度检测探头硬度最大检测值≥80kPa。 </w:t>
      </w:r>
    </w:p>
    <w:p w14:paraId="509631F9">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6.3、单一硬度检测探头硬度最小检测值≤1kPa。 </w:t>
      </w:r>
    </w:p>
    <w:p w14:paraId="0D0EAF90">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6.4、硬度测量误差≤±0.5kPa。 </w:t>
      </w:r>
    </w:p>
    <w:p w14:paraId="4EC7A375">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6.5、硬度测量测量重复性误差≤3%。 </w:t>
      </w:r>
    </w:p>
    <w:p w14:paraId="3F7F848B">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7、脂肪衰减参数测量： </w:t>
      </w:r>
    </w:p>
    <w:p w14:paraId="27F46B66">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7.1、脂肪衰减参数检测范围 0dB/m-450dB/m。 </w:t>
      </w:r>
    </w:p>
    <w:p w14:paraId="5F95F5A2">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7.2、脂肪衰减参数测量误差≤±5dB/m。 </w:t>
      </w:r>
    </w:p>
    <w:p w14:paraId="2B427F1E">
      <w:pPr>
        <w:numPr>
          <w:ilvl w:val="0"/>
          <w:numId w:val="0"/>
        </w:numPr>
        <w:autoSpaceDE w:val="0"/>
        <w:autoSpaceDN w:val="0"/>
        <w:adjustRightInd w:val="0"/>
        <w:spacing w:line="360" w:lineRule="auto"/>
        <w:jc w:val="both"/>
        <w:outlineLvl w:val="9"/>
        <w:rPr>
          <w:rFonts w:hint="eastAsia" w:asciiTheme="minorEastAsia" w:hAnsiTheme="minorEastAsia" w:eastAsiaTheme="minorEastAsia" w:cstheme="minorEastAsia"/>
          <w:b/>
          <w:color w:val="auto"/>
          <w:szCs w:val="24"/>
          <w:highlight w:val="none"/>
          <w:lang w:val="en-US" w:eastAsia="zh-CN"/>
        </w:rPr>
      </w:pPr>
      <w:r>
        <w:rPr>
          <w:rFonts w:hint="eastAsia" w:asciiTheme="minorEastAsia" w:hAnsiTheme="minorEastAsia" w:eastAsiaTheme="minorEastAsia" w:cstheme="minorEastAsia"/>
          <w:color w:val="000000"/>
          <w:kern w:val="0"/>
          <w:sz w:val="24"/>
        </w:rPr>
        <w:t>7.3、脂肪衰减参数测量重复性误差≤3%。</w:t>
      </w:r>
    </w:p>
    <w:p w14:paraId="0D2BF5F5">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color w:val="auto"/>
          <w:szCs w:val="24"/>
          <w:highlight w:val="none"/>
          <w:lang w:val="en-US" w:eastAsia="zh-CN"/>
        </w:rPr>
      </w:pPr>
      <w:r>
        <w:rPr>
          <w:rFonts w:hint="eastAsia" w:asciiTheme="minorEastAsia" w:hAnsiTheme="minorEastAsia" w:eastAsiaTheme="minorEastAsia" w:cstheme="minorEastAsia"/>
          <w:b/>
          <w:color w:val="auto"/>
          <w:szCs w:val="24"/>
          <w:highlight w:val="none"/>
          <w:lang w:val="en-US" w:eastAsia="zh-CN"/>
        </w:rPr>
        <w:br w:type="page"/>
      </w:r>
      <w:r>
        <w:rPr>
          <w:rFonts w:hint="eastAsia" w:asciiTheme="minorEastAsia" w:hAnsiTheme="minorEastAsia" w:eastAsiaTheme="minorEastAsia" w:cstheme="minorEastAsia"/>
          <w:b/>
          <w:color w:val="auto"/>
          <w:szCs w:val="24"/>
          <w:highlight w:val="none"/>
          <w:lang w:val="en-US" w:eastAsia="zh-CN"/>
        </w:rPr>
        <w:t>B包：肝病治疗仪</w:t>
      </w:r>
    </w:p>
    <w:p w14:paraId="29574EF6">
      <w:pPr>
        <w:numPr>
          <w:ilvl w:val="0"/>
          <w:numId w:val="2"/>
        </w:num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频率响应范围: 生物信息脉搏传感器的频率响应范围:50次/分~120次/分,误差范围±5%。</w:t>
      </w:r>
    </w:p>
    <w:p w14:paraId="031C284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2、生物信息红外肝病治疗仪的光能发生器工作频率与心率同步，相位差&lt;5°。</w:t>
      </w:r>
    </w:p>
    <w:p w14:paraId="408BCAD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3、灵敏度: </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sz w:val="24"/>
        </w:rPr>
        <w:t>1%(用Fluk血氧饱和度模拟测试)。</w:t>
      </w:r>
    </w:p>
    <w:p w14:paraId="75BBC91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4、波长范围: 光能发生器的红光波长范围不窄于0.64nm~0.76nm，红外波长范围不窄于0.76μn</w:t>
      </w:r>
    </w:p>
    <w:p w14:paraId="783AD19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 光能发生器的照射距离为20cm时，连续照射方式下，辐射强度大于0.07W/cm²。</w:t>
      </w:r>
    </w:p>
    <w:p w14:paraId="31A2C37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6、脉搏传感器频率响应范围: 50次/分~120次/分。</w:t>
      </w:r>
    </w:p>
    <w:p w14:paraId="6E7BFCC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、时间设定范围: 5min~90min</w:t>
      </w:r>
    </w:p>
    <w:p w14:paraId="0B1B2434">
      <w:pPr>
        <w:numPr>
          <w:ilvl w:val="0"/>
          <w:numId w:val="0"/>
        </w:numPr>
        <w:autoSpaceDE w:val="0"/>
        <w:autoSpaceDN w:val="0"/>
        <w:adjustRightInd w:val="0"/>
        <w:spacing w:line="360" w:lineRule="auto"/>
        <w:ind w:leftChars="0"/>
        <w:jc w:val="both"/>
        <w:outlineLvl w:val="9"/>
        <w:rPr>
          <w:rFonts w:hint="eastAsia" w:asciiTheme="minorEastAsia" w:hAnsiTheme="minorEastAsia" w:eastAsiaTheme="minorEastAsia" w:cstheme="minorEastAsia"/>
          <w:b/>
          <w:color w:val="auto"/>
          <w:szCs w:val="24"/>
          <w:highlight w:val="none"/>
          <w:lang w:val="en-US" w:eastAsia="zh-CN"/>
        </w:rPr>
      </w:pP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、照射方式:全调制全功率、全调制半功率、半调制全功率、半调制半功率。</w:t>
      </w:r>
    </w:p>
    <w:p w14:paraId="7B1C1B7D">
      <w:pPr>
        <w:autoSpaceDE w:val="0"/>
        <w:autoSpaceDN w:val="0"/>
        <w:adjustRightInd w:val="0"/>
        <w:spacing w:line="360" w:lineRule="auto"/>
        <w:jc w:val="center"/>
        <w:outlineLvl w:val="9"/>
        <w:rPr>
          <w:rFonts w:hint="eastAsia" w:asciiTheme="minorEastAsia" w:hAnsiTheme="minorEastAsia" w:eastAsiaTheme="minorEastAsia" w:cstheme="minorEastAsia"/>
          <w:b/>
          <w:color w:val="auto"/>
          <w:szCs w:val="24"/>
          <w:highlight w:val="none"/>
          <w:lang w:val="en-US" w:eastAsia="zh-CN"/>
        </w:rPr>
      </w:pPr>
    </w:p>
    <w:p w14:paraId="3F1F2E56">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color w:val="auto"/>
          <w:kern w:val="2"/>
          <w:sz w:val="24"/>
          <w:szCs w:val="24"/>
          <w:lang w:val="en-US" w:eastAsia="zh-CN" w:bidi="ar-SA"/>
        </w:rPr>
      </w:pPr>
    </w:p>
    <w:p w14:paraId="190566FC">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auto"/>
          <w:kern w:val="2"/>
          <w:sz w:val="24"/>
          <w:szCs w:val="24"/>
          <w:lang w:val="en-US" w:eastAsia="zh-CN" w:bidi="ar-SA"/>
        </w:rPr>
        <w:br w:type="page"/>
      </w:r>
      <w:r>
        <w:rPr>
          <w:rFonts w:hint="eastAsia" w:asciiTheme="minorEastAsia" w:hAnsiTheme="minorEastAsia" w:eastAsiaTheme="minorEastAsia" w:cstheme="minorEastAsia"/>
          <w:b/>
          <w:color w:val="auto"/>
          <w:kern w:val="2"/>
          <w:sz w:val="24"/>
          <w:szCs w:val="24"/>
          <w:lang w:val="en-US" w:eastAsia="zh-CN" w:bidi="ar-SA"/>
        </w:rPr>
        <w:t>C包：</w:t>
      </w:r>
      <w:r>
        <w:rPr>
          <w:rFonts w:hint="eastAsia" w:asciiTheme="minorEastAsia" w:hAnsiTheme="minorEastAsia" w:eastAsiaTheme="minorEastAsia" w:cstheme="minorEastAsia"/>
          <w:b/>
          <w:color w:val="auto"/>
          <w:szCs w:val="24"/>
          <w:highlight w:val="none"/>
          <w:lang w:val="en-US" w:eastAsia="zh-CN"/>
        </w:rPr>
        <w:t>全自动生长曲线分析仪</w:t>
      </w:r>
    </w:p>
    <w:p w14:paraId="557E3887">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1、培养时间：1～1600小时。</w:t>
      </w:r>
    </w:p>
    <w:p w14:paraId="4940EE15">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▲2、可同时自动进行200个样品的培养和测试，蜂窝培养板不会在培养过程中产生拐角效应，并且有盖，培养容量：2块微孔板，200个孔，孔的容积为400 μL。培养板的孔高度为1cm，是标准光程。</w:t>
      </w:r>
    </w:p>
    <w:p w14:paraId="35827EB7">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3、内置的宽波段滤光片能够排除培养基颜色变化对OD值的干扰。</w:t>
      </w:r>
    </w:p>
    <w:p w14:paraId="0E8F38B2">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4、每个样品可同时检测3个不同波长的OD值变化。</w:t>
      </w:r>
    </w:p>
    <w:p w14:paraId="3AA00D65">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5、培养系统允许自由选择和设计培养基成分和pH等条件。</w:t>
      </w:r>
    </w:p>
    <w:p w14:paraId="2540D8B3">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6、双重加热技术，能够对样品和盖同时加热或制冷，孔内的温度梯度总是恒定为±0.1℃</w:t>
      </w:r>
      <w:r>
        <w:rPr>
          <w:rFonts w:hint="eastAsia" w:asciiTheme="minorEastAsia" w:hAnsiTheme="minorEastAsia" w:eastAsiaTheme="minorEastAsia" w:cstheme="minorEastAsia"/>
          <w:color w:val="000000"/>
          <w:kern w:val="0"/>
          <w:sz w:val="24"/>
          <w:lang w:eastAsia="zh-CN"/>
        </w:rPr>
        <w:t>。</w:t>
      </w:r>
    </w:p>
    <w:p w14:paraId="40C3DD75">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7、计算数据：斜率、面积、起始和重点的OD值，最大和最小OD值，检测时间。</w:t>
      </w:r>
    </w:p>
    <w:p w14:paraId="634E4DDC">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8、符合IEC 1010-1。</w:t>
      </w:r>
    </w:p>
    <w:p w14:paraId="02D6393F">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9、线性范围：0.0～4.5 A（400-900nm）、0.0～3.0 A（340-400nm）。</w:t>
      </w:r>
    </w:p>
    <w:p w14:paraId="459501F0">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10、噪音：最大0.002A。</w:t>
      </w:r>
    </w:p>
    <w:p w14:paraId="7058914B">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11、最大漂移：0.003A。</w:t>
      </w:r>
    </w:p>
    <w:p w14:paraId="7E9E1D93">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12、分辨率：0.001A。</w:t>
      </w:r>
    </w:p>
    <w:p w14:paraId="3347DCB1">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13、光源：氙气闪光灯。</w:t>
      </w:r>
    </w:p>
    <w:p w14:paraId="3547F617">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▲14、波长范围：340～750nm。</w:t>
      </w:r>
    </w:p>
    <w:p w14:paraId="0807D35B">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15、滤光片（3个）：405nm、600nm和WB（宽波段滤光片400-600nm，）</w:t>
      </w:r>
      <w:r>
        <w:rPr>
          <w:rFonts w:hint="eastAsia" w:asciiTheme="minorEastAsia" w:hAnsiTheme="minorEastAsia" w:eastAsiaTheme="minorEastAsia" w:cstheme="minorEastAsia"/>
          <w:color w:val="000000"/>
          <w:kern w:val="0"/>
          <w:sz w:val="24"/>
          <w:highlight w:val="none"/>
        </w:rPr>
        <w:t>。</w:t>
      </w:r>
    </w:p>
    <w:p w14:paraId="44A71052">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16、带宽：3-10nm。</w:t>
      </w:r>
    </w:p>
    <w:p w14:paraId="5A111C6C">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▲17、振荡方式：线性振荡、旋转式振荡、8字形旋转式振荡，并可设置如测量前振荡、测量后振荡、测量前后振荡、一直振荡至实验结束、间歇性振荡五种振荡类型，同时可设置振幅跟振荡速度。</w:t>
      </w:r>
    </w:p>
    <w:p w14:paraId="0B95AF59">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18、主机有进/出气口（配6mm和4mm直径塑料接头），培养箱内可进/出O2（1～19%）、CO2（0～20%）气体。</w:t>
      </w:r>
    </w:p>
    <w:p w14:paraId="7D6CDD38">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▲19、培养和测量温度范围：15～65℃</w:t>
      </w:r>
      <w:r>
        <w:rPr>
          <w:rFonts w:hint="eastAsia" w:asciiTheme="minorEastAsia" w:hAnsiTheme="minorEastAsia" w:eastAsiaTheme="minorEastAsia" w:cstheme="minorEastAsia"/>
          <w:color w:val="000000"/>
          <w:kern w:val="0"/>
          <w:sz w:val="24"/>
          <w:lang w:eastAsia="zh-CN"/>
        </w:rPr>
        <w:t>，</w:t>
      </w:r>
      <w:r>
        <w:rPr>
          <w:rFonts w:hint="eastAsia" w:asciiTheme="minorEastAsia" w:hAnsiTheme="minorEastAsia" w:eastAsiaTheme="minorEastAsia" w:cstheme="minorEastAsia"/>
          <w:color w:val="000000"/>
          <w:kern w:val="0"/>
          <w:sz w:val="24"/>
        </w:rPr>
        <w:t>精度±0.1℃。</w:t>
      </w:r>
    </w:p>
    <w:p w14:paraId="017618D8">
      <w:pPr>
        <w:numPr>
          <w:ilvl w:val="0"/>
          <w:numId w:val="0"/>
        </w:numPr>
        <w:autoSpaceDE w:val="0"/>
        <w:autoSpaceDN w:val="0"/>
        <w:adjustRightInd w:val="0"/>
        <w:spacing w:line="360" w:lineRule="auto"/>
        <w:ind w:leftChars="0"/>
        <w:jc w:val="both"/>
        <w:outlineLvl w:val="9"/>
        <w:rPr>
          <w:rFonts w:hint="eastAsia" w:asciiTheme="minorEastAsia" w:hAnsiTheme="minorEastAsia" w:eastAsiaTheme="minorEastAsia" w:cstheme="minorEastAsia"/>
          <w:b/>
          <w:color w:val="auto"/>
          <w:szCs w:val="24"/>
          <w:highlight w:val="none"/>
          <w:lang w:val="en-US" w:eastAsia="zh-CN"/>
        </w:rPr>
      </w:pPr>
      <w:r>
        <w:rPr>
          <w:rFonts w:hint="eastAsia" w:asciiTheme="minorEastAsia" w:hAnsiTheme="minorEastAsia" w:eastAsiaTheme="minorEastAsia" w:cstheme="minorEastAsia"/>
          <w:color w:val="000000"/>
          <w:kern w:val="0"/>
          <w:sz w:val="24"/>
        </w:rPr>
        <w:t>20、从20℃至30℃加热时间：≦30min。</w:t>
      </w:r>
    </w:p>
    <w:p w14:paraId="1D9F3D68">
      <w:pPr>
        <w:keepNext w:val="0"/>
        <w:keepLines w:val="0"/>
        <w:pageBreakBefore w:val="0"/>
        <w:kinsoku/>
        <w:wordWrap/>
        <w:overflowPunct/>
        <w:topLinePunct w:val="0"/>
        <w:bidi w:val="0"/>
        <w:spacing w:line="480" w:lineRule="exact"/>
        <w:outlineLvl w:val="9"/>
        <w:rPr>
          <w:rFonts w:hint="eastAsia" w:ascii="宋体" w:hAnsi="宋体" w:cs="Times New Roman"/>
          <w:b/>
          <w:bCs w:val="0"/>
          <w:color w:val="auto"/>
          <w:kern w:val="2"/>
          <w:sz w:val="24"/>
          <w:szCs w:val="24"/>
          <w:highlight w:val="none"/>
          <w:lang w:val="en-US" w:eastAsia="zh-CN" w:bidi="ar-SA"/>
        </w:rPr>
      </w:pPr>
    </w:p>
    <w:p w14:paraId="5FEAC24F">
      <w:pPr>
        <w:rPr>
          <w:rFonts w:hint="eastAsia"/>
          <w:b/>
          <w:bCs/>
          <w:sz w:val="32"/>
          <w:szCs w:val="40"/>
          <w:lang w:val="en-US" w:eastAsia="zh-CN"/>
        </w:rPr>
      </w:pPr>
      <w:r>
        <w:rPr>
          <w:rFonts w:hint="eastAsia"/>
          <w:b/>
          <w:bCs/>
          <w:sz w:val="32"/>
          <w:szCs w:val="40"/>
          <w:lang w:val="en-US" w:eastAsia="zh-CN"/>
        </w:rPr>
        <w:br w:type="page"/>
      </w:r>
    </w:p>
    <w:p w14:paraId="2CB43576">
      <w:pPr>
        <w:jc w:val="center"/>
        <w:rPr>
          <w:rFonts w:hint="eastAsia"/>
          <w:b/>
          <w:bCs/>
          <w:sz w:val="32"/>
          <w:szCs w:val="40"/>
          <w:lang w:val="en-US" w:eastAsia="zh-CN"/>
        </w:rPr>
      </w:pPr>
      <w:r>
        <w:rPr>
          <w:rFonts w:hint="eastAsia"/>
          <w:b/>
          <w:bCs/>
          <w:sz w:val="32"/>
          <w:szCs w:val="40"/>
          <w:lang w:val="en-US" w:eastAsia="zh-CN"/>
        </w:rPr>
        <w:t>第三部分 商务要求</w:t>
      </w:r>
    </w:p>
    <w:p w14:paraId="4BA29AE2">
      <w:pPr>
        <w:pStyle w:val="6"/>
        <w:spacing w:beforeLines="0" w:afterLines="0" w:line="480" w:lineRule="exact"/>
        <w:rPr>
          <w:rFonts w:hint="eastAsia" w:ascii="宋体" w:hAnsi="宋体" w:cs="宋体"/>
          <w:b/>
          <w:bCs/>
          <w:color w:val="auto"/>
          <w:sz w:val="24"/>
          <w:szCs w:val="24"/>
          <w:highlight w:val="none"/>
        </w:rPr>
      </w:pPr>
      <w:r>
        <w:rPr>
          <w:rFonts w:hint="eastAsia" w:ascii="宋体" w:hAnsi="宋体" w:cs="宋体"/>
          <w:b/>
          <w:color w:val="auto"/>
          <w:sz w:val="24"/>
          <w:szCs w:val="24"/>
          <w:highlight w:val="none"/>
        </w:rPr>
        <w:t>商务要求</w:t>
      </w:r>
      <w:r>
        <w:rPr>
          <w:rFonts w:hint="eastAsia" w:ascii="宋体" w:hAnsi="宋体" w:cs="宋体"/>
          <w:b/>
          <w:bCs/>
          <w:color w:val="auto"/>
          <w:sz w:val="24"/>
          <w:szCs w:val="24"/>
          <w:highlight w:val="none"/>
        </w:rPr>
        <w:t>（★条款为实质性响应条款，不满足则作为废标处理）</w:t>
      </w:r>
    </w:p>
    <w:p w14:paraId="6513C9A7">
      <w:pPr>
        <w:pStyle w:val="6"/>
        <w:spacing w:beforeLines="0" w:afterLines="0" w:line="4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★1、交货期：</w:t>
      </w:r>
      <w:r>
        <w:rPr>
          <w:rFonts w:hint="eastAsia" w:ascii="宋体" w:hAnsi="宋体" w:eastAsia="宋体" w:cs="宋体"/>
          <w:color w:val="auto"/>
          <w:kern w:val="2"/>
          <w:sz w:val="24"/>
          <w:szCs w:val="24"/>
          <w:highlight w:val="none"/>
          <w:lang w:val="en-US" w:eastAsia="zh-CN" w:bidi="ar-SA"/>
        </w:rPr>
        <w:t>合同签订完成后，国产产品30个日历日内完成交货。进口产品90个日历日内完成交货。若合同签订后中标供应商即未按约定发货的，采购人有权立即终止合同。交货产品生产日期须是临近合同签订日期的产品，即国产设备不超过3个月，进口设备不超过6个月。</w:t>
      </w:r>
    </w:p>
    <w:p w14:paraId="00CD366E">
      <w:pPr>
        <w:spacing w:beforeLines="0" w:afterLines="0"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★2、交货及安装地点</w:t>
      </w:r>
      <w:r>
        <w:rPr>
          <w:rFonts w:hint="eastAsia" w:ascii="宋体" w:hAnsi="宋体" w:eastAsia="宋体" w:cs="宋体"/>
          <w:bCs/>
          <w:color w:val="auto"/>
          <w:sz w:val="24"/>
          <w:szCs w:val="24"/>
          <w:highlight w:val="none"/>
        </w:rPr>
        <w:t>：</w:t>
      </w:r>
    </w:p>
    <w:p w14:paraId="62788B26">
      <w:pPr>
        <w:spacing w:beforeLines="0" w:afterLines="0"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2.1、本次所采购设备须</w:t>
      </w:r>
      <w:r>
        <w:rPr>
          <w:rFonts w:hint="eastAsia" w:ascii="宋体" w:hAnsi="宋体" w:eastAsia="宋体" w:cs="宋体"/>
          <w:color w:val="auto"/>
          <w:sz w:val="24"/>
          <w:szCs w:val="24"/>
          <w:highlight w:val="none"/>
        </w:rPr>
        <w:t>接入医院信息系统，</w:t>
      </w:r>
      <w:r>
        <w:rPr>
          <w:rFonts w:hint="eastAsia" w:ascii="宋体" w:hAnsi="宋体" w:eastAsia="宋体" w:cs="宋体"/>
          <w:color w:val="auto"/>
          <w:sz w:val="24"/>
          <w:szCs w:val="24"/>
          <w:highlight w:val="none"/>
          <w:lang w:val="en-US" w:eastAsia="zh-CN"/>
        </w:rPr>
        <w:t>投标供应商应</w:t>
      </w:r>
      <w:r>
        <w:rPr>
          <w:rFonts w:hint="eastAsia" w:ascii="宋体" w:hAnsi="宋体" w:eastAsia="宋体" w:cs="宋体"/>
          <w:color w:val="auto"/>
          <w:sz w:val="24"/>
          <w:szCs w:val="24"/>
          <w:highlight w:val="none"/>
        </w:rPr>
        <w:t>免费开放和承担相应的接口费</w:t>
      </w:r>
      <w:r>
        <w:rPr>
          <w:rFonts w:hint="eastAsia" w:ascii="宋体" w:hAnsi="宋体" w:eastAsia="宋体" w:cs="宋体"/>
          <w:color w:val="auto"/>
          <w:sz w:val="24"/>
          <w:szCs w:val="24"/>
          <w:highlight w:val="none"/>
          <w:lang w:eastAsia="zh-CN"/>
        </w:rPr>
        <w:t>。</w:t>
      </w:r>
    </w:p>
    <w:p w14:paraId="63CF55E9">
      <w:pPr>
        <w:spacing w:beforeLines="0" w:afterLines="0" w:line="48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安装地点为采购人指定地点。</w:t>
      </w:r>
    </w:p>
    <w:p w14:paraId="40802B7C">
      <w:pPr>
        <w:pStyle w:val="6"/>
        <w:spacing w:beforeLines="0" w:afterLines="0" w:line="480" w:lineRule="exac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付款方式和条件</w:t>
      </w:r>
      <w:r>
        <w:rPr>
          <w:rFonts w:hint="eastAsia" w:ascii="宋体" w:hAnsi="宋体" w:cs="宋体"/>
          <w:bCs/>
          <w:color w:val="auto"/>
          <w:sz w:val="24"/>
          <w:szCs w:val="24"/>
          <w:highlight w:val="none"/>
          <w:lang w:val="en-US" w:eastAsia="zh-CN"/>
        </w:rPr>
        <w:t>：合同签订完成，货物安装调试并验收合格后按院内流程支付100%总货款。</w:t>
      </w:r>
    </w:p>
    <w:p w14:paraId="379331CC">
      <w:pPr>
        <w:pStyle w:val="6"/>
        <w:spacing w:beforeLines="0" w:afterLines="0" w:line="48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、软件部分总体要求</w:t>
      </w:r>
    </w:p>
    <w:p w14:paraId="32ECE880">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（一）信息安全技术要求</w:t>
      </w:r>
    </w:p>
    <w:p w14:paraId="56D54158">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乙方向甲方提供的软件技术服务必须符合国家信息安全以及保密安全相关技术要求。</w:t>
      </w:r>
    </w:p>
    <w:p w14:paraId="5279EDC4">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乙方必须与甲方签订甲方信息安全责任承诺书和甲方信息保密协议，并作为项目验收条件之一。</w:t>
      </w:r>
    </w:p>
    <w:p w14:paraId="6D3805EF">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针对因乙方系统服务程序漏洞导致的信息安全风险，乙方需承诺终身免费升级修补，对于情节严重的院方保留追究法律责任的权利。</w:t>
      </w:r>
    </w:p>
    <w:p w14:paraId="2B2738ED">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乙方保证软件技术服务中的数据安全，确保软件系统中的数据不被非法阅读、篡改和复制，禁止非法用户进入，数据须国产加密存储和传输。</w:t>
      </w:r>
    </w:p>
    <w:p w14:paraId="62975275">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乙方需提供完整的安全访问策略，针对多中心多用户自由灵活的配置分级权限，并具有严格控制数据访问权限的能力。</w:t>
      </w:r>
    </w:p>
    <w:p w14:paraId="2F9564DC">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乙方前后端服务程序、数据备份方式简单方便，出现异常情况可快速恢复系统，具有完整的数据备份和容灾计划。在网络故障、服务器故障等特殊情况下，能确保数据不丢失。</w:t>
      </w:r>
    </w:p>
    <w:p w14:paraId="6F8E3CD3">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乙方提供的服务程序须支持阻止非法篡改数据的操作，并能对非法操作行为及时预警。</w:t>
      </w:r>
    </w:p>
    <w:p w14:paraId="0BB4D11B">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（二）接口要求</w:t>
      </w:r>
    </w:p>
    <w:p w14:paraId="3C2AB87F">
      <w:pPr>
        <w:spacing w:beforeLines="0" w:afterLines="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采购的软件技术服务乙方需按甲方使用需求，与甲方现有其它业务系统进行集成，实现数据共享，业务系统包括但不限于：数据集成平台、统一支付对账平台、HIS核心系统、合理用药、电子签名、内镜、超声、影像、心电图、检验、体检、护理、消息平台、医保智能监测系统等。与第三方系统和设备的接口实施费乙方不收取费用。</w:t>
      </w:r>
    </w:p>
    <w:p w14:paraId="0D529DA2">
      <w:pPr>
        <w:pStyle w:val="6"/>
        <w:spacing w:beforeLines="0" w:afterLines="0" w:line="480" w:lineRule="exact"/>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乙方软件系统维保期需根据甲方使用需求升级改造。</w:t>
      </w:r>
      <w:r>
        <w:rPr>
          <w:rFonts w:hint="eastAsia" w:ascii="宋体" w:hAnsi="宋体" w:eastAsia="宋体" w:cs="宋体"/>
          <w:color w:val="auto"/>
          <w:sz w:val="24"/>
          <w:szCs w:val="24"/>
          <w:highlight w:val="none"/>
          <w:lang w:val="zh-CN"/>
        </w:rPr>
        <w:t>包括：合同</w:t>
      </w:r>
      <w:r>
        <w:rPr>
          <w:rFonts w:hint="eastAsia" w:ascii="宋体" w:hAnsi="宋体" w:eastAsia="宋体" w:cs="宋体"/>
          <w:color w:val="auto"/>
          <w:sz w:val="24"/>
          <w:szCs w:val="24"/>
          <w:highlight w:val="none"/>
        </w:rPr>
        <w:t>服务的</w:t>
      </w:r>
      <w:r>
        <w:rPr>
          <w:rFonts w:hint="eastAsia" w:ascii="宋体" w:hAnsi="宋体" w:eastAsia="宋体" w:cs="宋体"/>
          <w:color w:val="auto"/>
          <w:sz w:val="24"/>
          <w:szCs w:val="24"/>
          <w:highlight w:val="none"/>
          <w:lang w:val="zh-CN"/>
        </w:rPr>
        <w:t>横向扩展</w:t>
      </w:r>
      <w:r>
        <w:rPr>
          <w:rFonts w:hint="eastAsia" w:ascii="宋体" w:hAnsi="宋体" w:eastAsia="宋体" w:cs="宋体"/>
          <w:color w:val="auto"/>
          <w:sz w:val="24"/>
          <w:szCs w:val="24"/>
          <w:highlight w:val="none"/>
        </w:rPr>
        <w:t>应用</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val="zh-CN"/>
        </w:rPr>
        <w:t>程序升级、局部功能调整、故障检测处理、接口开发与配合、免费对接院内新增</w:t>
      </w:r>
      <w:r>
        <w:rPr>
          <w:rFonts w:hint="eastAsia" w:ascii="宋体" w:hAnsi="宋体" w:eastAsia="宋体" w:cs="宋体"/>
          <w:color w:val="auto"/>
          <w:sz w:val="24"/>
          <w:szCs w:val="24"/>
          <w:highlight w:val="none"/>
        </w:rPr>
        <w:t>和更换的</w:t>
      </w:r>
      <w:r>
        <w:rPr>
          <w:rFonts w:hint="eastAsia" w:ascii="宋体" w:hAnsi="宋体" w:eastAsia="宋体" w:cs="宋体"/>
          <w:color w:val="auto"/>
          <w:sz w:val="24"/>
          <w:szCs w:val="24"/>
          <w:highlight w:val="none"/>
          <w:lang w:val="zh-CN"/>
        </w:rPr>
        <w:t>应用系统，因政策调整</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zh-CN"/>
        </w:rPr>
        <w:t>业务管理模式改变而进行的系统改造</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zh-CN"/>
        </w:rPr>
        <w:t>。</w:t>
      </w:r>
    </w:p>
    <w:p w14:paraId="0597A4A2">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、技术及售后服务要求</w:t>
      </w:r>
      <w:r>
        <w:rPr>
          <w:rFonts w:hint="eastAsia" w:ascii="宋体" w:hAnsi="宋体" w:eastAsia="宋体" w:cs="宋体"/>
          <w:bCs/>
          <w:color w:val="auto"/>
          <w:sz w:val="24"/>
          <w:szCs w:val="24"/>
          <w:highlight w:val="none"/>
        </w:rPr>
        <w:t>（通用要求。招标文件中对各产品有具体特殊规定的，按照其规定）</w:t>
      </w:r>
    </w:p>
    <w:p w14:paraId="3ECBEAA5">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在产品保修期内，一旦发生质量问题，中标人保证在接到通知后，应在 2 小时内给予答复；并派合格的维修工程师在 24 小时内到用户现场进行维修，费用由中标人负责。如中标人在接到通知的2小时内没有答复或处理问题，则视为供应商承认质量问题并承担由此而发生的一切费用。保修期间产品的一切质量问题，更换部件及产品本身质量原因造成的直接经济损失应全部由中标人自行负责。中标人负责对系统进行检验、安装、调试，直至验收合格，并提供安装调试报告。验收时应与投标时产品原始样本技术资料/标书技术文件一致，并应符合我国有关技术规范和技术标准，所派人员的一切费用由中标人承担。中标人负责对用户操作人员提供现场设备操作、保养等培训，并承担相应费用。</w:t>
      </w:r>
    </w:p>
    <w:p w14:paraId="0729D58F">
      <w:pPr>
        <w:keepNext w:val="0"/>
        <w:keepLines w:val="0"/>
        <w:pageBreakBefore w:val="0"/>
        <w:widowControl w:val="0"/>
        <w:kinsoku/>
        <w:wordWrap/>
        <w:overflowPunct/>
        <w:topLinePunct w:val="0"/>
        <w:autoSpaceDE/>
        <w:autoSpaceDN/>
        <w:bidi w:val="0"/>
        <w:adjustRightInd/>
        <w:spacing w:beforeLines="0" w:afterLines="0" w:line="480" w:lineRule="exact"/>
        <w:rPr>
          <w:rFonts w:hint="eastAsia" w:ascii="宋体" w:hAnsi="宋体" w:eastAsia="宋体" w:cs="宋体"/>
          <w:bCs/>
          <w:color w:val="auto"/>
          <w:sz w:val="24"/>
          <w:szCs w:val="24"/>
          <w:highlight w:val="none"/>
          <w:lang w:val="en-US" w:eastAsia="zh-CN"/>
        </w:rPr>
      </w:pPr>
      <w:r>
        <w:rPr>
          <w:rFonts w:hint="eastAsia" w:ascii="宋体" w:hAnsi="宋体" w:cs="宋体"/>
          <w:b/>
          <w:bCs w:val="0"/>
          <w:strike w:val="0"/>
          <w:dstrike w:val="0"/>
          <w:color w:val="auto"/>
          <w:sz w:val="24"/>
          <w:szCs w:val="24"/>
          <w:highlight w:val="none"/>
        </w:rPr>
        <w:t>★</w:t>
      </w:r>
      <w:r>
        <w:rPr>
          <w:rFonts w:hint="eastAsia" w:ascii="宋体" w:hAnsi="宋体" w:cs="宋体"/>
          <w:b/>
          <w:bCs w:val="0"/>
          <w:strike w:val="0"/>
          <w:dstrike w:val="0"/>
          <w:color w:val="auto"/>
          <w:sz w:val="24"/>
          <w:szCs w:val="24"/>
          <w:highlight w:val="none"/>
          <w:lang w:val="en-US" w:eastAsia="zh-CN"/>
        </w:rPr>
        <w:t>6</w:t>
      </w:r>
      <w:r>
        <w:rPr>
          <w:rFonts w:hint="eastAsia" w:ascii="宋体" w:hAnsi="宋体" w:cs="宋体"/>
          <w:b/>
          <w:bCs w:val="0"/>
          <w:strike w:val="0"/>
          <w:dstrike w:val="0"/>
          <w:color w:val="auto"/>
          <w:sz w:val="24"/>
          <w:szCs w:val="24"/>
          <w:highlight w:val="none"/>
        </w:rPr>
        <w:t>、质保期（重要条款，不满足要求将导致废标）：</w:t>
      </w:r>
      <w:r>
        <w:rPr>
          <w:rFonts w:hint="eastAsia" w:ascii="宋体" w:hAnsi="宋体" w:eastAsia="宋体" w:cs="宋体"/>
          <w:bCs/>
          <w:color w:val="auto"/>
          <w:sz w:val="24"/>
          <w:szCs w:val="24"/>
          <w:highlight w:val="none"/>
        </w:rPr>
        <w:t>除招标文件“技术参数(规格) 要求”明确要求的外，整机质保≥2年（需定期更换的耗材等除外，并提供相应耗材价格清单，不提供上述资料的，一律视为零配件，与主机质保期一致。）。从入库之日起开始计算，投标人需在质保承诺书中承诺具体质保年限，以出具的质保期承诺函为准，提供质保期承诺函原件扫描件并加盖公章。</w:t>
      </w:r>
    </w:p>
    <w:p w14:paraId="0E38ACAB">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、验收（通用要求。招标文件中对各品目有具体特殊规定的，按照其规定）</w:t>
      </w:r>
    </w:p>
    <w:p w14:paraId="4C385C4F">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包装：主机、备件、附件、工具、资料等均应装箱，满足设备防潮、防震、防锈等要求，保证设备抵达安装现场完好无损，如因包装不当引起的责任事故，由中标人负责；按产品标准验收程序规程验收，以保证产品满足质量要求；</w:t>
      </w:r>
    </w:p>
    <w:p w14:paraId="6DFA8BAD">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 设备安装调试完毕后，如果采购人需要进行现场实验验证，中标方须配合试验验证，直至完全满足合同要求为最终验收；如果设备需经法定计量检定机构计量检定的，须检定合格后方可验收，且检定费用由中标方负责。</w:t>
      </w:r>
    </w:p>
    <w:p w14:paraId="4644956C">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.3验收时提供投标产品在生产过程中的各项检验证书、验收合格证及随机附带的交货清单。设备到达用户所在地后，在接到用户通知的 1 周内，由卖方负责安排固定工程师安装、调试。如果设备自安装之日起，一周内不能正常使用、通过验收，则由卖方换一台同型号的新设备甚至无条件退货，并补偿买方相应损失。卖方提供仪器的详细结构图纸、控制电路板之间的联络图，详细的电子线路图（纸质和电子版），仪器的软硬件操作手册、维护手册和维护专用工具。</w:t>
      </w:r>
    </w:p>
    <w:p w14:paraId="7F558C22">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、售后服务及保修承诺</w:t>
      </w:r>
      <w:r>
        <w:rPr>
          <w:rFonts w:hint="eastAsia" w:ascii="宋体" w:hAnsi="宋体" w:eastAsia="宋体" w:cs="宋体"/>
          <w:bCs/>
          <w:color w:val="auto"/>
          <w:sz w:val="24"/>
          <w:szCs w:val="24"/>
          <w:highlight w:val="none"/>
        </w:rPr>
        <w:t>（通用要求。招标文件中对各品目有具体特殊规定的，按照其规定）</w:t>
      </w:r>
    </w:p>
    <w:p w14:paraId="2E62C834">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.1 为保障设备正常运行，卖方必须在中国境内设有备件库，保证10年供应期，并提供贵州省内具有售后服务机构证明材料（包括售后服务机构、设施设备及受过专业培训的售后服务人员）；</w:t>
      </w:r>
    </w:p>
    <w:p w14:paraId="7E225A39">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.2投标人投标时须提供详尽的售后服务计划，计划应包括但不限于以下内容：</w:t>
      </w:r>
    </w:p>
    <w:p w14:paraId="492BEE7B">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.2.1售后服务体系；</w:t>
      </w:r>
    </w:p>
    <w:p w14:paraId="7858C781">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2.2产品保质期内的服务承诺；维修与更换有缺陷的货物或部件期限：接到买方通知后2小时内响应，24小时内派维修人员到达现场（如遇不可抗力因素除外）并解决一般问题，特殊问题另行协商。质保期内免费维修与更换有缺陷的货物或部件，质保期满后只收取用工费和投标时承诺的备品备件所需费用且在专业工程师上门维修、服务后付款。</w:t>
      </w:r>
    </w:p>
    <w:p w14:paraId="2ED686BE">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.3.3运行阶段的服务承诺。</w:t>
      </w:r>
    </w:p>
    <w:p w14:paraId="7B775C33">
      <w:pPr>
        <w:spacing w:beforeLines="0" w:afterLines="0"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培训：提供响应的培训计划</w:t>
      </w:r>
    </w:p>
    <w:p w14:paraId="422B9D4E">
      <w:pPr>
        <w:numPr>
          <w:ilvl w:val="0"/>
          <w:numId w:val="0"/>
        </w:numPr>
        <w:spacing w:beforeLines="0" w:afterLines="0" w:line="48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9、</w:t>
      </w:r>
      <w:r>
        <w:rPr>
          <w:rFonts w:hint="eastAsia" w:ascii="宋体" w:hAnsi="宋体" w:eastAsia="宋体" w:cs="宋体"/>
          <w:bCs/>
          <w:color w:val="auto"/>
          <w:sz w:val="24"/>
          <w:szCs w:val="24"/>
          <w:highlight w:val="none"/>
          <w:lang w:val="en-US" w:eastAsia="zh-CN"/>
        </w:rPr>
        <w:t>其他要求：若中标供应商涉及商业贿赂等违法犯罪事件，一经发现，医院有权立即终止合同，并禁止其一至三年内参与医院采购项目投标。若中标供应商存在不及时办理发票、货品以次充好、售后服务不及时等合同履约不到位的行为，接到相关部门投诉1-2次，给与警告处理。投诉达到3次及以上，医院有权立即终止合同，并禁止其一至三年内参与医院采购项目投标。</w:t>
      </w:r>
    </w:p>
    <w:p w14:paraId="5E99B4A0">
      <w:pPr>
        <w:numPr>
          <w:ilvl w:val="0"/>
          <w:numId w:val="0"/>
        </w:numPr>
        <w:spacing w:beforeLines="0" w:afterLines="0" w:line="48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10、备品备件：若出现验收合格的设备故障或不能使用的情况，供应商应立即提供同品牌同型号新设备以供使用或换货，直到原设备维修完成继续使用。</w:t>
      </w:r>
    </w:p>
    <w:p w14:paraId="65E091E3">
      <w:pPr>
        <w:widowControl/>
        <w:numPr>
          <w:ilvl w:val="0"/>
          <w:numId w:val="0"/>
        </w:numPr>
        <w:shd w:val="clear" w:color="auto" w:fill="FFFFFF"/>
        <w:spacing w:beforeLines="0" w:afterLines="0"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11、保证保修期后的备件供应。合同签订时，需以附件形式提供主要维修配件价格清单。</w:t>
      </w:r>
    </w:p>
    <w:p w14:paraId="288CAAF8">
      <w:pPr>
        <w:pStyle w:val="12"/>
        <w:shd w:val="clear" w:color="auto" w:fill="FFFFFF"/>
        <w:spacing w:before="0" w:beforeAutospacing="0" w:after="0" w:afterAutospacing="0" w:line="480" w:lineRule="exact"/>
        <w:jc w:val="both"/>
        <w:textAlignment w:val="baseline"/>
        <w:rPr>
          <w:rFonts w:hint="eastAsia"/>
          <w:color w:val="auto"/>
          <w:highlight w:val="none"/>
        </w:rPr>
      </w:pPr>
      <w:r>
        <w:rPr>
          <w:rFonts w:hint="eastAsia"/>
          <w:color w:val="auto"/>
          <w:highlight w:val="none"/>
        </w:rPr>
        <w:t>★12、所有相关设备信息化建设按采购人要求提供，相关费用由乙方承担。</w:t>
      </w:r>
    </w:p>
    <w:p w14:paraId="0EA7C697">
      <w:pPr>
        <w:rPr>
          <w:rFonts w:hint="eastAsia"/>
          <w:b/>
          <w:bCs/>
          <w:sz w:val="32"/>
          <w:szCs w:val="40"/>
          <w:lang w:val="en-US" w:eastAsia="zh-CN"/>
        </w:rPr>
      </w:pPr>
    </w:p>
    <w:p w14:paraId="4FAC3CDF">
      <w:pPr>
        <w:jc w:val="center"/>
        <w:rPr>
          <w:rFonts w:hint="eastAsia"/>
          <w:b/>
          <w:bCs/>
          <w:sz w:val="32"/>
          <w:szCs w:val="40"/>
          <w:lang w:val="en-US" w:eastAsia="zh-CN"/>
        </w:rPr>
      </w:pPr>
      <w:r>
        <w:rPr>
          <w:rFonts w:hint="eastAsia"/>
          <w:b/>
          <w:bCs/>
          <w:sz w:val="32"/>
          <w:szCs w:val="40"/>
          <w:lang w:val="en-US" w:eastAsia="zh-CN"/>
        </w:rPr>
        <w:t>第四部分 评标办法和定标原则</w:t>
      </w:r>
    </w:p>
    <w:p w14:paraId="1997A5FA">
      <w:pPr>
        <w:pStyle w:val="4"/>
        <w:spacing w:before="240" w:beforeLines="100" w:after="240" w:afterLines="100" w:line="240" w:lineRule="auto"/>
        <w:rPr>
          <w:rFonts w:ascii="Times New Roman" w:hAnsi="Times New Roman" w:eastAsia="黑体"/>
          <w:b/>
          <w:bCs/>
          <w:color w:val="auto"/>
          <w:sz w:val="28"/>
          <w:szCs w:val="28"/>
          <w:highlight w:val="none"/>
        </w:rPr>
      </w:pPr>
      <w:r>
        <w:rPr>
          <w:rFonts w:ascii="Times New Roman" w:hAnsi="Times New Roman" w:eastAsia="黑体"/>
          <w:b/>
          <w:bCs/>
          <w:color w:val="auto"/>
          <w:sz w:val="28"/>
          <w:szCs w:val="28"/>
          <w:highlight w:val="none"/>
        </w:rPr>
        <w:t>一、评标原则</w:t>
      </w:r>
    </w:p>
    <w:p w14:paraId="2FF524ED">
      <w:pPr>
        <w:widowControl/>
        <w:shd w:val="clear" w:color="auto" w:fill="FFFFFF"/>
        <w:spacing w:line="480" w:lineRule="exact"/>
        <w:ind w:firstLine="480" w:firstLineChars="200"/>
        <w:rPr>
          <w:color w:val="auto"/>
          <w:kern w:val="0"/>
          <w:sz w:val="24"/>
          <w:szCs w:val="24"/>
          <w:highlight w:val="none"/>
        </w:rPr>
      </w:pPr>
      <w:r>
        <w:rPr>
          <w:color w:val="auto"/>
          <w:kern w:val="0"/>
          <w:sz w:val="24"/>
          <w:szCs w:val="24"/>
          <w:highlight w:val="none"/>
        </w:rPr>
        <w:t>1．认真贯彻国家有关法律、法规和政策，维护国家利益。</w:t>
      </w:r>
    </w:p>
    <w:p w14:paraId="5F0B6E6E">
      <w:pPr>
        <w:widowControl/>
        <w:shd w:val="clear" w:color="auto" w:fill="FFFFFF"/>
        <w:spacing w:line="480" w:lineRule="exact"/>
        <w:ind w:firstLine="480" w:firstLineChars="200"/>
        <w:rPr>
          <w:color w:val="auto"/>
          <w:kern w:val="0"/>
          <w:sz w:val="24"/>
          <w:szCs w:val="24"/>
          <w:highlight w:val="none"/>
        </w:rPr>
      </w:pPr>
      <w:r>
        <w:rPr>
          <w:color w:val="auto"/>
          <w:kern w:val="0"/>
          <w:sz w:val="24"/>
          <w:szCs w:val="24"/>
          <w:highlight w:val="none"/>
        </w:rPr>
        <w:t>2．维护各方当事人的合法权益。</w:t>
      </w:r>
    </w:p>
    <w:p w14:paraId="6BF3BEB0">
      <w:pPr>
        <w:widowControl/>
        <w:shd w:val="clear" w:color="auto" w:fill="FFFFFF"/>
        <w:spacing w:line="480" w:lineRule="exact"/>
        <w:ind w:firstLine="480" w:firstLineChars="200"/>
        <w:rPr>
          <w:color w:val="auto"/>
          <w:kern w:val="0"/>
          <w:sz w:val="24"/>
          <w:szCs w:val="24"/>
          <w:highlight w:val="none"/>
        </w:rPr>
      </w:pPr>
      <w:r>
        <w:rPr>
          <w:color w:val="auto"/>
          <w:kern w:val="0"/>
          <w:sz w:val="24"/>
          <w:szCs w:val="24"/>
          <w:highlight w:val="none"/>
        </w:rPr>
        <w:t>3．对所有投标人的评审，均采用相同的程序和标准。</w:t>
      </w:r>
    </w:p>
    <w:p w14:paraId="57F45833">
      <w:pPr>
        <w:widowControl/>
        <w:shd w:val="clear" w:color="auto" w:fill="FFFFFF"/>
        <w:spacing w:line="480" w:lineRule="exact"/>
        <w:ind w:firstLine="480" w:firstLineChars="200"/>
        <w:rPr>
          <w:color w:val="auto"/>
          <w:kern w:val="0"/>
          <w:sz w:val="24"/>
          <w:szCs w:val="24"/>
          <w:highlight w:val="none"/>
        </w:rPr>
      </w:pPr>
      <w:r>
        <w:rPr>
          <w:color w:val="auto"/>
          <w:kern w:val="0"/>
          <w:sz w:val="24"/>
          <w:szCs w:val="24"/>
          <w:highlight w:val="none"/>
        </w:rPr>
        <w:t>4．按照招标文件确定的标准和方法，对投标人进行评审和比较。没有纳入招标文件的标准和方法，不得作为评审的依据。</w:t>
      </w:r>
    </w:p>
    <w:p w14:paraId="7A58F87D">
      <w:pPr>
        <w:pStyle w:val="4"/>
        <w:spacing w:before="240" w:beforeLines="100" w:after="240" w:afterLines="100" w:line="240" w:lineRule="auto"/>
        <w:rPr>
          <w:rFonts w:ascii="Times New Roman" w:hAnsi="Times New Roman" w:eastAsia="黑体"/>
          <w:b/>
          <w:bCs/>
          <w:color w:val="auto"/>
          <w:sz w:val="28"/>
          <w:szCs w:val="28"/>
          <w:highlight w:val="none"/>
        </w:rPr>
      </w:pPr>
      <w:r>
        <w:rPr>
          <w:rFonts w:ascii="Times New Roman" w:hAnsi="Times New Roman" w:eastAsia="黑体"/>
          <w:b/>
          <w:bCs/>
          <w:color w:val="auto"/>
          <w:sz w:val="28"/>
          <w:szCs w:val="28"/>
          <w:highlight w:val="none"/>
        </w:rPr>
        <w:t>二、评标方法</w:t>
      </w:r>
    </w:p>
    <w:p w14:paraId="3EB4AC01">
      <w:pPr>
        <w:widowControl/>
        <w:shd w:val="clear" w:color="auto" w:fill="FFFFFF"/>
        <w:spacing w:line="480" w:lineRule="exact"/>
        <w:ind w:firstLine="480" w:firstLineChars="200"/>
        <w:rPr>
          <w:color w:val="auto"/>
          <w:kern w:val="0"/>
          <w:sz w:val="24"/>
          <w:szCs w:val="24"/>
          <w:highlight w:val="none"/>
        </w:rPr>
      </w:pPr>
      <w:r>
        <w:rPr>
          <w:color w:val="auto"/>
          <w:kern w:val="0"/>
          <w:sz w:val="24"/>
          <w:szCs w:val="24"/>
          <w:highlight w:val="none"/>
        </w:rPr>
        <w:t>本次评标采用</w:t>
      </w:r>
      <w:r>
        <w:rPr>
          <w:b/>
          <w:color w:val="auto"/>
          <w:kern w:val="0"/>
          <w:sz w:val="24"/>
          <w:szCs w:val="24"/>
          <w:highlight w:val="none"/>
        </w:rPr>
        <w:t>综合评分法</w:t>
      </w:r>
      <w:r>
        <w:rPr>
          <w:color w:val="auto"/>
          <w:kern w:val="0"/>
          <w:sz w:val="24"/>
          <w:szCs w:val="24"/>
          <w:highlight w:val="none"/>
        </w:rPr>
        <w:t>。综合评分法，是指投标文件满足招标文件全部实质性要求，且按照评审因素的量化指标评审得分最高的投标人为中标候选人的评标方法。</w:t>
      </w:r>
    </w:p>
    <w:p w14:paraId="27683279">
      <w:pPr>
        <w:widowControl/>
        <w:shd w:val="clear" w:color="auto" w:fill="FFFFFF"/>
        <w:spacing w:line="480" w:lineRule="exact"/>
        <w:ind w:firstLine="480" w:firstLineChars="200"/>
        <w:rPr>
          <w:color w:val="auto"/>
          <w:kern w:val="0"/>
          <w:sz w:val="24"/>
          <w:szCs w:val="24"/>
          <w:highlight w:val="none"/>
        </w:rPr>
      </w:pPr>
      <w:r>
        <w:rPr>
          <w:color w:val="auto"/>
          <w:kern w:val="0"/>
          <w:sz w:val="24"/>
          <w:szCs w:val="24"/>
          <w:highlight w:val="none"/>
        </w:rPr>
        <w:t>综合评分的主要因素是：价格、技术、业绩、服务、履约能力等。</w:t>
      </w:r>
    </w:p>
    <w:p w14:paraId="780CFF20">
      <w:pPr>
        <w:widowControl/>
        <w:shd w:val="clear" w:color="auto" w:fill="FFFFFF"/>
        <w:spacing w:line="480" w:lineRule="exact"/>
        <w:ind w:firstLine="480" w:firstLineChars="200"/>
        <w:rPr>
          <w:color w:val="auto"/>
          <w:kern w:val="0"/>
          <w:sz w:val="24"/>
          <w:szCs w:val="24"/>
          <w:highlight w:val="none"/>
        </w:rPr>
      </w:pPr>
      <w:r>
        <w:rPr>
          <w:color w:val="auto"/>
          <w:kern w:val="0"/>
          <w:sz w:val="24"/>
          <w:szCs w:val="24"/>
          <w:highlight w:val="none"/>
        </w:rPr>
        <w:t>评标时，评标委员会各成员独立对每个有效投标人进行评价、打分，然后汇总每个投标人每项评分因素的得分。</w:t>
      </w:r>
    </w:p>
    <w:p w14:paraId="2F21B781">
      <w:pPr>
        <w:widowControl/>
        <w:shd w:val="clear" w:color="auto" w:fill="FFFFFF"/>
        <w:spacing w:line="480" w:lineRule="exact"/>
        <w:ind w:firstLine="480" w:firstLineChars="200"/>
        <w:rPr>
          <w:color w:val="auto"/>
          <w:kern w:val="0"/>
          <w:sz w:val="24"/>
          <w:szCs w:val="24"/>
          <w:highlight w:val="none"/>
        </w:rPr>
      </w:pPr>
      <w:r>
        <w:rPr>
          <w:color w:val="auto"/>
          <w:kern w:val="0"/>
          <w:sz w:val="24"/>
          <w:szCs w:val="24"/>
          <w:highlight w:val="none"/>
        </w:rPr>
        <w:t>评审得分＝F1＋F2＋……＋Fn；F1、F2、……Fn分别为各项评分因素的汇总得分。</w:t>
      </w:r>
    </w:p>
    <w:p w14:paraId="3C439CEE">
      <w:pPr>
        <w:pStyle w:val="5"/>
        <w:spacing w:line="360" w:lineRule="auto"/>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t>注：计算最终得分保留小数两位。</w:t>
      </w:r>
    </w:p>
    <w:p w14:paraId="5D153F89">
      <w:pPr>
        <w:outlineLvl w:val="9"/>
        <w:rPr>
          <w:color w:val="auto"/>
          <w:highlight w:val="none"/>
        </w:rPr>
      </w:pPr>
    </w:p>
    <w:p w14:paraId="657FCC10">
      <w:pPr>
        <w:pStyle w:val="4"/>
        <w:spacing w:before="240" w:beforeLines="100" w:after="240" w:afterLines="100" w:line="240" w:lineRule="auto"/>
        <w:rPr>
          <w:rFonts w:ascii="Times New Roman" w:hAnsi="Times New Roman" w:eastAsia="黑体"/>
          <w:b/>
          <w:bCs/>
          <w:sz w:val="28"/>
          <w:szCs w:val="28"/>
        </w:rPr>
      </w:pPr>
      <w:r>
        <w:rPr>
          <w:rFonts w:hint="eastAsia" w:ascii="Times New Roman" w:hAnsi="Times New Roman" w:eastAsia="黑体" w:cs="Times New Roman"/>
          <w:b/>
          <w:bCs/>
          <w:color w:val="auto"/>
          <w:kern w:val="2"/>
          <w:sz w:val="28"/>
          <w:szCs w:val="28"/>
          <w:highlight w:val="none"/>
          <w:lang w:val="en-US" w:eastAsia="zh-CN" w:bidi="ar-SA"/>
        </w:rPr>
        <w:br w:type="page"/>
      </w:r>
      <w:r>
        <w:rPr>
          <w:rFonts w:hint="eastAsia" w:ascii="Times New Roman" w:hAnsi="Times New Roman" w:eastAsia="黑体"/>
          <w:b/>
          <w:bCs/>
          <w:sz w:val="28"/>
          <w:szCs w:val="28"/>
        </w:rPr>
        <w:t>三、</w:t>
      </w:r>
      <w:r>
        <w:rPr>
          <w:rFonts w:ascii="Times New Roman" w:hAnsi="Times New Roman" w:eastAsia="黑体"/>
          <w:b/>
          <w:bCs/>
          <w:sz w:val="28"/>
          <w:szCs w:val="28"/>
        </w:rPr>
        <w:t>评分标准</w:t>
      </w:r>
    </w:p>
    <w:p w14:paraId="22B9BE4F">
      <w:pPr>
        <w:spacing w:line="480" w:lineRule="exact"/>
        <w:ind w:firstLine="482" w:firstLineChars="200"/>
        <w:jc w:val="center"/>
        <w:rPr>
          <w:szCs w:val="24"/>
        </w:rPr>
      </w:pPr>
      <w:r>
        <w:rPr>
          <w:rFonts w:hint="eastAsia"/>
          <w:b/>
          <w:bCs/>
          <w:szCs w:val="24"/>
          <w:lang w:eastAsia="zh-CN"/>
        </w:rPr>
        <w:t>A包</w:t>
      </w:r>
      <w:r>
        <w:rPr>
          <w:rFonts w:hint="eastAsia"/>
          <w:b/>
          <w:bCs/>
          <w:szCs w:val="24"/>
        </w:rPr>
        <w:t>、</w:t>
      </w:r>
      <w:r>
        <w:rPr>
          <w:rFonts w:hint="eastAsia"/>
          <w:b/>
          <w:bCs/>
          <w:szCs w:val="24"/>
          <w:lang w:eastAsia="zh-CN"/>
        </w:rPr>
        <w:t>B包</w:t>
      </w:r>
      <w:r>
        <w:rPr>
          <w:rFonts w:hint="eastAsia"/>
          <w:b/>
          <w:bCs/>
          <w:szCs w:val="24"/>
        </w:rPr>
        <w:t>评分标准</w:t>
      </w:r>
    </w:p>
    <w:p w14:paraId="1B68070E">
      <w:pPr>
        <w:spacing w:line="480" w:lineRule="exact"/>
        <w:ind w:firstLine="480" w:firstLineChars="200"/>
        <w:rPr>
          <w:szCs w:val="24"/>
        </w:rPr>
      </w:pPr>
      <w:r>
        <w:rPr>
          <w:szCs w:val="24"/>
        </w:rPr>
        <w:t>评审得分：</w:t>
      </w:r>
      <w:r>
        <w:rPr>
          <w:szCs w:val="24"/>
          <w:u w:val="single"/>
        </w:rPr>
        <w:t xml:space="preserve"> 105</w:t>
      </w:r>
      <w:r>
        <w:rPr>
          <w:szCs w:val="24"/>
        </w:rPr>
        <w:t xml:space="preserve"> 分，评分分值（权重）分配如下：</w:t>
      </w:r>
    </w:p>
    <w:tbl>
      <w:tblPr>
        <w:tblStyle w:val="14"/>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2498"/>
        <w:gridCol w:w="1760"/>
        <w:gridCol w:w="1701"/>
        <w:gridCol w:w="1701"/>
        <w:gridCol w:w="1417"/>
      </w:tblGrid>
      <w:tr w14:paraId="3768B4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98" w:type="dxa"/>
            <w:noWrap/>
            <w:vAlign w:val="center"/>
          </w:tcPr>
          <w:p w14:paraId="37D16860">
            <w:pPr>
              <w:jc w:val="center"/>
              <w:rPr>
                <w:rFonts w:hint="eastAsia" w:ascii="宋体" w:hAnsi="宋体" w:eastAsia="宋体" w:cs="宋体"/>
                <w:b/>
                <w:bCs/>
                <w:szCs w:val="24"/>
              </w:rPr>
            </w:pPr>
            <w:r>
              <w:rPr>
                <w:rFonts w:hint="eastAsia" w:ascii="宋体" w:hAnsi="宋体" w:eastAsia="宋体" w:cs="宋体"/>
                <w:b/>
                <w:bCs/>
                <w:szCs w:val="24"/>
              </w:rPr>
              <w:t>评分因素</w:t>
            </w:r>
          </w:p>
        </w:tc>
        <w:tc>
          <w:tcPr>
            <w:tcW w:w="1760" w:type="dxa"/>
            <w:noWrap/>
            <w:vAlign w:val="center"/>
          </w:tcPr>
          <w:p w14:paraId="65632A12">
            <w:pPr>
              <w:jc w:val="center"/>
              <w:rPr>
                <w:rFonts w:hint="eastAsia" w:ascii="宋体" w:hAnsi="宋体" w:eastAsia="宋体" w:cs="宋体"/>
                <w:b/>
                <w:bCs/>
                <w:szCs w:val="24"/>
              </w:rPr>
            </w:pPr>
            <w:r>
              <w:rPr>
                <w:rFonts w:hint="eastAsia" w:ascii="宋体" w:hAnsi="宋体" w:eastAsia="宋体" w:cs="宋体"/>
                <w:b/>
                <w:bCs/>
                <w:szCs w:val="24"/>
              </w:rPr>
              <w:t>投标报价分</w:t>
            </w:r>
          </w:p>
        </w:tc>
        <w:tc>
          <w:tcPr>
            <w:tcW w:w="1701" w:type="dxa"/>
            <w:noWrap/>
            <w:vAlign w:val="center"/>
          </w:tcPr>
          <w:p w14:paraId="0950FEDA">
            <w:pPr>
              <w:jc w:val="center"/>
              <w:rPr>
                <w:rFonts w:hint="eastAsia" w:ascii="宋体" w:hAnsi="宋体" w:eastAsia="宋体" w:cs="宋体"/>
                <w:b/>
                <w:bCs/>
                <w:szCs w:val="24"/>
              </w:rPr>
            </w:pPr>
            <w:r>
              <w:rPr>
                <w:rFonts w:hint="eastAsia" w:ascii="宋体" w:hAnsi="宋体" w:eastAsia="宋体" w:cs="宋体"/>
                <w:b/>
                <w:bCs/>
                <w:szCs w:val="24"/>
              </w:rPr>
              <w:t>技术分</w:t>
            </w:r>
          </w:p>
        </w:tc>
        <w:tc>
          <w:tcPr>
            <w:tcW w:w="1701" w:type="dxa"/>
            <w:noWrap/>
            <w:vAlign w:val="center"/>
          </w:tcPr>
          <w:p w14:paraId="6F043955">
            <w:pPr>
              <w:jc w:val="center"/>
              <w:rPr>
                <w:rFonts w:hint="eastAsia" w:ascii="宋体" w:hAnsi="宋体" w:eastAsia="宋体" w:cs="宋体"/>
                <w:b/>
                <w:bCs/>
                <w:szCs w:val="24"/>
              </w:rPr>
            </w:pPr>
            <w:r>
              <w:rPr>
                <w:rFonts w:hint="eastAsia" w:ascii="宋体" w:hAnsi="宋体" w:eastAsia="宋体" w:cs="宋体"/>
                <w:b/>
                <w:bCs/>
                <w:szCs w:val="24"/>
              </w:rPr>
              <w:t>商务分</w:t>
            </w:r>
          </w:p>
        </w:tc>
        <w:tc>
          <w:tcPr>
            <w:tcW w:w="1417" w:type="dxa"/>
            <w:noWrap/>
            <w:vAlign w:val="center"/>
          </w:tcPr>
          <w:p w14:paraId="345AA49C">
            <w:pPr>
              <w:jc w:val="center"/>
              <w:rPr>
                <w:rFonts w:hint="eastAsia" w:ascii="宋体" w:hAnsi="宋体" w:eastAsia="宋体" w:cs="宋体"/>
                <w:b/>
                <w:bCs/>
                <w:szCs w:val="24"/>
              </w:rPr>
            </w:pPr>
            <w:r>
              <w:rPr>
                <w:rFonts w:hint="eastAsia" w:ascii="宋体" w:hAnsi="宋体" w:eastAsia="宋体" w:cs="宋体"/>
                <w:b/>
                <w:bCs/>
                <w:szCs w:val="24"/>
              </w:rPr>
              <w:t>政策性加分</w:t>
            </w:r>
          </w:p>
        </w:tc>
      </w:tr>
      <w:tr w14:paraId="26C4B0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98" w:type="dxa"/>
            <w:noWrap/>
            <w:vAlign w:val="center"/>
          </w:tcPr>
          <w:p w14:paraId="6A0387F8">
            <w:pPr>
              <w:jc w:val="center"/>
              <w:rPr>
                <w:rFonts w:hint="eastAsia" w:ascii="宋体" w:hAnsi="宋体" w:eastAsia="宋体" w:cs="宋体"/>
                <w:szCs w:val="24"/>
              </w:rPr>
            </w:pPr>
            <w:r>
              <w:rPr>
                <w:rFonts w:hint="eastAsia" w:ascii="宋体" w:hAnsi="宋体" w:eastAsia="宋体" w:cs="宋体"/>
                <w:b/>
                <w:bCs/>
                <w:szCs w:val="24"/>
              </w:rPr>
              <w:t>分值</w:t>
            </w:r>
          </w:p>
        </w:tc>
        <w:tc>
          <w:tcPr>
            <w:tcW w:w="1760" w:type="dxa"/>
            <w:noWrap/>
            <w:vAlign w:val="center"/>
          </w:tcPr>
          <w:p w14:paraId="1AFE0407">
            <w:pPr>
              <w:jc w:val="center"/>
              <w:rPr>
                <w:rFonts w:hint="eastAsia" w:ascii="宋体" w:hAnsi="宋体" w:eastAsia="宋体" w:cs="宋体"/>
                <w:szCs w:val="24"/>
              </w:rPr>
            </w:pPr>
            <w:r>
              <w:rPr>
                <w:rFonts w:hint="eastAsia" w:ascii="宋体" w:hAnsi="宋体" w:eastAsia="宋体" w:cs="宋体"/>
                <w:szCs w:val="24"/>
              </w:rPr>
              <w:t>30</w:t>
            </w:r>
          </w:p>
        </w:tc>
        <w:tc>
          <w:tcPr>
            <w:tcW w:w="1701" w:type="dxa"/>
            <w:noWrap/>
            <w:vAlign w:val="center"/>
          </w:tcPr>
          <w:p w14:paraId="5C98D9ED">
            <w:pPr>
              <w:jc w:val="center"/>
              <w:rPr>
                <w:rFonts w:hint="default" w:ascii="宋体" w:hAnsi="宋体" w:eastAsia="宋体" w:cs="宋体"/>
                <w:szCs w:val="24"/>
                <w:lang w:val="en-US" w:eastAsia="zh-CN"/>
              </w:rPr>
            </w:pPr>
            <w:r>
              <w:rPr>
                <w:rFonts w:hint="eastAsia" w:ascii="宋体" w:hAnsi="宋体" w:cs="宋体"/>
                <w:szCs w:val="24"/>
                <w:lang w:val="en-US" w:eastAsia="zh-CN"/>
              </w:rPr>
              <w:t>50</w:t>
            </w:r>
          </w:p>
        </w:tc>
        <w:tc>
          <w:tcPr>
            <w:tcW w:w="1701" w:type="dxa"/>
            <w:noWrap/>
            <w:vAlign w:val="center"/>
          </w:tcPr>
          <w:p w14:paraId="1078912E">
            <w:pPr>
              <w:jc w:val="center"/>
              <w:rPr>
                <w:rFonts w:hint="default" w:ascii="宋体" w:hAnsi="宋体" w:eastAsia="宋体" w:cs="宋体"/>
                <w:szCs w:val="24"/>
                <w:lang w:val="en-US" w:eastAsia="zh-CN"/>
              </w:rPr>
            </w:pPr>
            <w:r>
              <w:rPr>
                <w:rFonts w:hint="eastAsia" w:ascii="宋体" w:hAnsi="宋体" w:cs="宋体"/>
                <w:szCs w:val="24"/>
                <w:lang w:val="en-US" w:eastAsia="zh-CN"/>
              </w:rPr>
              <w:t>20</w:t>
            </w:r>
          </w:p>
        </w:tc>
        <w:tc>
          <w:tcPr>
            <w:tcW w:w="1417" w:type="dxa"/>
            <w:noWrap/>
            <w:vAlign w:val="center"/>
          </w:tcPr>
          <w:p w14:paraId="3A28C9AA">
            <w:pPr>
              <w:jc w:val="center"/>
              <w:rPr>
                <w:rFonts w:hint="eastAsia" w:ascii="宋体" w:hAnsi="宋体" w:eastAsia="宋体" w:cs="宋体"/>
                <w:szCs w:val="24"/>
              </w:rPr>
            </w:pPr>
            <w:r>
              <w:rPr>
                <w:rFonts w:hint="eastAsia" w:ascii="宋体" w:hAnsi="宋体" w:eastAsia="宋体" w:cs="宋体"/>
                <w:szCs w:val="24"/>
              </w:rPr>
              <w:t>5</w:t>
            </w:r>
          </w:p>
        </w:tc>
      </w:tr>
    </w:tbl>
    <w:p w14:paraId="6D2E8972">
      <w:pPr>
        <w:widowControl/>
        <w:shd w:val="clear" w:color="auto" w:fill="FFFFFF"/>
        <w:spacing w:line="480" w:lineRule="exact"/>
        <w:ind w:firstLine="482" w:firstLineChars="200"/>
        <w:jc w:val="center"/>
        <w:rPr>
          <w:b/>
          <w:bCs/>
          <w:szCs w:val="24"/>
        </w:rPr>
      </w:pPr>
    </w:p>
    <w:p w14:paraId="1A2BCA59">
      <w:pPr>
        <w:widowControl/>
        <w:shd w:val="clear" w:color="auto" w:fill="FFFFFF"/>
        <w:spacing w:line="480" w:lineRule="exact"/>
        <w:rPr>
          <w:b/>
          <w:szCs w:val="24"/>
        </w:rPr>
      </w:pPr>
      <w:r>
        <w:rPr>
          <w:b/>
          <w:bCs/>
          <w:szCs w:val="24"/>
        </w:rPr>
        <w:t>1．投标报价</w:t>
      </w:r>
      <w:r>
        <w:rPr>
          <w:b/>
          <w:szCs w:val="24"/>
        </w:rPr>
        <w:t>【满分</w:t>
      </w:r>
      <w:r>
        <w:rPr>
          <w:rFonts w:hint="eastAsia"/>
          <w:b/>
          <w:szCs w:val="24"/>
        </w:rPr>
        <w:t>30</w:t>
      </w:r>
      <w:r>
        <w:rPr>
          <w:b/>
          <w:szCs w:val="24"/>
        </w:rPr>
        <w:t>分】：</w:t>
      </w:r>
    </w:p>
    <w:tbl>
      <w:tblPr>
        <w:tblStyle w:val="14"/>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63"/>
        <w:gridCol w:w="805"/>
        <w:gridCol w:w="5953"/>
      </w:tblGrid>
      <w:tr w14:paraId="7A9821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45DB21C2">
            <w:pPr>
              <w:tabs>
                <w:tab w:val="center" w:pos="4153"/>
                <w:tab w:val="right" w:pos="8306"/>
              </w:tabs>
              <w:jc w:val="center"/>
              <w:rPr>
                <w:rFonts w:hint="eastAsia" w:ascii="宋体" w:hAnsi="宋体" w:eastAsia="宋体" w:cs="宋体"/>
                <w:b/>
                <w:caps/>
                <w:szCs w:val="24"/>
              </w:rPr>
            </w:pPr>
            <w:r>
              <w:rPr>
                <w:rFonts w:hint="eastAsia" w:ascii="宋体" w:hAnsi="宋体" w:eastAsia="宋体" w:cs="宋体"/>
                <w:b/>
                <w:bCs/>
                <w:szCs w:val="24"/>
              </w:rPr>
              <w:t>序号</w:t>
            </w:r>
          </w:p>
        </w:tc>
        <w:tc>
          <w:tcPr>
            <w:tcW w:w="1463" w:type="dxa"/>
            <w:noWrap/>
            <w:vAlign w:val="center"/>
          </w:tcPr>
          <w:p w14:paraId="5065D6E0">
            <w:pPr>
              <w:tabs>
                <w:tab w:val="center" w:pos="4153"/>
                <w:tab w:val="right" w:pos="8306"/>
              </w:tabs>
              <w:jc w:val="center"/>
              <w:rPr>
                <w:rFonts w:hint="eastAsia" w:ascii="宋体" w:hAnsi="宋体" w:eastAsia="宋体" w:cs="宋体"/>
                <w:szCs w:val="24"/>
              </w:rPr>
            </w:pPr>
            <w:r>
              <w:rPr>
                <w:rFonts w:hint="eastAsia" w:ascii="宋体" w:hAnsi="宋体" w:eastAsia="宋体" w:cs="宋体"/>
                <w:b/>
                <w:bCs/>
                <w:szCs w:val="24"/>
              </w:rPr>
              <w:t>评分因素</w:t>
            </w:r>
          </w:p>
        </w:tc>
        <w:tc>
          <w:tcPr>
            <w:tcW w:w="805" w:type="dxa"/>
            <w:noWrap/>
            <w:vAlign w:val="center"/>
          </w:tcPr>
          <w:p w14:paraId="7D9ECBB7">
            <w:pPr>
              <w:tabs>
                <w:tab w:val="center" w:pos="4153"/>
                <w:tab w:val="right" w:pos="8306"/>
              </w:tabs>
              <w:jc w:val="center"/>
              <w:rPr>
                <w:rFonts w:hint="eastAsia" w:ascii="宋体" w:hAnsi="宋体" w:eastAsia="宋体" w:cs="宋体"/>
                <w:szCs w:val="24"/>
              </w:rPr>
            </w:pPr>
            <w:r>
              <w:rPr>
                <w:rFonts w:hint="eastAsia" w:ascii="宋体" w:hAnsi="宋体" w:eastAsia="宋体" w:cs="宋体"/>
                <w:b/>
                <w:bCs/>
                <w:szCs w:val="24"/>
              </w:rPr>
              <w:t>分值</w:t>
            </w:r>
          </w:p>
        </w:tc>
        <w:tc>
          <w:tcPr>
            <w:tcW w:w="5953" w:type="dxa"/>
            <w:noWrap/>
            <w:vAlign w:val="center"/>
          </w:tcPr>
          <w:p w14:paraId="7B2F5CFA">
            <w:pPr>
              <w:jc w:val="center"/>
              <w:rPr>
                <w:rFonts w:hint="eastAsia" w:ascii="宋体" w:hAnsi="宋体" w:eastAsia="宋体" w:cs="宋体"/>
                <w:szCs w:val="24"/>
              </w:rPr>
            </w:pPr>
            <w:r>
              <w:rPr>
                <w:rFonts w:hint="eastAsia" w:ascii="宋体" w:hAnsi="宋体" w:eastAsia="宋体" w:cs="宋体"/>
                <w:b/>
                <w:bCs/>
                <w:szCs w:val="24"/>
              </w:rPr>
              <w:t>评分标准</w:t>
            </w:r>
          </w:p>
        </w:tc>
      </w:tr>
      <w:tr w14:paraId="62AF7D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19DE6F44">
            <w:pPr>
              <w:tabs>
                <w:tab w:val="center" w:pos="4153"/>
                <w:tab w:val="right" w:pos="8306"/>
              </w:tabs>
              <w:jc w:val="center"/>
              <w:rPr>
                <w:szCs w:val="24"/>
              </w:rPr>
            </w:pPr>
            <w:r>
              <w:rPr>
                <w:szCs w:val="24"/>
              </w:rPr>
              <w:t>1.1</w:t>
            </w:r>
          </w:p>
        </w:tc>
        <w:tc>
          <w:tcPr>
            <w:tcW w:w="1463" w:type="dxa"/>
            <w:noWrap/>
            <w:vAlign w:val="center"/>
          </w:tcPr>
          <w:p w14:paraId="58828C3B">
            <w:pPr>
              <w:tabs>
                <w:tab w:val="center" w:pos="4153"/>
                <w:tab w:val="right" w:pos="8306"/>
              </w:tabs>
              <w:jc w:val="center"/>
              <w:rPr>
                <w:szCs w:val="24"/>
              </w:rPr>
            </w:pPr>
            <w:r>
              <w:rPr>
                <w:szCs w:val="24"/>
              </w:rPr>
              <w:t>投标报价分</w:t>
            </w:r>
          </w:p>
        </w:tc>
        <w:tc>
          <w:tcPr>
            <w:tcW w:w="805" w:type="dxa"/>
            <w:noWrap/>
            <w:vAlign w:val="center"/>
          </w:tcPr>
          <w:p w14:paraId="3694DEC1">
            <w:pPr>
              <w:tabs>
                <w:tab w:val="center" w:pos="4153"/>
                <w:tab w:val="right" w:pos="8306"/>
              </w:tabs>
              <w:jc w:val="center"/>
              <w:rPr>
                <w:szCs w:val="24"/>
              </w:rPr>
            </w:pPr>
            <w:r>
              <w:rPr>
                <w:szCs w:val="24"/>
              </w:rPr>
              <w:t>30</w:t>
            </w:r>
          </w:p>
        </w:tc>
        <w:tc>
          <w:tcPr>
            <w:tcW w:w="5953" w:type="dxa"/>
            <w:noWrap/>
            <w:vAlign w:val="center"/>
          </w:tcPr>
          <w:p w14:paraId="687865C9">
            <w:pPr>
              <w:widowControl/>
              <w:rPr>
                <w:szCs w:val="24"/>
              </w:rPr>
            </w:pPr>
            <w:r>
              <w:rPr>
                <w:szCs w:val="24"/>
              </w:rPr>
              <w:t>满足招标文件要求且投标价格最低的投标报价为评标基准价，按照下列公式计算每个投标人的投标报价得分。</w:t>
            </w:r>
          </w:p>
          <w:p w14:paraId="559C5952">
            <w:pPr>
              <w:rPr>
                <w:szCs w:val="24"/>
              </w:rPr>
            </w:pPr>
            <w:r>
              <w:rPr>
                <w:szCs w:val="24"/>
              </w:rPr>
              <w:t>投标报价得分=（评标基准价/投标报价）×30</w:t>
            </w:r>
          </w:p>
          <w:p w14:paraId="2F882345">
            <w:pPr>
              <w:widowControl/>
              <w:jc w:val="left"/>
              <w:rPr>
                <w:szCs w:val="24"/>
              </w:rPr>
            </w:pPr>
            <w:r>
              <w:rPr>
                <w:szCs w:val="24"/>
              </w:rPr>
              <w:t>备注：</w:t>
            </w:r>
          </w:p>
          <w:p w14:paraId="6382FBE8">
            <w:pPr>
              <w:widowControl/>
              <w:jc w:val="left"/>
              <w:rPr>
                <w:szCs w:val="24"/>
              </w:rPr>
            </w:pPr>
            <w:r>
              <w:rPr>
                <w:szCs w:val="24"/>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对享受价格扣除政策的企业产品给予价格扣除，用扣除后的价格参与评审。</w:t>
            </w:r>
          </w:p>
          <w:p w14:paraId="3EE6D030">
            <w:pPr>
              <w:widowControl/>
              <w:jc w:val="left"/>
              <w:rPr>
                <w:szCs w:val="24"/>
              </w:rPr>
            </w:pPr>
            <w:r>
              <w:rPr>
                <w:szCs w:val="24"/>
              </w:rPr>
              <w:t>说明：</w:t>
            </w:r>
          </w:p>
          <w:p w14:paraId="768F4E6D">
            <w:pPr>
              <w:widowControl/>
              <w:jc w:val="left"/>
              <w:rPr>
                <w:szCs w:val="24"/>
              </w:rPr>
            </w:pPr>
            <w:r>
              <w:rPr>
                <w:szCs w:val="24"/>
              </w:rPr>
              <w:t xml:space="preserve">（1）监狱企业、残疾人福利性单位视同小型、微型企业，享受预留份额、评审中价格扣除等促进中小企业发展的政府采购政策。 </w:t>
            </w:r>
          </w:p>
          <w:p w14:paraId="59231B66">
            <w:pPr>
              <w:widowControl/>
              <w:jc w:val="left"/>
              <w:rPr>
                <w:szCs w:val="24"/>
              </w:rPr>
            </w:pPr>
            <w:r>
              <w:rPr>
                <w:szCs w:val="24"/>
              </w:rPr>
              <w:t>（2）对于经主管预算单位统筹后未预留份额专门面向中小企业采购的项目，以及预留份额项目中的非预留部分采购包，对符合本办法规定的小微企业报价给予</w:t>
            </w:r>
            <w:r>
              <w:rPr>
                <w:szCs w:val="24"/>
                <w:u w:val="single"/>
              </w:rPr>
              <w:t xml:space="preserve"> 10%</w:t>
            </w:r>
            <w:r>
              <w:rPr>
                <w:szCs w:val="24"/>
              </w:rPr>
              <w:t>的扣除，用扣除后的价格参加评审。</w:t>
            </w:r>
          </w:p>
          <w:p w14:paraId="25B7A847">
            <w:pPr>
              <w:widowControl/>
              <w:jc w:val="left"/>
              <w:rPr>
                <w:szCs w:val="24"/>
              </w:rPr>
            </w:pPr>
            <w:r>
              <w:rPr>
                <w:szCs w:val="24"/>
              </w:rPr>
              <w:t>（3）投标人必须对小型和微型企业、残疾人福利单位、监狱企业产品进行标注说明，且不得出现畸形报价，否则评标委员会有权不予认可。</w:t>
            </w:r>
          </w:p>
          <w:p w14:paraId="46D40136">
            <w:pPr>
              <w:widowControl/>
              <w:jc w:val="left"/>
              <w:rPr>
                <w:szCs w:val="24"/>
              </w:rPr>
            </w:pPr>
            <w:r>
              <w:rPr>
                <w:szCs w:val="24"/>
              </w:rPr>
              <w:t>（4）组成联合体或者接受分包的小微企业与联合体内其他企业、分包企业之间存在直接控股、管理关系的，不享受价格扣除优惠政策。</w:t>
            </w:r>
          </w:p>
          <w:p w14:paraId="12E3B35F">
            <w:pPr>
              <w:widowControl/>
              <w:jc w:val="left"/>
              <w:rPr>
                <w:szCs w:val="24"/>
              </w:rPr>
            </w:pPr>
            <w:r>
              <w:rPr>
                <w:szCs w:val="24"/>
              </w:rPr>
              <w:t>（5）投标人提供的《残疾人福利性单位声明函》《监狱性单位声明函》和《中小企业声明函》所载内容必须真实，如有虚假，将依法承担相应责任，包括取消中标资格等。中小企业划分标准依照工业和信息化部、国家统计局、国家发展和改革委员会、财政部联合下发的《关于印发中小企业划型标准规定的通知》（工信部联企业《2011》300号）执行。</w:t>
            </w:r>
          </w:p>
          <w:p w14:paraId="47EF0BE9">
            <w:pPr>
              <w:widowControl/>
              <w:jc w:val="left"/>
              <w:rPr>
                <w:szCs w:val="24"/>
              </w:rPr>
            </w:pPr>
            <w:r>
              <w:rPr>
                <w:szCs w:val="24"/>
              </w:rPr>
              <w:t>（6）专门面向中小企业采购的项目或者采购包，不再执行价格评审优惠的扶持政策。</w:t>
            </w:r>
          </w:p>
        </w:tc>
      </w:tr>
    </w:tbl>
    <w:p w14:paraId="2D1CDF24">
      <w:pPr>
        <w:widowControl/>
        <w:shd w:val="clear" w:color="auto" w:fill="FFFFFF"/>
        <w:spacing w:line="480" w:lineRule="exact"/>
        <w:ind w:firstLine="482" w:firstLineChars="200"/>
        <w:rPr>
          <w:b/>
          <w:bCs/>
          <w:szCs w:val="24"/>
        </w:rPr>
      </w:pPr>
      <w:r>
        <w:rPr>
          <w:b/>
          <w:bCs/>
          <w:szCs w:val="24"/>
        </w:rPr>
        <w:t>2．技术分【满分</w:t>
      </w:r>
      <w:r>
        <w:rPr>
          <w:rFonts w:hint="eastAsia"/>
          <w:b/>
          <w:bCs/>
          <w:szCs w:val="24"/>
          <w:lang w:val="en-US" w:eastAsia="zh-CN"/>
        </w:rPr>
        <w:t>50</w:t>
      </w:r>
      <w:r>
        <w:rPr>
          <w:b/>
          <w:bCs/>
          <w:szCs w:val="24"/>
        </w:rPr>
        <w:t>分】：</w:t>
      </w:r>
    </w:p>
    <w:tbl>
      <w:tblPr>
        <w:tblStyle w:val="14"/>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41"/>
        <w:gridCol w:w="827"/>
        <w:gridCol w:w="5953"/>
      </w:tblGrid>
      <w:tr w14:paraId="51318E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4337BCB6">
            <w:pPr>
              <w:tabs>
                <w:tab w:val="center" w:pos="4153"/>
                <w:tab w:val="right" w:pos="8306"/>
              </w:tabs>
              <w:jc w:val="center"/>
              <w:rPr>
                <w:b/>
                <w:caps/>
                <w:szCs w:val="24"/>
              </w:rPr>
            </w:pPr>
            <w:r>
              <w:rPr>
                <w:rFonts w:eastAsia="黑体"/>
                <w:b/>
                <w:bCs/>
                <w:szCs w:val="24"/>
              </w:rPr>
              <w:t>序号</w:t>
            </w:r>
          </w:p>
        </w:tc>
        <w:tc>
          <w:tcPr>
            <w:tcW w:w="1441" w:type="dxa"/>
            <w:noWrap/>
            <w:vAlign w:val="center"/>
          </w:tcPr>
          <w:p w14:paraId="5F332796">
            <w:pPr>
              <w:tabs>
                <w:tab w:val="center" w:pos="4153"/>
                <w:tab w:val="right" w:pos="8306"/>
              </w:tabs>
              <w:jc w:val="center"/>
              <w:rPr>
                <w:szCs w:val="24"/>
              </w:rPr>
            </w:pPr>
            <w:r>
              <w:rPr>
                <w:rFonts w:eastAsia="黑体"/>
                <w:b/>
                <w:bCs/>
                <w:szCs w:val="24"/>
              </w:rPr>
              <w:t>评分因素</w:t>
            </w:r>
          </w:p>
        </w:tc>
        <w:tc>
          <w:tcPr>
            <w:tcW w:w="827" w:type="dxa"/>
            <w:noWrap/>
            <w:vAlign w:val="center"/>
          </w:tcPr>
          <w:p w14:paraId="1D34F92D">
            <w:pPr>
              <w:tabs>
                <w:tab w:val="center" w:pos="4153"/>
                <w:tab w:val="right" w:pos="8306"/>
              </w:tabs>
              <w:jc w:val="center"/>
              <w:rPr>
                <w:szCs w:val="24"/>
              </w:rPr>
            </w:pPr>
            <w:r>
              <w:rPr>
                <w:rFonts w:eastAsia="黑体"/>
                <w:b/>
                <w:bCs/>
                <w:szCs w:val="24"/>
              </w:rPr>
              <w:t>分值</w:t>
            </w:r>
          </w:p>
        </w:tc>
        <w:tc>
          <w:tcPr>
            <w:tcW w:w="5953" w:type="dxa"/>
            <w:noWrap/>
            <w:vAlign w:val="center"/>
          </w:tcPr>
          <w:p w14:paraId="7A01B690">
            <w:pPr>
              <w:jc w:val="center"/>
              <w:rPr>
                <w:szCs w:val="24"/>
              </w:rPr>
            </w:pPr>
            <w:r>
              <w:rPr>
                <w:rFonts w:eastAsia="黑体"/>
                <w:b/>
                <w:bCs/>
                <w:szCs w:val="24"/>
              </w:rPr>
              <w:t>评分标准</w:t>
            </w:r>
          </w:p>
        </w:tc>
      </w:tr>
      <w:tr w14:paraId="7C2F61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210C632B">
            <w:pPr>
              <w:tabs>
                <w:tab w:val="center" w:pos="4153"/>
                <w:tab w:val="right" w:pos="8306"/>
              </w:tabs>
              <w:jc w:val="center"/>
              <w:rPr>
                <w:b/>
                <w:bCs/>
                <w:szCs w:val="24"/>
              </w:rPr>
            </w:pPr>
            <w:r>
              <w:rPr>
                <w:rFonts w:hint="eastAsia"/>
                <w:b/>
                <w:bCs/>
                <w:szCs w:val="24"/>
              </w:rPr>
              <w:t>2.1</w:t>
            </w:r>
          </w:p>
        </w:tc>
        <w:tc>
          <w:tcPr>
            <w:tcW w:w="1441" w:type="dxa"/>
            <w:noWrap/>
            <w:vAlign w:val="center"/>
          </w:tcPr>
          <w:p w14:paraId="1F495244">
            <w:pPr>
              <w:pStyle w:val="7"/>
              <w:jc w:val="center"/>
              <w:rPr>
                <w:b/>
                <w:color w:val="auto"/>
                <w:szCs w:val="22"/>
              </w:rPr>
            </w:pPr>
            <w:r>
              <w:rPr>
                <w:rFonts w:hint="eastAsia"/>
                <w:b/>
                <w:bCs/>
                <w:sz w:val="24"/>
                <w:szCs w:val="24"/>
              </w:rPr>
              <w:t>投</w:t>
            </w:r>
            <w:r>
              <w:rPr>
                <w:rFonts w:hint="eastAsia"/>
                <w:b/>
                <w:bCs/>
                <w:color w:val="auto"/>
                <w:sz w:val="24"/>
                <w:szCs w:val="24"/>
              </w:rPr>
              <w:t>标响应评价分</w:t>
            </w:r>
            <w:r>
              <w:rPr>
                <w:rFonts w:hint="eastAsia" w:ascii="宋体" w:hAnsi="宋体" w:cs="宋体"/>
                <w:b/>
                <w:color w:val="auto"/>
                <w:sz w:val="24"/>
                <w:szCs w:val="24"/>
              </w:rPr>
              <w:t>（客观分）</w:t>
            </w:r>
          </w:p>
          <w:p w14:paraId="061EFF75">
            <w:pPr>
              <w:tabs>
                <w:tab w:val="center" w:pos="4153"/>
                <w:tab w:val="right" w:pos="8306"/>
              </w:tabs>
              <w:jc w:val="center"/>
              <w:rPr>
                <w:b/>
                <w:bCs/>
                <w:szCs w:val="24"/>
              </w:rPr>
            </w:pPr>
          </w:p>
        </w:tc>
        <w:tc>
          <w:tcPr>
            <w:tcW w:w="827" w:type="dxa"/>
            <w:noWrap/>
            <w:vAlign w:val="center"/>
          </w:tcPr>
          <w:p w14:paraId="597DDE9F">
            <w:pPr>
              <w:tabs>
                <w:tab w:val="center" w:pos="4153"/>
                <w:tab w:val="right" w:pos="8306"/>
              </w:tabs>
              <w:jc w:val="center"/>
              <w:rPr>
                <w:rFonts w:hint="default" w:eastAsia="宋体"/>
                <w:b/>
                <w:bCs/>
                <w:szCs w:val="24"/>
                <w:lang w:val="en-US" w:eastAsia="zh-CN"/>
              </w:rPr>
            </w:pPr>
            <w:r>
              <w:rPr>
                <w:rFonts w:hint="eastAsia"/>
                <w:b/>
                <w:bCs/>
                <w:szCs w:val="24"/>
                <w:lang w:val="en-US" w:eastAsia="zh-CN"/>
              </w:rPr>
              <w:t>45</w:t>
            </w:r>
          </w:p>
        </w:tc>
        <w:tc>
          <w:tcPr>
            <w:tcW w:w="5953" w:type="dxa"/>
            <w:noWrap/>
            <w:vAlign w:val="center"/>
          </w:tcPr>
          <w:p w14:paraId="152A636E">
            <w:pPr>
              <w:spacing w:line="360" w:lineRule="auto"/>
              <w:rPr>
                <w:rFonts w:hint="eastAsia" w:ascii="宋体" w:hAnsi="宋体" w:cs="宋体"/>
                <w:szCs w:val="24"/>
              </w:rPr>
            </w:pPr>
            <w:r>
              <w:rPr>
                <w:rFonts w:hint="eastAsia" w:ascii="宋体" w:hAnsi="宋体" w:cs="宋体"/>
                <w:b/>
                <w:szCs w:val="24"/>
              </w:rPr>
              <w:t>评标委员会根据各投标人对招标文件“技术参数（规格）要求”的响应情况进行评审：</w:t>
            </w:r>
          </w:p>
          <w:p w14:paraId="7649F3E2">
            <w:pPr>
              <w:spacing w:line="360" w:lineRule="auto"/>
              <w:jc w:val="left"/>
              <w:rPr>
                <w:rFonts w:hint="eastAsia" w:ascii="宋体" w:hAnsi="宋体" w:cs="宋体"/>
                <w:szCs w:val="24"/>
              </w:rPr>
            </w:pPr>
            <w:r>
              <w:rPr>
                <w:rFonts w:hint="eastAsia" w:ascii="宋体" w:hAnsi="宋体" w:cs="宋体"/>
                <w:szCs w:val="24"/>
              </w:rPr>
              <w:t>1、投标响应完全满足或优于招标文件“第五章 采购需求”中“技术参数（规格）要求”得分</w:t>
            </w:r>
            <w:r>
              <w:rPr>
                <w:rFonts w:hint="eastAsia" w:ascii="宋体" w:hAnsi="宋体" w:cs="宋体"/>
                <w:szCs w:val="24"/>
                <w:lang w:val="en-US" w:eastAsia="zh-CN"/>
              </w:rPr>
              <w:t>45</w:t>
            </w:r>
            <w:r>
              <w:rPr>
                <w:rFonts w:hint="eastAsia" w:ascii="宋体" w:hAnsi="宋体" w:cs="宋体"/>
                <w:szCs w:val="24"/>
              </w:rPr>
              <w:t>分。</w:t>
            </w:r>
          </w:p>
          <w:p w14:paraId="78EE299C">
            <w:pPr>
              <w:spacing w:line="360" w:lineRule="auto"/>
              <w:jc w:val="left"/>
              <w:rPr>
                <w:rFonts w:hint="eastAsia" w:ascii="宋体" w:hAnsi="宋体" w:cs="宋体"/>
                <w:szCs w:val="24"/>
              </w:rPr>
            </w:pPr>
            <w:r>
              <w:rPr>
                <w:rFonts w:hint="eastAsia" w:ascii="宋体" w:hAnsi="宋体" w:cs="宋体"/>
                <w:szCs w:val="24"/>
              </w:rPr>
              <w:t>2、投标响应与招标文件“第五章 采购需求”中“技术参数（规格）要求”的任意一条▲条款存在负偏离，在</w:t>
            </w:r>
            <w:r>
              <w:rPr>
                <w:rFonts w:hint="eastAsia" w:ascii="宋体" w:hAnsi="宋体" w:cs="宋体"/>
                <w:szCs w:val="24"/>
                <w:lang w:val="en-US" w:eastAsia="zh-CN"/>
              </w:rPr>
              <w:t>45</w:t>
            </w:r>
            <w:r>
              <w:rPr>
                <w:rFonts w:hint="eastAsia" w:ascii="宋体" w:hAnsi="宋体" w:cs="宋体"/>
                <w:szCs w:val="24"/>
              </w:rPr>
              <w:t>分基础上扣</w:t>
            </w:r>
            <w:r>
              <w:rPr>
                <w:rFonts w:hint="eastAsia" w:ascii="宋体" w:hAnsi="宋体" w:cs="宋体"/>
                <w:szCs w:val="24"/>
                <w:highlight w:val="none"/>
                <w:shd w:val="clear" w:color="auto" w:fill="auto"/>
              </w:rPr>
              <w:t>减5分/条；任意一条非▲条款存在负偏离，在</w:t>
            </w:r>
            <w:r>
              <w:rPr>
                <w:rFonts w:hint="eastAsia" w:ascii="宋体" w:hAnsi="宋体" w:cs="宋体"/>
                <w:szCs w:val="24"/>
                <w:highlight w:val="none"/>
                <w:shd w:val="clear" w:color="auto" w:fill="auto"/>
                <w:lang w:val="en-US" w:eastAsia="zh-CN"/>
              </w:rPr>
              <w:t>45</w:t>
            </w:r>
            <w:r>
              <w:rPr>
                <w:rFonts w:hint="eastAsia" w:ascii="宋体" w:hAnsi="宋体" w:cs="宋体"/>
                <w:szCs w:val="24"/>
                <w:highlight w:val="none"/>
                <w:shd w:val="clear" w:color="auto" w:fill="auto"/>
              </w:rPr>
              <w:t>分基础上扣减3分/条，扣到0分为</w:t>
            </w:r>
            <w:r>
              <w:rPr>
                <w:rFonts w:hint="eastAsia" w:ascii="宋体" w:hAnsi="宋体" w:cs="宋体"/>
                <w:szCs w:val="24"/>
              </w:rPr>
              <w:t xml:space="preserve">止。                                                    </w:t>
            </w:r>
          </w:p>
          <w:p w14:paraId="742B70A8">
            <w:pPr>
              <w:spacing w:line="360" w:lineRule="auto"/>
              <w:rPr>
                <w:szCs w:val="24"/>
              </w:rPr>
            </w:pPr>
            <w:r>
              <w:rPr>
                <w:rFonts w:hint="eastAsia" w:ascii="宋体" w:hAnsi="宋体" w:cs="宋体"/>
                <w:szCs w:val="24"/>
              </w:rPr>
              <w:t>本项评分的条款将结合投标供应商提供的产品资料（如检测报告、白皮书等）。未提供产品技术资料佐证的条款，评标委员会有权视为不能满足招标文件要求作“负偏离”评分。</w:t>
            </w:r>
          </w:p>
        </w:tc>
      </w:tr>
      <w:tr w14:paraId="7C0217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444" w:hRule="atLeast"/>
          <w:jc w:val="center"/>
        </w:trPr>
        <w:tc>
          <w:tcPr>
            <w:tcW w:w="851" w:type="dxa"/>
            <w:noWrap/>
            <w:vAlign w:val="center"/>
          </w:tcPr>
          <w:p w14:paraId="5116F4DE">
            <w:pPr>
              <w:tabs>
                <w:tab w:val="center" w:pos="4153"/>
                <w:tab w:val="right" w:pos="8306"/>
              </w:tabs>
              <w:jc w:val="center"/>
              <w:rPr>
                <w:b/>
                <w:bCs/>
                <w:szCs w:val="24"/>
              </w:rPr>
            </w:pPr>
            <w:r>
              <w:rPr>
                <w:rFonts w:hint="eastAsia"/>
                <w:b/>
                <w:bCs/>
                <w:szCs w:val="24"/>
              </w:rPr>
              <w:t>2.2</w:t>
            </w:r>
          </w:p>
        </w:tc>
        <w:tc>
          <w:tcPr>
            <w:tcW w:w="1441" w:type="dxa"/>
            <w:noWrap/>
            <w:vAlign w:val="center"/>
          </w:tcPr>
          <w:p w14:paraId="58F4589A">
            <w:pPr>
              <w:pStyle w:val="7"/>
              <w:jc w:val="center"/>
              <w:rPr>
                <w:b/>
                <w:bCs/>
                <w:sz w:val="24"/>
                <w:szCs w:val="24"/>
              </w:rPr>
            </w:pPr>
            <w:r>
              <w:rPr>
                <w:rFonts w:hint="eastAsia"/>
                <w:b/>
                <w:bCs/>
                <w:sz w:val="24"/>
                <w:szCs w:val="24"/>
              </w:rPr>
              <w:t>投标产品综合评价分（主观分）</w:t>
            </w:r>
          </w:p>
        </w:tc>
        <w:tc>
          <w:tcPr>
            <w:tcW w:w="827" w:type="dxa"/>
            <w:noWrap/>
            <w:vAlign w:val="center"/>
          </w:tcPr>
          <w:p w14:paraId="114DC4BE">
            <w:pPr>
              <w:pStyle w:val="7"/>
              <w:jc w:val="center"/>
              <w:rPr>
                <w:b/>
                <w:bCs/>
                <w:sz w:val="24"/>
                <w:szCs w:val="24"/>
              </w:rPr>
            </w:pPr>
            <w:r>
              <w:rPr>
                <w:rFonts w:hint="eastAsia"/>
                <w:b/>
                <w:bCs/>
                <w:sz w:val="24"/>
                <w:szCs w:val="24"/>
              </w:rPr>
              <w:t>5</w:t>
            </w:r>
          </w:p>
        </w:tc>
        <w:tc>
          <w:tcPr>
            <w:tcW w:w="5953" w:type="dxa"/>
            <w:noWrap/>
            <w:vAlign w:val="center"/>
          </w:tcPr>
          <w:p w14:paraId="44A7724D">
            <w:pPr>
              <w:spacing w:line="360" w:lineRule="auto"/>
              <w:jc w:val="left"/>
              <w:rPr>
                <w:szCs w:val="24"/>
              </w:rPr>
            </w:pPr>
            <w:r>
              <w:rPr>
                <w:rFonts w:hint="eastAsia"/>
                <w:szCs w:val="24"/>
              </w:rPr>
              <w:t>评标委员会根据投标人提供的产品技术资料（如产品说明书、官方宣传彩页、第三方检测报告等）（提供任意一项即可）对产品进行综合评价。</w:t>
            </w:r>
          </w:p>
          <w:p w14:paraId="3FB6216E">
            <w:pPr>
              <w:spacing w:line="360" w:lineRule="auto"/>
              <w:jc w:val="left"/>
              <w:rPr>
                <w:szCs w:val="24"/>
              </w:rPr>
            </w:pPr>
            <w:r>
              <w:rPr>
                <w:rFonts w:hint="eastAsia"/>
                <w:szCs w:val="24"/>
              </w:rPr>
              <w:t>（1）评标委员会认为所投产品适用性好、安全性强，技术设计在所有投标产品中最先进，得5分；</w:t>
            </w:r>
          </w:p>
          <w:p w14:paraId="5676C5AF">
            <w:pPr>
              <w:spacing w:line="360" w:lineRule="auto"/>
              <w:jc w:val="left"/>
              <w:rPr>
                <w:szCs w:val="24"/>
              </w:rPr>
            </w:pPr>
            <w:r>
              <w:rPr>
                <w:rFonts w:hint="eastAsia"/>
                <w:szCs w:val="24"/>
              </w:rPr>
              <w:t>（2）评标委员会认为所投产品适用性较好、安全性中等，技术设计缺少先进性，得3分；</w:t>
            </w:r>
          </w:p>
          <w:p w14:paraId="44011626">
            <w:pPr>
              <w:spacing w:line="360" w:lineRule="auto"/>
              <w:jc w:val="left"/>
              <w:rPr>
                <w:szCs w:val="24"/>
              </w:rPr>
            </w:pPr>
            <w:r>
              <w:rPr>
                <w:rFonts w:hint="eastAsia"/>
                <w:szCs w:val="24"/>
              </w:rPr>
              <w:t>（3）评标委员会认为所投产品适用性一般、安全性较弱，技术设计较差，得1分；</w:t>
            </w:r>
          </w:p>
          <w:p w14:paraId="53251FFE">
            <w:pPr>
              <w:spacing w:line="360" w:lineRule="auto"/>
              <w:jc w:val="left"/>
              <w:rPr>
                <w:szCs w:val="24"/>
              </w:rPr>
            </w:pPr>
            <w:r>
              <w:rPr>
                <w:rFonts w:hint="eastAsia"/>
                <w:szCs w:val="24"/>
              </w:rPr>
              <w:t>（4）未提供任何技术资料或专家认为产品完全不符合：0分。</w:t>
            </w:r>
          </w:p>
        </w:tc>
      </w:tr>
    </w:tbl>
    <w:p w14:paraId="35BBBF92">
      <w:pPr>
        <w:widowControl/>
        <w:shd w:val="clear" w:color="auto" w:fill="FFFFFF"/>
        <w:spacing w:line="480" w:lineRule="exact"/>
        <w:ind w:firstLine="482" w:firstLineChars="200"/>
        <w:rPr>
          <w:b/>
          <w:bCs/>
          <w:szCs w:val="24"/>
        </w:rPr>
      </w:pPr>
      <w:r>
        <w:rPr>
          <w:b/>
          <w:bCs/>
          <w:szCs w:val="24"/>
        </w:rPr>
        <w:br w:type="page"/>
      </w:r>
      <w:r>
        <w:rPr>
          <w:b/>
          <w:bCs/>
          <w:szCs w:val="24"/>
        </w:rPr>
        <w:t>3.商务分【满分</w:t>
      </w:r>
      <w:r>
        <w:rPr>
          <w:rFonts w:hint="eastAsia"/>
          <w:b/>
          <w:bCs/>
          <w:szCs w:val="24"/>
          <w:lang w:val="en-US" w:eastAsia="zh-CN"/>
        </w:rPr>
        <w:t>20</w:t>
      </w:r>
      <w:r>
        <w:rPr>
          <w:b/>
          <w:bCs/>
          <w:szCs w:val="24"/>
        </w:rPr>
        <w:t>分】：</w:t>
      </w:r>
    </w:p>
    <w:tbl>
      <w:tblPr>
        <w:tblStyle w:val="14"/>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30"/>
        <w:gridCol w:w="838"/>
        <w:gridCol w:w="5953"/>
      </w:tblGrid>
      <w:tr w14:paraId="3B10A8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7FC79619">
            <w:pPr>
              <w:tabs>
                <w:tab w:val="center" w:pos="4153"/>
                <w:tab w:val="right" w:pos="8306"/>
              </w:tabs>
              <w:jc w:val="center"/>
              <w:rPr>
                <w:b/>
                <w:caps/>
                <w:szCs w:val="24"/>
              </w:rPr>
            </w:pPr>
            <w:r>
              <w:rPr>
                <w:rFonts w:eastAsia="黑体"/>
                <w:b/>
                <w:bCs/>
                <w:szCs w:val="24"/>
              </w:rPr>
              <w:t>序号</w:t>
            </w:r>
          </w:p>
        </w:tc>
        <w:tc>
          <w:tcPr>
            <w:tcW w:w="1430" w:type="dxa"/>
            <w:noWrap/>
            <w:vAlign w:val="center"/>
          </w:tcPr>
          <w:p w14:paraId="757A8B82">
            <w:pPr>
              <w:tabs>
                <w:tab w:val="center" w:pos="4153"/>
                <w:tab w:val="right" w:pos="8306"/>
              </w:tabs>
              <w:jc w:val="center"/>
              <w:rPr>
                <w:szCs w:val="24"/>
              </w:rPr>
            </w:pPr>
            <w:r>
              <w:rPr>
                <w:rFonts w:eastAsia="黑体"/>
                <w:b/>
                <w:bCs/>
                <w:szCs w:val="24"/>
              </w:rPr>
              <w:t>评分因素</w:t>
            </w:r>
          </w:p>
        </w:tc>
        <w:tc>
          <w:tcPr>
            <w:tcW w:w="838" w:type="dxa"/>
            <w:noWrap/>
            <w:vAlign w:val="center"/>
          </w:tcPr>
          <w:p w14:paraId="05D94877">
            <w:pPr>
              <w:tabs>
                <w:tab w:val="center" w:pos="4153"/>
                <w:tab w:val="right" w:pos="8306"/>
              </w:tabs>
              <w:jc w:val="center"/>
              <w:rPr>
                <w:szCs w:val="24"/>
              </w:rPr>
            </w:pPr>
            <w:r>
              <w:rPr>
                <w:rFonts w:eastAsia="黑体"/>
                <w:b/>
                <w:bCs/>
                <w:szCs w:val="24"/>
              </w:rPr>
              <w:t>分值</w:t>
            </w:r>
          </w:p>
        </w:tc>
        <w:tc>
          <w:tcPr>
            <w:tcW w:w="5953" w:type="dxa"/>
            <w:noWrap/>
            <w:vAlign w:val="center"/>
          </w:tcPr>
          <w:p w14:paraId="01E2BF6B">
            <w:pPr>
              <w:jc w:val="center"/>
              <w:rPr>
                <w:szCs w:val="24"/>
              </w:rPr>
            </w:pPr>
            <w:r>
              <w:rPr>
                <w:rFonts w:eastAsia="黑体"/>
                <w:b/>
                <w:bCs/>
                <w:szCs w:val="24"/>
              </w:rPr>
              <w:t>评分标准</w:t>
            </w:r>
          </w:p>
        </w:tc>
      </w:tr>
      <w:tr w14:paraId="34E05F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3E9A481C">
            <w:pPr>
              <w:tabs>
                <w:tab w:val="center" w:pos="4153"/>
                <w:tab w:val="right" w:pos="8306"/>
              </w:tabs>
              <w:jc w:val="center"/>
              <w:rPr>
                <w:b/>
                <w:bCs/>
                <w:szCs w:val="24"/>
              </w:rPr>
            </w:pPr>
            <w:r>
              <w:rPr>
                <w:rFonts w:hint="eastAsia"/>
                <w:b/>
                <w:bCs/>
                <w:szCs w:val="24"/>
              </w:rPr>
              <w:t>3.1</w:t>
            </w:r>
          </w:p>
        </w:tc>
        <w:tc>
          <w:tcPr>
            <w:tcW w:w="1430" w:type="dxa"/>
            <w:noWrap/>
            <w:vAlign w:val="center"/>
          </w:tcPr>
          <w:p w14:paraId="0D0A4EA7">
            <w:pPr>
              <w:tabs>
                <w:tab w:val="center" w:pos="4153"/>
                <w:tab w:val="right" w:pos="8306"/>
              </w:tabs>
              <w:jc w:val="center"/>
              <w:rPr>
                <w:b/>
                <w:bCs/>
                <w:color w:val="auto"/>
                <w:szCs w:val="24"/>
              </w:rPr>
            </w:pPr>
            <w:r>
              <w:rPr>
                <w:rFonts w:hint="eastAsia"/>
                <w:b/>
                <w:bCs/>
                <w:color w:val="auto"/>
                <w:szCs w:val="24"/>
              </w:rPr>
              <w:t>项目服务方案评</w:t>
            </w:r>
            <w:r>
              <w:rPr>
                <w:rFonts w:hint="eastAsia"/>
                <w:b/>
                <w:bCs/>
                <w:color w:val="auto"/>
                <w:szCs w:val="24"/>
                <w:lang w:val="en-US" w:eastAsia="zh-CN"/>
              </w:rPr>
              <w:t>价</w:t>
            </w:r>
            <w:r>
              <w:rPr>
                <w:rFonts w:hint="eastAsia"/>
                <w:b/>
                <w:bCs/>
                <w:color w:val="auto"/>
                <w:szCs w:val="24"/>
              </w:rPr>
              <w:t>（主观分）</w:t>
            </w:r>
          </w:p>
        </w:tc>
        <w:tc>
          <w:tcPr>
            <w:tcW w:w="838" w:type="dxa"/>
            <w:noWrap/>
            <w:vAlign w:val="center"/>
          </w:tcPr>
          <w:p w14:paraId="2F3201CE">
            <w:pPr>
              <w:tabs>
                <w:tab w:val="center" w:pos="4153"/>
                <w:tab w:val="right" w:pos="8306"/>
              </w:tabs>
              <w:jc w:val="center"/>
              <w:rPr>
                <w:szCs w:val="24"/>
              </w:rPr>
            </w:pPr>
            <w:r>
              <w:rPr>
                <w:rFonts w:hint="eastAsia"/>
                <w:b/>
                <w:bCs/>
                <w:szCs w:val="24"/>
              </w:rPr>
              <w:t>5</w:t>
            </w:r>
          </w:p>
        </w:tc>
        <w:tc>
          <w:tcPr>
            <w:tcW w:w="5953" w:type="dxa"/>
            <w:noWrap/>
            <w:vAlign w:val="center"/>
          </w:tcPr>
          <w:p w14:paraId="68E222FA">
            <w:pPr>
              <w:spacing w:line="360" w:lineRule="auto"/>
              <w:rPr>
                <w:rFonts w:hint="eastAsia" w:ascii="宋体" w:hAnsi="宋体" w:cs="宋体"/>
                <w:szCs w:val="22"/>
              </w:rPr>
            </w:pPr>
            <w:r>
              <w:rPr>
                <w:rFonts w:hint="eastAsia"/>
                <w:szCs w:val="24"/>
              </w:rPr>
              <w:t>评标委员会</w:t>
            </w:r>
            <w:r>
              <w:rPr>
                <w:rFonts w:hint="eastAsia" w:ascii="宋体" w:hAnsi="宋体" w:cs="宋体"/>
                <w:szCs w:val="22"/>
              </w:rPr>
              <w:t>根据投标人提供的服务方案（主要内容包含但不限于：项目实施总体计划、质量保障措施、货物配送进度计划、售后服务方案等）进行评价：</w:t>
            </w:r>
          </w:p>
          <w:p w14:paraId="6618D2B9">
            <w:pPr>
              <w:spacing w:line="360" w:lineRule="auto"/>
              <w:rPr>
                <w:rFonts w:hint="eastAsia" w:ascii="宋体" w:hAnsi="宋体" w:cs="宋体"/>
                <w:szCs w:val="22"/>
              </w:rPr>
            </w:pPr>
            <w:r>
              <w:rPr>
                <w:rFonts w:hint="eastAsia" w:ascii="宋体" w:hAnsi="宋体" w:cs="宋体"/>
                <w:szCs w:val="22"/>
              </w:rPr>
              <w:t>①项目实施总体计划：包含从备货到质保期内的整体工作计划；②质量保障措施：包含产品质量保障措施、配送质量保障措施、售后保障措施等；③项目配送进度计划：因本项目交货时间要求短，投标人应针对实际情况制定切实可行的配送进度计划，不得影响采购方业务开展。④售后服务方案：包含售后服务人员、售后培训计划等；</w:t>
            </w:r>
          </w:p>
          <w:p w14:paraId="0ADA3EB8">
            <w:pPr>
              <w:spacing w:line="360" w:lineRule="auto"/>
              <w:rPr>
                <w:rFonts w:hint="eastAsia" w:ascii="宋体" w:hAnsi="宋体" w:cs="宋体"/>
                <w:szCs w:val="22"/>
              </w:rPr>
            </w:pPr>
            <w:r>
              <w:rPr>
                <w:rFonts w:hint="eastAsia" w:ascii="宋体" w:hAnsi="宋体" w:cs="宋体"/>
                <w:szCs w:val="22"/>
              </w:rPr>
              <w:t>（1）方案内容全面，完全符合项目要求，实施计划清晰、高效、科学、合理，把握工作的重点，符合相关规范要求，得5分；</w:t>
            </w:r>
          </w:p>
          <w:p w14:paraId="53EE8B36">
            <w:pPr>
              <w:spacing w:line="360" w:lineRule="auto"/>
              <w:rPr>
                <w:rFonts w:hint="eastAsia" w:ascii="宋体" w:hAnsi="宋体" w:cs="宋体"/>
                <w:szCs w:val="22"/>
              </w:rPr>
            </w:pPr>
            <w:r>
              <w:rPr>
                <w:rFonts w:hint="eastAsia" w:ascii="宋体" w:hAnsi="宋体" w:cs="宋体"/>
                <w:szCs w:val="22"/>
              </w:rPr>
              <w:t>（2）方案内容较为全面，基本符合项目要求，实施计划较为清晰、合理，能把握工作的重点，符合相关规范要求，得3分；</w:t>
            </w:r>
          </w:p>
          <w:p w14:paraId="3235E0B6">
            <w:pPr>
              <w:spacing w:line="360" w:lineRule="auto"/>
              <w:rPr>
                <w:rFonts w:hint="eastAsia" w:ascii="宋体" w:hAnsi="宋体" w:cs="宋体"/>
                <w:szCs w:val="22"/>
              </w:rPr>
            </w:pPr>
            <w:r>
              <w:rPr>
                <w:rFonts w:hint="eastAsia" w:ascii="宋体" w:hAnsi="宋体" w:cs="宋体"/>
                <w:szCs w:val="22"/>
              </w:rPr>
              <w:t>（3）方案内容不全面，无法满足本次采购项目需求，得1分；</w:t>
            </w:r>
          </w:p>
          <w:p w14:paraId="7E87C548">
            <w:pPr>
              <w:spacing w:line="360" w:lineRule="auto"/>
              <w:rPr>
                <w:rFonts w:hint="eastAsia" w:ascii="宋体" w:hAnsi="宋体" w:cs="宋体"/>
                <w:szCs w:val="22"/>
              </w:rPr>
            </w:pPr>
            <w:r>
              <w:rPr>
                <w:rFonts w:hint="eastAsia" w:ascii="宋体" w:hAnsi="宋体" w:cs="宋体"/>
                <w:szCs w:val="22"/>
              </w:rPr>
              <w:t>（4）未提供方案，得0分。</w:t>
            </w:r>
          </w:p>
        </w:tc>
      </w:tr>
      <w:tr w14:paraId="22D5D2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1BA0FC6A">
            <w:pPr>
              <w:tabs>
                <w:tab w:val="center" w:pos="4153"/>
                <w:tab w:val="right" w:pos="8306"/>
              </w:tabs>
              <w:jc w:val="center"/>
              <w:rPr>
                <w:b/>
                <w:bCs/>
                <w:szCs w:val="24"/>
              </w:rPr>
            </w:pPr>
            <w:r>
              <w:rPr>
                <w:rFonts w:hint="eastAsia"/>
                <w:b/>
                <w:bCs/>
                <w:szCs w:val="24"/>
              </w:rPr>
              <w:t>3.2</w:t>
            </w:r>
          </w:p>
        </w:tc>
        <w:tc>
          <w:tcPr>
            <w:tcW w:w="1430" w:type="dxa"/>
            <w:noWrap/>
            <w:vAlign w:val="center"/>
          </w:tcPr>
          <w:p w14:paraId="248891EC">
            <w:pPr>
              <w:tabs>
                <w:tab w:val="center" w:pos="4153"/>
                <w:tab w:val="right" w:pos="8306"/>
              </w:tabs>
              <w:jc w:val="center"/>
              <w:rPr>
                <w:b/>
                <w:bCs/>
                <w:color w:val="auto"/>
                <w:szCs w:val="24"/>
              </w:rPr>
            </w:pPr>
            <w:r>
              <w:rPr>
                <w:rFonts w:hint="eastAsia"/>
                <w:b/>
                <w:bCs/>
                <w:color w:val="auto"/>
                <w:szCs w:val="24"/>
              </w:rPr>
              <w:t>业绩评价（客观分）</w:t>
            </w:r>
          </w:p>
        </w:tc>
        <w:tc>
          <w:tcPr>
            <w:tcW w:w="838" w:type="dxa"/>
            <w:noWrap/>
            <w:vAlign w:val="center"/>
          </w:tcPr>
          <w:p w14:paraId="0F0C7170">
            <w:pPr>
              <w:tabs>
                <w:tab w:val="center" w:pos="4153"/>
                <w:tab w:val="right" w:pos="8306"/>
              </w:tabs>
              <w:jc w:val="center"/>
              <w:rPr>
                <w:rFonts w:hint="eastAsia" w:eastAsia="宋体"/>
                <w:szCs w:val="24"/>
                <w:lang w:eastAsia="zh-CN"/>
              </w:rPr>
            </w:pPr>
            <w:r>
              <w:rPr>
                <w:rFonts w:hint="eastAsia" w:eastAsia="宋体"/>
                <w:b/>
                <w:bCs/>
                <w:szCs w:val="24"/>
                <w:lang w:val="en-US" w:eastAsia="zh-CN"/>
              </w:rPr>
              <w:t>5</w:t>
            </w:r>
          </w:p>
        </w:tc>
        <w:tc>
          <w:tcPr>
            <w:tcW w:w="5953" w:type="dxa"/>
            <w:noWrap/>
            <w:vAlign w:val="center"/>
          </w:tcPr>
          <w:p w14:paraId="5E35D44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评标委员会根据投标产品（相同品牌相同型号）自2022年1月1日（以合同签订时间为准）至今的业绩情况进行评价</w:t>
            </w:r>
          </w:p>
          <w:p w14:paraId="77502F6E">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eastAsia="宋体" w:cs="宋体"/>
                <w:color w:val="auto"/>
                <w:sz w:val="24"/>
                <w:szCs w:val="24"/>
                <w:highlight w:val="none"/>
              </w:rPr>
              <w:t>每提一份有效业绩得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7D9EF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（2）无或不提供证明材料得0分。</w:t>
            </w:r>
          </w:p>
          <w:p w14:paraId="6F9BCD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80A40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①须提供采购合同扫描件，合同须清晰体现与投标产品相同品牌相同型号（与报价明细表信息一致）的信息、合同签订日期及签订双方的签字和盖章，上述任一信息内容模糊无法确认或辨认的视为无效业绩。</w:t>
            </w:r>
          </w:p>
          <w:p w14:paraId="2B10DEF0">
            <w:pPr>
              <w:spacing w:line="360" w:lineRule="auto"/>
              <w:rPr>
                <w:rFonts w:hint="eastAsia" w:ascii="宋体" w:hAnsi="宋体" w:cs="宋体"/>
                <w:szCs w:val="22"/>
              </w:rPr>
            </w:pPr>
            <w:r>
              <w:rPr>
                <w:rFonts w:hint="eastAsia" w:ascii="宋体" w:hAnsi="宋体" w:eastAsia="宋体" w:cs="宋体"/>
                <w:color w:val="auto"/>
                <w:sz w:val="24"/>
                <w:szCs w:val="24"/>
                <w:highlight w:val="none"/>
              </w:rPr>
              <w:t>②业绩指投标产品本身的业绩，不限定为生产制造商或投标人的业绩；若提供非投标人的业绩，采购合同须同时加盖生产制造商公章，否则视为无效业绩。</w:t>
            </w:r>
          </w:p>
        </w:tc>
      </w:tr>
      <w:tr w14:paraId="21B875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2F89589B">
            <w:pPr>
              <w:tabs>
                <w:tab w:val="center" w:pos="4153"/>
                <w:tab w:val="right" w:pos="8306"/>
              </w:tabs>
              <w:jc w:val="center"/>
              <w:rPr>
                <w:b/>
                <w:bCs/>
                <w:szCs w:val="24"/>
              </w:rPr>
            </w:pPr>
            <w:r>
              <w:rPr>
                <w:rFonts w:hint="eastAsia"/>
                <w:b/>
                <w:bCs/>
                <w:szCs w:val="24"/>
              </w:rPr>
              <w:t>3.3</w:t>
            </w:r>
          </w:p>
        </w:tc>
        <w:tc>
          <w:tcPr>
            <w:tcW w:w="1430" w:type="dxa"/>
            <w:noWrap/>
            <w:vAlign w:val="center"/>
          </w:tcPr>
          <w:p w14:paraId="4413D801">
            <w:pPr>
              <w:tabs>
                <w:tab w:val="center" w:pos="4153"/>
                <w:tab w:val="right" w:pos="8306"/>
              </w:tabs>
              <w:jc w:val="center"/>
              <w:rPr>
                <w:b/>
                <w:bCs/>
                <w:color w:val="auto"/>
                <w:szCs w:val="24"/>
              </w:rPr>
            </w:pPr>
            <w:r>
              <w:rPr>
                <w:rFonts w:hint="eastAsia"/>
                <w:b/>
                <w:bCs/>
                <w:color w:val="auto"/>
                <w:szCs w:val="24"/>
              </w:rPr>
              <w:t>维修响应时间评价（客观分）</w:t>
            </w:r>
          </w:p>
        </w:tc>
        <w:tc>
          <w:tcPr>
            <w:tcW w:w="838" w:type="dxa"/>
            <w:noWrap/>
            <w:vAlign w:val="center"/>
          </w:tcPr>
          <w:p w14:paraId="67EFF6D6">
            <w:pPr>
              <w:tabs>
                <w:tab w:val="center" w:pos="4153"/>
                <w:tab w:val="right" w:pos="8306"/>
              </w:tabs>
              <w:jc w:val="center"/>
              <w:rPr>
                <w:b/>
                <w:bCs/>
                <w:szCs w:val="24"/>
              </w:rPr>
            </w:pPr>
            <w:r>
              <w:rPr>
                <w:rFonts w:hint="eastAsia"/>
                <w:b/>
                <w:bCs/>
                <w:szCs w:val="24"/>
              </w:rPr>
              <w:t>5</w:t>
            </w:r>
          </w:p>
        </w:tc>
        <w:tc>
          <w:tcPr>
            <w:tcW w:w="5953" w:type="dxa"/>
            <w:noWrap/>
            <w:vAlign w:val="center"/>
          </w:tcPr>
          <w:p w14:paraId="37A109C0">
            <w:pPr>
              <w:spacing w:line="360" w:lineRule="auto"/>
              <w:rPr>
                <w:rFonts w:hint="eastAsia" w:ascii="宋体" w:hAnsi="宋体" w:cs="宋体"/>
                <w:szCs w:val="22"/>
              </w:rPr>
            </w:pPr>
            <w:r>
              <w:rPr>
                <w:rFonts w:hint="eastAsia" w:ascii="宋体" w:hAnsi="宋体" w:cs="宋体"/>
                <w:b/>
                <w:bCs/>
                <w:szCs w:val="22"/>
              </w:rPr>
              <w:t>评标委员会根据投标人对维修人员接到维修通知后承诺到达用户现场的时间由短至长的排名进行评价</w:t>
            </w:r>
            <w:r>
              <w:rPr>
                <w:rFonts w:hint="eastAsia" w:ascii="宋体" w:hAnsi="宋体" w:cs="宋体"/>
                <w:szCs w:val="22"/>
              </w:rPr>
              <w:t>（投标人须结合售后机构距离项目现场的距离承诺到达现场进行维修服务的时间，承诺到达的时间不能超过24小时，须在投标文件中附承诺）。</w:t>
            </w:r>
          </w:p>
          <w:p w14:paraId="29E3B534">
            <w:pPr>
              <w:spacing w:line="360" w:lineRule="auto"/>
              <w:rPr>
                <w:rFonts w:hint="eastAsia" w:ascii="宋体" w:hAnsi="宋体" w:cs="宋体"/>
                <w:szCs w:val="22"/>
              </w:rPr>
            </w:pPr>
            <w:r>
              <w:rPr>
                <w:rFonts w:hint="eastAsia" w:ascii="宋体" w:hAnsi="宋体" w:cs="宋体"/>
                <w:szCs w:val="22"/>
              </w:rPr>
              <w:t>1、第一名，5分；</w:t>
            </w:r>
          </w:p>
          <w:p w14:paraId="03657ACF">
            <w:pPr>
              <w:spacing w:line="360" w:lineRule="auto"/>
              <w:rPr>
                <w:rFonts w:hint="eastAsia" w:ascii="宋体" w:hAnsi="宋体" w:cs="宋体"/>
                <w:szCs w:val="22"/>
              </w:rPr>
            </w:pPr>
            <w:r>
              <w:rPr>
                <w:rFonts w:hint="eastAsia" w:ascii="宋体" w:hAnsi="宋体" w:cs="宋体"/>
                <w:szCs w:val="22"/>
              </w:rPr>
              <w:t>2、第二名，</w:t>
            </w:r>
            <w:r>
              <w:rPr>
                <w:rFonts w:hint="eastAsia" w:ascii="宋体" w:hAnsi="宋体" w:cs="宋体"/>
                <w:szCs w:val="22"/>
                <w:lang w:val="en-US" w:eastAsia="zh-CN"/>
              </w:rPr>
              <w:t>3</w:t>
            </w:r>
            <w:r>
              <w:rPr>
                <w:rFonts w:hint="eastAsia" w:ascii="宋体" w:hAnsi="宋体" w:cs="宋体"/>
                <w:szCs w:val="22"/>
              </w:rPr>
              <w:t>分；</w:t>
            </w:r>
          </w:p>
          <w:p w14:paraId="2284C4EB">
            <w:pPr>
              <w:spacing w:line="360" w:lineRule="auto"/>
              <w:rPr>
                <w:rFonts w:hint="eastAsia" w:ascii="宋体" w:hAnsi="宋体" w:cs="宋体"/>
                <w:szCs w:val="22"/>
              </w:rPr>
            </w:pPr>
            <w:r>
              <w:rPr>
                <w:rFonts w:hint="eastAsia" w:ascii="宋体" w:hAnsi="宋体" w:cs="宋体"/>
                <w:szCs w:val="22"/>
              </w:rPr>
              <w:t>3、第三名，1分；</w:t>
            </w:r>
          </w:p>
          <w:p w14:paraId="220C34BA">
            <w:pPr>
              <w:spacing w:line="360" w:lineRule="auto"/>
              <w:rPr>
                <w:rFonts w:hint="eastAsia" w:ascii="宋体" w:hAnsi="宋体" w:cs="宋体"/>
                <w:szCs w:val="22"/>
              </w:rPr>
            </w:pPr>
            <w:r>
              <w:rPr>
                <w:rFonts w:hint="eastAsia" w:ascii="宋体" w:hAnsi="宋体" w:cs="宋体"/>
                <w:szCs w:val="22"/>
              </w:rPr>
              <w:t>4、第四名或更低，0分。</w:t>
            </w:r>
          </w:p>
        </w:tc>
      </w:tr>
      <w:tr w14:paraId="0A734A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6919AF78">
            <w:pPr>
              <w:tabs>
                <w:tab w:val="center" w:pos="4153"/>
                <w:tab w:val="right" w:pos="8306"/>
              </w:tabs>
              <w:jc w:val="center"/>
              <w:rPr>
                <w:b/>
                <w:bCs/>
                <w:szCs w:val="24"/>
              </w:rPr>
            </w:pPr>
            <w:r>
              <w:rPr>
                <w:rFonts w:hint="eastAsia"/>
                <w:b/>
                <w:bCs/>
                <w:szCs w:val="24"/>
              </w:rPr>
              <w:t>3.4</w:t>
            </w:r>
          </w:p>
        </w:tc>
        <w:tc>
          <w:tcPr>
            <w:tcW w:w="1430" w:type="dxa"/>
            <w:noWrap/>
            <w:vAlign w:val="center"/>
          </w:tcPr>
          <w:p w14:paraId="7B05E345">
            <w:pPr>
              <w:tabs>
                <w:tab w:val="center" w:pos="4153"/>
                <w:tab w:val="right" w:pos="8306"/>
              </w:tabs>
              <w:jc w:val="center"/>
              <w:rPr>
                <w:b/>
                <w:bCs/>
                <w:color w:val="auto"/>
                <w:szCs w:val="24"/>
              </w:rPr>
            </w:pPr>
            <w:r>
              <w:rPr>
                <w:rFonts w:hint="eastAsia"/>
                <w:b/>
                <w:bCs/>
                <w:color w:val="auto"/>
                <w:szCs w:val="24"/>
              </w:rPr>
              <w:t>授权评价（客观分）</w:t>
            </w:r>
          </w:p>
        </w:tc>
        <w:tc>
          <w:tcPr>
            <w:tcW w:w="838" w:type="dxa"/>
            <w:noWrap/>
            <w:vAlign w:val="center"/>
          </w:tcPr>
          <w:p w14:paraId="0F8F8FAF">
            <w:pPr>
              <w:tabs>
                <w:tab w:val="center" w:pos="4153"/>
                <w:tab w:val="right" w:pos="8306"/>
              </w:tabs>
              <w:jc w:val="center"/>
              <w:rPr>
                <w:rFonts w:hint="eastAsia" w:eastAsia="宋体"/>
                <w:b/>
                <w:bCs/>
                <w:szCs w:val="24"/>
                <w:lang w:eastAsia="zh-CN"/>
              </w:rPr>
            </w:pPr>
            <w:r>
              <w:rPr>
                <w:rFonts w:hint="eastAsia"/>
                <w:b/>
                <w:bCs/>
                <w:szCs w:val="24"/>
                <w:lang w:val="en-US" w:eastAsia="zh-CN"/>
              </w:rPr>
              <w:t>5</w:t>
            </w:r>
          </w:p>
        </w:tc>
        <w:tc>
          <w:tcPr>
            <w:tcW w:w="5953" w:type="dxa"/>
            <w:noWrap/>
            <w:vAlign w:val="center"/>
          </w:tcPr>
          <w:p w14:paraId="452EFFB9">
            <w:pPr>
              <w:spacing w:line="360" w:lineRule="auto"/>
              <w:rPr>
                <w:rFonts w:hint="eastAsia" w:ascii="宋体" w:hAnsi="宋体" w:cs="宋体"/>
                <w:b w:val="0"/>
                <w:bCs w:val="0"/>
                <w:szCs w:val="22"/>
              </w:rPr>
            </w:pPr>
            <w:r>
              <w:rPr>
                <w:rFonts w:hint="eastAsia" w:ascii="宋体" w:hAnsi="宋体" w:cs="宋体"/>
                <w:b w:val="0"/>
                <w:bCs w:val="0"/>
                <w:szCs w:val="22"/>
              </w:rPr>
              <w:t>评标委员会根据投标人提供产品生产制造商或有效授权单位(提供证明材料)针对本项目出具的有效销售授权书进行评价。(须注明产品名称及型号)</w:t>
            </w:r>
          </w:p>
          <w:p w14:paraId="7E4D7F6F">
            <w:pPr>
              <w:spacing w:line="360" w:lineRule="auto"/>
              <w:rPr>
                <w:rFonts w:hint="eastAsia" w:ascii="宋体" w:hAnsi="宋体" w:cs="宋体"/>
                <w:b w:val="0"/>
                <w:bCs w:val="0"/>
                <w:szCs w:val="22"/>
              </w:rPr>
            </w:pPr>
            <w:r>
              <w:rPr>
                <w:rFonts w:hint="eastAsia" w:ascii="宋体" w:hAnsi="宋体" w:cs="宋体"/>
                <w:b w:val="0"/>
                <w:bCs w:val="0"/>
                <w:szCs w:val="22"/>
              </w:rPr>
              <w:t>1、投标人提供产品生产制造商或有效授权单位(提供证明材料)，注明产品名称及型号，</w:t>
            </w:r>
            <w:r>
              <w:rPr>
                <w:rFonts w:hint="eastAsia" w:ascii="宋体" w:hAnsi="宋体" w:cs="宋体"/>
                <w:b w:val="0"/>
                <w:bCs w:val="0"/>
                <w:szCs w:val="22"/>
                <w:lang w:val="en-US" w:eastAsia="zh-CN"/>
              </w:rPr>
              <w:t>5</w:t>
            </w:r>
            <w:r>
              <w:rPr>
                <w:rFonts w:hint="eastAsia" w:ascii="宋体" w:hAnsi="宋体" w:cs="宋体"/>
                <w:b w:val="0"/>
                <w:bCs w:val="0"/>
                <w:szCs w:val="22"/>
              </w:rPr>
              <w:t>分;</w:t>
            </w:r>
          </w:p>
          <w:p w14:paraId="5275C73F">
            <w:pPr>
              <w:spacing w:line="360" w:lineRule="auto"/>
              <w:rPr>
                <w:rFonts w:hint="default" w:ascii="宋体" w:hAnsi="宋体" w:eastAsia="宋体" w:cs="宋体"/>
                <w:b w:val="0"/>
                <w:bCs w:val="0"/>
                <w:szCs w:val="22"/>
                <w:lang w:val="en-US" w:eastAsia="zh-CN"/>
              </w:rPr>
            </w:pPr>
            <w:r>
              <w:rPr>
                <w:rFonts w:hint="eastAsia" w:ascii="宋体" w:hAnsi="宋体" w:cs="宋体"/>
                <w:b w:val="0"/>
                <w:bCs w:val="0"/>
                <w:szCs w:val="22"/>
              </w:rPr>
              <w:t>2、未提供有效制造商授权或提供不全，0分。</w:t>
            </w:r>
          </w:p>
        </w:tc>
      </w:tr>
    </w:tbl>
    <w:p w14:paraId="175F1AA5">
      <w:pPr>
        <w:rPr>
          <w:b/>
          <w:bCs/>
          <w:szCs w:val="24"/>
        </w:rPr>
      </w:pPr>
      <w:r>
        <w:rPr>
          <w:b/>
          <w:bCs/>
          <w:szCs w:val="24"/>
        </w:rPr>
        <w:br w:type="page"/>
      </w:r>
    </w:p>
    <w:p w14:paraId="22B3BE78">
      <w:pPr>
        <w:widowControl/>
        <w:shd w:val="clear" w:color="auto" w:fill="FFFFFF"/>
        <w:spacing w:line="480" w:lineRule="exact"/>
        <w:ind w:firstLine="482" w:firstLineChars="200"/>
        <w:rPr>
          <w:b/>
          <w:bCs/>
          <w:szCs w:val="24"/>
        </w:rPr>
      </w:pPr>
      <w:r>
        <w:rPr>
          <w:b/>
          <w:bCs/>
          <w:szCs w:val="24"/>
        </w:rPr>
        <w:t>4.政策性加分（在总得分基础上加分）【满分5分】：</w:t>
      </w:r>
    </w:p>
    <w:tbl>
      <w:tblPr>
        <w:tblStyle w:val="14"/>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071"/>
        <w:gridCol w:w="1197"/>
        <w:gridCol w:w="5953"/>
      </w:tblGrid>
      <w:tr w14:paraId="385212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76D15DCC">
            <w:pPr>
              <w:tabs>
                <w:tab w:val="center" w:pos="4153"/>
                <w:tab w:val="right" w:pos="8306"/>
              </w:tabs>
              <w:jc w:val="center"/>
              <w:rPr>
                <w:rFonts w:hint="eastAsia" w:ascii="宋体" w:hAnsi="宋体" w:eastAsia="宋体" w:cs="宋体"/>
                <w:b/>
                <w:caps/>
                <w:szCs w:val="24"/>
              </w:rPr>
            </w:pPr>
            <w:r>
              <w:rPr>
                <w:rFonts w:hint="eastAsia" w:ascii="宋体" w:hAnsi="宋体" w:eastAsia="宋体" w:cs="宋体"/>
                <w:b/>
                <w:bCs/>
                <w:szCs w:val="24"/>
              </w:rPr>
              <w:t>序号</w:t>
            </w:r>
          </w:p>
        </w:tc>
        <w:tc>
          <w:tcPr>
            <w:tcW w:w="1071" w:type="dxa"/>
            <w:noWrap/>
            <w:vAlign w:val="center"/>
          </w:tcPr>
          <w:p w14:paraId="519641B2">
            <w:pPr>
              <w:tabs>
                <w:tab w:val="center" w:pos="4153"/>
                <w:tab w:val="right" w:pos="8306"/>
              </w:tabs>
              <w:jc w:val="center"/>
              <w:rPr>
                <w:rFonts w:hint="eastAsia" w:ascii="宋体" w:hAnsi="宋体" w:eastAsia="宋体" w:cs="宋体"/>
                <w:szCs w:val="24"/>
              </w:rPr>
            </w:pPr>
            <w:r>
              <w:rPr>
                <w:rFonts w:hint="eastAsia" w:ascii="宋体" w:hAnsi="宋体" w:eastAsia="宋体" w:cs="宋体"/>
                <w:b/>
                <w:bCs/>
                <w:szCs w:val="24"/>
              </w:rPr>
              <w:t>评分因素</w:t>
            </w:r>
          </w:p>
        </w:tc>
        <w:tc>
          <w:tcPr>
            <w:tcW w:w="1197" w:type="dxa"/>
            <w:noWrap/>
            <w:vAlign w:val="center"/>
          </w:tcPr>
          <w:p w14:paraId="027E7466">
            <w:pPr>
              <w:tabs>
                <w:tab w:val="center" w:pos="4153"/>
                <w:tab w:val="right" w:pos="8306"/>
              </w:tabs>
              <w:jc w:val="center"/>
              <w:rPr>
                <w:rFonts w:hint="eastAsia" w:ascii="宋体" w:hAnsi="宋体" w:eastAsia="宋体" w:cs="宋体"/>
                <w:szCs w:val="24"/>
              </w:rPr>
            </w:pPr>
            <w:r>
              <w:rPr>
                <w:rFonts w:hint="eastAsia" w:ascii="宋体" w:hAnsi="宋体" w:eastAsia="宋体" w:cs="宋体"/>
                <w:b/>
                <w:bCs/>
                <w:szCs w:val="24"/>
              </w:rPr>
              <w:t>分值</w:t>
            </w:r>
          </w:p>
        </w:tc>
        <w:tc>
          <w:tcPr>
            <w:tcW w:w="5953" w:type="dxa"/>
            <w:noWrap/>
            <w:vAlign w:val="center"/>
          </w:tcPr>
          <w:p w14:paraId="41EAAD8D">
            <w:pPr>
              <w:jc w:val="center"/>
              <w:rPr>
                <w:rFonts w:hint="eastAsia" w:ascii="宋体" w:hAnsi="宋体" w:eastAsia="宋体" w:cs="宋体"/>
                <w:szCs w:val="24"/>
              </w:rPr>
            </w:pPr>
            <w:r>
              <w:rPr>
                <w:rFonts w:hint="eastAsia" w:ascii="宋体" w:hAnsi="宋体" w:eastAsia="宋体" w:cs="宋体"/>
                <w:b/>
                <w:bCs/>
                <w:szCs w:val="24"/>
              </w:rPr>
              <w:t>评分标准</w:t>
            </w:r>
          </w:p>
        </w:tc>
      </w:tr>
      <w:tr w14:paraId="7A6D3E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3C7E5172">
            <w:pPr>
              <w:tabs>
                <w:tab w:val="center" w:pos="4153"/>
                <w:tab w:val="right" w:pos="8306"/>
              </w:tabs>
              <w:spacing w:line="360" w:lineRule="auto"/>
              <w:jc w:val="center"/>
              <w:rPr>
                <w:b/>
                <w:bCs/>
                <w:szCs w:val="24"/>
              </w:rPr>
            </w:pPr>
            <w:r>
              <w:rPr>
                <w:b/>
                <w:caps/>
                <w:szCs w:val="24"/>
              </w:rPr>
              <w:t>4.1</w:t>
            </w:r>
          </w:p>
        </w:tc>
        <w:tc>
          <w:tcPr>
            <w:tcW w:w="1071" w:type="dxa"/>
            <w:noWrap/>
            <w:vAlign w:val="center"/>
          </w:tcPr>
          <w:p w14:paraId="37824BCE">
            <w:pPr>
              <w:tabs>
                <w:tab w:val="center" w:pos="4153"/>
                <w:tab w:val="right" w:pos="8306"/>
              </w:tabs>
              <w:spacing w:line="360" w:lineRule="auto"/>
              <w:jc w:val="center"/>
              <w:rPr>
                <w:b/>
                <w:bCs/>
                <w:szCs w:val="24"/>
              </w:rPr>
            </w:pPr>
            <w:r>
              <w:rPr>
                <w:b/>
                <w:bCs/>
                <w:szCs w:val="24"/>
              </w:rPr>
              <w:t>政策性加分（1）</w:t>
            </w:r>
          </w:p>
          <w:p w14:paraId="1A587646">
            <w:pPr>
              <w:tabs>
                <w:tab w:val="center" w:pos="4153"/>
                <w:tab w:val="right" w:pos="8306"/>
              </w:tabs>
              <w:spacing w:line="360" w:lineRule="auto"/>
              <w:jc w:val="center"/>
              <w:rPr>
                <w:szCs w:val="24"/>
              </w:rPr>
            </w:pPr>
            <w:r>
              <w:rPr>
                <w:b/>
                <w:bCs/>
                <w:szCs w:val="24"/>
              </w:rPr>
              <w:t>（客观分）</w:t>
            </w:r>
          </w:p>
        </w:tc>
        <w:tc>
          <w:tcPr>
            <w:tcW w:w="1197" w:type="dxa"/>
            <w:noWrap/>
            <w:vAlign w:val="center"/>
          </w:tcPr>
          <w:p w14:paraId="7F08D5A5">
            <w:pPr>
              <w:tabs>
                <w:tab w:val="center" w:pos="4153"/>
                <w:tab w:val="right" w:pos="8306"/>
              </w:tabs>
              <w:spacing w:line="360" w:lineRule="auto"/>
              <w:jc w:val="center"/>
              <w:rPr>
                <w:szCs w:val="24"/>
              </w:rPr>
            </w:pPr>
            <w:r>
              <w:rPr>
                <w:szCs w:val="24"/>
              </w:rPr>
              <w:t>2分</w:t>
            </w:r>
          </w:p>
        </w:tc>
        <w:tc>
          <w:tcPr>
            <w:tcW w:w="5953" w:type="dxa"/>
            <w:noWrap/>
            <w:vAlign w:val="center"/>
          </w:tcPr>
          <w:p w14:paraId="46E5B608">
            <w:pPr>
              <w:spacing w:line="360" w:lineRule="auto"/>
              <w:rPr>
                <w:szCs w:val="24"/>
              </w:rPr>
            </w:pPr>
            <w:r>
              <w:rPr>
                <w:szCs w:val="24"/>
              </w:rPr>
              <w:t>所投产品属于“节能产品、环境标志产品政府采购品目清单”（财政部等相关部门公示）范围内的产品，投标人提供国家确定的认证机构出具的、处于有效期之内的节能产品、环境标志产品认证证书，在采购评审工作过程中给予加分，在总得分基础上，每一项加0.3分；如投标产品同时属于“节能产品清单”和“环保产品清单”两个清单中产品的，每一项加0.5分，最高不得超过2分。</w:t>
            </w:r>
          </w:p>
        </w:tc>
      </w:tr>
      <w:tr w14:paraId="21046E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ign w:val="center"/>
          </w:tcPr>
          <w:p w14:paraId="19CD71FA">
            <w:pPr>
              <w:tabs>
                <w:tab w:val="center" w:pos="4153"/>
                <w:tab w:val="right" w:pos="8306"/>
              </w:tabs>
              <w:spacing w:line="360" w:lineRule="auto"/>
              <w:jc w:val="center"/>
              <w:rPr>
                <w:b/>
                <w:bCs/>
                <w:szCs w:val="24"/>
              </w:rPr>
            </w:pPr>
            <w:r>
              <w:rPr>
                <w:b/>
                <w:szCs w:val="24"/>
              </w:rPr>
              <w:t>4.2</w:t>
            </w:r>
          </w:p>
        </w:tc>
        <w:tc>
          <w:tcPr>
            <w:tcW w:w="1071" w:type="dxa"/>
            <w:noWrap/>
            <w:vAlign w:val="center"/>
          </w:tcPr>
          <w:p w14:paraId="1BEA47EC">
            <w:pPr>
              <w:tabs>
                <w:tab w:val="center" w:pos="4153"/>
                <w:tab w:val="right" w:pos="8306"/>
              </w:tabs>
              <w:spacing w:line="360" w:lineRule="auto"/>
              <w:jc w:val="center"/>
              <w:rPr>
                <w:b/>
                <w:bCs/>
                <w:szCs w:val="24"/>
              </w:rPr>
            </w:pPr>
            <w:r>
              <w:rPr>
                <w:b/>
                <w:bCs/>
                <w:szCs w:val="24"/>
              </w:rPr>
              <w:t>政策性加分（2）</w:t>
            </w:r>
          </w:p>
          <w:p w14:paraId="495A8D24">
            <w:pPr>
              <w:tabs>
                <w:tab w:val="center" w:pos="4153"/>
                <w:tab w:val="right" w:pos="8306"/>
              </w:tabs>
              <w:spacing w:line="360" w:lineRule="auto"/>
              <w:jc w:val="center"/>
              <w:rPr>
                <w:szCs w:val="24"/>
              </w:rPr>
            </w:pPr>
            <w:r>
              <w:rPr>
                <w:b/>
                <w:bCs/>
                <w:szCs w:val="24"/>
              </w:rPr>
              <w:t>（客观分）</w:t>
            </w:r>
          </w:p>
        </w:tc>
        <w:tc>
          <w:tcPr>
            <w:tcW w:w="1197" w:type="dxa"/>
            <w:noWrap/>
            <w:vAlign w:val="center"/>
          </w:tcPr>
          <w:p w14:paraId="1D3B90B6">
            <w:pPr>
              <w:tabs>
                <w:tab w:val="center" w:pos="4153"/>
                <w:tab w:val="right" w:pos="8306"/>
              </w:tabs>
              <w:spacing w:line="360" w:lineRule="auto"/>
              <w:jc w:val="center"/>
              <w:rPr>
                <w:szCs w:val="24"/>
              </w:rPr>
            </w:pPr>
            <w:r>
              <w:rPr>
                <w:szCs w:val="24"/>
              </w:rPr>
              <w:t>3分</w:t>
            </w:r>
          </w:p>
        </w:tc>
        <w:tc>
          <w:tcPr>
            <w:tcW w:w="5953" w:type="dxa"/>
            <w:noWrap/>
            <w:vAlign w:val="center"/>
          </w:tcPr>
          <w:p w14:paraId="5F438D2B">
            <w:pPr>
              <w:tabs>
                <w:tab w:val="center" w:pos="4153"/>
                <w:tab w:val="right" w:pos="8306"/>
              </w:tabs>
              <w:spacing w:line="360" w:lineRule="auto"/>
              <w:jc w:val="left"/>
              <w:rPr>
                <w:szCs w:val="24"/>
              </w:rPr>
            </w:pPr>
            <w:r>
              <w:rPr>
                <w:szCs w:val="24"/>
              </w:rPr>
              <w:t>根据《中华人民共和国政府采购法》（中华人民共和国主席令第68号）、《中华人民共和国政府采购实施条例》（国务院第658号令）、贵州省财政厅文件（黔财采【2017】6号）的规定，对产品原产地在少数民族地区的投标主产品（不含附带产品）在总得分基础上加3分。</w:t>
            </w:r>
          </w:p>
          <w:p w14:paraId="7B6DD0F9">
            <w:pPr>
              <w:widowControl/>
              <w:shd w:val="clear" w:color="auto" w:fill="FFFFFF"/>
              <w:spacing w:line="360" w:lineRule="auto"/>
              <w:jc w:val="left"/>
              <w:rPr>
                <w:szCs w:val="24"/>
              </w:rPr>
            </w:pPr>
            <w:r>
              <w:rPr>
                <w:szCs w:val="24"/>
              </w:rPr>
              <w:t>注：</w:t>
            </w:r>
            <w:r>
              <w:rPr>
                <w:rFonts w:hint="eastAsia" w:ascii="宋体" w:hAnsi="宋体" w:cs="宋体"/>
                <w:szCs w:val="24"/>
              </w:rPr>
              <w:t>①</w:t>
            </w:r>
            <w:r>
              <w:rPr>
                <w:szCs w:val="24"/>
              </w:rPr>
              <w:t>本项加分仅适用于货物采购项目。</w:t>
            </w:r>
            <w:r>
              <w:rPr>
                <w:rFonts w:hint="eastAsia" w:ascii="宋体" w:hAnsi="宋体" w:cs="宋体"/>
                <w:szCs w:val="24"/>
              </w:rPr>
              <w:t>②</w:t>
            </w:r>
            <w:r>
              <w:rPr>
                <w:szCs w:val="24"/>
              </w:rPr>
              <w:t>少数民族自治区：内蒙古自治区、新疆维吾尔自治区、宁夏回族自治区、广西壮族自治区、西藏自治区；</w:t>
            </w:r>
            <w:r>
              <w:rPr>
                <w:rFonts w:hint="eastAsia" w:ascii="宋体" w:hAnsi="宋体" w:cs="宋体"/>
                <w:szCs w:val="24"/>
              </w:rPr>
              <w:t>③</w:t>
            </w:r>
            <w:r>
              <w:rPr>
                <w:szCs w:val="24"/>
              </w:rPr>
              <w:t>享受少数民族自治待遇的省份：青海省、云南省、贵州省。</w:t>
            </w:r>
            <w:r>
              <w:rPr>
                <w:rFonts w:hint="eastAsia" w:ascii="宋体" w:hAnsi="宋体" w:cs="宋体"/>
                <w:szCs w:val="24"/>
              </w:rPr>
              <w:t>④</w:t>
            </w:r>
            <w:r>
              <w:rPr>
                <w:szCs w:val="24"/>
              </w:rPr>
              <w:t>投标主产品按照不得低于本采购项目预算金额50%进行确定。</w:t>
            </w:r>
          </w:p>
        </w:tc>
      </w:tr>
    </w:tbl>
    <w:p w14:paraId="0E764D13">
      <w:pPr>
        <w:widowControl/>
        <w:shd w:val="clear" w:color="auto" w:fill="FFFFFF"/>
        <w:spacing w:line="480" w:lineRule="exact"/>
        <w:ind w:firstLine="482" w:firstLineChars="200"/>
        <w:rPr>
          <w:bCs/>
          <w:szCs w:val="24"/>
        </w:rPr>
      </w:pPr>
      <w:r>
        <w:rPr>
          <w:b/>
          <w:szCs w:val="24"/>
        </w:rPr>
        <w:t>说明：</w:t>
      </w:r>
      <w:r>
        <w:rPr>
          <w:rFonts w:hint="eastAsia" w:ascii="宋体" w:hAnsi="宋体" w:cs="宋体"/>
          <w:szCs w:val="24"/>
        </w:rPr>
        <w:t>①</w:t>
      </w:r>
      <w:r>
        <w:rPr>
          <w:bCs/>
          <w:szCs w:val="24"/>
        </w:rPr>
        <w:t>投标人须提供以上评分标准中涉及到的资料和证明材料供评标委员会评审，并清晰标注页码；</w:t>
      </w:r>
      <w:r>
        <w:rPr>
          <w:rFonts w:hint="eastAsia" w:ascii="宋体" w:hAnsi="宋体" w:cs="宋体"/>
          <w:szCs w:val="24"/>
        </w:rPr>
        <w:t>②</w:t>
      </w:r>
      <w:r>
        <w:rPr>
          <w:bCs/>
          <w:szCs w:val="24"/>
        </w:rPr>
        <w:t>评标委员会认定投标的响应性仅根据投标文件本身的内容，不得寻求外部的证据；</w:t>
      </w:r>
      <w:r>
        <w:rPr>
          <w:rFonts w:hint="eastAsia" w:ascii="宋体" w:hAnsi="宋体" w:cs="宋体"/>
          <w:szCs w:val="24"/>
        </w:rPr>
        <w:t>③</w:t>
      </w:r>
      <w:r>
        <w:rPr>
          <w:bCs/>
          <w:szCs w:val="24"/>
        </w:rPr>
        <w:t>投标人应按上述评分标准自行提供有关方案或证明资料。</w:t>
      </w:r>
    </w:p>
    <w:p w14:paraId="7D03655A">
      <w:pPr>
        <w:pStyle w:val="4"/>
        <w:spacing w:before="240" w:beforeLines="100" w:after="240" w:afterLines="100" w:line="240" w:lineRule="auto"/>
        <w:rPr>
          <w:rFonts w:ascii="Times New Roman" w:hAnsi="Times New Roman" w:eastAsia="黑体"/>
          <w:b/>
          <w:bCs/>
          <w:sz w:val="28"/>
          <w:szCs w:val="28"/>
        </w:rPr>
      </w:pPr>
      <w:r>
        <w:rPr>
          <w:rFonts w:ascii="Times New Roman" w:hAnsi="Times New Roman" w:eastAsia="黑体"/>
          <w:b/>
          <w:bCs/>
          <w:sz w:val="28"/>
          <w:szCs w:val="28"/>
        </w:rPr>
        <w:br w:type="page"/>
      </w:r>
      <w:r>
        <w:rPr>
          <w:rFonts w:ascii="Times New Roman" w:hAnsi="Times New Roman" w:eastAsia="黑体"/>
          <w:b/>
          <w:bCs/>
          <w:sz w:val="28"/>
          <w:szCs w:val="28"/>
        </w:rPr>
        <w:t>四、评标流程</w:t>
      </w:r>
    </w:p>
    <w:p w14:paraId="17C1E3C6">
      <w:pPr>
        <w:spacing w:line="480" w:lineRule="exact"/>
        <w:ind w:firstLine="482" w:firstLineChars="200"/>
        <w:rPr>
          <w:kern w:val="0"/>
          <w:szCs w:val="24"/>
        </w:rPr>
      </w:pPr>
      <w:r>
        <w:rPr>
          <w:b/>
          <w:szCs w:val="24"/>
        </w:rPr>
        <w:t>1.</w:t>
      </w:r>
      <w:r>
        <w:rPr>
          <w:b/>
          <w:kern w:val="0"/>
          <w:szCs w:val="24"/>
        </w:rPr>
        <w:t>符合性检查。</w:t>
      </w:r>
      <w:r>
        <w:rPr>
          <w:szCs w:val="24"/>
        </w:rPr>
        <w:t>评标委员会对符合资格的投标人的投标文件进行符合性审查，以确定其是否满足招标文件的实质性要求</w:t>
      </w:r>
      <w:r>
        <w:rPr>
          <w:kern w:val="0"/>
          <w:szCs w:val="24"/>
        </w:rPr>
        <w:t>。</w:t>
      </w:r>
    </w:p>
    <w:p w14:paraId="2B4C3D5D">
      <w:pPr>
        <w:spacing w:line="480" w:lineRule="exact"/>
        <w:ind w:firstLine="482" w:firstLineChars="200"/>
        <w:rPr>
          <w:b/>
          <w:szCs w:val="24"/>
        </w:rPr>
      </w:pPr>
      <w:r>
        <w:rPr>
          <w:b/>
          <w:kern w:val="0"/>
          <w:szCs w:val="24"/>
        </w:rPr>
        <w:t>2.</w:t>
      </w:r>
      <w:r>
        <w:rPr>
          <w:b/>
          <w:szCs w:val="24"/>
        </w:rPr>
        <w:t xml:space="preserve"> 符合性审查内容：</w:t>
      </w:r>
    </w:p>
    <w:tbl>
      <w:tblPr>
        <w:tblStyle w:val="14"/>
        <w:tblW w:w="912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64"/>
        <w:gridCol w:w="8162"/>
      </w:tblGrid>
      <w:tr w14:paraId="6CCD45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noWrap/>
            <w:vAlign w:val="center"/>
          </w:tcPr>
          <w:p w14:paraId="526950B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kern w:val="0"/>
                <w:szCs w:val="24"/>
              </w:rPr>
            </w:pPr>
            <w:r>
              <w:rPr>
                <w:rFonts w:hint="eastAsia" w:ascii="宋体" w:hAnsi="宋体" w:eastAsia="宋体" w:cs="宋体"/>
                <w:b/>
                <w:kern w:val="0"/>
                <w:szCs w:val="24"/>
              </w:rPr>
              <w:t>序号</w:t>
            </w:r>
          </w:p>
        </w:tc>
        <w:tc>
          <w:tcPr>
            <w:tcW w:w="8162" w:type="dxa"/>
            <w:noWrap/>
            <w:vAlign w:val="center"/>
          </w:tcPr>
          <w:p w14:paraId="6FA7CDF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kern w:val="0"/>
                <w:szCs w:val="24"/>
              </w:rPr>
            </w:pPr>
            <w:r>
              <w:rPr>
                <w:rFonts w:hint="eastAsia" w:ascii="宋体" w:hAnsi="宋体" w:eastAsia="宋体" w:cs="宋体"/>
                <w:b/>
                <w:szCs w:val="24"/>
              </w:rPr>
              <w:t>符合性审查内容</w:t>
            </w:r>
          </w:p>
        </w:tc>
      </w:tr>
      <w:tr w14:paraId="0DA6D2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noWrap/>
            <w:vAlign w:val="center"/>
          </w:tcPr>
          <w:p w14:paraId="036DA5F2">
            <w:pPr>
              <w:keepNext w:val="0"/>
              <w:keepLines w:val="0"/>
              <w:pageBreakBefore w:val="0"/>
              <w:widowControl/>
              <w:kinsoku/>
              <w:wordWrap/>
              <w:overflowPunct/>
              <w:topLinePunct w:val="0"/>
              <w:autoSpaceDE/>
              <w:autoSpaceDN/>
              <w:bidi w:val="0"/>
              <w:adjustRightInd/>
              <w:snapToGrid/>
              <w:spacing w:line="480" w:lineRule="exact"/>
              <w:jc w:val="center"/>
              <w:textAlignment w:val="auto"/>
              <w:rPr>
                <w:kern w:val="0"/>
                <w:szCs w:val="24"/>
              </w:rPr>
            </w:pPr>
            <w:r>
              <w:rPr>
                <w:rFonts w:hint="eastAsia"/>
                <w:kern w:val="0"/>
                <w:szCs w:val="24"/>
              </w:rPr>
              <w:t>1</w:t>
            </w:r>
          </w:p>
        </w:tc>
        <w:tc>
          <w:tcPr>
            <w:tcW w:w="8162" w:type="dxa"/>
            <w:noWrap/>
            <w:vAlign w:val="center"/>
          </w:tcPr>
          <w:p w14:paraId="5BF6BAD2">
            <w:pPr>
              <w:keepNext w:val="0"/>
              <w:keepLines w:val="0"/>
              <w:pageBreakBefore w:val="0"/>
              <w:widowControl/>
              <w:kinsoku/>
              <w:wordWrap/>
              <w:overflowPunct/>
              <w:topLinePunct w:val="0"/>
              <w:autoSpaceDE/>
              <w:autoSpaceDN/>
              <w:bidi w:val="0"/>
              <w:adjustRightInd/>
              <w:snapToGrid/>
              <w:spacing w:line="480" w:lineRule="exact"/>
              <w:jc w:val="left"/>
              <w:textAlignment w:val="auto"/>
              <w:rPr>
                <w:kern w:val="0"/>
                <w:szCs w:val="24"/>
              </w:rPr>
            </w:pPr>
            <w:r>
              <w:rPr>
                <w:szCs w:val="24"/>
              </w:rPr>
              <w:t>商务要求实质性响应审查：满足招标文件</w:t>
            </w:r>
            <w:r>
              <w:rPr>
                <w:rFonts w:hint="eastAsia"/>
                <w:szCs w:val="24"/>
              </w:rPr>
              <w:t>商务要求中标注</w:t>
            </w:r>
            <w:r>
              <w:rPr>
                <w:rFonts w:hint="eastAsia" w:ascii="宋体" w:hAnsi="宋体" w:cs="宋体"/>
                <w:szCs w:val="24"/>
              </w:rPr>
              <w:t>★</w:t>
            </w:r>
            <w:r>
              <w:rPr>
                <w:rFonts w:hint="eastAsia"/>
                <w:szCs w:val="24"/>
              </w:rPr>
              <w:t>的</w:t>
            </w:r>
            <w:r>
              <w:rPr>
                <w:szCs w:val="24"/>
              </w:rPr>
              <w:t>要求</w:t>
            </w:r>
          </w:p>
        </w:tc>
      </w:tr>
      <w:tr w14:paraId="57D7CF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noWrap/>
            <w:vAlign w:val="center"/>
          </w:tcPr>
          <w:p w14:paraId="7B705569">
            <w:pPr>
              <w:keepNext w:val="0"/>
              <w:keepLines w:val="0"/>
              <w:pageBreakBefore w:val="0"/>
              <w:widowControl/>
              <w:kinsoku/>
              <w:wordWrap/>
              <w:overflowPunct/>
              <w:topLinePunct w:val="0"/>
              <w:autoSpaceDE/>
              <w:autoSpaceDN/>
              <w:bidi w:val="0"/>
              <w:adjustRightInd/>
              <w:snapToGrid/>
              <w:spacing w:line="480" w:lineRule="exact"/>
              <w:jc w:val="center"/>
              <w:textAlignment w:val="auto"/>
              <w:rPr>
                <w:kern w:val="0"/>
                <w:szCs w:val="24"/>
              </w:rPr>
            </w:pPr>
            <w:r>
              <w:rPr>
                <w:rFonts w:hint="eastAsia"/>
                <w:kern w:val="0"/>
                <w:szCs w:val="24"/>
              </w:rPr>
              <w:t>2</w:t>
            </w:r>
          </w:p>
        </w:tc>
        <w:tc>
          <w:tcPr>
            <w:tcW w:w="8162" w:type="dxa"/>
            <w:noWrap/>
            <w:vAlign w:val="center"/>
          </w:tcPr>
          <w:p w14:paraId="5CC0F72D">
            <w:pPr>
              <w:keepNext w:val="0"/>
              <w:keepLines w:val="0"/>
              <w:pageBreakBefore w:val="0"/>
              <w:widowControl/>
              <w:kinsoku/>
              <w:wordWrap/>
              <w:overflowPunct/>
              <w:topLinePunct w:val="0"/>
              <w:autoSpaceDE/>
              <w:autoSpaceDN/>
              <w:bidi w:val="0"/>
              <w:adjustRightInd/>
              <w:snapToGrid/>
              <w:spacing w:line="480" w:lineRule="exact"/>
              <w:jc w:val="left"/>
              <w:textAlignment w:val="auto"/>
              <w:rPr>
                <w:kern w:val="0"/>
                <w:szCs w:val="24"/>
              </w:rPr>
            </w:pPr>
            <w:r>
              <w:rPr>
                <w:szCs w:val="24"/>
              </w:rPr>
              <w:t>无效投标审查：招标文件“第三章 投标人须知”第</w:t>
            </w:r>
            <w:r>
              <w:rPr>
                <w:rFonts w:hint="eastAsia"/>
                <w:szCs w:val="24"/>
              </w:rPr>
              <w:t>26.</w:t>
            </w:r>
            <w:r>
              <w:rPr>
                <w:szCs w:val="24"/>
              </w:rPr>
              <w:t>4条款中认定为无效投标的情形</w:t>
            </w:r>
          </w:p>
        </w:tc>
      </w:tr>
      <w:tr w14:paraId="4C74F7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noWrap/>
            <w:vAlign w:val="center"/>
          </w:tcPr>
          <w:p w14:paraId="763FF70D">
            <w:pPr>
              <w:keepNext w:val="0"/>
              <w:keepLines w:val="0"/>
              <w:pageBreakBefore w:val="0"/>
              <w:widowControl/>
              <w:kinsoku/>
              <w:wordWrap/>
              <w:overflowPunct/>
              <w:topLinePunct w:val="0"/>
              <w:autoSpaceDE/>
              <w:autoSpaceDN/>
              <w:bidi w:val="0"/>
              <w:adjustRightInd/>
              <w:snapToGrid/>
              <w:spacing w:line="480" w:lineRule="exact"/>
              <w:jc w:val="center"/>
              <w:textAlignment w:val="auto"/>
              <w:rPr>
                <w:kern w:val="0"/>
                <w:szCs w:val="24"/>
              </w:rPr>
            </w:pPr>
            <w:r>
              <w:rPr>
                <w:rFonts w:hint="eastAsia"/>
                <w:kern w:val="0"/>
                <w:szCs w:val="24"/>
              </w:rPr>
              <w:t>3</w:t>
            </w:r>
          </w:p>
        </w:tc>
        <w:tc>
          <w:tcPr>
            <w:tcW w:w="8162" w:type="dxa"/>
            <w:noWrap/>
            <w:vAlign w:val="center"/>
          </w:tcPr>
          <w:p w14:paraId="1BE752A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eastAsia="宋体"/>
                <w:szCs w:val="24"/>
                <w:lang w:eastAsia="zh-CN"/>
              </w:rPr>
            </w:pPr>
            <w:r>
              <w:rPr>
                <w:rFonts w:hint="eastAsia"/>
                <w:kern w:val="0"/>
                <w:szCs w:val="24"/>
              </w:rPr>
              <w:t>异常低价审查</w:t>
            </w:r>
            <w:r>
              <w:rPr>
                <w:rFonts w:hint="eastAsia"/>
                <w:kern w:val="0"/>
                <w:szCs w:val="24"/>
                <w:lang w:eastAsia="zh-CN"/>
              </w:rPr>
              <w:t>：</w:t>
            </w:r>
            <w:r>
              <w:rPr>
                <w:rFonts w:hint="eastAsia"/>
                <w:szCs w:val="24"/>
                <w:lang w:eastAsia="zh-CN"/>
              </w:rPr>
              <w:t>供应商</w:t>
            </w:r>
            <w:r>
              <w:rPr>
                <w:rFonts w:hint="eastAsia"/>
                <w:kern w:val="0"/>
                <w:szCs w:val="24"/>
                <w:lang w:eastAsia="zh-CN"/>
              </w:rPr>
              <w:t>的报价明显低于最高限价，有可能影响产品质量或者不能诚信履约的，供应商应在投标文件中提供合理性说明。经评标委员会认定为异常低价的，作无效投标处理。</w:t>
            </w:r>
          </w:p>
        </w:tc>
      </w:tr>
    </w:tbl>
    <w:p w14:paraId="25B28FFA">
      <w:pPr>
        <w:spacing w:line="360" w:lineRule="auto"/>
        <w:ind w:firstLine="482" w:firstLineChars="200"/>
        <w:rPr>
          <w:b/>
          <w:bCs/>
        </w:rPr>
      </w:pPr>
    </w:p>
    <w:p w14:paraId="101E4635">
      <w:pPr>
        <w:spacing w:line="480" w:lineRule="exact"/>
        <w:ind w:firstLine="482" w:firstLineChars="200"/>
        <w:rPr>
          <w:kern w:val="0"/>
          <w:szCs w:val="24"/>
        </w:rPr>
      </w:pPr>
      <w:r>
        <w:rPr>
          <w:rFonts w:hint="eastAsia"/>
          <w:b/>
          <w:kern w:val="0"/>
          <w:szCs w:val="24"/>
        </w:rPr>
        <w:t>3</w:t>
      </w:r>
      <w:r>
        <w:rPr>
          <w:b/>
          <w:kern w:val="0"/>
          <w:szCs w:val="24"/>
        </w:rPr>
        <w:t>.澄清有关问题。</w:t>
      </w:r>
      <w:r>
        <w:rPr>
          <w:kern w:val="0"/>
          <w:szCs w:val="24"/>
        </w:rPr>
        <w:t>对投标文件中含义不明确、同类问题表述不一致或者有明显文字和计算错误的内容，评标委员会以书面形式要求投标人作出必要的澄清、说明或者补正。投标人的澄清、说明或者补正以书面形式回复，且不得超出投标文件的范围或者改变投标文件的实质性内容，并由授权代表签字。</w:t>
      </w:r>
    </w:p>
    <w:p w14:paraId="2ACE4B7B">
      <w:pPr>
        <w:spacing w:line="480" w:lineRule="exact"/>
        <w:ind w:firstLine="482" w:firstLineChars="200"/>
        <w:rPr>
          <w:kern w:val="0"/>
          <w:szCs w:val="24"/>
        </w:rPr>
      </w:pPr>
      <w:r>
        <w:rPr>
          <w:rFonts w:hint="eastAsia"/>
          <w:b/>
          <w:kern w:val="0"/>
          <w:szCs w:val="24"/>
        </w:rPr>
        <w:t>4</w:t>
      </w:r>
      <w:r>
        <w:rPr>
          <w:b/>
          <w:kern w:val="0"/>
          <w:szCs w:val="24"/>
        </w:rPr>
        <w:t>.比较与评价。</w:t>
      </w:r>
      <w:r>
        <w:rPr>
          <w:kern w:val="0"/>
          <w:szCs w:val="24"/>
        </w:rPr>
        <w:t>按招标文件中规定的评标方法和标准，对合格的投标人进行商务和技术评审，综合比较与评分。</w:t>
      </w:r>
    </w:p>
    <w:p w14:paraId="5A1500F6">
      <w:pPr>
        <w:spacing w:line="480" w:lineRule="exact"/>
        <w:ind w:firstLine="482" w:firstLineChars="200"/>
        <w:rPr>
          <w:b/>
          <w:kern w:val="0"/>
          <w:szCs w:val="24"/>
        </w:rPr>
      </w:pPr>
      <w:r>
        <w:rPr>
          <w:rFonts w:hint="eastAsia"/>
          <w:b/>
          <w:kern w:val="0"/>
          <w:szCs w:val="24"/>
        </w:rPr>
        <w:t>5</w:t>
      </w:r>
      <w:r>
        <w:rPr>
          <w:b/>
          <w:kern w:val="0"/>
          <w:szCs w:val="24"/>
        </w:rPr>
        <w:t>.推荐中标候选人名单。</w:t>
      </w:r>
      <w:r>
        <w:rPr>
          <w:szCs w:val="24"/>
        </w:rPr>
        <w:t>评标委员会根据投标人评审得分高低排定名次。</w:t>
      </w:r>
      <w:r>
        <w:rPr>
          <w:kern w:val="0"/>
          <w:szCs w:val="24"/>
        </w:rPr>
        <w:t>按评审得分由高到低顺序排列。得分相同的，按投标报价由低到高顺序排列；得分且投标报价相同的，按照技术、商务的得分由高到低顺序推荐。</w:t>
      </w:r>
      <w:r>
        <w:rPr>
          <w:b/>
          <w:szCs w:val="24"/>
        </w:rPr>
        <w:t>汇总后评审得分由高到低的前3名为中标候选人。</w:t>
      </w:r>
    </w:p>
    <w:p w14:paraId="677D65AE">
      <w:pPr>
        <w:spacing w:line="480" w:lineRule="exact"/>
        <w:ind w:firstLine="482" w:firstLineChars="200"/>
        <w:rPr>
          <w:kern w:val="0"/>
          <w:szCs w:val="24"/>
        </w:rPr>
      </w:pPr>
      <w:r>
        <w:rPr>
          <w:rFonts w:hint="eastAsia"/>
          <w:b/>
          <w:kern w:val="0"/>
          <w:szCs w:val="24"/>
        </w:rPr>
        <w:t>6</w:t>
      </w:r>
      <w:r>
        <w:rPr>
          <w:b/>
          <w:kern w:val="0"/>
          <w:szCs w:val="24"/>
        </w:rPr>
        <w:t>.编写评标报告。</w:t>
      </w:r>
      <w:r>
        <w:rPr>
          <w:kern w:val="0"/>
          <w:szCs w:val="24"/>
        </w:rPr>
        <w:t>评标报告是评标委员会根据全体评委成员签字的原始评标记录和评标结果编写的报告，其主要内容包括：</w:t>
      </w:r>
    </w:p>
    <w:p w14:paraId="0E711976">
      <w:pPr>
        <w:spacing w:line="480" w:lineRule="exact"/>
        <w:ind w:firstLine="480" w:firstLineChars="200"/>
        <w:rPr>
          <w:kern w:val="0"/>
          <w:szCs w:val="24"/>
        </w:rPr>
      </w:pPr>
      <w:r>
        <w:rPr>
          <w:kern w:val="0"/>
          <w:szCs w:val="24"/>
        </w:rPr>
        <w:t>（1）公告刊登的媒体名称、开标日期和地点。</w:t>
      </w:r>
    </w:p>
    <w:p w14:paraId="0194B50D">
      <w:pPr>
        <w:spacing w:line="480" w:lineRule="exact"/>
        <w:ind w:firstLine="480" w:firstLineChars="200"/>
        <w:rPr>
          <w:kern w:val="0"/>
          <w:szCs w:val="24"/>
        </w:rPr>
      </w:pPr>
      <w:r>
        <w:rPr>
          <w:kern w:val="0"/>
          <w:szCs w:val="24"/>
        </w:rPr>
        <w:t>（2）投标人名单和评标委员会成员名单。</w:t>
      </w:r>
    </w:p>
    <w:p w14:paraId="6A739175">
      <w:pPr>
        <w:spacing w:line="480" w:lineRule="exact"/>
        <w:ind w:firstLine="480" w:firstLineChars="200"/>
        <w:rPr>
          <w:kern w:val="0"/>
          <w:szCs w:val="24"/>
        </w:rPr>
      </w:pPr>
      <w:r>
        <w:rPr>
          <w:kern w:val="0"/>
          <w:szCs w:val="24"/>
        </w:rPr>
        <w:t>（3）评标方法和标准。</w:t>
      </w:r>
    </w:p>
    <w:p w14:paraId="660E90F4">
      <w:pPr>
        <w:spacing w:line="480" w:lineRule="exact"/>
        <w:ind w:firstLine="480" w:firstLineChars="200"/>
        <w:rPr>
          <w:kern w:val="0"/>
          <w:szCs w:val="24"/>
        </w:rPr>
      </w:pPr>
      <w:r>
        <w:rPr>
          <w:kern w:val="0"/>
          <w:szCs w:val="24"/>
        </w:rPr>
        <w:t>（4）开标记录和评标情况及说明，包括无效投标人名单及原因。</w:t>
      </w:r>
    </w:p>
    <w:p w14:paraId="0B080291">
      <w:pPr>
        <w:spacing w:line="480" w:lineRule="exact"/>
        <w:ind w:firstLine="480" w:firstLineChars="200"/>
        <w:rPr>
          <w:kern w:val="0"/>
          <w:szCs w:val="24"/>
        </w:rPr>
      </w:pPr>
      <w:r>
        <w:rPr>
          <w:kern w:val="0"/>
          <w:szCs w:val="24"/>
        </w:rPr>
        <w:t>（5）评标结果，确定的中标候选人名单或者采购人是否委托评标委员会确定中标人。</w:t>
      </w:r>
    </w:p>
    <w:p w14:paraId="706C9536">
      <w:pPr>
        <w:spacing w:line="480" w:lineRule="exact"/>
        <w:ind w:firstLine="480" w:firstLineChars="200"/>
        <w:rPr>
          <w:kern w:val="0"/>
          <w:szCs w:val="24"/>
        </w:rPr>
      </w:pPr>
      <w:r>
        <w:rPr>
          <w:kern w:val="0"/>
          <w:szCs w:val="24"/>
        </w:rPr>
        <w:t>（6）其他需要说明的情况，包括评标过程中投标人根据评标委员会要求进行的澄清、说明或者补正，评标委员会成员的更换等。</w:t>
      </w:r>
    </w:p>
    <w:p w14:paraId="2B11D304">
      <w:pPr>
        <w:pStyle w:val="4"/>
        <w:spacing w:before="240" w:beforeLines="100" w:after="240" w:afterLines="100" w:line="240" w:lineRule="auto"/>
        <w:rPr>
          <w:rFonts w:ascii="Times New Roman" w:hAnsi="Times New Roman" w:eastAsia="黑体"/>
          <w:b/>
          <w:bCs/>
          <w:sz w:val="28"/>
          <w:szCs w:val="28"/>
        </w:rPr>
      </w:pPr>
      <w:r>
        <w:rPr>
          <w:rFonts w:ascii="Times New Roman" w:hAnsi="Times New Roman" w:eastAsia="黑体"/>
          <w:b/>
          <w:bCs/>
          <w:sz w:val="28"/>
          <w:szCs w:val="28"/>
        </w:rPr>
        <w:t>五、定标原则</w:t>
      </w:r>
    </w:p>
    <w:p w14:paraId="6C92103F">
      <w:pPr>
        <w:tabs>
          <w:tab w:val="left" w:pos="3060"/>
        </w:tabs>
        <w:spacing w:line="480" w:lineRule="exact"/>
        <w:ind w:firstLine="480" w:firstLineChars="200"/>
        <w:rPr>
          <w:szCs w:val="24"/>
        </w:rPr>
      </w:pPr>
      <w:r>
        <w:rPr>
          <w:szCs w:val="24"/>
        </w:rPr>
        <w:t>1.采购人将把合同授予被确定为实质上响应招标文件要求，评审得分排名最靠前的投标人。投标报价最低的并不作为推荐排名靠前的依据。</w:t>
      </w:r>
    </w:p>
    <w:p w14:paraId="698ED215">
      <w:pPr>
        <w:tabs>
          <w:tab w:val="left" w:pos="3060"/>
        </w:tabs>
        <w:spacing w:line="480" w:lineRule="exact"/>
        <w:ind w:firstLine="480" w:firstLineChars="200"/>
        <w:rPr>
          <w:szCs w:val="24"/>
        </w:rPr>
      </w:pPr>
      <w:r>
        <w:rPr>
          <w:szCs w:val="24"/>
        </w:rPr>
        <w:t>2.采购人根据评标委员会推荐的中标候选人名单，顺序确定中标人。</w:t>
      </w:r>
    </w:p>
    <w:p w14:paraId="26FB05FC">
      <w:pPr>
        <w:tabs>
          <w:tab w:val="left" w:pos="3060"/>
        </w:tabs>
        <w:spacing w:line="480" w:lineRule="exact"/>
        <w:ind w:firstLine="480" w:firstLineChars="200"/>
        <w:rPr>
          <w:szCs w:val="24"/>
        </w:rPr>
      </w:pPr>
      <w:r>
        <w:rPr>
          <w:szCs w:val="24"/>
        </w:rPr>
        <w:t>3.</w:t>
      </w:r>
      <w:r>
        <w:rPr>
          <w:kern w:val="0"/>
          <w:szCs w:val="24"/>
        </w:rPr>
        <w:t>出现下列情形之一的</w:t>
      </w:r>
      <w:r>
        <w:rPr>
          <w:szCs w:val="24"/>
        </w:rPr>
        <w:t>，采购人可以与排位在中标人之后第一位的中标候选人签订采购合同，</w:t>
      </w:r>
      <w:r>
        <w:rPr>
          <w:b/>
          <w:szCs w:val="24"/>
        </w:rPr>
        <w:t>也可以重新组织采购。</w:t>
      </w:r>
    </w:p>
    <w:p w14:paraId="1D4514C3">
      <w:pPr>
        <w:tabs>
          <w:tab w:val="left" w:pos="3060"/>
        </w:tabs>
        <w:spacing w:line="480" w:lineRule="exact"/>
        <w:ind w:firstLine="480" w:firstLineChars="200"/>
        <w:rPr>
          <w:kern w:val="0"/>
          <w:szCs w:val="24"/>
        </w:rPr>
      </w:pPr>
      <w:r>
        <w:rPr>
          <w:kern w:val="0"/>
          <w:szCs w:val="24"/>
        </w:rPr>
        <w:t>3.1排名第一的中标候选人，因自身原因放弃中标资格或因不可抗力因素不能履行合同的。</w:t>
      </w:r>
    </w:p>
    <w:p w14:paraId="64BB360A">
      <w:pPr>
        <w:tabs>
          <w:tab w:val="left" w:pos="3060"/>
        </w:tabs>
        <w:spacing w:line="480" w:lineRule="exact"/>
        <w:ind w:firstLine="480" w:firstLineChars="200"/>
        <w:rPr>
          <w:kern w:val="0"/>
          <w:szCs w:val="24"/>
        </w:rPr>
      </w:pPr>
      <w:r>
        <w:rPr>
          <w:kern w:val="0"/>
          <w:szCs w:val="24"/>
        </w:rPr>
        <w:t>3.2经质疑，评标委员会或采购代理机构审查确认中标人在本次采购活动中存在违法违规行为，或其他原因使质疑成立的，中标资格无效。</w:t>
      </w:r>
    </w:p>
    <w:p w14:paraId="4F623DB6">
      <w:pPr>
        <w:tabs>
          <w:tab w:val="left" w:pos="3060"/>
        </w:tabs>
        <w:spacing w:line="480" w:lineRule="exact"/>
        <w:ind w:firstLine="480" w:firstLineChars="200"/>
        <w:rPr>
          <w:szCs w:val="24"/>
        </w:rPr>
      </w:pPr>
      <w:r>
        <w:rPr>
          <w:kern w:val="0"/>
          <w:szCs w:val="24"/>
        </w:rPr>
        <w:t>3.3在签订采购合同前，采购人发现排名第一的中标候选人存在未实质性响应招标文件要求的情形，并得到评标委员会确认的。</w:t>
      </w:r>
    </w:p>
    <w:p w14:paraId="5C2A6C2A">
      <w:pPr>
        <w:pStyle w:val="4"/>
        <w:spacing w:before="240" w:beforeLines="100" w:after="240" w:afterLines="100" w:line="240" w:lineRule="auto"/>
        <w:rPr>
          <w:rFonts w:ascii="Times New Roman" w:hAnsi="Times New Roman" w:eastAsia="黑体"/>
          <w:b/>
          <w:bCs/>
          <w:sz w:val="28"/>
          <w:szCs w:val="28"/>
        </w:rPr>
      </w:pPr>
      <w:r>
        <w:rPr>
          <w:rFonts w:ascii="Times New Roman" w:hAnsi="Times New Roman" w:eastAsia="黑体"/>
          <w:b/>
          <w:bCs/>
          <w:sz w:val="28"/>
          <w:szCs w:val="28"/>
        </w:rPr>
        <w:t>六、废标条款</w:t>
      </w:r>
    </w:p>
    <w:p w14:paraId="50FD3473">
      <w:pPr>
        <w:spacing w:line="480" w:lineRule="exact"/>
        <w:ind w:firstLine="480" w:firstLineChars="200"/>
        <w:rPr>
          <w:kern w:val="0"/>
          <w:szCs w:val="24"/>
        </w:rPr>
      </w:pPr>
      <w:r>
        <w:rPr>
          <w:kern w:val="0"/>
          <w:szCs w:val="24"/>
        </w:rPr>
        <w:t>1.符合专业条件的投标人或者对招标文件作实质响应的投标人不满足三家的。</w:t>
      </w:r>
    </w:p>
    <w:p w14:paraId="4E46DEA5">
      <w:pPr>
        <w:spacing w:line="480" w:lineRule="exact"/>
        <w:ind w:firstLine="480" w:firstLineChars="200"/>
        <w:rPr>
          <w:kern w:val="0"/>
          <w:szCs w:val="24"/>
        </w:rPr>
      </w:pPr>
      <w:r>
        <w:rPr>
          <w:kern w:val="0"/>
          <w:szCs w:val="24"/>
        </w:rPr>
        <w:t>2.出现影响采购公正的违法、违规行为的。</w:t>
      </w:r>
    </w:p>
    <w:p w14:paraId="43BB5F06">
      <w:pPr>
        <w:spacing w:line="480" w:lineRule="exact"/>
        <w:ind w:firstLine="480" w:firstLineChars="200"/>
        <w:rPr>
          <w:kern w:val="0"/>
          <w:szCs w:val="24"/>
        </w:rPr>
      </w:pPr>
      <w:r>
        <w:rPr>
          <w:kern w:val="0"/>
          <w:szCs w:val="24"/>
        </w:rPr>
        <w:t>3.投标人的报价超过采购预算或最高限价（若有），采购人不能支付的。</w:t>
      </w:r>
    </w:p>
    <w:p w14:paraId="3981CC49">
      <w:pPr>
        <w:spacing w:line="480" w:lineRule="exact"/>
        <w:ind w:firstLine="480" w:firstLineChars="200"/>
        <w:rPr>
          <w:kern w:val="0"/>
          <w:szCs w:val="24"/>
        </w:rPr>
      </w:pPr>
      <w:r>
        <w:rPr>
          <w:kern w:val="0"/>
          <w:szCs w:val="24"/>
        </w:rPr>
        <w:t>4.因重大变故，采购任务取消的。</w:t>
      </w:r>
    </w:p>
    <w:p w14:paraId="1B6FB242">
      <w:pPr>
        <w:spacing w:line="480" w:lineRule="exact"/>
        <w:ind w:firstLine="480" w:firstLineChars="200"/>
        <w:rPr>
          <w:color w:val="auto"/>
          <w:kern w:val="0"/>
          <w:sz w:val="24"/>
          <w:szCs w:val="24"/>
          <w:highlight w:val="none"/>
        </w:rPr>
      </w:pPr>
    </w:p>
    <w:p w14:paraId="7B644A61">
      <w:r>
        <w:rPr>
          <w:rStyle w:val="18"/>
          <w:rFonts w:ascii="Times New Roman" w:hAnsi="Times New Roman"/>
          <w:b/>
          <w:color w:val="auto"/>
          <w:sz w:val="32"/>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BB34A"/>
    <w:multiLevelType w:val="singleLevel"/>
    <w:tmpl w:val="C8EBB34A"/>
    <w:lvl w:ilvl="0" w:tentative="0">
      <w:start w:val="1"/>
      <w:numFmt w:val="chineseCounting"/>
      <w:suff w:val="space"/>
      <w:lvlText w:val="第%1部分"/>
      <w:lvlJc w:val="left"/>
      <w:rPr>
        <w:rFonts w:hint="eastAsia"/>
      </w:rPr>
    </w:lvl>
  </w:abstractNum>
  <w:abstractNum w:abstractNumId="1">
    <w:nsid w:val="EEE09E17"/>
    <w:multiLevelType w:val="singleLevel"/>
    <w:tmpl w:val="EEE09E1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86AA8"/>
    <w:rsid w:val="04BF588C"/>
    <w:rsid w:val="147321EF"/>
    <w:rsid w:val="16DB5B7C"/>
    <w:rsid w:val="1A9D1D74"/>
    <w:rsid w:val="1B813443"/>
    <w:rsid w:val="1C0F0A4F"/>
    <w:rsid w:val="245967C6"/>
    <w:rsid w:val="337C0D34"/>
    <w:rsid w:val="37D57676"/>
    <w:rsid w:val="3828316D"/>
    <w:rsid w:val="41FF7B9D"/>
    <w:rsid w:val="4FD77E50"/>
    <w:rsid w:val="52AA2CA4"/>
    <w:rsid w:val="5F346EF5"/>
    <w:rsid w:val="608A7C71"/>
    <w:rsid w:val="61FF0BD3"/>
    <w:rsid w:val="71883D59"/>
    <w:rsid w:val="731C0BFD"/>
    <w:rsid w:val="7BFA3AA5"/>
    <w:rsid w:val="7D19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18"/>
    <w:qFormat/>
    <w:uiPriority w:val="0"/>
    <w:pPr>
      <w:keepNext/>
      <w:jc w:val="center"/>
      <w:outlineLvl w:val="0"/>
    </w:pPr>
    <w:rPr>
      <w:rFonts w:hint="eastAsia" w:ascii="宋体" w:hAnsi="宋体" w:eastAsia="宋体" w:cs="宋体"/>
      <w:b/>
      <w:color w:val="000000"/>
      <w:sz w:val="32"/>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宋体" w:cs="Times New Roman"/>
      <w:b/>
      <w:bCs/>
      <w:sz w:val="24"/>
      <w:szCs w:val="32"/>
    </w:rPr>
  </w:style>
  <w:style w:type="paragraph" w:styleId="4">
    <w:name w:val="heading 4"/>
    <w:basedOn w:val="1"/>
    <w:next w:val="1"/>
    <w:qFormat/>
    <w:uiPriority w:val="0"/>
    <w:pPr>
      <w:keepNext/>
      <w:spacing w:line="460" w:lineRule="exact"/>
      <w:outlineLvl w:val="3"/>
    </w:pPr>
    <w:rPr>
      <w:rFonts w:ascii="宋体" w:hAnsi="宋体" w:eastAsia="宋体" w:cs="Times New Roman"/>
      <w:kern w:val="2"/>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kern w:val="2"/>
      <w:sz w:val="21"/>
    </w:rPr>
  </w:style>
  <w:style w:type="paragraph" w:styleId="6">
    <w:name w:val="annotation text"/>
    <w:basedOn w:val="1"/>
    <w:qFormat/>
    <w:uiPriority w:val="0"/>
    <w:pPr>
      <w:jc w:val="left"/>
    </w:pPr>
    <w:rPr>
      <w:rFonts w:ascii="Times New Roman" w:hAnsi="Times New Roman" w:eastAsia="宋体" w:cs="Times New Roman"/>
      <w:kern w:val="2"/>
      <w:sz w:val="21"/>
    </w:rPr>
  </w:style>
  <w:style w:type="paragraph" w:styleId="7">
    <w:name w:val="Body Text"/>
    <w:basedOn w:val="1"/>
    <w:next w:val="1"/>
    <w:qFormat/>
    <w:uiPriority w:val="0"/>
    <w:pPr>
      <w:spacing w:after="120" w:afterLines="0"/>
    </w:pPr>
    <w:rPr>
      <w:rFonts w:ascii="Times New Roman" w:hAnsi="Times New Roman" w:eastAsia="宋体" w:cs="Times New Roman"/>
      <w:kern w:val="2"/>
      <w:sz w:val="21"/>
      <w:lang w:val="en-US" w:eastAsia="zh-CN" w:bidi="ar-SA"/>
    </w:rPr>
  </w:style>
  <w:style w:type="paragraph" w:styleId="8">
    <w:name w:val="Body Text Indent"/>
    <w:basedOn w:val="1"/>
    <w:qFormat/>
    <w:uiPriority w:val="0"/>
    <w:pPr>
      <w:ind w:firstLine="601" w:firstLineChars="200"/>
    </w:pPr>
    <w:rPr>
      <w:rFonts w:eastAsia="仿宋_GB2312"/>
      <w:b/>
      <w:bCs/>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spacing w:after="120" w:afterLines="0"/>
      <w:ind w:left="420" w:leftChars="200"/>
    </w:pPr>
    <w:rPr>
      <w:rFonts w:ascii="Times New Roman" w:hAnsi="Times New Roman" w:eastAsia="宋体" w:cs="Times New Roman"/>
      <w:kern w:val="2"/>
      <w:sz w:val="16"/>
      <w:szCs w:val="16"/>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3">
    <w:name w:val="Body Text First Indent 2"/>
    <w:basedOn w:val="8"/>
    <w:qFormat/>
    <w:uiPriority w:val="0"/>
    <w:pPr>
      <w:ind w:left="420" w:leftChars="200" w:firstLine="420"/>
    </w:pPr>
    <w:rPr>
      <w:sz w:val="21"/>
      <w:szCs w:val="24"/>
    </w:rPr>
  </w:style>
  <w:style w:type="table" w:styleId="15">
    <w:name w:val="Table Grid"/>
    <w:basedOn w:val="1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7">
    <w:name w:val="divcss5"/>
    <w:basedOn w:val="16"/>
    <w:qFormat/>
    <w:uiPriority w:val="0"/>
  </w:style>
  <w:style w:type="character" w:customStyle="1" w:styleId="18">
    <w:name w:val="标题 1 字符"/>
    <w:link w:val="2"/>
    <w:qFormat/>
    <w:uiPriority w:val="0"/>
    <w:rPr>
      <w:rFonts w:hint="eastAsia" w:ascii="宋体" w:hAnsi="宋体" w:eastAsia="宋体" w:cs="宋体"/>
      <w:b/>
      <w:color w:val="00000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10976</Words>
  <Characters>11689</Characters>
  <Lines>0</Lines>
  <Paragraphs>0</Paragraphs>
  <TotalTime>0</TotalTime>
  <ScaleCrop>false</ScaleCrop>
  <LinksUpToDate>false</LinksUpToDate>
  <CharactersWithSpaces>11775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2025-02-26T06:27:00Z</dcterms:created>
  <dc:creator>Administrator</dc:creator>
  <cp:lastModifiedBy>Administrator</cp:lastModifiedBy>
  <dcterms:modified xsi:type="dcterms:W3CDTF">2025-07-14T11:30:42Z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eyJoZGlkIjoiMzA2NzUwOTc3MDA0YTg4ODRiYjY0YWJlNzRiYzBlMTQiLCJ1c2VySWQiOiIzNjUyNzMyMDIifQ==</vt:lpwstr>
  </property>
  <property fmtid="{D5CDD505-2E9C-101B-9397-08002B2CF9AE}" pid="4" name="ICV">
    <vt:lpwstr>0B04DA4F4B2B4014B874CA46BF378AB7_12</vt:lpwstr>
  </property>
</Properties>
</file>