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9F1EE">
      <w:pPr>
        <w:rPr>
          <w:rFonts w:hint="eastAsia"/>
          <w:color w:val="auto"/>
          <w:highlight w:val="none"/>
          <w:lang w:eastAsia="zh-CN"/>
        </w:rPr>
      </w:pPr>
    </w:p>
    <w:p w14:paraId="3182C6A9">
      <w:pPr>
        <w:pStyle w:val="5"/>
        <w:rPr>
          <w:rFonts w:hint="eastAsia"/>
          <w:color w:val="auto"/>
          <w:highlight w:val="none"/>
          <w:lang w:eastAsia="zh-CN"/>
        </w:rPr>
      </w:pPr>
    </w:p>
    <w:p w14:paraId="665E949C">
      <w:pPr>
        <w:pStyle w:val="5"/>
        <w:rPr>
          <w:rFonts w:hint="eastAsia"/>
          <w:color w:val="auto"/>
          <w:highlight w:val="none"/>
          <w:lang w:eastAsia="zh-CN"/>
        </w:rPr>
      </w:pPr>
    </w:p>
    <w:p w14:paraId="24A54048">
      <w:pPr>
        <w:spacing w:before="100" w:beforeAutospacing="1" w:after="100" w:afterAutospacing="1"/>
        <w:ind w:firstLine="0" w:firstLineChars="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eastAsia="zh-CN"/>
        </w:rPr>
        <w:t>贵州理工学院</w:t>
      </w:r>
    </w:p>
    <w:p w14:paraId="03C20A8D">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firstLineChars="0"/>
        <w:jc w:val="center"/>
        <w:textAlignment w:val="auto"/>
        <w:rPr>
          <w:rFonts w:hint="eastAsia" w:ascii="宋体" w:hAnsi="宋体" w:eastAsia="宋体" w:cs="宋体"/>
          <w:b/>
          <w:bCs/>
          <w:color w:val="auto"/>
          <w:spacing w:val="20"/>
          <w:sz w:val="44"/>
          <w:szCs w:val="44"/>
          <w:highlight w:val="none"/>
          <w:lang w:eastAsia="zh-CN"/>
        </w:rPr>
      </w:pPr>
      <w:r>
        <w:rPr>
          <w:rFonts w:hint="eastAsia" w:ascii="宋体" w:hAnsi="宋体" w:eastAsia="宋体" w:cs="宋体"/>
          <w:b/>
          <w:bCs/>
          <w:color w:val="auto"/>
          <w:spacing w:val="20"/>
          <w:sz w:val="44"/>
          <w:szCs w:val="44"/>
          <w:highlight w:val="none"/>
          <w:lang w:eastAsia="zh-CN"/>
        </w:rPr>
        <w:t>贵州理工学院三期网络设备采购</w:t>
      </w:r>
    </w:p>
    <w:p w14:paraId="5A21D5D8">
      <w:pPr>
        <w:spacing w:before="120" w:beforeLines="50" w:after="120" w:afterLines="50" w:line="240" w:lineRule="auto"/>
        <w:ind w:firstLine="0" w:firstLineChars="0"/>
        <w:jc w:val="center"/>
        <w:rPr>
          <w:rFonts w:hint="eastAsia" w:ascii="宋体" w:hAnsi="宋体" w:eastAsia="宋体" w:cs="宋体"/>
          <w:color w:val="auto"/>
          <w:spacing w:val="20"/>
          <w:sz w:val="44"/>
          <w:szCs w:val="44"/>
          <w:highlight w:val="none"/>
          <w:lang w:eastAsia="zh-CN"/>
        </w:rPr>
      </w:pPr>
    </w:p>
    <w:p w14:paraId="106D51B1">
      <w:pPr>
        <w:spacing w:before="120" w:beforeLines="50" w:after="120" w:afterLines="50" w:line="240" w:lineRule="auto"/>
        <w:ind w:firstLine="0" w:firstLineChars="0"/>
        <w:jc w:val="center"/>
        <w:rPr>
          <w:rFonts w:hint="eastAsia" w:ascii="宋体" w:hAnsi="宋体" w:eastAsia="宋体" w:cs="宋体"/>
          <w:color w:val="auto"/>
          <w:spacing w:val="20"/>
          <w:sz w:val="44"/>
          <w:szCs w:val="44"/>
          <w:highlight w:val="none"/>
          <w:lang w:eastAsia="zh-CN"/>
        </w:rPr>
      </w:pPr>
      <w:r>
        <w:rPr>
          <w:rFonts w:hint="eastAsia" w:ascii="宋体" w:hAnsi="宋体" w:eastAsia="宋体" w:cs="宋体"/>
          <w:color w:val="auto"/>
          <w:spacing w:val="20"/>
          <w:sz w:val="44"/>
          <w:szCs w:val="44"/>
          <w:highlight w:val="none"/>
          <w:lang w:val="en-US" w:eastAsia="zh-CN"/>
        </w:rPr>
        <w:t>需求</w:t>
      </w:r>
      <w:r>
        <w:rPr>
          <w:rFonts w:hint="eastAsia" w:ascii="宋体" w:hAnsi="宋体" w:eastAsia="宋体" w:cs="宋体"/>
          <w:color w:val="auto"/>
          <w:spacing w:val="20"/>
          <w:sz w:val="44"/>
          <w:szCs w:val="44"/>
          <w:highlight w:val="none"/>
          <w:lang w:eastAsia="zh-CN"/>
        </w:rPr>
        <w:t>文件</w:t>
      </w:r>
    </w:p>
    <w:p w14:paraId="5F49BE61">
      <w:pPr>
        <w:spacing w:before="100" w:beforeAutospacing="1" w:after="100" w:afterAutospacing="1"/>
        <w:ind w:firstLine="0" w:firstLineChars="0"/>
        <w:jc w:val="center"/>
        <w:rPr>
          <w:rFonts w:hint="eastAsia" w:ascii="宋体" w:hAnsi="宋体" w:eastAsia="宋体" w:cs="宋体"/>
          <w:color w:val="auto"/>
          <w:highlight w:val="none"/>
        </w:rPr>
      </w:pPr>
    </w:p>
    <w:p w14:paraId="36443A46">
      <w:pPr>
        <w:spacing w:before="100" w:beforeAutospacing="1" w:after="100" w:afterAutospacing="1"/>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2025年7月</w:t>
      </w:r>
      <w:r>
        <w:rPr>
          <w:rFonts w:hint="eastAsia" w:ascii="宋体" w:hAnsi="宋体" w:eastAsia="宋体" w:cs="宋体"/>
          <w:color w:val="auto"/>
          <w:highlight w:val="none"/>
        </w:rPr>
        <w:t>）</w:t>
      </w:r>
    </w:p>
    <w:p w14:paraId="5EF7F43A">
      <w:pPr>
        <w:spacing w:before="100" w:beforeAutospacing="1" w:after="100" w:afterAutospacing="1"/>
        <w:ind w:firstLine="0" w:firstLineChars="0"/>
        <w:jc w:val="center"/>
        <w:rPr>
          <w:rFonts w:hint="eastAsia" w:ascii="宋体" w:hAnsi="宋体" w:eastAsia="宋体" w:cs="宋体"/>
          <w:color w:val="auto"/>
          <w:spacing w:val="20"/>
          <w:highlight w:val="none"/>
        </w:rPr>
      </w:pPr>
    </w:p>
    <w:tbl>
      <w:tblPr>
        <w:tblStyle w:val="6"/>
        <w:tblW w:w="0" w:type="auto"/>
        <w:jc w:val="center"/>
        <w:tblLayout w:type="fixed"/>
        <w:tblCellMar>
          <w:top w:w="0" w:type="dxa"/>
          <w:left w:w="108" w:type="dxa"/>
          <w:bottom w:w="0" w:type="dxa"/>
          <w:right w:w="108" w:type="dxa"/>
        </w:tblCellMar>
      </w:tblPr>
      <w:tblGrid>
        <w:gridCol w:w="1470"/>
        <w:gridCol w:w="1894"/>
        <w:gridCol w:w="1502"/>
        <w:gridCol w:w="2648"/>
      </w:tblGrid>
      <w:tr w14:paraId="6D952F87">
        <w:tblPrEx>
          <w:tblCellMar>
            <w:top w:w="0" w:type="dxa"/>
            <w:left w:w="108" w:type="dxa"/>
            <w:bottom w:w="0" w:type="dxa"/>
            <w:right w:w="108" w:type="dxa"/>
          </w:tblCellMar>
        </w:tblPrEx>
        <w:trPr>
          <w:jc w:val="center"/>
        </w:trPr>
        <w:tc>
          <w:tcPr>
            <w:tcW w:w="1470" w:type="dxa"/>
            <w:noWrap w:val="0"/>
            <w:vAlign w:val="bottom"/>
          </w:tcPr>
          <w:p w14:paraId="4A4CFE44">
            <w:pPr>
              <w:spacing w:before="100" w:beforeAutospacing="1" w:after="100" w:afterAutospacing="1" w:line="300" w:lineRule="auto"/>
              <w:ind w:firstLine="0" w:firstLineChars="0"/>
              <w:jc w:val="distribute"/>
              <w:rPr>
                <w:rFonts w:hint="eastAsia" w:ascii="宋体" w:hAnsi="宋体" w:eastAsia="宋体" w:cs="宋体"/>
                <w:color w:val="auto"/>
                <w:highlight w:val="none"/>
              </w:rPr>
            </w:pPr>
            <w:r>
              <w:rPr>
                <w:rFonts w:hint="eastAsia" w:ascii="宋体" w:hAnsi="宋体" w:eastAsia="宋体" w:cs="宋体"/>
                <w:color w:val="auto"/>
                <w:highlight w:val="none"/>
              </w:rPr>
              <w:t>交易编号：</w:t>
            </w:r>
          </w:p>
        </w:tc>
        <w:tc>
          <w:tcPr>
            <w:tcW w:w="6044" w:type="dxa"/>
            <w:gridSpan w:val="3"/>
            <w:tcBorders>
              <w:bottom w:val="single" w:color="auto" w:sz="4" w:space="0"/>
            </w:tcBorders>
            <w:noWrap w:val="0"/>
            <w:vAlign w:val="bottom"/>
          </w:tcPr>
          <w:p w14:paraId="2439AD2C">
            <w:pPr>
              <w:spacing w:before="100" w:beforeAutospacing="1" w:after="100" w:afterAutospacing="1" w:line="300" w:lineRule="auto"/>
              <w:ind w:firstLine="0" w:firstLineChars="0"/>
              <w:jc w:val="center"/>
              <w:rPr>
                <w:rFonts w:hint="eastAsia" w:ascii="宋体" w:hAnsi="宋体" w:eastAsia="宋体" w:cs="宋体"/>
                <w:color w:val="auto"/>
                <w:highlight w:val="none"/>
                <w:lang w:val="en-US" w:eastAsia="zh-CN"/>
              </w:rPr>
            </w:pPr>
          </w:p>
        </w:tc>
      </w:tr>
      <w:tr w14:paraId="73E1AFB6">
        <w:tblPrEx>
          <w:tblCellMar>
            <w:top w:w="0" w:type="dxa"/>
            <w:left w:w="108" w:type="dxa"/>
            <w:bottom w:w="0" w:type="dxa"/>
            <w:right w:w="108" w:type="dxa"/>
          </w:tblCellMar>
        </w:tblPrEx>
        <w:trPr>
          <w:jc w:val="center"/>
        </w:trPr>
        <w:tc>
          <w:tcPr>
            <w:tcW w:w="1470" w:type="dxa"/>
            <w:noWrap w:val="0"/>
            <w:vAlign w:val="bottom"/>
          </w:tcPr>
          <w:p w14:paraId="3B45FB12">
            <w:pPr>
              <w:spacing w:before="100" w:beforeAutospacing="1" w:after="100" w:afterAutospacing="1" w:line="300" w:lineRule="auto"/>
              <w:ind w:firstLine="0" w:firstLineChars="0"/>
              <w:jc w:val="distribut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044" w:type="dxa"/>
            <w:gridSpan w:val="3"/>
            <w:tcBorders>
              <w:top w:val="single" w:color="auto" w:sz="4" w:space="0"/>
              <w:bottom w:val="single" w:color="auto" w:sz="4" w:space="0"/>
            </w:tcBorders>
            <w:noWrap w:val="0"/>
            <w:vAlign w:val="bottom"/>
          </w:tcPr>
          <w:p w14:paraId="7A163ECB">
            <w:pPr>
              <w:spacing w:before="100" w:beforeAutospacing="1" w:after="100" w:afterAutospacing="1" w:line="300" w:lineRule="auto"/>
              <w:ind w:firstLine="0" w:firstLineChars="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贵州理工学院三期网络设备采购</w:t>
            </w:r>
          </w:p>
        </w:tc>
      </w:tr>
      <w:tr w14:paraId="491604A6">
        <w:tblPrEx>
          <w:tblCellMar>
            <w:top w:w="0" w:type="dxa"/>
            <w:left w:w="108" w:type="dxa"/>
            <w:bottom w:w="0" w:type="dxa"/>
            <w:right w:w="108" w:type="dxa"/>
          </w:tblCellMar>
        </w:tblPrEx>
        <w:trPr>
          <w:jc w:val="center"/>
        </w:trPr>
        <w:tc>
          <w:tcPr>
            <w:tcW w:w="1470" w:type="dxa"/>
            <w:noWrap w:val="0"/>
            <w:vAlign w:val="bottom"/>
          </w:tcPr>
          <w:p w14:paraId="04B1362F">
            <w:pPr>
              <w:spacing w:before="100" w:beforeAutospacing="1" w:after="100" w:afterAutospacing="1" w:line="300" w:lineRule="auto"/>
              <w:ind w:firstLine="0" w:firstLineChars="0"/>
              <w:jc w:val="distribute"/>
              <w:rPr>
                <w:rFonts w:hint="eastAsia" w:ascii="宋体" w:hAnsi="宋体" w:eastAsia="宋体" w:cs="宋体"/>
                <w:color w:val="auto"/>
                <w:highlight w:val="none"/>
              </w:rPr>
            </w:pPr>
            <w:r>
              <w:rPr>
                <w:rFonts w:hint="eastAsia" w:ascii="宋体" w:hAnsi="宋体" w:eastAsia="宋体" w:cs="宋体"/>
                <w:color w:val="auto"/>
                <w:highlight w:val="none"/>
              </w:rPr>
              <w:t>采购方式：</w:t>
            </w:r>
          </w:p>
        </w:tc>
        <w:tc>
          <w:tcPr>
            <w:tcW w:w="1894" w:type="dxa"/>
            <w:tcBorders>
              <w:top w:val="single" w:color="auto" w:sz="4" w:space="0"/>
              <w:bottom w:val="single" w:color="auto" w:sz="4" w:space="0"/>
            </w:tcBorders>
            <w:noWrap w:val="0"/>
            <w:vAlign w:val="bottom"/>
          </w:tcPr>
          <w:p w14:paraId="2E00B2F7">
            <w:pPr>
              <w:spacing w:before="100" w:beforeAutospacing="1" w:after="100" w:afterAutospacing="1" w:line="300" w:lineRule="auto"/>
              <w:ind w:firstLine="0" w:firstLineChars="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竞争性</w:t>
            </w:r>
            <w:r>
              <w:rPr>
                <w:rFonts w:hint="eastAsia" w:ascii="宋体" w:hAnsi="宋体" w:eastAsia="宋体" w:cs="宋体"/>
                <w:color w:val="auto"/>
                <w:highlight w:val="none"/>
                <w:lang w:val="en-US" w:eastAsia="zh-CN"/>
              </w:rPr>
              <w:t>磋商</w:t>
            </w:r>
          </w:p>
        </w:tc>
        <w:tc>
          <w:tcPr>
            <w:tcW w:w="1502" w:type="dxa"/>
            <w:tcBorders>
              <w:top w:val="single" w:color="auto" w:sz="4" w:space="0"/>
            </w:tcBorders>
            <w:noWrap w:val="0"/>
            <w:vAlign w:val="bottom"/>
          </w:tcPr>
          <w:p w14:paraId="7DEA1121">
            <w:pPr>
              <w:spacing w:before="100" w:beforeAutospacing="1" w:after="100" w:afterAutospacing="1" w:line="30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采购类别：</w:t>
            </w:r>
          </w:p>
        </w:tc>
        <w:tc>
          <w:tcPr>
            <w:tcW w:w="2648" w:type="dxa"/>
            <w:tcBorders>
              <w:top w:val="single" w:color="auto" w:sz="4" w:space="0"/>
              <w:bottom w:val="single" w:color="auto" w:sz="4" w:space="0"/>
            </w:tcBorders>
            <w:noWrap w:val="0"/>
            <w:vAlign w:val="bottom"/>
          </w:tcPr>
          <w:p w14:paraId="0EA311DA">
            <w:pPr>
              <w:spacing w:before="100" w:beforeAutospacing="1" w:after="100" w:afterAutospacing="1" w:line="300" w:lineRule="auto"/>
              <w:ind w:firstLine="0" w:firstLineChars="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货物</w:t>
            </w:r>
          </w:p>
        </w:tc>
      </w:tr>
      <w:tr w14:paraId="7A169371">
        <w:tblPrEx>
          <w:tblCellMar>
            <w:top w:w="0" w:type="dxa"/>
            <w:left w:w="108" w:type="dxa"/>
            <w:bottom w:w="0" w:type="dxa"/>
            <w:right w:w="108" w:type="dxa"/>
          </w:tblCellMar>
        </w:tblPrEx>
        <w:trPr>
          <w:jc w:val="center"/>
        </w:trPr>
        <w:tc>
          <w:tcPr>
            <w:tcW w:w="1470" w:type="dxa"/>
            <w:noWrap w:val="0"/>
            <w:vAlign w:val="bottom"/>
          </w:tcPr>
          <w:p w14:paraId="1AFF405A">
            <w:pPr>
              <w:spacing w:before="100" w:beforeAutospacing="1" w:after="100" w:afterAutospacing="1" w:line="300" w:lineRule="auto"/>
              <w:ind w:firstLine="0" w:firstLineChars="0"/>
              <w:jc w:val="distribute"/>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6044" w:type="dxa"/>
            <w:gridSpan w:val="3"/>
            <w:tcBorders>
              <w:bottom w:val="single" w:color="auto" w:sz="4" w:space="0"/>
            </w:tcBorders>
            <w:noWrap w:val="0"/>
            <w:vAlign w:val="bottom"/>
          </w:tcPr>
          <w:p w14:paraId="59468DBB">
            <w:pPr>
              <w:spacing w:before="100" w:beforeAutospacing="1" w:after="100" w:afterAutospacing="1" w:line="300" w:lineRule="auto"/>
              <w:ind w:firstLine="0" w:firstLineChars="0"/>
              <w:jc w:val="left"/>
              <w:rPr>
                <w:rFonts w:hint="eastAsia" w:ascii="宋体" w:hAnsi="宋体" w:eastAsia="宋体" w:cs="宋体"/>
                <w:color w:val="auto"/>
                <w:highlight w:val="none"/>
                <w:lang w:eastAsia="zh-CN"/>
              </w:rPr>
            </w:pPr>
          </w:p>
        </w:tc>
      </w:tr>
      <w:tr w14:paraId="291CB7C9">
        <w:tblPrEx>
          <w:tblCellMar>
            <w:top w:w="0" w:type="dxa"/>
            <w:left w:w="108" w:type="dxa"/>
            <w:bottom w:w="0" w:type="dxa"/>
            <w:right w:w="108" w:type="dxa"/>
          </w:tblCellMar>
        </w:tblPrEx>
        <w:trPr>
          <w:jc w:val="center"/>
        </w:trPr>
        <w:tc>
          <w:tcPr>
            <w:tcW w:w="1470" w:type="dxa"/>
            <w:noWrap w:val="0"/>
            <w:vAlign w:val="bottom"/>
          </w:tcPr>
          <w:p w14:paraId="086B6467">
            <w:pPr>
              <w:spacing w:before="100" w:beforeAutospacing="1" w:after="100" w:afterAutospacing="1" w:line="300" w:lineRule="auto"/>
              <w:ind w:firstLine="0" w:firstLineChars="0"/>
              <w:jc w:val="distribute"/>
              <w:rPr>
                <w:rFonts w:hint="eastAsia" w:ascii="宋体" w:hAnsi="宋体" w:eastAsia="宋体" w:cs="宋体"/>
                <w:color w:val="auto"/>
                <w:highlight w:val="none"/>
              </w:rPr>
            </w:pPr>
            <w:r>
              <w:rPr>
                <w:rFonts w:hint="eastAsia" w:ascii="宋体" w:hAnsi="宋体" w:eastAsia="宋体" w:cs="宋体"/>
                <w:color w:val="auto"/>
                <w:highlight w:val="none"/>
              </w:rPr>
              <w:t>采 购 人：</w:t>
            </w:r>
          </w:p>
        </w:tc>
        <w:tc>
          <w:tcPr>
            <w:tcW w:w="6044" w:type="dxa"/>
            <w:gridSpan w:val="3"/>
            <w:tcBorders>
              <w:top w:val="single" w:color="auto" w:sz="4" w:space="0"/>
              <w:bottom w:val="single" w:color="auto" w:sz="4" w:space="0"/>
            </w:tcBorders>
            <w:noWrap w:val="0"/>
            <w:vAlign w:val="bottom"/>
          </w:tcPr>
          <w:p w14:paraId="099662ED">
            <w:pPr>
              <w:spacing w:before="100" w:beforeAutospacing="1" w:after="100" w:afterAutospacing="1" w:line="30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贵州理工学院</w:t>
            </w:r>
          </w:p>
        </w:tc>
      </w:tr>
      <w:tr w14:paraId="162FBF34">
        <w:tblPrEx>
          <w:tblCellMar>
            <w:top w:w="0" w:type="dxa"/>
            <w:left w:w="108" w:type="dxa"/>
            <w:bottom w:w="0" w:type="dxa"/>
            <w:right w:w="108" w:type="dxa"/>
          </w:tblCellMar>
        </w:tblPrEx>
        <w:trPr>
          <w:jc w:val="center"/>
        </w:trPr>
        <w:tc>
          <w:tcPr>
            <w:tcW w:w="1470" w:type="dxa"/>
            <w:noWrap w:val="0"/>
            <w:vAlign w:val="bottom"/>
          </w:tcPr>
          <w:p w14:paraId="67AC322A">
            <w:pPr>
              <w:spacing w:before="100" w:beforeAutospacing="1" w:after="100" w:afterAutospacing="1" w:line="300" w:lineRule="auto"/>
              <w:ind w:firstLine="0" w:firstLineChars="0"/>
              <w:jc w:val="distribute"/>
              <w:rPr>
                <w:rFonts w:hint="eastAsia" w:ascii="宋体" w:hAnsi="宋体" w:eastAsia="宋体" w:cs="宋体"/>
                <w:color w:val="auto"/>
                <w:highlight w:val="none"/>
              </w:rPr>
            </w:pPr>
            <w:r>
              <w:rPr>
                <w:rFonts w:hint="eastAsia" w:ascii="宋体" w:hAnsi="宋体" w:eastAsia="宋体" w:cs="宋体"/>
                <w:color w:val="auto"/>
                <w:highlight w:val="none"/>
              </w:rPr>
              <w:t>详细地址：</w:t>
            </w:r>
          </w:p>
        </w:tc>
        <w:tc>
          <w:tcPr>
            <w:tcW w:w="6044" w:type="dxa"/>
            <w:gridSpan w:val="3"/>
            <w:tcBorders>
              <w:top w:val="single" w:color="auto" w:sz="4" w:space="0"/>
              <w:bottom w:val="single" w:color="auto" w:sz="4" w:space="0"/>
            </w:tcBorders>
            <w:noWrap w:val="0"/>
            <w:vAlign w:val="bottom"/>
          </w:tcPr>
          <w:p w14:paraId="773910E7">
            <w:pPr>
              <w:spacing w:before="100" w:beforeAutospacing="1" w:after="100" w:afterAutospacing="1" w:line="30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贵州省贵安新区党武镇博士路</w:t>
            </w:r>
          </w:p>
        </w:tc>
      </w:tr>
      <w:tr w14:paraId="5501EF9C">
        <w:tblPrEx>
          <w:tblCellMar>
            <w:top w:w="0" w:type="dxa"/>
            <w:left w:w="108" w:type="dxa"/>
            <w:bottom w:w="0" w:type="dxa"/>
            <w:right w:w="108" w:type="dxa"/>
          </w:tblCellMar>
        </w:tblPrEx>
        <w:trPr>
          <w:jc w:val="center"/>
        </w:trPr>
        <w:tc>
          <w:tcPr>
            <w:tcW w:w="1470" w:type="dxa"/>
            <w:noWrap w:val="0"/>
            <w:vAlign w:val="bottom"/>
          </w:tcPr>
          <w:p w14:paraId="7AFC3621">
            <w:pPr>
              <w:spacing w:before="100" w:beforeAutospacing="1" w:after="100" w:afterAutospacing="1" w:line="300" w:lineRule="auto"/>
              <w:ind w:firstLine="0" w:firstLineChars="0"/>
              <w:jc w:val="distribute"/>
              <w:rPr>
                <w:rFonts w:hint="eastAsia" w:ascii="宋体" w:hAnsi="宋体" w:eastAsia="宋体" w:cs="宋体"/>
                <w:color w:val="auto"/>
                <w:highlight w:val="none"/>
              </w:rPr>
            </w:pPr>
            <w:r>
              <w:rPr>
                <w:rFonts w:hint="eastAsia" w:ascii="宋体" w:hAnsi="宋体" w:eastAsia="宋体" w:cs="宋体"/>
                <w:color w:val="auto"/>
                <w:highlight w:val="none"/>
              </w:rPr>
              <w:t>联 系 人：</w:t>
            </w:r>
          </w:p>
        </w:tc>
        <w:tc>
          <w:tcPr>
            <w:tcW w:w="1894" w:type="dxa"/>
            <w:tcBorders>
              <w:top w:val="single" w:color="auto" w:sz="4" w:space="0"/>
              <w:bottom w:val="single" w:color="auto" w:sz="4" w:space="0"/>
            </w:tcBorders>
            <w:noWrap w:val="0"/>
            <w:vAlign w:val="bottom"/>
          </w:tcPr>
          <w:p w14:paraId="77419315">
            <w:pPr>
              <w:spacing w:before="100" w:beforeAutospacing="1" w:after="100" w:afterAutospacing="1" w:line="300" w:lineRule="auto"/>
              <w:ind w:firstLine="0" w:firstLineChars="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金老师</w:t>
            </w:r>
          </w:p>
        </w:tc>
        <w:tc>
          <w:tcPr>
            <w:tcW w:w="1502" w:type="dxa"/>
            <w:tcBorders>
              <w:top w:val="single" w:color="auto" w:sz="4" w:space="0"/>
            </w:tcBorders>
            <w:noWrap w:val="0"/>
            <w:vAlign w:val="bottom"/>
          </w:tcPr>
          <w:p w14:paraId="27630670">
            <w:pPr>
              <w:spacing w:before="100" w:beforeAutospacing="1" w:after="100" w:afterAutospacing="1" w:line="30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2648" w:type="dxa"/>
            <w:tcBorders>
              <w:top w:val="single" w:color="auto" w:sz="4" w:space="0"/>
              <w:bottom w:val="single" w:color="auto" w:sz="4" w:space="0"/>
            </w:tcBorders>
            <w:noWrap w:val="0"/>
            <w:vAlign w:val="bottom"/>
          </w:tcPr>
          <w:p w14:paraId="1DE4078E">
            <w:pPr>
              <w:spacing w:before="100" w:beforeAutospacing="1" w:after="100" w:afterAutospacing="1" w:line="30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0851-88126681</w:t>
            </w:r>
          </w:p>
        </w:tc>
      </w:tr>
      <w:tr w14:paraId="5F9E1F11">
        <w:tblPrEx>
          <w:tblCellMar>
            <w:top w:w="0" w:type="dxa"/>
            <w:left w:w="108" w:type="dxa"/>
            <w:bottom w:w="0" w:type="dxa"/>
            <w:right w:w="108" w:type="dxa"/>
          </w:tblCellMar>
        </w:tblPrEx>
        <w:trPr>
          <w:jc w:val="center"/>
        </w:trPr>
        <w:tc>
          <w:tcPr>
            <w:tcW w:w="1470" w:type="dxa"/>
            <w:noWrap w:val="0"/>
            <w:vAlign w:val="bottom"/>
          </w:tcPr>
          <w:p w14:paraId="308703ED">
            <w:pPr>
              <w:spacing w:before="100" w:beforeAutospacing="1" w:after="100" w:afterAutospacing="1" w:line="300" w:lineRule="auto"/>
              <w:ind w:firstLine="0" w:firstLineChars="0"/>
              <w:jc w:val="distribute"/>
              <w:rPr>
                <w:rFonts w:hint="eastAsia" w:ascii="宋体" w:hAnsi="宋体" w:eastAsia="宋体" w:cs="宋体"/>
                <w:color w:val="auto"/>
                <w:highlight w:val="none"/>
              </w:rPr>
            </w:pPr>
            <w:r>
              <w:rPr>
                <w:rFonts w:hint="eastAsia" w:ascii="宋体" w:hAnsi="宋体" w:eastAsia="宋体" w:cs="宋体"/>
                <w:color w:val="auto"/>
                <w:highlight w:val="none"/>
              </w:rPr>
              <w:t>代理机构：</w:t>
            </w:r>
          </w:p>
        </w:tc>
        <w:tc>
          <w:tcPr>
            <w:tcW w:w="6044" w:type="dxa"/>
            <w:gridSpan w:val="3"/>
            <w:tcBorders>
              <w:bottom w:val="single" w:color="auto" w:sz="4" w:space="0"/>
            </w:tcBorders>
            <w:noWrap w:val="0"/>
            <w:vAlign w:val="bottom"/>
          </w:tcPr>
          <w:p w14:paraId="2C12FA1E">
            <w:pPr>
              <w:spacing w:before="100" w:beforeAutospacing="1" w:after="100" w:afterAutospacing="1" w:line="300" w:lineRule="auto"/>
              <w:ind w:firstLine="0" w:firstLineChars="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五矿国际招标有限责任公司</w:t>
            </w:r>
          </w:p>
        </w:tc>
      </w:tr>
      <w:tr w14:paraId="447D3542">
        <w:tblPrEx>
          <w:tblCellMar>
            <w:top w:w="0" w:type="dxa"/>
            <w:left w:w="108" w:type="dxa"/>
            <w:bottom w:w="0" w:type="dxa"/>
            <w:right w:w="108" w:type="dxa"/>
          </w:tblCellMar>
        </w:tblPrEx>
        <w:trPr>
          <w:jc w:val="center"/>
        </w:trPr>
        <w:tc>
          <w:tcPr>
            <w:tcW w:w="1470" w:type="dxa"/>
            <w:noWrap w:val="0"/>
            <w:vAlign w:val="bottom"/>
          </w:tcPr>
          <w:p w14:paraId="2B78AE6E">
            <w:pPr>
              <w:spacing w:before="100" w:beforeAutospacing="1" w:after="100" w:afterAutospacing="1" w:line="300" w:lineRule="auto"/>
              <w:ind w:firstLine="0" w:firstLineChars="0"/>
              <w:jc w:val="distribute"/>
              <w:rPr>
                <w:rFonts w:hint="eastAsia" w:ascii="宋体" w:hAnsi="宋体" w:eastAsia="宋体" w:cs="宋体"/>
                <w:color w:val="auto"/>
                <w:highlight w:val="none"/>
              </w:rPr>
            </w:pPr>
            <w:r>
              <w:rPr>
                <w:rFonts w:hint="eastAsia" w:ascii="宋体" w:hAnsi="宋体" w:eastAsia="宋体" w:cs="宋体"/>
                <w:color w:val="auto"/>
                <w:highlight w:val="none"/>
              </w:rPr>
              <w:t>详细地址：</w:t>
            </w:r>
          </w:p>
        </w:tc>
        <w:tc>
          <w:tcPr>
            <w:tcW w:w="6044" w:type="dxa"/>
            <w:gridSpan w:val="3"/>
            <w:tcBorders>
              <w:top w:val="single" w:color="auto" w:sz="4" w:space="0"/>
              <w:bottom w:val="single" w:color="auto" w:sz="4" w:space="0"/>
            </w:tcBorders>
            <w:noWrap w:val="0"/>
            <w:vAlign w:val="bottom"/>
          </w:tcPr>
          <w:p w14:paraId="62EF62F7">
            <w:pPr>
              <w:spacing w:before="100" w:beforeAutospacing="1" w:after="100" w:afterAutospacing="1" w:line="30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北京市海淀区三里河路5号</w:t>
            </w:r>
          </w:p>
        </w:tc>
      </w:tr>
      <w:tr w14:paraId="5A879E8B">
        <w:tblPrEx>
          <w:tblCellMar>
            <w:top w:w="0" w:type="dxa"/>
            <w:left w:w="108" w:type="dxa"/>
            <w:bottom w:w="0" w:type="dxa"/>
            <w:right w:w="108" w:type="dxa"/>
          </w:tblCellMar>
        </w:tblPrEx>
        <w:trPr>
          <w:jc w:val="center"/>
        </w:trPr>
        <w:tc>
          <w:tcPr>
            <w:tcW w:w="1470" w:type="dxa"/>
            <w:noWrap w:val="0"/>
            <w:vAlign w:val="bottom"/>
          </w:tcPr>
          <w:p w14:paraId="11518ECD">
            <w:pPr>
              <w:spacing w:before="100" w:beforeAutospacing="1" w:after="100" w:afterAutospacing="1" w:line="300" w:lineRule="auto"/>
              <w:ind w:firstLine="0" w:firstLineChars="0"/>
              <w:jc w:val="distribute"/>
              <w:rPr>
                <w:rFonts w:hint="eastAsia" w:ascii="宋体" w:hAnsi="宋体" w:eastAsia="宋体" w:cs="宋体"/>
                <w:color w:val="auto"/>
                <w:highlight w:val="none"/>
              </w:rPr>
            </w:pPr>
            <w:r>
              <w:rPr>
                <w:rFonts w:hint="eastAsia" w:ascii="宋体" w:hAnsi="宋体" w:eastAsia="宋体" w:cs="宋体"/>
                <w:color w:val="auto"/>
                <w:highlight w:val="none"/>
              </w:rPr>
              <w:t>联 系 人：</w:t>
            </w:r>
          </w:p>
        </w:tc>
        <w:tc>
          <w:tcPr>
            <w:tcW w:w="1894" w:type="dxa"/>
            <w:tcBorders>
              <w:top w:val="single" w:color="auto" w:sz="4" w:space="0"/>
              <w:bottom w:val="single" w:color="auto" w:sz="4" w:space="0"/>
            </w:tcBorders>
            <w:noWrap w:val="0"/>
            <w:vAlign w:val="bottom"/>
          </w:tcPr>
          <w:p w14:paraId="43F24835">
            <w:pPr>
              <w:spacing w:before="100" w:beforeAutospacing="1" w:after="100" w:afterAutospacing="1" w:line="30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李经理</w:t>
            </w:r>
          </w:p>
        </w:tc>
        <w:tc>
          <w:tcPr>
            <w:tcW w:w="1502" w:type="dxa"/>
            <w:tcBorders>
              <w:top w:val="single" w:color="auto" w:sz="4" w:space="0"/>
            </w:tcBorders>
            <w:noWrap w:val="0"/>
            <w:vAlign w:val="bottom"/>
          </w:tcPr>
          <w:p w14:paraId="435E4178">
            <w:pPr>
              <w:spacing w:before="100" w:beforeAutospacing="1" w:after="100" w:afterAutospacing="1" w:line="30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2648" w:type="dxa"/>
            <w:tcBorders>
              <w:top w:val="single" w:color="auto" w:sz="4" w:space="0"/>
              <w:bottom w:val="single" w:color="auto" w:sz="4" w:space="0"/>
            </w:tcBorders>
            <w:noWrap w:val="0"/>
            <w:vAlign w:val="bottom"/>
          </w:tcPr>
          <w:p w14:paraId="76C28210">
            <w:pPr>
              <w:spacing w:before="100" w:beforeAutospacing="1" w:after="100" w:afterAutospacing="1" w:line="300" w:lineRule="auto"/>
              <w:ind w:firstLine="0" w:firstLineChars="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13885118208</w:t>
            </w:r>
          </w:p>
        </w:tc>
      </w:tr>
    </w:tbl>
    <w:p w14:paraId="3B70621D">
      <w:pPr>
        <w:spacing w:line="240" w:lineRule="auto"/>
        <w:ind w:firstLine="437" w:firstLineChars="0"/>
        <w:jc w:val="center"/>
        <w:rPr>
          <w:rFonts w:hint="eastAsia" w:asciiTheme="minorEastAsia" w:hAnsiTheme="minorEastAsia" w:eastAsiaTheme="minorEastAsia" w:cstheme="minorEastAsia"/>
          <w:bCs/>
          <w:color w:val="auto"/>
          <w:sz w:val="44"/>
          <w:szCs w:val="44"/>
          <w:highlight w:val="none"/>
        </w:rPr>
      </w:pPr>
    </w:p>
    <w:p w14:paraId="65028B9E">
      <w:pPr>
        <w:spacing w:line="240" w:lineRule="auto"/>
        <w:ind w:firstLine="437" w:firstLineChars="0"/>
        <w:jc w:val="center"/>
        <w:rPr>
          <w:rFonts w:hint="eastAsia" w:asciiTheme="minorEastAsia" w:hAnsiTheme="minorEastAsia" w:eastAsiaTheme="minorEastAsia" w:cstheme="minorEastAsia"/>
          <w:bCs/>
          <w:color w:val="auto"/>
          <w:sz w:val="28"/>
          <w:szCs w:val="28"/>
          <w:highlight w:val="none"/>
        </w:rPr>
      </w:pPr>
    </w:p>
    <w:p w14:paraId="7309E961">
      <w:pPr>
        <w:spacing w:line="240" w:lineRule="auto"/>
        <w:ind w:firstLine="437" w:firstLineChars="0"/>
        <w:jc w:val="center"/>
        <w:rPr>
          <w:rFonts w:hint="eastAsia" w:asciiTheme="minorEastAsia" w:hAnsiTheme="minorEastAsia" w:eastAsiaTheme="minorEastAsia" w:cstheme="minorEastAsia"/>
          <w:bCs/>
          <w:color w:val="auto"/>
          <w:sz w:val="28"/>
          <w:szCs w:val="28"/>
          <w:highlight w:val="none"/>
        </w:rPr>
      </w:pPr>
    </w:p>
    <w:p w14:paraId="68300AB2">
      <w:pPr>
        <w:spacing w:line="240" w:lineRule="auto"/>
        <w:ind w:firstLine="437" w:firstLineChars="0"/>
        <w:jc w:val="center"/>
        <w:rPr>
          <w:rFonts w:hint="eastAsia" w:asciiTheme="minorEastAsia" w:hAnsiTheme="minorEastAsia" w:eastAsiaTheme="minorEastAsia" w:cstheme="minorEastAsia"/>
          <w:bCs/>
          <w:color w:val="auto"/>
          <w:sz w:val="28"/>
          <w:szCs w:val="28"/>
          <w:highlight w:val="none"/>
        </w:rPr>
      </w:pPr>
    </w:p>
    <w:p w14:paraId="1FE51698">
      <w:pPr>
        <w:pStyle w:val="2"/>
        <w:keepNext/>
        <w:keepLines/>
        <w:pageBreakBefore w:val="0"/>
        <w:widowControl w:val="0"/>
        <w:kinsoku/>
        <w:wordWrap/>
        <w:overflowPunct/>
        <w:topLinePunct w:val="0"/>
        <w:autoSpaceDE/>
        <w:autoSpaceDN/>
        <w:bidi w:val="0"/>
        <w:adjustRightInd/>
        <w:snapToGrid/>
        <w:spacing w:beforeLines="0" w:afterLines="0"/>
        <w:textAlignment w:val="auto"/>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lang w:val="en-US" w:eastAsia="zh-CN"/>
        </w:rPr>
        <w:t>一、</w:t>
      </w:r>
      <w:r>
        <w:rPr>
          <w:rFonts w:hint="eastAsia" w:asciiTheme="minorEastAsia" w:hAnsiTheme="minorEastAsia" w:eastAsiaTheme="minorEastAsia" w:cstheme="minorEastAsia"/>
          <w:color w:val="auto"/>
          <w:sz w:val="30"/>
          <w:szCs w:val="30"/>
          <w:highlight w:val="none"/>
        </w:rPr>
        <w:t>采购货物清单技术参数</w:t>
      </w:r>
    </w:p>
    <w:tbl>
      <w:tblPr>
        <w:tblStyle w:val="6"/>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2"/>
        <w:gridCol w:w="1484"/>
        <w:gridCol w:w="724"/>
        <w:gridCol w:w="725"/>
        <w:gridCol w:w="5115"/>
        <w:gridCol w:w="1325"/>
      </w:tblGrid>
      <w:tr w14:paraId="7A5D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792" w:type="dxa"/>
            <w:vMerge w:val="restart"/>
            <w:shd w:val="clear" w:color="auto" w:fill="auto"/>
            <w:noWrap/>
            <w:vAlign w:val="center"/>
          </w:tcPr>
          <w:p w14:paraId="50EC7A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484" w:type="dxa"/>
            <w:vMerge w:val="restart"/>
            <w:shd w:val="clear" w:color="auto" w:fill="auto"/>
            <w:noWrap/>
            <w:vAlign w:val="center"/>
          </w:tcPr>
          <w:p w14:paraId="496E45C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采购内容</w:t>
            </w:r>
          </w:p>
        </w:tc>
        <w:tc>
          <w:tcPr>
            <w:tcW w:w="724" w:type="dxa"/>
            <w:vMerge w:val="restart"/>
            <w:shd w:val="clear" w:color="auto" w:fill="auto"/>
            <w:noWrap/>
            <w:vAlign w:val="center"/>
          </w:tcPr>
          <w:p w14:paraId="15B35A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数量</w:t>
            </w:r>
          </w:p>
        </w:tc>
        <w:tc>
          <w:tcPr>
            <w:tcW w:w="725" w:type="dxa"/>
            <w:vMerge w:val="restart"/>
            <w:shd w:val="clear" w:color="auto" w:fill="auto"/>
            <w:noWrap/>
            <w:vAlign w:val="center"/>
          </w:tcPr>
          <w:p w14:paraId="123AE2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单位</w:t>
            </w:r>
          </w:p>
        </w:tc>
        <w:tc>
          <w:tcPr>
            <w:tcW w:w="5115" w:type="dxa"/>
            <w:vMerge w:val="restart"/>
            <w:shd w:val="clear" w:color="auto" w:fill="auto"/>
            <w:noWrap/>
            <w:vAlign w:val="center"/>
          </w:tcPr>
          <w:p w14:paraId="6BBE91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c>
          <w:tcPr>
            <w:tcW w:w="1325" w:type="dxa"/>
            <w:vMerge w:val="restart"/>
            <w:shd w:val="clear" w:color="auto" w:fill="auto"/>
            <w:noWrap/>
            <w:vAlign w:val="center"/>
          </w:tcPr>
          <w:p w14:paraId="209B8C2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服务期限</w:t>
            </w:r>
          </w:p>
        </w:tc>
      </w:tr>
      <w:tr w14:paraId="78A2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2" w:type="dxa"/>
            <w:vMerge w:val="continue"/>
            <w:shd w:val="clear" w:color="auto" w:fill="auto"/>
            <w:noWrap/>
            <w:vAlign w:val="center"/>
          </w:tcPr>
          <w:p w14:paraId="78154976">
            <w:pPr>
              <w:jc w:val="center"/>
              <w:rPr>
                <w:rFonts w:hint="eastAsia" w:ascii="宋体" w:hAnsi="宋体" w:eastAsia="宋体" w:cs="宋体"/>
                <w:i w:val="0"/>
                <w:iCs w:val="0"/>
                <w:color w:val="auto"/>
                <w:sz w:val="24"/>
                <w:szCs w:val="24"/>
                <w:highlight w:val="none"/>
                <w:u w:val="none"/>
              </w:rPr>
            </w:pPr>
          </w:p>
        </w:tc>
        <w:tc>
          <w:tcPr>
            <w:tcW w:w="1484" w:type="dxa"/>
            <w:vMerge w:val="continue"/>
            <w:shd w:val="clear" w:color="auto" w:fill="auto"/>
            <w:noWrap/>
            <w:vAlign w:val="center"/>
          </w:tcPr>
          <w:p w14:paraId="4A0BAFD6">
            <w:pPr>
              <w:jc w:val="center"/>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6306B232">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0765A55E">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noWrap/>
            <w:vAlign w:val="center"/>
          </w:tcPr>
          <w:p w14:paraId="3B0ACD4F">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noWrap/>
            <w:vAlign w:val="center"/>
          </w:tcPr>
          <w:p w14:paraId="4162D8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14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8" w:hRule="atLeast"/>
          <w:jc w:val="center"/>
        </w:trPr>
        <w:tc>
          <w:tcPr>
            <w:tcW w:w="792" w:type="dxa"/>
            <w:vMerge w:val="restart"/>
            <w:shd w:val="clear" w:color="auto" w:fill="auto"/>
            <w:noWrap/>
            <w:vAlign w:val="center"/>
          </w:tcPr>
          <w:p w14:paraId="771C64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1484" w:type="dxa"/>
            <w:vMerge w:val="restart"/>
            <w:shd w:val="clear" w:color="auto" w:fill="auto"/>
            <w:vAlign w:val="center"/>
          </w:tcPr>
          <w:p w14:paraId="59DD03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核心交换机</w:t>
            </w:r>
          </w:p>
        </w:tc>
        <w:tc>
          <w:tcPr>
            <w:tcW w:w="724" w:type="dxa"/>
            <w:vMerge w:val="restart"/>
            <w:shd w:val="clear" w:color="auto" w:fill="auto"/>
            <w:noWrap/>
            <w:vAlign w:val="center"/>
          </w:tcPr>
          <w:p w14:paraId="7A0009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725" w:type="dxa"/>
            <w:vMerge w:val="restart"/>
            <w:shd w:val="clear" w:color="auto" w:fill="auto"/>
            <w:noWrap/>
            <w:vAlign w:val="center"/>
          </w:tcPr>
          <w:p w14:paraId="658ED3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台</w:t>
            </w:r>
          </w:p>
        </w:tc>
        <w:tc>
          <w:tcPr>
            <w:tcW w:w="5115" w:type="dxa"/>
            <w:vMerge w:val="restart"/>
            <w:shd w:val="clear" w:color="auto" w:fill="auto"/>
            <w:vAlign w:val="center"/>
          </w:tcPr>
          <w:p w14:paraId="4B3C09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交换容量≥1900Tbps，包转发率≥460000Mpps；如官网显示A/B值，则以最低值为准，</w:t>
            </w:r>
            <w:r>
              <w:rPr>
                <w:rFonts w:hint="eastAsia" w:ascii="宋体" w:hAnsi="宋体" w:eastAsia="宋体" w:cs="宋体"/>
                <w:i w:val="0"/>
                <w:iCs w:val="0"/>
                <w:color w:val="auto"/>
                <w:sz w:val="24"/>
                <w:szCs w:val="24"/>
                <w:highlight w:val="none"/>
                <w:u w:val="none"/>
                <w:lang w:val="en-US" w:eastAsia="zh-CN"/>
              </w:rPr>
              <w:t>供应商应提供所投产品制造厂商五年原厂维保服务承诺函和参数确认函</w:t>
            </w:r>
            <w:r>
              <w:rPr>
                <w:rFonts w:hint="eastAsia" w:ascii="宋体" w:hAnsi="宋体" w:eastAsia="宋体" w:cs="宋体"/>
                <w:i w:val="0"/>
                <w:iCs w:val="0"/>
                <w:color w:val="auto"/>
                <w:sz w:val="24"/>
                <w:szCs w:val="24"/>
                <w:highlight w:val="none"/>
                <w:u w:val="none"/>
              </w:rPr>
              <w:t>。</w:t>
            </w:r>
          </w:p>
          <w:p w14:paraId="265AFC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主控引擎与交换网板物理分离；主控板槽数≥2，业务板槽数≥8，交换网板槽数≥4，风扇槽位数≥3；提供光网截图及链接，并加盖原厂公章证明。</w:t>
            </w:r>
          </w:p>
          <w:p w14:paraId="20AC17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采用正交CLOS交换架构，交换网板与线卡成垂直90°正交连接且与主控引擎、业务板硬件分离；提供产品清晰正、背面实物照片以展示各插槽分布；</w:t>
            </w:r>
          </w:p>
          <w:p w14:paraId="30A1AE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满足IPv4路由容量256K，IPv6路由容量80K，可实现大表项板卡和其他板卡混插，不影响整机表项容量；</w:t>
            </w:r>
          </w:p>
          <w:p w14:paraId="77A86A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核心芯片（CPU和转发芯片）满足国产化，提供检测报告并加盖原厂公章证明；</w:t>
            </w:r>
          </w:p>
          <w:p w14:paraId="774E6A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单台配置包含：双主控，双独立交换网板，冗余电源，≥36端口100GE以太网光接口，≥24端口40GE以太网光接口，≥48端口10GE以太网光接口。100G AOC堆叠线缆≥4条。</w:t>
            </w:r>
          </w:p>
          <w:p w14:paraId="39DD16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所有产品为企业级产品（非消费级、家用级）。</w:t>
            </w:r>
          </w:p>
          <w:p w14:paraId="3380C2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满足IPV4/IPV6全协议栈。</w:t>
            </w:r>
          </w:p>
          <w:p w14:paraId="466229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40G和10G光口满配原厂对应光模块，配置8块100G原厂光模块。</w:t>
            </w:r>
          </w:p>
          <w:p w14:paraId="38EFF4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w:t>
            </w:r>
            <w:r>
              <w:rPr>
                <w:rFonts w:hint="eastAsia" w:ascii="宋体" w:hAnsi="宋体" w:eastAsia="宋体" w:cs="宋体"/>
                <w:i w:val="0"/>
                <w:iCs w:val="0"/>
                <w:color w:val="auto"/>
                <w:sz w:val="24"/>
                <w:szCs w:val="24"/>
                <w:highlight w:val="none"/>
                <w:u w:val="none"/>
                <w:lang w:val="en-US" w:eastAsia="zh-CN"/>
              </w:rPr>
              <w:t>.供应商应提供所投产品制造厂商五年原厂维保服务承诺函和参数确认函</w:t>
            </w:r>
            <w:r>
              <w:rPr>
                <w:rFonts w:hint="eastAsia" w:ascii="宋体" w:hAnsi="宋体" w:eastAsia="宋体" w:cs="宋体"/>
                <w:i w:val="0"/>
                <w:iCs w:val="0"/>
                <w:color w:val="auto"/>
                <w:sz w:val="24"/>
                <w:szCs w:val="24"/>
                <w:highlight w:val="none"/>
                <w:u w:val="none"/>
              </w:rPr>
              <w:t>。</w:t>
            </w:r>
          </w:p>
          <w:p w14:paraId="41B973EE">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提供工信部进网许可证</w:t>
            </w:r>
            <w:r>
              <w:rPr>
                <w:rFonts w:hint="eastAsia" w:ascii="宋体" w:hAnsi="宋体" w:eastAsia="宋体" w:cs="宋体"/>
                <w:i w:val="0"/>
                <w:iCs w:val="0"/>
                <w:color w:val="auto"/>
                <w:sz w:val="24"/>
                <w:szCs w:val="24"/>
                <w:highlight w:val="none"/>
                <w:u w:val="none"/>
                <w:lang w:val="en-US" w:eastAsia="zh-CN"/>
              </w:rPr>
              <w:t>复印件或扫描件</w:t>
            </w:r>
          </w:p>
        </w:tc>
        <w:tc>
          <w:tcPr>
            <w:tcW w:w="1325" w:type="dxa"/>
            <w:vMerge w:val="restart"/>
            <w:shd w:val="clear" w:color="auto" w:fill="auto"/>
            <w:vAlign w:val="center"/>
          </w:tcPr>
          <w:p w14:paraId="441704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5年</w:t>
            </w:r>
          </w:p>
        </w:tc>
      </w:tr>
      <w:tr w14:paraId="6C76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6" w:hRule="atLeast"/>
          <w:jc w:val="center"/>
        </w:trPr>
        <w:tc>
          <w:tcPr>
            <w:tcW w:w="792" w:type="dxa"/>
            <w:vMerge w:val="continue"/>
            <w:shd w:val="clear" w:color="auto" w:fill="auto"/>
            <w:noWrap/>
            <w:vAlign w:val="center"/>
          </w:tcPr>
          <w:p w14:paraId="1ED06413">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0F444120">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32D95A91">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4C60D362">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3C049531">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138819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30BA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792" w:type="dxa"/>
            <w:vMerge w:val="continue"/>
            <w:shd w:val="clear" w:color="auto" w:fill="auto"/>
            <w:noWrap/>
            <w:vAlign w:val="center"/>
          </w:tcPr>
          <w:p w14:paraId="6BDF326B">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373E72E0">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16F836FA">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7EF8CD52">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0C3E7868">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7CF8E8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51B5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792" w:type="dxa"/>
            <w:vMerge w:val="restart"/>
            <w:shd w:val="clear" w:color="auto" w:fill="auto"/>
            <w:noWrap/>
            <w:vAlign w:val="center"/>
          </w:tcPr>
          <w:p w14:paraId="72781A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1484" w:type="dxa"/>
            <w:vMerge w:val="restart"/>
            <w:shd w:val="clear" w:color="auto" w:fill="auto"/>
            <w:vAlign w:val="center"/>
          </w:tcPr>
          <w:p w14:paraId="5B45D8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汇聚交换机</w:t>
            </w:r>
          </w:p>
        </w:tc>
        <w:tc>
          <w:tcPr>
            <w:tcW w:w="724" w:type="dxa"/>
            <w:vMerge w:val="restart"/>
            <w:shd w:val="clear" w:color="auto" w:fill="auto"/>
            <w:noWrap/>
            <w:vAlign w:val="center"/>
          </w:tcPr>
          <w:p w14:paraId="6FE511D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w:t>
            </w:r>
          </w:p>
        </w:tc>
        <w:tc>
          <w:tcPr>
            <w:tcW w:w="725" w:type="dxa"/>
            <w:vMerge w:val="restart"/>
            <w:shd w:val="clear" w:color="auto" w:fill="auto"/>
            <w:noWrap/>
            <w:vAlign w:val="center"/>
          </w:tcPr>
          <w:p w14:paraId="122823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台</w:t>
            </w:r>
          </w:p>
        </w:tc>
        <w:tc>
          <w:tcPr>
            <w:tcW w:w="5115" w:type="dxa"/>
            <w:vMerge w:val="restart"/>
            <w:shd w:val="clear" w:color="auto" w:fill="auto"/>
            <w:vAlign w:val="center"/>
          </w:tcPr>
          <w:p w14:paraId="4B2434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满足10G接口数≥24个，100G/40G接口数≥6个。提供官网截图及链接并加盖原厂公章证明。</w:t>
            </w:r>
          </w:p>
          <w:p w14:paraId="7C1B4A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单台交换容量≥4.8Tbps，包转发率≥1600Mpps。</w:t>
            </w:r>
          </w:p>
          <w:p w14:paraId="600D7A4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满足可拔插模块化风扇≥2个，前后风道。提供官网截图及链接并加盖原厂公章证明。</w:t>
            </w:r>
          </w:p>
          <w:p w14:paraId="6E5EA6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满足并实配可拔插双模块化电源。</w:t>
            </w:r>
          </w:p>
          <w:p w14:paraId="51DC99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核心芯片（CPU）满足国产化，提供检测报告。</w:t>
            </w:r>
          </w:p>
          <w:p w14:paraId="3D5315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满足RIP，OSPF，BGP，RIPng，OSPFv3，BGP4+。</w:t>
            </w:r>
          </w:p>
          <w:p w14:paraId="275545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满足同时开启802.1X或WEB认证，ACL、防ARP欺骗等功能。</w:t>
            </w:r>
          </w:p>
          <w:p w14:paraId="73B103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满足有针对CPU的保护机制。</w:t>
            </w:r>
          </w:p>
          <w:p w14:paraId="459A8D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所有产品为企业级产品（非消费级、家用级）。</w:t>
            </w:r>
          </w:p>
          <w:p w14:paraId="2542EF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满足IPV4/IPV6全协议栈。</w:t>
            </w:r>
          </w:p>
          <w:p w14:paraId="4E814B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40G和10G光口满配原厂对应光模块。</w:t>
            </w:r>
          </w:p>
          <w:p w14:paraId="0E7D78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供应商应提供所投产品制造厂商五年原厂维保服务承诺函和参数确认函</w:t>
            </w:r>
            <w:r>
              <w:rPr>
                <w:rFonts w:hint="eastAsia" w:ascii="宋体" w:hAnsi="宋体" w:eastAsia="宋体" w:cs="宋体"/>
                <w:i w:val="0"/>
                <w:iCs w:val="0"/>
                <w:color w:val="auto"/>
                <w:sz w:val="24"/>
                <w:szCs w:val="24"/>
                <w:highlight w:val="none"/>
                <w:u w:val="none"/>
              </w:rPr>
              <w:t>。</w:t>
            </w:r>
          </w:p>
          <w:p w14:paraId="449192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提供工信部进网许可证</w:t>
            </w:r>
            <w:r>
              <w:rPr>
                <w:rFonts w:hint="eastAsia" w:ascii="宋体" w:hAnsi="宋体" w:eastAsia="宋体" w:cs="宋体"/>
                <w:i w:val="0"/>
                <w:iCs w:val="0"/>
                <w:color w:val="auto"/>
                <w:sz w:val="24"/>
                <w:szCs w:val="24"/>
                <w:highlight w:val="none"/>
                <w:u w:val="none"/>
                <w:lang w:val="en-US" w:eastAsia="zh-CN"/>
              </w:rPr>
              <w:t>复印件或扫描件</w:t>
            </w:r>
            <w:r>
              <w:rPr>
                <w:rFonts w:hint="eastAsia" w:ascii="宋体" w:hAnsi="宋体" w:eastAsia="宋体" w:cs="宋体"/>
                <w:i w:val="0"/>
                <w:iCs w:val="0"/>
                <w:strike w:val="0"/>
                <w:dstrike w:val="0"/>
                <w:color w:val="auto"/>
                <w:sz w:val="24"/>
                <w:szCs w:val="24"/>
                <w:highlight w:val="none"/>
                <w:u w:val="none"/>
                <w:lang w:eastAsia="zh-CN"/>
              </w:rPr>
              <w:t>。</w:t>
            </w:r>
          </w:p>
        </w:tc>
        <w:tc>
          <w:tcPr>
            <w:tcW w:w="1325" w:type="dxa"/>
            <w:vMerge w:val="restart"/>
            <w:shd w:val="clear" w:color="auto" w:fill="auto"/>
            <w:vAlign w:val="center"/>
          </w:tcPr>
          <w:p w14:paraId="4691B3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lang w:eastAsia="zh-CN"/>
              </w:rPr>
              <w:t>年</w:t>
            </w:r>
          </w:p>
        </w:tc>
      </w:tr>
      <w:tr w14:paraId="180C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92" w:type="dxa"/>
            <w:vMerge w:val="continue"/>
            <w:shd w:val="clear" w:color="auto" w:fill="auto"/>
            <w:noWrap/>
            <w:vAlign w:val="center"/>
          </w:tcPr>
          <w:p w14:paraId="7B2C6E1E">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2487ABDD">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27B31B14">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2C482A4D">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1DC2596D">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65635C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3921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792" w:type="dxa"/>
            <w:vMerge w:val="continue"/>
            <w:shd w:val="clear" w:color="auto" w:fill="auto"/>
            <w:noWrap/>
            <w:vAlign w:val="center"/>
          </w:tcPr>
          <w:p w14:paraId="2590E5A2">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19065D92">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4846DF26">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7F8D61F3">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34438C17">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1E2474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27E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792" w:type="dxa"/>
            <w:vMerge w:val="restart"/>
            <w:shd w:val="clear" w:color="auto" w:fill="auto"/>
            <w:noWrap/>
            <w:vAlign w:val="center"/>
          </w:tcPr>
          <w:p w14:paraId="0EE286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p>
        </w:tc>
        <w:tc>
          <w:tcPr>
            <w:tcW w:w="1484" w:type="dxa"/>
            <w:vMerge w:val="restart"/>
            <w:shd w:val="clear" w:color="auto" w:fill="auto"/>
            <w:vAlign w:val="center"/>
          </w:tcPr>
          <w:p w14:paraId="303116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接入交换机</w:t>
            </w:r>
          </w:p>
        </w:tc>
        <w:tc>
          <w:tcPr>
            <w:tcW w:w="724" w:type="dxa"/>
            <w:vMerge w:val="restart"/>
            <w:shd w:val="clear" w:color="auto" w:fill="auto"/>
            <w:noWrap/>
            <w:vAlign w:val="center"/>
          </w:tcPr>
          <w:p w14:paraId="0B01B4E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98</w:t>
            </w:r>
          </w:p>
        </w:tc>
        <w:tc>
          <w:tcPr>
            <w:tcW w:w="725" w:type="dxa"/>
            <w:vMerge w:val="restart"/>
            <w:shd w:val="clear" w:color="auto" w:fill="auto"/>
            <w:noWrap/>
            <w:vAlign w:val="center"/>
          </w:tcPr>
          <w:p w14:paraId="30CDF1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台</w:t>
            </w:r>
          </w:p>
        </w:tc>
        <w:tc>
          <w:tcPr>
            <w:tcW w:w="5115" w:type="dxa"/>
            <w:vMerge w:val="restart"/>
            <w:shd w:val="clear" w:color="auto" w:fill="auto"/>
            <w:vAlign w:val="center"/>
          </w:tcPr>
          <w:p w14:paraId="57D352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交换容量≥600G，转发性能≥200Mpps。提供官网截图及链接并加盖原厂公章证明。</w:t>
            </w:r>
          </w:p>
          <w:p w14:paraId="44D0FB8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固化10/100/1000M以太网端口≥48个，固化10G/1G SFP+光接口≥4个。</w:t>
            </w:r>
          </w:p>
          <w:p w14:paraId="6AEC36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满足虚拟化功能，可将多台物理设备虚拟化为一台逻辑设备统一管理。</w:t>
            </w:r>
          </w:p>
          <w:p w14:paraId="481C36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学校所属雷区，要求产品端口浪涌抗扰度≥10KV，即具备不低于10KV的防雷能力。提供证明材料并加盖公章证明。</w:t>
            </w:r>
          </w:p>
          <w:p w14:paraId="3266B2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满足RIP/RIPng、OSPFv2/OSPFv3等三层路由协议。</w:t>
            </w:r>
          </w:p>
          <w:p w14:paraId="570C54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满足SAVI或DAI功能，实现对ARP的检测，以对设备进行保护。</w:t>
            </w:r>
          </w:p>
          <w:p w14:paraId="1C558A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提供工信部进网许可证</w:t>
            </w:r>
            <w:r>
              <w:rPr>
                <w:rFonts w:hint="eastAsia" w:ascii="宋体" w:hAnsi="宋体" w:eastAsia="宋体" w:cs="宋体"/>
                <w:i w:val="0"/>
                <w:iCs w:val="0"/>
                <w:color w:val="auto"/>
                <w:sz w:val="24"/>
                <w:szCs w:val="24"/>
                <w:highlight w:val="none"/>
                <w:u w:val="none"/>
                <w:lang w:val="en-US" w:eastAsia="zh-CN"/>
              </w:rPr>
              <w:t>复印件或扫描件</w:t>
            </w:r>
            <w:r>
              <w:rPr>
                <w:rFonts w:hint="eastAsia" w:ascii="宋体" w:hAnsi="宋体" w:eastAsia="宋体" w:cs="宋体"/>
                <w:i w:val="0"/>
                <w:iCs w:val="0"/>
                <w:color w:val="auto"/>
                <w:sz w:val="24"/>
                <w:szCs w:val="24"/>
                <w:highlight w:val="none"/>
                <w:u w:val="none"/>
              </w:rPr>
              <w:t>。</w:t>
            </w:r>
          </w:p>
          <w:p w14:paraId="4E9C22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满足sdn，适配sdn网管。</w:t>
            </w:r>
          </w:p>
          <w:p w14:paraId="21257D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所有产品为企业级产品（非消费级、家用级）。</w:t>
            </w:r>
          </w:p>
          <w:p w14:paraId="0B05D5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满足IPV4/IPV6全协议栈。</w:t>
            </w:r>
          </w:p>
          <w:p w14:paraId="4CFB48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供应商应提供所投产品制造厂商五年原厂维保服务承诺函和参数确认函</w:t>
            </w:r>
            <w:r>
              <w:rPr>
                <w:rFonts w:hint="eastAsia" w:ascii="宋体" w:hAnsi="宋体" w:eastAsia="宋体" w:cs="宋体"/>
                <w:i w:val="0"/>
                <w:iCs w:val="0"/>
                <w:color w:val="auto"/>
                <w:sz w:val="24"/>
                <w:szCs w:val="24"/>
                <w:highlight w:val="none"/>
                <w:u w:val="none"/>
              </w:rPr>
              <w:t>。</w:t>
            </w:r>
          </w:p>
        </w:tc>
        <w:tc>
          <w:tcPr>
            <w:tcW w:w="1325" w:type="dxa"/>
            <w:vMerge w:val="restart"/>
            <w:shd w:val="clear" w:color="auto" w:fill="auto"/>
            <w:vAlign w:val="center"/>
          </w:tcPr>
          <w:p w14:paraId="6D50C8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lang w:eastAsia="zh-CN"/>
              </w:rPr>
              <w:t>年</w:t>
            </w:r>
          </w:p>
        </w:tc>
      </w:tr>
      <w:tr w14:paraId="5A1C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792" w:type="dxa"/>
            <w:vMerge w:val="continue"/>
            <w:shd w:val="clear" w:color="auto" w:fill="auto"/>
            <w:noWrap/>
            <w:vAlign w:val="center"/>
          </w:tcPr>
          <w:p w14:paraId="0C67557C">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031B540A">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6E2D23D6">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52EE2540">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07FB8BDC">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4AD1DA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731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792" w:type="dxa"/>
            <w:vMerge w:val="continue"/>
            <w:shd w:val="clear" w:color="auto" w:fill="auto"/>
            <w:noWrap/>
            <w:vAlign w:val="center"/>
          </w:tcPr>
          <w:p w14:paraId="2B7C5B8E">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320DB9EE">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4345BA68">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7D54397C">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035F1DF4">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43A03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14:paraId="65B3DC11">
      <w:pPr>
        <w:rPr>
          <w:b/>
          <w:bCs/>
        </w:rPr>
      </w:pPr>
    </w:p>
    <w:p w14:paraId="334DCABF">
      <w:pPr>
        <w:rPr>
          <w:b/>
          <w:bCs/>
        </w:rPr>
      </w:pPr>
    </w:p>
    <w:p w14:paraId="6C7A7C32">
      <w:pPr>
        <w:rPr>
          <w:b/>
          <w:bCs/>
        </w:rPr>
      </w:pPr>
    </w:p>
    <w:p w14:paraId="255F9180">
      <w:pPr>
        <w:rPr>
          <w:b/>
          <w:bCs/>
        </w:rPr>
      </w:pPr>
    </w:p>
    <w:p w14:paraId="4F98F4FB">
      <w:pPr>
        <w:rPr>
          <w:b/>
          <w:bCs/>
        </w:rPr>
      </w:pPr>
    </w:p>
    <w:p w14:paraId="1F018E74">
      <w:pPr>
        <w:rPr>
          <w:b/>
          <w:bCs/>
        </w:rPr>
      </w:pPr>
    </w:p>
    <w:p w14:paraId="7961D915">
      <w:pPr>
        <w:rPr>
          <w:b/>
          <w:bCs/>
        </w:rPr>
      </w:pPr>
    </w:p>
    <w:p w14:paraId="7C77454C">
      <w:pPr>
        <w:rPr>
          <w:b/>
          <w:bCs/>
        </w:rPr>
      </w:pPr>
    </w:p>
    <w:p w14:paraId="48730EA6">
      <w:pPr>
        <w:rPr>
          <w:b/>
          <w:bCs/>
        </w:rPr>
      </w:pPr>
    </w:p>
    <w:p w14:paraId="3DE94E8D">
      <w:pPr>
        <w:rPr>
          <w:b/>
          <w:bCs/>
        </w:rPr>
      </w:pPr>
    </w:p>
    <w:p w14:paraId="0BC9F808">
      <w:pPr>
        <w:rPr>
          <w:b/>
          <w:bCs/>
        </w:rPr>
      </w:pPr>
    </w:p>
    <w:p w14:paraId="6F78B694">
      <w:pPr>
        <w:pStyle w:val="2"/>
        <w:keepNext/>
        <w:keepLines/>
        <w:pageBreakBefore w:val="0"/>
        <w:widowControl w:val="0"/>
        <w:kinsoku/>
        <w:wordWrap/>
        <w:overflowPunct/>
        <w:topLinePunct w:val="0"/>
        <w:autoSpaceDE/>
        <w:autoSpaceDN/>
        <w:bidi w:val="0"/>
        <w:adjustRightInd/>
        <w:snapToGrid/>
        <w:spacing w:beforeLines="0" w:afterLines="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en-US" w:eastAsia="zh-CN"/>
        </w:rPr>
        <w:t>二、</w:t>
      </w:r>
      <w:r>
        <w:rPr>
          <w:rFonts w:hint="eastAsia" w:asciiTheme="minorEastAsia" w:hAnsiTheme="minorEastAsia" w:eastAsiaTheme="minorEastAsia" w:cstheme="minorEastAsia"/>
          <w:color w:val="auto"/>
          <w:sz w:val="30"/>
          <w:szCs w:val="30"/>
          <w:highlight w:val="none"/>
        </w:rPr>
        <w:t>商务要求</w:t>
      </w:r>
    </w:p>
    <w:p w14:paraId="10818B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8"/>
          <w:rFonts w:asciiTheme="minorEastAsia" w:hAnsiTheme="minorEastAsia" w:eastAsiaTheme="minorEastAsia" w:cstheme="minorEastAsia"/>
          <w:color w:val="auto"/>
          <w:sz w:val="24"/>
          <w:szCs w:val="24"/>
          <w:highlight w:val="none"/>
        </w:rPr>
      </w:pPr>
      <w:r>
        <w:rPr>
          <w:rStyle w:val="8"/>
          <w:rFonts w:hint="eastAsia" w:asciiTheme="minorEastAsia" w:hAnsiTheme="minorEastAsia" w:eastAsiaTheme="minorEastAsia" w:cstheme="minorEastAsia"/>
          <w:color w:val="auto"/>
          <w:sz w:val="24"/>
          <w:szCs w:val="24"/>
          <w:highlight w:val="none"/>
        </w:rPr>
        <w:t>一、</w:t>
      </w:r>
      <w:r>
        <w:rPr>
          <w:rStyle w:val="8"/>
          <w:rFonts w:hint="eastAsia" w:asciiTheme="minorEastAsia" w:hAnsiTheme="minorEastAsia" w:eastAsiaTheme="minorEastAsia" w:cstheme="minorEastAsia"/>
          <w:color w:val="auto"/>
          <w:sz w:val="24"/>
          <w:szCs w:val="24"/>
          <w:highlight w:val="none"/>
          <w:lang w:val="en-US" w:eastAsia="zh-CN"/>
        </w:rPr>
        <w:t>交货</w:t>
      </w:r>
      <w:r>
        <w:rPr>
          <w:rStyle w:val="8"/>
          <w:rFonts w:hint="eastAsia" w:asciiTheme="minorEastAsia" w:hAnsiTheme="minorEastAsia" w:eastAsiaTheme="minorEastAsia" w:cstheme="minorEastAsia"/>
          <w:color w:val="auto"/>
          <w:sz w:val="24"/>
          <w:szCs w:val="24"/>
          <w:highlight w:val="none"/>
        </w:rPr>
        <w:t>期及</w:t>
      </w:r>
      <w:r>
        <w:rPr>
          <w:rStyle w:val="8"/>
          <w:rFonts w:hint="eastAsia" w:asciiTheme="minorEastAsia" w:hAnsiTheme="minorEastAsia" w:eastAsiaTheme="minorEastAsia" w:cstheme="minorEastAsia"/>
          <w:color w:val="auto"/>
          <w:sz w:val="24"/>
          <w:szCs w:val="24"/>
          <w:highlight w:val="none"/>
          <w:lang w:val="en-US" w:eastAsia="zh-CN"/>
        </w:rPr>
        <w:t>交货</w:t>
      </w:r>
      <w:r>
        <w:rPr>
          <w:rStyle w:val="8"/>
          <w:rFonts w:hint="eastAsia" w:asciiTheme="minorEastAsia" w:hAnsiTheme="minorEastAsia" w:eastAsiaTheme="minorEastAsia" w:cstheme="minorEastAsia"/>
          <w:color w:val="auto"/>
          <w:sz w:val="24"/>
          <w:szCs w:val="24"/>
          <w:highlight w:val="none"/>
        </w:rPr>
        <w:t>地点</w:t>
      </w:r>
    </w:p>
    <w:p w14:paraId="4C4201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1.交货期</w:t>
      </w:r>
    </w:p>
    <w:p w14:paraId="54C7D62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Style w:val="8"/>
          <w:rFonts w:hint="eastAsia" w:asciiTheme="minorEastAsia" w:hAnsiTheme="minorEastAsia" w:eastAsiaTheme="minorEastAsia" w:cstheme="minorEastAsia"/>
          <w:color w:val="auto"/>
          <w:kern w:val="2"/>
          <w:sz w:val="24"/>
          <w:szCs w:val="24"/>
          <w:highlight w:val="none"/>
          <w:lang w:val="en-US" w:eastAsia="zh-CN" w:bidi="ar-SA"/>
        </w:rPr>
      </w:pPr>
      <w:r>
        <w:rPr>
          <w:rStyle w:val="8"/>
          <w:rFonts w:hint="eastAsia" w:asciiTheme="minorEastAsia" w:hAnsiTheme="minorEastAsia" w:eastAsiaTheme="minorEastAsia" w:cstheme="minorEastAsia"/>
          <w:color w:val="auto"/>
          <w:kern w:val="2"/>
          <w:sz w:val="24"/>
          <w:szCs w:val="24"/>
          <w:highlight w:val="none"/>
          <w:lang w:val="en-US" w:eastAsia="zh-CN" w:bidi="ar-SA"/>
        </w:rPr>
        <w:t>合同签订之日起30个日历日。</w:t>
      </w:r>
    </w:p>
    <w:p w14:paraId="0DADFFA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2.交货</w:t>
      </w:r>
      <w:r>
        <w:rPr>
          <w:rFonts w:hint="eastAsia" w:ascii="宋体" w:hAnsi="宋体" w:eastAsia="宋体" w:cs="宋体"/>
          <w:color w:val="auto"/>
          <w:sz w:val="24"/>
          <w:szCs w:val="24"/>
          <w:highlight w:val="none"/>
        </w:rPr>
        <w:t>地点</w:t>
      </w:r>
    </w:p>
    <w:p w14:paraId="408B695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采购人指定地点。</w:t>
      </w:r>
    </w:p>
    <w:p w14:paraId="79FF76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8"/>
          <w:rFonts w:hint="eastAsia" w:asciiTheme="minorEastAsia" w:hAnsiTheme="minorEastAsia" w:eastAsiaTheme="minorEastAsia" w:cstheme="minorEastAsia"/>
          <w:color w:val="auto"/>
          <w:sz w:val="24"/>
          <w:szCs w:val="24"/>
          <w:highlight w:val="none"/>
        </w:rPr>
      </w:pPr>
      <w:r>
        <w:rPr>
          <w:rStyle w:val="8"/>
          <w:rFonts w:hint="eastAsia" w:asciiTheme="minorEastAsia" w:hAnsiTheme="minorEastAsia" w:eastAsiaTheme="minorEastAsia" w:cstheme="minorEastAsia"/>
          <w:color w:val="auto"/>
          <w:sz w:val="24"/>
          <w:szCs w:val="24"/>
          <w:highlight w:val="none"/>
        </w:rPr>
        <w:t>二、验收标准、规范</w:t>
      </w:r>
    </w:p>
    <w:p w14:paraId="47DD7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按国家相关验收标准、规范及采购人要求验收，同时应包含但不限于以下要求：</w:t>
      </w:r>
    </w:p>
    <w:p w14:paraId="53207C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8"/>
          <w:rFonts w:hint="default" w:asciiTheme="minorEastAsia" w:hAnsiTheme="minorEastAsia" w:eastAsiaTheme="minorEastAsia" w:cstheme="minorEastAsia"/>
          <w:color w:val="auto"/>
          <w:sz w:val="24"/>
          <w:szCs w:val="24"/>
          <w:highlight w:val="none"/>
          <w:lang w:val="en-US" w:eastAsia="zh-CN"/>
        </w:rPr>
      </w:pPr>
      <w:r>
        <w:rPr>
          <w:rStyle w:val="8"/>
          <w:rFonts w:hint="default" w:asciiTheme="minorEastAsia" w:hAnsiTheme="minorEastAsia" w:eastAsiaTheme="minorEastAsia" w:cstheme="minorEastAsia"/>
          <w:color w:val="auto"/>
          <w:sz w:val="24"/>
          <w:szCs w:val="24"/>
          <w:highlight w:val="none"/>
          <w:lang w:val="en-US" w:eastAsia="zh-CN"/>
        </w:rPr>
        <w:t>1.货物包装完整，数量与货物清单一致，附件齐全。</w:t>
      </w:r>
    </w:p>
    <w:p w14:paraId="595DB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8"/>
          <w:rFonts w:hint="default" w:asciiTheme="minorEastAsia" w:hAnsiTheme="minorEastAsia" w:eastAsiaTheme="minorEastAsia" w:cstheme="minorEastAsia"/>
          <w:color w:val="auto"/>
          <w:sz w:val="24"/>
          <w:szCs w:val="24"/>
          <w:highlight w:val="none"/>
          <w:lang w:val="en-US" w:eastAsia="zh-CN"/>
        </w:rPr>
      </w:pPr>
      <w:r>
        <w:rPr>
          <w:rStyle w:val="8"/>
          <w:rFonts w:hint="default" w:asciiTheme="minorEastAsia" w:hAnsiTheme="minorEastAsia" w:eastAsiaTheme="minorEastAsia" w:cstheme="minorEastAsia"/>
          <w:color w:val="auto"/>
          <w:sz w:val="24"/>
          <w:szCs w:val="24"/>
          <w:highlight w:val="none"/>
          <w:lang w:val="en-US" w:eastAsia="zh-CN"/>
        </w:rPr>
        <w:t>2.按照国家标准技术规范、安全文明</w:t>
      </w:r>
      <w:r>
        <w:rPr>
          <w:rStyle w:val="8"/>
          <w:rFonts w:hint="eastAsia" w:asciiTheme="minorEastAsia" w:hAnsiTheme="minorEastAsia" w:eastAsiaTheme="minorEastAsia" w:cstheme="minorEastAsia"/>
          <w:color w:val="auto"/>
          <w:sz w:val="24"/>
          <w:szCs w:val="24"/>
          <w:highlight w:val="none"/>
          <w:lang w:val="en-US" w:eastAsia="zh-CN"/>
        </w:rPr>
        <w:t>实施调试</w:t>
      </w:r>
      <w:r>
        <w:rPr>
          <w:rStyle w:val="8"/>
          <w:rFonts w:hint="default" w:asciiTheme="minorEastAsia" w:hAnsiTheme="minorEastAsia" w:eastAsiaTheme="minorEastAsia" w:cstheme="minorEastAsia"/>
          <w:color w:val="auto"/>
          <w:sz w:val="24"/>
          <w:szCs w:val="24"/>
          <w:highlight w:val="none"/>
          <w:lang w:val="en-US" w:eastAsia="zh-CN"/>
        </w:rPr>
        <w:t>技术要求、地方法规及相关部门要求进行</w:t>
      </w:r>
      <w:r>
        <w:rPr>
          <w:rStyle w:val="8"/>
          <w:rFonts w:hint="eastAsia" w:asciiTheme="minorEastAsia" w:hAnsiTheme="minorEastAsia" w:eastAsiaTheme="minorEastAsia" w:cstheme="minorEastAsia"/>
          <w:color w:val="auto"/>
          <w:sz w:val="24"/>
          <w:szCs w:val="24"/>
          <w:highlight w:val="none"/>
          <w:lang w:val="en-US" w:eastAsia="zh-CN"/>
        </w:rPr>
        <w:t>安装</w:t>
      </w:r>
      <w:r>
        <w:rPr>
          <w:rStyle w:val="8"/>
          <w:rFonts w:hint="default" w:asciiTheme="minorEastAsia" w:hAnsiTheme="minorEastAsia" w:eastAsiaTheme="minorEastAsia" w:cstheme="minorEastAsia"/>
          <w:color w:val="auto"/>
          <w:sz w:val="24"/>
          <w:szCs w:val="24"/>
          <w:highlight w:val="none"/>
          <w:lang w:val="en-US" w:eastAsia="zh-CN"/>
        </w:rPr>
        <w:t>。</w:t>
      </w:r>
    </w:p>
    <w:p w14:paraId="6E60A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8"/>
          <w:rFonts w:hint="default" w:asciiTheme="minorEastAsia" w:hAnsiTheme="minorEastAsia" w:eastAsiaTheme="minorEastAsia" w:cstheme="minorEastAsia"/>
          <w:color w:val="auto"/>
          <w:sz w:val="24"/>
          <w:szCs w:val="24"/>
          <w:highlight w:val="none"/>
          <w:lang w:val="en-US" w:eastAsia="zh-CN"/>
        </w:rPr>
      </w:pPr>
      <w:r>
        <w:rPr>
          <w:rStyle w:val="8"/>
          <w:rFonts w:hint="default" w:asciiTheme="minorEastAsia" w:hAnsiTheme="minorEastAsia" w:eastAsiaTheme="minorEastAsia" w:cstheme="minorEastAsia"/>
          <w:color w:val="auto"/>
          <w:sz w:val="24"/>
          <w:szCs w:val="24"/>
          <w:highlight w:val="none"/>
          <w:lang w:val="en-US" w:eastAsia="zh-CN"/>
        </w:rPr>
        <w:t>3.设备安装调试后，运行正常，达到验收规范标准。</w:t>
      </w:r>
    </w:p>
    <w:p w14:paraId="186247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8"/>
          <w:rFonts w:hint="default" w:asciiTheme="minorEastAsia" w:hAnsiTheme="minorEastAsia" w:eastAsiaTheme="minorEastAsia" w:cstheme="minorEastAsia"/>
          <w:color w:val="auto"/>
          <w:sz w:val="24"/>
          <w:szCs w:val="24"/>
          <w:highlight w:val="none"/>
          <w:lang w:val="en-US" w:eastAsia="zh-CN"/>
        </w:rPr>
      </w:pPr>
      <w:r>
        <w:rPr>
          <w:rStyle w:val="8"/>
          <w:rFonts w:hint="default" w:asciiTheme="minorEastAsia" w:hAnsiTheme="minorEastAsia" w:eastAsiaTheme="minorEastAsia" w:cstheme="minorEastAsia"/>
          <w:color w:val="auto"/>
          <w:sz w:val="24"/>
          <w:szCs w:val="24"/>
          <w:highlight w:val="none"/>
          <w:lang w:val="en-US" w:eastAsia="zh-CN"/>
        </w:rPr>
        <w:t>4.货物的质量符合相关国家质量验收规范标准。</w:t>
      </w:r>
    </w:p>
    <w:p w14:paraId="4CF21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8"/>
          <w:rFonts w:hint="default" w:asciiTheme="minorEastAsia" w:hAnsiTheme="minorEastAsia" w:eastAsiaTheme="minorEastAsia" w:cstheme="minorEastAsia"/>
          <w:color w:val="auto"/>
          <w:sz w:val="24"/>
          <w:szCs w:val="24"/>
          <w:highlight w:val="none"/>
          <w:lang w:val="en-US" w:eastAsia="zh-CN"/>
        </w:rPr>
      </w:pPr>
      <w:r>
        <w:rPr>
          <w:rStyle w:val="8"/>
          <w:rFonts w:hint="default" w:asciiTheme="minorEastAsia" w:hAnsiTheme="minorEastAsia" w:eastAsiaTheme="minorEastAsia" w:cstheme="minorEastAsia"/>
          <w:color w:val="auto"/>
          <w:sz w:val="24"/>
          <w:szCs w:val="24"/>
          <w:highlight w:val="none"/>
          <w:lang w:val="en-US" w:eastAsia="zh-CN"/>
        </w:rPr>
        <w:t>5.货物的功能符合招投标技术参数要求。</w:t>
      </w:r>
    </w:p>
    <w:p w14:paraId="3BA71E1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8"/>
          <w:rFonts w:asciiTheme="minorEastAsia" w:hAnsiTheme="minorEastAsia" w:eastAsiaTheme="minorEastAsia" w:cstheme="minorEastAsia"/>
          <w:color w:val="auto"/>
          <w:sz w:val="24"/>
          <w:szCs w:val="24"/>
          <w:highlight w:val="none"/>
        </w:rPr>
      </w:pPr>
      <w:r>
        <w:rPr>
          <w:rStyle w:val="8"/>
          <w:rFonts w:hint="eastAsia" w:asciiTheme="minorEastAsia" w:hAnsiTheme="minorEastAsia" w:eastAsiaTheme="minorEastAsia" w:cstheme="minorEastAsia"/>
          <w:color w:val="auto"/>
          <w:sz w:val="24"/>
          <w:szCs w:val="24"/>
          <w:highlight w:val="none"/>
          <w:lang w:val="en-US" w:eastAsia="zh-CN"/>
        </w:rPr>
        <w:t>三</w:t>
      </w:r>
      <w:r>
        <w:rPr>
          <w:rStyle w:val="8"/>
          <w:rFonts w:hint="eastAsia" w:asciiTheme="minorEastAsia" w:hAnsiTheme="minorEastAsia" w:eastAsiaTheme="minorEastAsia" w:cstheme="minorEastAsia"/>
          <w:color w:val="auto"/>
          <w:sz w:val="24"/>
          <w:szCs w:val="24"/>
          <w:highlight w:val="none"/>
        </w:rPr>
        <w:t>、售后服务</w:t>
      </w:r>
    </w:p>
    <w:p w14:paraId="5882D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按国家相关售后服务要求，同时应包含但不限于以下要求：</w:t>
      </w:r>
    </w:p>
    <w:p w14:paraId="5A67B9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1.所有产品在技术参数中对质保年限有明确表述的，按技术参数中的质保要求进行，未明确表述质保期限的按原厂质保（国家或厂商对设备或配件另有约定更长免费保修期限的从其约定）；</w:t>
      </w:r>
    </w:p>
    <w:p w14:paraId="3721A6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2.所有产品提供终身维修服务</w:t>
      </w:r>
    </w:p>
    <w:p w14:paraId="173531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在质保期内定期上门服务，时间从设备验收合格之日起；所有产品在质保期内中标投标人负责保修、包换或包退，并承担修理、调换或者退货的一切费用，保质期内中标供应商不能修理和不能调换的，按违约处理。所有设备一律实行终身维护维修，质保期满后只收取元器件成本费。所有产品管理系统均需提供</w:t>
      </w:r>
      <w:r>
        <w:rPr>
          <w:rFonts w:hint="eastAsia" w:ascii="宋体" w:hAnsi="宋体" w:eastAsia="宋体" w:cs="宋体"/>
          <w:strike/>
          <w:dstrike w:val="0"/>
          <w:color w:val="auto"/>
          <w:sz w:val="24"/>
          <w:szCs w:val="24"/>
          <w:highlight w:val="none"/>
          <w:lang w:val="en-US" w:eastAsia="zh-CN"/>
        </w:rPr>
        <w:t>免费</w:t>
      </w:r>
      <w:r>
        <w:rPr>
          <w:rFonts w:hint="eastAsia" w:ascii="宋体" w:hAnsi="宋体" w:eastAsia="宋体" w:cs="宋体"/>
          <w:color w:val="auto"/>
          <w:sz w:val="24"/>
          <w:szCs w:val="24"/>
          <w:highlight w:val="none"/>
          <w:lang w:val="en-US" w:eastAsia="zh-CN"/>
        </w:rPr>
        <w:t>升级服务，五年之内的维修维护及升级服务产生的一切费用已包含在报价内，采购人不再另行支付。</w:t>
      </w:r>
    </w:p>
    <w:p w14:paraId="586D5F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8"/>
          <w:rFonts w:asciiTheme="minorEastAsia" w:hAnsiTheme="minorEastAsia" w:eastAsiaTheme="minorEastAsia" w:cstheme="minorEastAsia"/>
          <w:color w:val="auto"/>
          <w:sz w:val="24"/>
          <w:szCs w:val="24"/>
          <w:highlight w:val="none"/>
        </w:rPr>
      </w:pPr>
      <w:r>
        <w:rPr>
          <w:rStyle w:val="8"/>
          <w:rFonts w:hint="eastAsia" w:asciiTheme="minorEastAsia" w:hAnsiTheme="minorEastAsia" w:eastAsiaTheme="minorEastAsia" w:cstheme="minorEastAsia"/>
          <w:color w:val="auto"/>
          <w:sz w:val="24"/>
          <w:szCs w:val="24"/>
          <w:highlight w:val="none"/>
          <w:lang w:val="en-US" w:eastAsia="zh-CN"/>
        </w:rPr>
        <w:t>四</w:t>
      </w:r>
      <w:r>
        <w:rPr>
          <w:rStyle w:val="8"/>
          <w:rFonts w:hint="eastAsia" w:asciiTheme="minorEastAsia" w:hAnsiTheme="minorEastAsia" w:eastAsiaTheme="minorEastAsia" w:cstheme="minorEastAsia"/>
          <w:color w:val="auto"/>
          <w:sz w:val="24"/>
          <w:szCs w:val="24"/>
          <w:highlight w:val="none"/>
        </w:rPr>
        <w:t>、付款方式</w:t>
      </w:r>
    </w:p>
    <w:p w14:paraId="369962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highlight w:val="none"/>
          <w:u w:val="none"/>
        </w:rPr>
      </w:pPr>
      <w:r>
        <w:rPr>
          <w:rFonts w:hint="eastAsia" w:ascii="宋体" w:hAnsi="宋体" w:eastAsia="宋体" w:cs="宋体"/>
          <w:strike w:val="0"/>
          <w:dstrike w:val="0"/>
          <w:color w:val="auto"/>
          <w:sz w:val="24"/>
          <w:szCs w:val="24"/>
          <w:highlight w:val="none"/>
          <w:lang w:eastAsia="zh-CN"/>
        </w:rPr>
        <w:t>无预付款，项目实施完成</w:t>
      </w:r>
      <w:r>
        <w:rPr>
          <w:rFonts w:hint="eastAsia" w:ascii="宋体" w:hAnsi="宋体" w:eastAsia="宋体" w:cs="宋体"/>
          <w:strike w:val="0"/>
          <w:dstrike w:val="0"/>
          <w:color w:val="auto"/>
          <w:sz w:val="24"/>
          <w:szCs w:val="24"/>
          <w:highlight w:val="none"/>
          <w:lang w:val="en-US" w:eastAsia="zh-CN"/>
        </w:rPr>
        <w:t>验收合格</w:t>
      </w:r>
      <w:r>
        <w:rPr>
          <w:rFonts w:hint="eastAsia" w:ascii="宋体" w:hAnsi="宋体" w:eastAsia="宋体" w:cs="宋体"/>
          <w:strike w:val="0"/>
          <w:dstrike w:val="0"/>
          <w:color w:val="auto"/>
          <w:sz w:val="24"/>
          <w:szCs w:val="24"/>
          <w:highlight w:val="none"/>
          <w:lang w:eastAsia="zh-CN"/>
        </w:rPr>
        <w:t>后</w:t>
      </w:r>
      <w:r>
        <w:rPr>
          <w:rFonts w:hint="eastAsia" w:ascii="宋体" w:hAnsi="宋体" w:eastAsia="宋体" w:cs="宋体"/>
          <w:strike w:val="0"/>
          <w:dstrike w:val="0"/>
          <w:color w:val="auto"/>
          <w:sz w:val="24"/>
          <w:szCs w:val="24"/>
          <w:highlight w:val="none"/>
          <w:lang w:val="en-US" w:eastAsia="zh-CN"/>
        </w:rPr>
        <w:t>按采购人支付程序</w:t>
      </w:r>
      <w:r>
        <w:rPr>
          <w:rFonts w:hint="eastAsia" w:ascii="宋体" w:hAnsi="宋体" w:eastAsia="宋体" w:cs="宋体"/>
          <w:strike w:val="0"/>
          <w:dstrike w:val="0"/>
          <w:color w:val="auto"/>
          <w:sz w:val="24"/>
          <w:szCs w:val="24"/>
          <w:highlight w:val="none"/>
          <w:lang w:eastAsia="zh-CN"/>
        </w:rPr>
        <w:t>支付</w:t>
      </w:r>
      <w:r>
        <w:rPr>
          <w:rFonts w:hint="eastAsia" w:asciiTheme="minorEastAsia" w:hAnsiTheme="minorEastAsia" w:eastAsiaTheme="minorEastAsia" w:cstheme="minorEastAsia"/>
          <w:color w:val="auto"/>
          <w:sz w:val="24"/>
          <w:szCs w:val="24"/>
          <w:highlight w:val="none"/>
          <w:lang w:val="en-US" w:eastAsia="zh-CN"/>
        </w:rPr>
        <w:t>合同金额的100%。</w:t>
      </w:r>
    </w:p>
    <w:p w14:paraId="607E53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8"/>
          <w:rFonts w:asciiTheme="minorEastAsia" w:hAnsiTheme="minorEastAsia" w:eastAsiaTheme="minorEastAsia" w:cstheme="minorEastAsia"/>
          <w:color w:val="auto"/>
          <w:sz w:val="24"/>
          <w:szCs w:val="24"/>
          <w:highlight w:val="none"/>
        </w:rPr>
      </w:pPr>
      <w:r>
        <w:rPr>
          <w:rStyle w:val="8"/>
          <w:rFonts w:hint="eastAsia" w:asciiTheme="minorEastAsia" w:hAnsiTheme="minorEastAsia" w:eastAsiaTheme="minorEastAsia" w:cstheme="minorEastAsia"/>
          <w:color w:val="auto"/>
          <w:sz w:val="24"/>
          <w:szCs w:val="24"/>
          <w:highlight w:val="none"/>
          <w:lang w:val="en-US" w:eastAsia="zh-CN"/>
        </w:rPr>
        <w:t>五</w:t>
      </w:r>
      <w:r>
        <w:rPr>
          <w:rStyle w:val="8"/>
          <w:rFonts w:hint="eastAsia" w:asciiTheme="minorEastAsia" w:hAnsiTheme="minorEastAsia" w:eastAsiaTheme="minorEastAsia" w:cstheme="minorEastAsia"/>
          <w:color w:val="auto"/>
          <w:sz w:val="24"/>
          <w:szCs w:val="24"/>
          <w:highlight w:val="none"/>
        </w:rPr>
        <w:t>、履约保证金</w:t>
      </w:r>
    </w:p>
    <w:p w14:paraId="07FC7E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p w14:paraId="401F50B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8"/>
          <w:rFonts w:asciiTheme="minorEastAsia" w:hAnsiTheme="minorEastAsia" w:eastAsiaTheme="minorEastAsia" w:cstheme="minorEastAsia"/>
          <w:color w:val="auto"/>
          <w:sz w:val="24"/>
          <w:szCs w:val="24"/>
          <w:highlight w:val="none"/>
        </w:rPr>
      </w:pPr>
      <w:r>
        <w:rPr>
          <w:rStyle w:val="8"/>
          <w:rFonts w:hint="eastAsia" w:asciiTheme="minorEastAsia" w:hAnsiTheme="minorEastAsia" w:eastAsiaTheme="minorEastAsia" w:cstheme="minorEastAsia"/>
          <w:color w:val="auto"/>
          <w:sz w:val="24"/>
          <w:szCs w:val="24"/>
          <w:highlight w:val="none"/>
          <w:lang w:val="en-US" w:eastAsia="zh-CN"/>
        </w:rPr>
        <w:t>六</w:t>
      </w:r>
      <w:r>
        <w:rPr>
          <w:rStyle w:val="8"/>
          <w:rFonts w:hint="eastAsia" w:asciiTheme="minorEastAsia" w:hAnsiTheme="minorEastAsia" w:eastAsiaTheme="minorEastAsia" w:cstheme="minorEastAsia"/>
          <w:color w:val="auto"/>
          <w:sz w:val="24"/>
          <w:szCs w:val="24"/>
          <w:highlight w:val="none"/>
        </w:rPr>
        <w:t>、投标有效期</w:t>
      </w:r>
    </w:p>
    <w:p w14:paraId="0CD03C2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90个日历日</w:t>
      </w:r>
    </w:p>
    <w:p w14:paraId="20E216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8"/>
          <w:rFonts w:asciiTheme="minorEastAsia" w:hAnsiTheme="minorEastAsia" w:eastAsiaTheme="minorEastAsia" w:cstheme="minorEastAsia"/>
          <w:color w:val="auto"/>
          <w:sz w:val="24"/>
          <w:szCs w:val="24"/>
          <w:highlight w:val="none"/>
        </w:rPr>
      </w:pPr>
      <w:r>
        <w:rPr>
          <w:rStyle w:val="8"/>
          <w:rFonts w:hint="eastAsia" w:asciiTheme="minorEastAsia" w:hAnsiTheme="minorEastAsia" w:eastAsiaTheme="minorEastAsia" w:cstheme="minorEastAsia"/>
          <w:color w:val="auto"/>
          <w:sz w:val="24"/>
          <w:szCs w:val="24"/>
          <w:highlight w:val="none"/>
        </w:rPr>
        <w:t>八、其他要求</w:t>
      </w:r>
    </w:p>
    <w:p w14:paraId="1836CA7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1.如因国家政策或法规变化、项目财政预算调整或技术要求变化、其他不可抗力等原因造成采购人需求变更的，采购人有权根据实际情况调整采购需求，直至合同取消，采购人对此变更不承担任何责任；</w:t>
      </w:r>
    </w:p>
    <w:p w14:paraId="34E67810">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若成为成交供应商将无条件接受采购人为保证项目运行而进行的安排调度，如因成交供应商不服从采购人安排调度造成项目故障的，成交供应商须赔偿因此产生的费用及影响进度对采购人造成的损失，采购人有权终止合同并上报监督管理部门处理。</w:t>
      </w:r>
    </w:p>
    <w:p w14:paraId="06EE90ED">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3.实施过程中，供应商对安全负责，应配备必要的安全防护设施，并按照国家有关法律、行政法规、操作规程执行；</w:t>
      </w:r>
    </w:p>
    <w:p w14:paraId="0E7FB29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4.供应商在网络设备安装过程中承诺遵循保密性、完整性、可用性原则。对网络系统安装调试、测试及采购人信息数据内容时，应确保信息安全。</w:t>
      </w:r>
    </w:p>
    <w:p w14:paraId="5A05A85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5.采购文件未尽事宜，确定成交供应商后，双方本着最大限度兼顾采购人需求 的前提下协商以满足项目其他需求。</w:t>
      </w:r>
    </w:p>
    <w:p w14:paraId="55724D96">
      <w:pPr>
        <w:pStyle w:val="3"/>
        <w:rPr>
          <w:color w:val="auto"/>
          <w:highlight w:val="none"/>
        </w:rPr>
      </w:pPr>
    </w:p>
    <w:p w14:paraId="2927068C">
      <w:pPr>
        <w:bidi w:val="0"/>
        <w:rPr>
          <w:rFonts w:hint="eastAsia"/>
          <w:color w:val="auto"/>
          <w:highlight w:val="none"/>
        </w:rPr>
      </w:pPr>
    </w:p>
    <w:p w14:paraId="476A7604">
      <w:pPr>
        <w:bidi w:val="0"/>
        <w:rPr>
          <w:rFonts w:hint="eastAsia"/>
          <w:color w:val="auto"/>
          <w:highlight w:val="none"/>
        </w:rPr>
      </w:pPr>
    </w:p>
    <w:p w14:paraId="5CC746CD">
      <w:pPr>
        <w:bidi w:val="0"/>
        <w:rPr>
          <w:rFonts w:hint="eastAsia"/>
          <w:color w:val="auto"/>
          <w:highlight w:val="none"/>
        </w:rPr>
      </w:pPr>
    </w:p>
    <w:p w14:paraId="146C7183">
      <w:pPr>
        <w:bidi w:val="0"/>
        <w:rPr>
          <w:rFonts w:hint="eastAsia"/>
          <w:color w:val="auto"/>
          <w:highlight w:val="none"/>
        </w:rPr>
      </w:pPr>
    </w:p>
    <w:p w14:paraId="37B25103">
      <w:pPr>
        <w:bidi w:val="0"/>
        <w:rPr>
          <w:rFonts w:hint="eastAsia"/>
          <w:color w:val="auto"/>
          <w:highlight w:val="none"/>
        </w:rPr>
      </w:pPr>
    </w:p>
    <w:p w14:paraId="7E923D69">
      <w:pPr>
        <w:bidi w:val="0"/>
        <w:rPr>
          <w:rFonts w:hint="eastAsia"/>
          <w:color w:val="auto"/>
          <w:highlight w:val="none"/>
        </w:rPr>
      </w:pPr>
    </w:p>
    <w:p w14:paraId="3A480D67">
      <w:pPr>
        <w:bidi w:val="0"/>
        <w:rPr>
          <w:rFonts w:hint="eastAsia"/>
          <w:color w:val="auto"/>
          <w:highlight w:val="none"/>
        </w:rPr>
      </w:pPr>
    </w:p>
    <w:p w14:paraId="4E22B3DC">
      <w:pPr>
        <w:bidi w:val="0"/>
        <w:rPr>
          <w:rFonts w:hint="eastAsia"/>
          <w:color w:val="auto"/>
          <w:highlight w:val="none"/>
        </w:rPr>
      </w:pPr>
    </w:p>
    <w:p w14:paraId="0DC7D0A2">
      <w:pPr>
        <w:bidi w:val="0"/>
        <w:rPr>
          <w:rFonts w:hint="eastAsia"/>
          <w:color w:val="auto"/>
          <w:highlight w:val="none"/>
        </w:rPr>
      </w:pPr>
    </w:p>
    <w:p w14:paraId="04C2203F">
      <w:pPr>
        <w:bidi w:val="0"/>
        <w:rPr>
          <w:rFonts w:hint="eastAsia"/>
          <w:color w:val="auto"/>
          <w:highlight w:val="none"/>
        </w:rPr>
      </w:pPr>
    </w:p>
    <w:p w14:paraId="4F791D47">
      <w:pPr>
        <w:bidi w:val="0"/>
        <w:rPr>
          <w:rFonts w:hint="eastAsia"/>
          <w:color w:val="auto"/>
          <w:highlight w:val="none"/>
        </w:rPr>
      </w:pPr>
    </w:p>
    <w:p w14:paraId="300D81E8">
      <w:pPr>
        <w:bidi w:val="0"/>
        <w:rPr>
          <w:rFonts w:hint="eastAsia"/>
          <w:color w:val="auto"/>
          <w:highlight w:val="none"/>
        </w:rPr>
      </w:pPr>
    </w:p>
    <w:p w14:paraId="6D9B5BDC">
      <w:pPr>
        <w:bidi w:val="0"/>
        <w:rPr>
          <w:rFonts w:hint="eastAsia"/>
          <w:color w:val="auto"/>
          <w:highlight w:val="none"/>
        </w:rPr>
      </w:pPr>
    </w:p>
    <w:p w14:paraId="0D03C411">
      <w:pPr>
        <w:bidi w:val="0"/>
        <w:rPr>
          <w:rFonts w:hint="eastAsia"/>
          <w:color w:val="auto"/>
          <w:highlight w:val="none"/>
        </w:rPr>
      </w:pPr>
    </w:p>
    <w:p w14:paraId="054FF185">
      <w:pPr>
        <w:pStyle w:val="2"/>
        <w:keepNext/>
        <w:keepLines/>
        <w:pageBreakBefore w:val="0"/>
        <w:widowControl w:val="0"/>
        <w:kinsoku/>
        <w:wordWrap/>
        <w:overflowPunct/>
        <w:topLinePunct w:val="0"/>
        <w:autoSpaceDE/>
        <w:autoSpaceDN/>
        <w:bidi w:val="0"/>
        <w:adjustRightInd/>
        <w:snapToGrid/>
        <w:spacing w:beforeLines="0" w:afterLines="0"/>
        <w:textAlignment w:val="auto"/>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lang w:val="en-US" w:eastAsia="zh-CN"/>
        </w:rPr>
        <w:t>三、评 分 表</w:t>
      </w:r>
      <w:bookmarkStart w:id="0" w:name="_GoBack"/>
      <w:bookmarkEnd w:id="0"/>
    </w:p>
    <w:p w14:paraId="4599DD20">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left"/>
        <w:textAlignment w:val="auto"/>
        <w:rPr>
          <w:rFonts w:hint="eastAsia" w:asciiTheme="minorEastAsia" w:hAnsiTheme="minorEastAsia" w:eastAsiaTheme="minorEastAsia" w:cstheme="minorEastAsia"/>
          <w:b/>
          <w:bCs/>
          <w:color w:val="auto"/>
          <w:kern w:val="0"/>
          <w:sz w:val="21"/>
          <w:szCs w:val="21"/>
          <w:highlight w:val="none"/>
          <w:u w:val="single"/>
        </w:rPr>
      </w:pPr>
    </w:p>
    <w:tbl>
      <w:tblPr>
        <w:tblStyle w:val="10"/>
        <w:tblW w:w="9633" w:type="dxa"/>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541"/>
        <w:gridCol w:w="6142"/>
        <w:gridCol w:w="1100"/>
      </w:tblGrid>
      <w:tr w14:paraId="48947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850" w:type="dxa"/>
            <w:vAlign w:val="center"/>
          </w:tcPr>
          <w:p w14:paraId="5E7B61D6">
            <w:pPr>
              <w:pStyle w:val="9"/>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序号</w:t>
            </w:r>
          </w:p>
        </w:tc>
        <w:tc>
          <w:tcPr>
            <w:tcW w:w="1541" w:type="dxa"/>
            <w:vAlign w:val="center"/>
          </w:tcPr>
          <w:p w14:paraId="6B10FDB6">
            <w:pPr>
              <w:pStyle w:val="9"/>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评审内容</w:t>
            </w:r>
          </w:p>
        </w:tc>
        <w:tc>
          <w:tcPr>
            <w:tcW w:w="6142" w:type="dxa"/>
            <w:vAlign w:val="center"/>
          </w:tcPr>
          <w:p w14:paraId="5A206770">
            <w:pPr>
              <w:pStyle w:val="9"/>
              <w:spacing w:before="103" w:line="18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评分标准</w:t>
            </w:r>
          </w:p>
        </w:tc>
        <w:tc>
          <w:tcPr>
            <w:tcW w:w="1100" w:type="dxa"/>
            <w:vAlign w:val="center"/>
          </w:tcPr>
          <w:p w14:paraId="497339F9">
            <w:pPr>
              <w:pStyle w:val="9"/>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分值</w:t>
            </w:r>
          </w:p>
        </w:tc>
      </w:tr>
      <w:tr w14:paraId="2DC33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850" w:type="dxa"/>
            <w:vAlign w:val="center"/>
          </w:tcPr>
          <w:p w14:paraId="5BC4B9FA">
            <w:pPr>
              <w:spacing w:line="290" w:lineRule="auto"/>
              <w:jc w:val="both"/>
              <w:rPr>
                <w:rFonts w:hint="eastAsia" w:ascii="宋体" w:hAnsi="宋体" w:eastAsia="宋体" w:cs="宋体"/>
                <w:color w:val="auto"/>
                <w:sz w:val="24"/>
                <w:szCs w:val="24"/>
                <w:highlight w:val="none"/>
              </w:rPr>
            </w:pPr>
          </w:p>
          <w:p w14:paraId="75C901D8">
            <w:pPr>
              <w:pStyle w:val="9"/>
              <w:spacing w:before="103" w:line="418"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5"/>
                <w:position w:val="3"/>
                <w:sz w:val="24"/>
                <w:szCs w:val="24"/>
                <w:highlight w:val="none"/>
              </w:rPr>
              <w:t>1.1</w:t>
            </w:r>
          </w:p>
        </w:tc>
        <w:tc>
          <w:tcPr>
            <w:tcW w:w="1541" w:type="dxa"/>
            <w:vAlign w:val="center"/>
          </w:tcPr>
          <w:p w14:paraId="6A1D3078">
            <w:pPr>
              <w:pStyle w:val="9"/>
              <w:spacing w:before="103" w:line="244" w:lineRule="auto"/>
              <w:ind w:left="0" w:leftChars="0" w:right="125"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投标报价分=（最低有效投标报价/有效投标报价）×30</w:t>
            </w:r>
          </w:p>
        </w:tc>
        <w:tc>
          <w:tcPr>
            <w:tcW w:w="6142" w:type="dxa"/>
            <w:vAlign w:val="center"/>
          </w:tcPr>
          <w:p w14:paraId="63EDA736">
            <w:pPr>
              <w:pStyle w:val="9"/>
              <w:spacing w:before="103" w:line="244" w:lineRule="auto"/>
              <w:ind w:left="0" w:leftChars="0" w:right="125"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评标基准价：满足招标文件要求且报价最低的</w:t>
            </w:r>
            <w:r>
              <w:rPr>
                <w:rFonts w:hint="eastAsia" w:ascii="宋体" w:hAnsi="宋体" w:eastAsia="宋体" w:cs="宋体"/>
                <w:color w:val="auto"/>
                <w:spacing w:val="-1"/>
                <w:sz w:val="24"/>
                <w:szCs w:val="24"/>
                <w:highlight w:val="none"/>
              </w:rPr>
              <w:t>供应商的价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格为评标基准价。</w:t>
            </w:r>
          </w:p>
          <w:p w14:paraId="0B5845C5">
            <w:pPr>
              <w:pStyle w:val="9"/>
              <w:spacing w:before="3" w:line="266" w:lineRule="auto"/>
              <w:ind w:left="0" w:leftChars="0" w:right="387"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投标报价得分</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=（评标基准价/投标人报价）×价格分值</w:t>
            </w:r>
            <w:r>
              <w:rPr>
                <w:rFonts w:hint="eastAsia" w:ascii="宋体" w:hAnsi="宋体" w:eastAsia="宋体" w:cs="宋体"/>
                <w:color w:val="auto"/>
                <w:spacing w:val="-5"/>
                <w:sz w:val="24"/>
                <w:szCs w:val="24"/>
                <w:highlight w:val="none"/>
              </w:rPr>
              <w:t>（四舍五入后保留小数点后两位）。</w:t>
            </w:r>
          </w:p>
        </w:tc>
        <w:tc>
          <w:tcPr>
            <w:tcW w:w="1100" w:type="dxa"/>
            <w:vAlign w:val="center"/>
          </w:tcPr>
          <w:p w14:paraId="528D0864">
            <w:pPr>
              <w:pStyle w:val="9"/>
              <w:spacing w:before="103" w:line="226"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0-30</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r w14:paraId="01BBD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50" w:type="dxa"/>
            <w:vAlign w:val="center"/>
          </w:tcPr>
          <w:p w14:paraId="4B6A6B6F">
            <w:pPr>
              <w:pStyle w:val="9"/>
              <w:spacing w:before="103" w:line="427"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position w:val="4"/>
                <w:sz w:val="24"/>
                <w:szCs w:val="24"/>
                <w:highlight w:val="none"/>
              </w:rPr>
              <w:t>2</w:t>
            </w:r>
          </w:p>
        </w:tc>
        <w:tc>
          <w:tcPr>
            <w:tcW w:w="8783" w:type="dxa"/>
            <w:gridSpan w:val="3"/>
            <w:vAlign w:val="center"/>
          </w:tcPr>
          <w:p w14:paraId="49F1EF2C">
            <w:pPr>
              <w:pStyle w:val="9"/>
              <w:spacing w:before="103" w:line="225"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技术分：(满分 </w:t>
            </w:r>
            <w:r>
              <w:rPr>
                <w:rFonts w:hint="eastAsia" w:ascii="宋体" w:hAnsi="宋体" w:eastAsia="宋体" w:cs="宋体"/>
                <w:b/>
                <w:bCs/>
                <w:color w:val="auto"/>
                <w:spacing w:val="-3"/>
                <w:sz w:val="24"/>
                <w:szCs w:val="24"/>
                <w:highlight w:val="none"/>
                <w:lang w:val="en-US" w:eastAsia="zh-CN"/>
              </w:rPr>
              <w:t>4</w:t>
            </w:r>
            <w:r>
              <w:rPr>
                <w:rFonts w:hint="eastAsia" w:ascii="宋体" w:hAnsi="宋体" w:eastAsia="宋体" w:cs="宋体"/>
                <w:b/>
                <w:bCs/>
                <w:color w:val="auto"/>
                <w:spacing w:val="-3"/>
                <w:sz w:val="24"/>
                <w:szCs w:val="24"/>
                <w:highlight w:val="none"/>
              </w:rPr>
              <w:t>0 分)</w:t>
            </w:r>
          </w:p>
        </w:tc>
      </w:tr>
      <w:tr w14:paraId="71AF3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850" w:type="dxa"/>
            <w:vAlign w:val="center"/>
          </w:tcPr>
          <w:p w14:paraId="5F8E6D9A">
            <w:pPr>
              <w:pStyle w:val="9"/>
              <w:spacing w:before="102"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序号</w:t>
            </w:r>
          </w:p>
        </w:tc>
        <w:tc>
          <w:tcPr>
            <w:tcW w:w="1541" w:type="dxa"/>
            <w:vAlign w:val="center"/>
          </w:tcPr>
          <w:p w14:paraId="113ADA71">
            <w:pPr>
              <w:pStyle w:val="9"/>
              <w:spacing w:before="102"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评审内容</w:t>
            </w:r>
          </w:p>
        </w:tc>
        <w:tc>
          <w:tcPr>
            <w:tcW w:w="6142" w:type="dxa"/>
            <w:vAlign w:val="center"/>
          </w:tcPr>
          <w:p w14:paraId="30300A07">
            <w:pPr>
              <w:pStyle w:val="9"/>
              <w:spacing w:before="103" w:line="18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评分标准</w:t>
            </w:r>
          </w:p>
        </w:tc>
        <w:tc>
          <w:tcPr>
            <w:tcW w:w="1100" w:type="dxa"/>
            <w:vAlign w:val="center"/>
          </w:tcPr>
          <w:p w14:paraId="2BDEE548">
            <w:pPr>
              <w:pStyle w:val="9"/>
              <w:spacing w:before="327"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分值</w:t>
            </w:r>
          </w:p>
        </w:tc>
      </w:tr>
      <w:tr w14:paraId="7464F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850" w:type="dxa"/>
            <w:vAlign w:val="center"/>
          </w:tcPr>
          <w:p w14:paraId="4CD28613">
            <w:pPr>
              <w:pStyle w:val="9"/>
              <w:spacing w:before="103" w:line="418"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position w:val="3"/>
                <w:sz w:val="24"/>
                <w:szCs w:val="24"/>
                <w:highlight w:val="none"/>
              </w:rPr>
              <w:t>2.1</w:t>
            </w:r>
          </w:p>
        </w:tc>
        <w:tc>
          <w:tcPr>
            <w:tcW w:w="1541" w:type="dxa"/>
            <w:vAlign w:val="center"/>
          </w:tcPr>
          <w:p w14:paraId="2C38E215">
            <w:pPr>
              <w:adjustRightInd w:val="0"/>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设备的技术性能（满分30分）</w:t>
            </w:r>
          </w:p>
        </w:tc>
        <w:tc>
          <w:tcPr>
            <w:tcW w:w="6142" w:type="dxa"/>
            <w:vAlign w:val="center"/>
          </w:tcPr>
          <w:p w14:paraId="10FC9356">
            <w:pPr>
              <w:adjustRightInd w:val="0"/>
              <w:spacing w:line="300" w:lineRule="exact"/>
              <w:ind w:left="0" w:leftChars="0" w:firstLine="0" w:firstLineChars="0"/>
              <w:rPr>
                <w:rFonts w:hint="eastAsia" w:ascii="宋体" w:hAnsi="宋体" w:eastAsia="宋体" w:cs="宋体"/>
                <w:b/>
                <w:bCs/>
                <w:color w:val="auto"/>
                <w:sz w:val="24"/>
                <w:szCs w:val="24"/>
                <w:highlight w:val="none"/>
                <w:lang w:val="en-US" w:eastAsia="zh-CN"/>
              </w:rPr>
            </w:pPr>
          </w:p>
          <w:p w14:paraId="6C67C92D">
            <w:pPr>
              <w:adjustRightInd w:val="0"/>
              <w:spacing w:line="300" w:lineRule="exact"/>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1.带“★”号的参数任意一条不满足本项计0分；</w:t>
            </w:r>
          </w:p>
          <w:p w14:paraId="49B712AE">
            <w:pPr>
              <w:pStyle w:val="9"/>
              <w:spacing w:before="11" w:line="209" w:lineRule="auto"/>
              <w:ind w:left="0" w:leftChars="0" w:right="117" w:firstLine="0" w:firstLineChars="0"/>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2.非“★”号参数完全符合磋商文件要求没有负偏离的得30分，每负偏离一条扣3分，三条及以上不满足，本项计0分。</w:t>
            </w:r>
          </w:p>
        </w:tc>
        <w:tc>
          <w:tcPr>
            <w:tcW w:w="1100" w:type="dxa"/>
            <w:vAlign w:val="center"/>
          </w:tcPr>
          <w:p w14:paraId="0B36A169">
            <w:pPr>
              <w:pStyle w:val="9"/>
              <w:spacing w:before="103" w:line="226"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30</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r w14:paraId="2B3C8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2" w:hRule="atLeast"/>
        </w:trPr>
        <w:tc>
          <w:tcPr>
            <w:tcW w:w="850" w:type="dxa"/>
            <w:vAlign w:val="center"/>
          </w:tcPr>
          <w:p w14:paraId="3BFA9570">
            <w:pPr>
              <w:pStyle w:val="9"/>
              <w:spacing w:before="103" w:line="417"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position w:val="3"/>
                <w:sz w:val="24"/>
                <w:szCs w:val="24"/>
                <w:highlight w:val="none"/>
              </w:rPr>
              <w:t>2.2</w:t>
            </w:r>
          </w:p>
        </w:tc>
        <w:tc>
          <w:tcPr>
            <w:tcW w:w="1541" w:type="dxa"/>
            <w:shd w:val="clear" w:color="auto" w:fill="auto"/>
            <w:vAlign w:val="center"/>
          </w:tcPr>
          <w:p w14:paraId="282FED62">
            <w:pPr>
              <w:adjustRightInd w:val="0"/>
              <w:spacing w:line="3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项目实施方案（满分5分）</w:t>
            </w:r>
          </w:p>
        </w:tc>
        <w:tc>
          <w:tcPr>
            <w:tcW w:w="6142" w:type="dxa"/>
            <w:shd w:val="clear" w:color="auto" w:fill="auto"/>
            <w:vAlign w:val="center"/>
          </w:tcPr>
          <w:p w14:paraId="7C568B6E">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供应商根据本次采购内容提供详细的项目实施方案（包括但不限于项目质量服务保障方案、验收方案等），评标委员会根据方案的详尽程度、合理性、可行性等方面进行综合评审</w:t>
            </w:r>
          </w:p>
          <w:p w14:paraId="497F5599">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1.实施方案详细、实施性强、完全满足本项目需求得5 分；</w:t>
            </w:r>
          </w:p>
          <w:p w14:paraId="6854E336">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2.实施方案简明、实施性基本可行、基本满足本项目需求得 3 分；</w:t>
            </w:r>
          </w:p>
          <w:p w14:paraId="50784589">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3.实施方案粗糙、实施性一般、不满足采购要求的得1分；</w:t>
            </w:r>
          </w:p>
          <w:p w14:paraId="61877163">
            <w:pPr>
              <w:pStyle w:val="9"/>
              <w:spacing w:before="11" w:line="209" w:lineRule="auto"/>
              <w:ind w:left="0" w:leftChars="0" w:right="117" w:rightChars="0" w:firstLine="0" w:firstLineChars="0"/>
              <w:jc w:val="both"/>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val="en-US" w:eastAsia="zh-CN"/>
              </w:rPr>
              <w:t>4.未提供方案的得 0 分</w:t>
            </w:r>
          </w:p>
        </w:tc>
        <w:tc>
          <w:tcPr>
            <w:tcW w:w="1100" w:type="dxa"/>
            <w:shd w:val="clear" w:color="auto" w:fill="auto"/>
            <w:vAlign w:val="center"/>
          </w:tcPr>
          <w:p w14:paraId="7648F819">
            <w:pPr>
              <w:pStyle w:val="9"/>
              <w:spacing w:before="103" w:line="226" w:lineRule="auto"/>
              <w:ind w:left="0" w:leftChars="0" w:firstLine="0" w:firstLineChars="0"/>
              <w:jc w:val="center"/>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5</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r w14:paraId="5BF5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2" w:hRule="atLeast"/>
        </w:trPr>
        <w:tc>
          <w:tcPr>
            <w:tcW w:w="850" w:type="dxa"/>
            <w:vAlign w:val="center"/>
          </w:tcPr>
          <w:p w14:paraId="17D47EB9">
            <w:pPr>
              <w:pStyle w:val="9"/>
              <w:spacing w:before="103" w:line="417" w:lineRule="exact"/>
              <w:ind w:left="0" w:leftChars="0" w:firstLine="0" w:firstLineChars="0"/>
              <w:jc w:val="center"/>
              <w:rPr>
                <w:rFonts w:hint="default" w:ascii="宋体" w:hAnsi="宋体" w:eastAsia="宋体" w:cs="宋体"/>
                <w:color w:val="auto"/>
                <w:spacing w:val="-3"/>
                <w:position w:val="3"/>
                <w:sz w:val="24"/>
                <w:szCs w:val="24"/>
                <w:highlight w:val="none"/>
                <w:lang w:val="en-US" w:eastAsia="zh-CN"/>
              </w:rPr>
            </w:pPr>
            <w:r>
              <w:rPr>
                <w:rFonts w:hint="eastAsia" w:ascii="宋体" w:hAnsi="宋体" w:eastAsia="宋体" w:cs="宋体"/>
                <w:color w:val="auto"/>
                <w:spacing w:val="-3"/>
                <w:position w:val="3"/>
                <w:sz w:val="24"/>
                <w:szCs w:val="24"/>
                <w:highlight w:val="none"/>
                <w:lang w:val="en-US" w:eastAsia="zh-CN"/>
              </w:rPr>
              <w:t>2.3</w:t>
            </w:r>
          </w:p>
        </w:tc>
        <w:tc>
          <w:tcPr>
            <w:tcW w:w="1541" w:type="dxa"/>
            <w:shd w:val="clear" w:color="auto" w:fill="auto"/>
            <w:vAlign w:val="center"/>
          </w:tcPr>
          <w:p w14:paraId="783E9FED">
            <w:pPr>
              <w:adjustRightInd w:val="0"/>
              <w:spacing w:line="300" w:lineRule="exact"/>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服务能力评价（满分5分）</w:t>
            </w:r>
          </w:p>
          <w:p w14:paraId="552EA49D">
            <w:pPr>
              <w:adjustRightInd w:val="0"/>
              <w:spacing w:line="300" w:lineRule="exact"/>
              <w:ind w:left="0" w:leftChars="0" w:firstLine="0" w:firstLineChars="0"/>
              <w:rPr>
                <w:rFonts w:hint="eastAsia" w:ascii="宋体" w:hAnsi="宋体" w:eastAsia="宋体" w:cs="宋体"/>
                <w:b/>
                <w:bCs/>
                <w:color w:val="auto"/>
                <w:sz w:val="24"/>
                <w:szCs w:val="24"/>
                <w:highlight w:val="none"/>
                <w:lang w:val="en-US" w:eastAsia="zh-CN"/>
              </w:rPr>
            </w:pPr>
          </w:p>
        </w:tc>
        <w:tc>
          <w:tcPr>
            <w:tcW w:w="6142" w:type="dxa"/>
            <w:shd w:val="clear" w:color="auto" w:fill="auto"/>
            <w:vAlign w:val="center"/>
          </w:tcPr>
          <w:p w14:paraId="75F287D3">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评标委员会根据供应商服务能力进行综合评价。</w:t>
            </w:r>
          </w:p>
          <w:p w14:paraId="1E079B1C">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1.评标委员会根据投标人承诺在质保期内接到维修通知后售后维修工程师到达现场的时间（单位：小时）进行评价；①到达时间第一名，2 分；②到达时间第二名，1 分；到达时间第三名或排名更后，0 分。（2分）</w:t>
            </w:r>
          </w:p>
          <w:p w14:paraId="6C3E9D42">
            <w:pPr>
              <w:pStyle w:val="9"/>
              <w:spacing w:before="11" w:line="209" w:lineRule="auto"/>
              <w:ind w:left="0" w:leftChars="0" w:right="117" w:righ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2.售后服务方案包括（1）详细的售后服务技术人员配备；（2）培训方案；（3）维修响应时间安排。满足以上一点要求给 1分，最多不超过 3分。</w:t>
            </w:r>
          </w:p>
        </w:tc>
        <w:tc>
          <w:tcPr>
            <w:tcW w:w="1100" w:type="dxa"/>
            <w:shd w:val="clear" w:color="auto" w:fill="auto"/>
            <w:vAlign w:val="center"/>
          </w:tcPr>
          <w:p w14:paraId="257C7886">
            <w:pPr>
              <w:pStyle w:val="9"/>
              <w:spacing w:before="103" w:line="226"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5</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r w14:paraId="70A4F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50" w:type="dxa"/>
            <w:vAlign w:val="center"/>
          </w:tcPr>
          <w:p w14:paraId="2C13FA74">
            <w:pPr>
              <w:pStyle w:val="9"/>
              <w:spacing w:before="103" w:line="417" w:lineRule="exact"/>
              <w:ind w:left="0" w:leftChars="0" w:firstLine="0" w:firstLineChars="0"/>
              <w:jc w:val="center"/>
              <w:rPr>
                <w:rFonts w:hint="eastAsia" w:ascii="宋体" w:hAnsi="宋体" w:eastAsia="宋体" w:cs="宋体"/>
                <w:color w:val="auto"/>
                <w:spacing w:val="-3"/>
                <w:position w:val="3"/>
                <w:sz w:val="24"/>
                <w:szCs w:val="24"/>
                <w:highlight w:val="none"/>
                <w:lang w:val="en-US" w:eastAsia="zh-CN"/>
              </w:rPr>
            </w:pPr>
            <w:r>
              <w:rPr>
                <w:rFonts w:hint="eastAsia" w:ascii="宋体" w:hAnsi="宋体" w:eastAsia="宋体" w:cs="宋体"/>
                <w:b/>
                <w:bCs/>
                <w:color w:val="auto"/>
                <w:spacing w:val="-3"/>
                <w:position w:val="3"/>
                <w:sz w:val="24"/>
                <w:szCs w:val="24"/>
                <w:highlight w:val="none"/>
                <w:lang w:val="en-US" w:eastAsia="zh-CN"/>
              </w:rPr>
              <w:t>3</w:t>
            </w:r>
          </w:p>
        </w:tc>
        <w:tc>
          <w:tcPr>
            <w:tcW w:w="8783" w:type="dxa"/>
            <w:gridSpan w:val="3"/>
            <w:vAlign w:val="center"/>
          </w:tcPr>
          <w:p w14:paraId="60B2D1B1">
            <w:pPr>
              <w:pStyle w:val="9"/>
              <w:spacing w:before="103" w:line="226"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b/>
                <w:bCs/>
                <w:color w:val="auto"/>
                <w:spacing w:val="-3"/>
                <w:sz w:val="24"/>
                <w:szCs w:val="24"/>
                <w:highlight w:val="none"/>
                <w:lang w:val="en-US" w:eastAsia="zh-CN"/>
              </w:rPr>
              <w:t>商务</w:t>
            </w:r>
            <w:r>
              <w:rPr>
                <w:rFonts w:hint="eastAsia" w:ascii="宋体" w:hAnsi="宋体" w:eastAsia="宋体" w:cs="宋体"/>
                <w:b/>
                <w:bCs/>
                <w:color w:val="auto"/>
                <w:spacing w:val="-3"/>
                <w:sz w:val="24"/>
                <w:szCs w:val="24"/>
                <w:highlight w:val="none"/>
              </w:rPr>
              <w:t xml:space="preserve">分：(满分 </w:t>
            </w:r>
            <w:r>
              <w:rPr>
                <w:rFonts w:hint="eastAsia" w:ascii="宋体" w:hAnsi="宋体" w:eastAsia="宋体"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0 分)</w:t>
            </w:r>
          </w:p>
        </w:tc>
      </w:tr>
      <w:tr w14:paraId="7154A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850" w:type="dxa"/>
            <w:vAlign w:val="center"/>
          </w:tcPr>
          <w:p w14:paraId="27C69A00">
            <w:pPr>
              <w:pStyle w:val="9"/>
              <w:spacing w:before="103" w:line="417" w:lineRule="exact"/>
              <w:ind w:left="0" w:leftChars="0" w:firstLine="0" w:firstLineChars="0"/>
              <w:jc w:val="center"/>
              <w:rPr>
                <w:rFonts w:hint="default" w:ascii="宋体" w:hAnsi="宋体" w:eastAsia="宋体" w:cs="宋体"/>
                <w:color w:val="auto"/>
                <w:spacing w:val="-3"/>
                <w:position w:val="3"/>
                <w:sz w:val="24"/>
                <w:szCs w:val="24"/>
                <w:highlight w:val="none"/>
                <w:lang w:val="en-US" w:eastAsia="zh-CN"/>
              </w:rPr>
            </w:pPr>
            <w:r>
              <w:rPr>
                <w:rFonts w:hint="eastAsia" w:ascii="宋体" w:hAnsi="宋体" w:eastAsia="宋体" w:cs="宋体"/>
                <w:color w:val="auto"/>
                <w:spacing w:val="-3"/>
                <w:position w:val="3"/>
                <w:sz w:val="24"/>
                <w:szCs w:val="24"/>
                <w:highlight w:val="none"/>
                <w:lang w:val="en-US" w:eastAsia="zh-CN"/>
              </w:rPr>
              <w:t>3.1</w:t>
            </w:r>
          </w:p>
        </w:tc>
        <w:tc>
          <w:tcPr>
            <w:tcW w:w="1541" w:type="dxa"/>
            <w:vAlign w:val="center"/>
          </w:tcPr>
          <w:p w14:paraId="09BE0430">
            <w:pPr>
              <w:adjustRightInd w:val="0"/>
              <w:spacing w:line="300" w:lineRule="exact"/>
              <w:ind w:left="0" w:leftChars="0" w:firstLine="0" w:firstLineChars="0"/>
              <w:jc w:val="center"/>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val="en-US" w:eastAsia="zh-CN"/>
              </w:rPr>
              <w:t>所投产品品牌统一性</w:t>
            </w:r>
          </w:p>
          <w:p w14:paraId="6A1333AD">
            <w:pPr>
              <w:adjustRightInd w:val="0"/>
              <w:spacing w:line="300" w:lineRule="exact"/>
              <w:ind w:left="0" w:leftChars="0" w:firstLine="0" w:firstLineChars="0"/>
              <w:jc w:val="center"/>
              <w:rPr>
                <w:rFonts w:hint="eastAsia" w:ascii="宋体" w:hAnsi="宋体" w:eastAsia="宋体" w:cs="宋体"/>
                <w:strike/>
                <w:dstrike w:val="0"/>
                <w:color w:val="auto"/>
                <w:spacing w:val="-1"/>
                <w:sz w:val="24"/>
                <w:szCs w:val="24"/>
                <w:highlight w:val="none"/>
              </w:rPr>
            </w:pPr>
            <w:r>
              <w:rPr>
                <w:rFonts w:hint="eastAsia" w:ascii="宋体" w:hAnsi="宋体" w:eastAsia="宋体" w:cs="宋体"/>
                <w:b/>
                <w:bCs/>
                <w:strike w:val="0"/>
                <w:dstrike w:val="0"/>
                <w:color w:val="auto"/>
                <w:sz w:val="24"/>
                <w:szCs w:val="24"/>
                <w:highlight w:val="none"/>
                <w:lang w:val="en-US" w:eastAsia="zh-CN"/>
              </w:rPr>
              <w:t>（满分10分）</w:t>
            </w:r>
          </w:p>
        </w:tc>
        <w:tc>
          <w:tcPr>
            <w:tcW w:w="6142" w:type="dxa"/>
            <w:vAlign w:val="center"/>
          </w:tcPr>
          <w:p w14:paraId="38099E5B">
            <w:pPr>
              <w:adjustRightInd w:val="0"/>
              <w:spacing w:line="300" w:lineRule="exact"/>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评审委员会根据</w:t>
            </w:r>
            <w:r>
              <w:rPr>
                <w:rFonts w:hint="default" w:ascii="宋体" w:hAnsi="宋体" w:eastAsia="宋体" w:cs="宋体"/>
                <w:strike w:val="0"/>
                <w:dstrike w:val="0"/>
                <w:color w:val="auto"/>
                <w:sz w:val="24"/>
                <w:szCs w:val="24"/>
                <w:highlight w:val="none"/>
                <w:lang w:val="en-US" w:eastAsia="zh-CN"/>
              </w:rPr>
              <w:t>供应商</w:t>
            </w:r>
            <w:r>
              <w:rPr>
                <w:rFonts w:hint="eastAsia" w:ascii="宋体" w:hAnsi="宋体" w:eastAsia="宋体" w:cs="宋体"/>
                <w:strike w:val="0"/>
                <w:dstrike w:val="0"/>
                <w:color w:val="auto"/>
                <w:sz w:val="24"/>
                <w:szCs w:val="24"/>
                <w:highlight w:val="none"/>
                <w:lang w:val="en-US" w:eastAsia="zh-CN"/>
              </w:rPr>
              <w:t>投标产品清单中所投产品品牌的统一性进行评价：</w:t>
            </w:r>
          </w:p>
          <w:p w14:paraId="767EE5E2">
            <w:pPr>
              <w:adjustRightInd w:val="0"/>
              <w:spacing w:line="300" w:lineRule="exact"/>
              <w:ind w:left="0" w:leftChars="0" w:firstLine="0" w:firstLineChars="0"/>
              <w:rPr>
                <w:rFonts w:hint="eastAsia" w:ascii="宋体" w:hAnsi="宋体" w:eastAsia="宋体" w:cs="宋体"/>
                <w:strike/>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供应所投的核心交换机、汇聚交换机、接入交换机及与之配套的光模块等所有配件均为为同一品牌得10分，否则不得分。</w:t>
            </w:r>
          </w:p>
        </w:tc>
        <w:tc>
          <w:tcPr>
            <w:tcW w:w="1100" w:type="dxa"/>
            <w:vAlign w:val="center"/>
          </w:tcPr>
          <w:p w14:paraId="34665EA6">
            <w:pPr>
              <w:pStyle w:val="9"/>
              <w:spacing w:before="103" w:line="226" w:lineRule="auto"/>
              <w:ind w:left="0" w:leftChars="0" w:firstLine="0" w:firstLineChars="0"/>
              <w:jc w:val="center"/>
              <w:rPr>
                <w:rFonts w:hint="eastAsia" w:ascii="宋体" w:hAnsi="宋体" w:eastAsia="宋体" w:cs="宋体"/>
                <w:strike/>
                <w:dstrike w:val="0"/>
                <w:color w:val="auto"/>
                <w:spacing w:val="-3"/>
                <w:sz w:val="24"/>
                <w:szCs w:val="24"/>
                <w:highlight w:val="none"/>
              </w:rPr>
            </w:pPr>
            <w:r>
              <w:rPr>
                <w:rFonts w:hint="eastAsia" w:ascii="宋体" w:hAnsi="宋体" w:eastAsia="宋体" w:cs="宋体"/>
                <w:strike w:val="0"/>
                <w:dstrike w:val="0"/>
                <w:color w:val="auto"/>
                <w:spacing w:val="-3"/>
                <w:sz w:val="24"/>
                <w:szCs w:val="24"/>
                <w:highlight w:val="none"/>
              </w:rPr>
              <w:t>0-</w:t>
            </w:r>
            <w:r>
              <w:rPr>
                <w:rFonts w:hint="eastAsia" w:ascii="宋体" w:hAnsi="宋体" w:eastAsia="宋体" w:cs="宋体"/>
                <w:strike w:val="0"/>
                <w:dstrike w:val="0"/>
                <w:color w:val="auto"/>
                <w:spacing w:val="-3"/>
                <w:sz w:val="24"/>
                <w:szCs w:val="24"/>
                <w:highlight w:val="none"/>
                <w:lang w:val="en-US" w:eastAsia="zh-CN"/>
              </w:rPr>
              <w:t>10</w:t>
            </w:r>
            <w:r>
              <w:rPr>
                <w:rFonts w:hint="eastAsia" w:ascii="宋体" w:hAnsi="宋体" w:eastAsia="宋体" w:cs="宋体"/>
                <w:strike w:val="0"/>
                <w:dstrike w:val="0"/>
                <w:color w:val="auto"/>
                <w:spacing w:val="-3"/>
                <w:sz w:val="24"/>
                <w:szCs w:val="24"/>
                <w:highlight w:val="none"/>
              </w:rPr>
              <w:t>分</w:t>
            </w:r>
          </w:p>
        </w:tc>
      </w:tr>
      <w:tr w14:paraId="50D35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850" w:type="dxa"/>
            <w:vAlign w:val="center"/>
          </w:tcPr>
          <w:p w14:paraId="3AF31375">
            <w:pPr>
              <w:pStyle w:val="9"/>
              <w:spacing w:before="103" w:line="417" w:lineRule="exact"/>
              <w:ind w:left="0" w:leftChars="0" w:firstLine="0" w:firstLineChars="0"/>
              <w:jc w:val="center"/>
              <w:rPr>
                <w:rFonts w:hint="default" w:ascii="宋体" w:hAnsi="宋体" w:eastAsia="宋体" w:cs="宋体"/>
                <w:color w:val="auto"/>
                <w:spacing w:val="-3"/>
                <w:position w:val="3"/>
                <w:sz w:val="24"/>
                <w:szCs w:val="24"/>
                <w:highlight w:val="none"/>
                <w:lang w:val="en-US"/>
              </w:rPr>
            </w:pPr>
            <w:r>
              <w:rPr>
                <w:rFonts w:hint="eastAsia" w:ascii="宋体" w:hAnsi="宋体" w:eastAsia="宋体" w:cs="宋体"/>
                <w:color w:val="auto"/>
                <w:spacing w:val="-3"/>
                <w:position w:val="3"/>
                <w:sz w:val="24"/>
                <w:szCs w:val="24"/>
                <w:highlight w:val="none"/>
                <w:lang w:val="en-US" w:eastAsia="zh-CN"/>
              </w:rPr>
              <w:t>3.2</w:t>
            </w:r>
          </w:p>
        </w:tc>
        <w:tc>
          <w:tcPr>
            <w:tcW w:w="1541" w:type="dxa"/>
            <w:vAlign w:val="center"/>
          </w:tcPr>
          <w:p w14:paraId="4ED48F82">
            <w:pPr>
              <w:adjustRightInd w:val="0"/>
              <w:spacing w:line="300" w:lineRule="exact"/>
              <w:ind w:left="0" w:leftChars="0" w:firstLine="0" w:firstLineChars="0"/>
              <w:jc w:val="center"/>
              <w:rPr>
                <w:rFonts w:hint="eastAsia" w:ascii="宋体" w:hAnsi="宋体" w:eastAsia="宋体" w:cs="宋体"/>
                <w:color w:val="auto"/>
                <w:spacing w:val="-1"/>
                <w:sz w:val="24"/>
                <w:szCs w:val="24"/>
                <w:highlight w:val="none"/>
              </w:rPr>
            </w:pPr>
            <w:r>
              <w:rPr>
                <w:rFonts w:hint="eastAsia" w:ascii="宋体" w:hAnsi="宋体" w:eastAsia="宋体" w:cs="宋体"/>
                <w:b/>
                <w:bCs/>
                <w:color w:val="auto"/>
                <w:sz w:val="24"/>
                <w:szCs w:val="24"/>
                <w:highlight w:val="none"/>
                <w:lang w:val="en-US" w:eastAsia="zh-CN"/>
              </w:rPr>
              <w:t>项目负责人（满分2分）</w:t>
            </w:r>
          </w:p>
        </w:tc>
        <w:tc>
          <w:tcPr>
            <w:tcW w:w="6142" w:type="dxa"/>
            <w:vAlign w:val="center"/>
          </w:tcPr>
          <w:p w14:paraId="6A58363D">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供应商或供应商所投产品制造厂商拟派的项目负责人具有计算机网络类高级工程师资格证书的，得2分，提供复印件加盖公章，不提供不得分。</w:t>
            </w:r>
          </w:p>
          <w:p w14:paraId="47C794E2">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1.人员社保证明应为:加盖投标供应商或供应商所投产品制造厂商“社会保险业务专用章（或业务电子专用章）”的“社会保险参保缴费证明（个人）”缴费凭证。</w:t>
            </w:r>
          </w:p>
          <w:p w14:paraId="5FD14D1C">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2.缴纳社会保险单位与投标人单位需一致。</w:t>
            </w:r>
          </w:p>
          <w:p w14:paraId="79BEEBCD">
            <w:pPr>
              <w:pStyle w:val="9"/>
              <w:spacing w:before="1" w:line="210" w:lineRule="auto"/>
              <w:ind w:left="0" w:leftChars="0" w:right="125"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3.证明材料不符合要求的及未加盖投标供应商公章的，不得分。以上人员不重复计分。</w:t>
            </w:r>
          </w:p>
        </w:tc>
        <w:tc>
          <w:tcPr>
            <w:tcW w:w="1100" w:type="dxa"/>
            <w:vAlign w:val="center"/>
          </w:tcPr>
          <w:p w14:paraId="0C75AA87">
            <w:pPr>
              <w:pStyle w:val="9"/>
              <w:spacing w:before="103" w:line="226"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2</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r w14:paraId="5148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850" w:type="dxa"/>
            <w:vAlign w:val="center"/>
          </w:tcPr>
          <w:p w14:paraId="60825AE4">
            <w:pPr>
              <w:spacing w:before="103" w:line="417" w:lineRule="exact"/>
              <w:ind w:left="0" w:leftChars="0" w:firstLine="0" w:firstLineChars="0"/>
              <w:jc w:val="center"/>
              <w:rPr>
                <w:rFonts w:hint="eastAsia" w:ascii="宋体" w:hAnsi="宋体" w:eastAsia="宋体" w:cs="宋体"/>
                <w:color w:val="auto"/>
                <w:spacing w:val="-3"/>
                <w:position w:val="3"/>
                <w:sz w:val="24"/>
                <w:szCs w:val="24"/>
                <w:highlight w:val="none"/>
              </w:rPr>
            </w:pPr>
            <w:r>
              <w:rPr>
                <w:rFonts w:hint="eastAsia" w:ascii="宋体" w:hAnsi="宋体" w:eastAsia="宋体" w:cs="宋体"/>
                <w:color w:val="auto"/>
                <w:spacing w:val="-3"/>
                <w:position w:val="3"/>
                <w:sz w:val="24"/>
                <w:szCs w:val="24"/>
                <w:highlight w:val="none"/>
                <w:lang w:val="en-US" w:eastAsia="zh-CN"/>
              </w:rPr>
              <w:t>3.3</w:t>
            </w:r>
          </w:p>
        </w:tc>
        <w:tc>
          <w:tcPr>
            <w:tcW w:w="1541" w:type="dxa"/>
            <w:vAlign w:val="center"/>
          </w:tcPr>
          <w:p w14:paraId="4D37CC15">
            <w:pPr>
              <w:adjustRightInd w:val="0"/>
              <w:spacing w:line="300" w:lineRule="exact"/>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现场实施人员技术能力   （满分4分）</w:t>
            </w:r>
          </w:p>
          <w:p w14:paraId="379B708E">
            <w:pPr>
              <w:adjustRightInd w:val="0"/>
              <w:spacing w:line="300" w:lineRule="exact"/>
              <w:ind w:left="0" w:leftChars="0" w:firstLine="0" w:firstLineChars="0"/>
              <w:jc w:val="center"/>
              <w:rPr>
                <w:rFonts w:hint="eastAsia" w:ascii="宋体" w:hAnsi="宋体" w:eastAsia="宋体" w:cs="宋体"/>
                <w:b/>
                <w:bCs/>
                <w:color w:val="auto"/>
                <w:sz w:val="24"/>
                <w:szCs w:val="24"/>
                <w:highlight w:val="none"/>
                <w:lang w:val="en-US" w:eastAsia="zh-CN"/>
              </w:rPr>
            </w:pPr>
          </w:p>
        </w:tc>
        <w:tc>
          <w:tcPr>
            <w:tcW w:w="6142" w:type="dxa"/>
            <w:vAlign w:val="center"/>
          </w:tcPr>
          <w:p w14:paraId="7FBEE7B4">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项目负责人外，供应商或供应商所投产品制造厂商拟派的现场实施人员具有所投产品网络设备厂商认证的行业中级及以上工程师资格证书（有效期内），每提供1人得2分，本项最高4分；不提供或提供不符合对应要求的，不得分；</w:t>
            </w:r>
          </w:p>
          <w:p w14:paraId="332D9E74">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（1）人员社保证明应为:加盖投标供应商或供应商所投产品制造厂商“社会保险业务专用章（或业务电子专用章）”的“社会保险参保缴费证明（个人）”缴费凭证。</w:t>
            </w:r>
          </w:p>
          <w:p w14:paraId="4EDA5BAC">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（2）缴纳社会保险单位与供应商单位需一致。</w:t>
            </w:r>
          </w:p>
          <w:p w14:paraId="12FF0696">
            <w:pPr>
              <w:pStyle w:val="9"/>
              <w:spacing w:before="1" w:line="210" w:lineRule="auto"/>
              <w:ind w:left="0" w:leftChars="0" w:right="125"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（3）证明材料不符合要求的及未加盖投标供应商公章的，不得分。以上人员不重复计分。</w:t>
            </w:r>
          </w:p>
        </w:tc>
        <w:tc>
          <w:tcPr>
            <w:tcW w:w="1100" w:type="dxa"/>
            <w:vAlign w:val="center"/>
          </w:tcPr>
          <w:p w14:paraId="0A207839">
            <w:pPr>
              <w:pStyle w:val="9"/>
              <w:spacing w:before="103" w:line="226"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分</w:t>
            </w:r>
          </w:p>
        </w:tc>
      </w:tr>
      <w:tr w14:paraId="2B0B4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850" w:type="dxa"/>
            <w:vAlign w:val="center"/>
          </w:tcPr>
          <w:p w14:paraId="31D7DDB5">
            <w:pPr>
              <w:spacing w:before="103" w:line="417" w:lineRule="exact"/>
              <w:ind w:left="0" w:leftChars="0" w:firstLine="0" w:firstLineChars="0"/>
              <w:jc w:val="center"/>
              <w:rPr>
                <w:rFonts w:hint="default" w:ascii="宋体" w:hAnsi="宋体" w:eastAsia="宋体" w:cs="宋体"/>
                <w:color w:val="auto"/>
                <w:spacing w:val="-3"/>
                <w:position w:val="3"/>
                <w:sz w:val="24"/>
                <w:szCs w:val="24"/>
                <w:highlight w:val="none"/>
                <w:lang w:val="en-US" w:eastAsia="zh-CN"/>
              </w:rPr>
            </w:pPr>
            <w:r>
              <w:rPr>
                <w:rFonts w:hint="eastAsia" w:ascii="宋体" w:hAnsi="宋体" w:eastAsia="宋体" w:cs="宋体"/>
                <w:color w:val="auto"/>
                <w:spacing w:val="-3"/>
                <w:position w:val="3"/>
                <w:sz w:val="24"/>
                <w:szCs w:val="24"/>
                <w:highlight w:val="none"/>
                <w:lang w:val="en-US" w:eastAsia="zh-CN"/>
              </w:rPr>
              <w:t>3.4</w:t>
            </w:r>
          </w:p>
        </w:tc>
        <w:tc>
          <w:tcPr>
            <w:tcW w:w="1541" w:type="dxa"/>
            <w:vAlign w:val="center"/>
          </w:tcPr>
          <w:p w14:paraId="6E7E0C0B">
            <w:pPr>
              <w:adjustRightInd w:val="0"/>
              <w:spacing w:line="300" w:lineRule="exact"/>
              <w:ind w:left="0" w:leftChars="0"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质保期优惠承诺（满分4分）</w:t>
            </w:r>
          </w:p>
        </w:tc>
        <w:tc>
          <w:tcPr>
            <w:tcW w:w="6142" w:type="dxa"/>
            <w:vAlign w:val="center"/>
          </w:tcPr>
          <w:p w14:paraId="5094F3B8">
            <w:pPr>
              <w:pStyle w:val="9"/>
              <w:spacing w:before="1" w:line="210" w:lineRule="auto"/>
              <w:ind w:left="0" w:leftChars="0" w:right="125"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所有产品五年质保满后，供应商承诺每增加一年质保得2分，满分4分，承诺函需加盖供应商公章及法定代表人印章，否则不得分。</w:t>
            </w:r>
          </w:p>
        </w:tc>
        <w:tc>
          <w:tcPr>
            <w:tcW w:w="1100" w:type="dxa"/>
            <w:vAlign w:val="center"/>
          </w:tcPr>
          <w:p w14:paraId="1C2BA5DB">
            <w:pPr>
              <w:pStyle w:val="9"/>
              <w:spacing w:before="103" w:line="226" w:lineRule="auto"/>
              <w:ind w:left="0" w:leftChars="0" w:firstLine="0" w:firstLineChars="0"/>
              <w:jc w:val="center"/>
              <w:rPr>
                <w:rFonts w:hint="default"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0-4</w:t>
            </w:r>
          </w:p>
        </w:tc>
      </w:tr>
      <w:tr w14:paraId="4DC56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850" w:type="dxa"/>
            <w:vAlign w:val="center"/>
          </w:tcPr>
          <w:p w14:paraId="0EE43240">
            <w:pPr>
              <w:spacing w:before="103" w:line="417" w:lineRule="exact"/>
              <w:ind w:left="0" w:leftChars="0" w:firstLine="0" w:firstLineChars="0"/>
              <w:jc w:val="center"/>
              <w:rPr>
                <w:rFonts w:hint="eastAsia" w:ascii="宋体" w:hAnsi="宋体" w:eastAsia="宋体" w:cs="宋体"/>
                <w:color w:val="auto"/>
                <w:spacing w:val="-3"/>
                <w:position w:val="3"/>
                <w:sz w:val="24"/>
                <w:szCs w:val="24"/>
                <w:highlight w:val="none"/>
              </w:rPr>
            </w:pPr>
            <w:r>
              <w:rPr>
                <w:rFonts w:hint="eastAsia" w:ascii="宋体" w:hAnsi="宋体" w:eastAsia="宋体" w:cs="宋体"/>
                <w:color w:val="auto"/>
                <w:spacing w:val="-3"/>
                <w:position w:val="3"/>
                <w:sz w:val="24"/>
                <w:szCs w:val="24"/>
                <w:highlight w:val="none"/>
                <w:lang w:val="en-US" w:eastAsia="zh-CN"/>
              </w:rPr>
              <w:t>3.5</w:t>
            </w:r>
          </w:p>
        </w:tc>
        <w:tc>
          <w:tcPr>
            <w:tcW w:w="1541" w:type="dxa"/>
            <w:vAlign w:val="center"/>
          </w:tcPr>
          <w:p w14:paraId="63A1D1A2">
            <w:pPr>
              <w:adjustRightInd w:val="0"/>
              <w:spacing w:line="300" w:lineRule="exact"/>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业绩</w:t>
            </w:r>
          </w:p>
          <w:p w14:paraId="2FC1BA03">
            <w:pPr>
              <w:adjustRightInd w:val="0"/>
              <w:spacing w:line="300" w:lineRule="exact"/>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（满分10分）</w:t>
            </w:r>
          </w:p>
        </w:tc>
        <w:tc>
          <w:tcPr>
            <w:tcW w:w="6142" w:type="dxa"/>
            <w:vAlign w:val="center"/>
          </w:tcPr>
          <w:p w14:paraId="678B4FEE">
            <w:pPr>
              <w:pStyle w:val="9"/>
              <w:spacing w:before="1" w:line="210" w:lineRule="auto"/>
              <w:ind w:left="0" w:leftChars="0" w:right="125"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自2022年1月1日以来投标供应商或供应商所投产品制造厂商有类似设备供货业绩，提供一个得2分，满分10分，需提供中标（成交）通知书或合同复印件并加盖投标供应商公章，不提供不得分。</w:t>
            </w:r>
          </w:p>
        </w:tc>
        <w:tc>
          <w:tcPr>
            <w:tcW w:w="1100" w:type="dxa"/>
            <w:vAlign w:val="center"/>
          </w:tcPr>
          <w:p w14:paraId="6D857B4A">
            <w:pPr>
              <w:pStyle w:val="9"/>
              <w:spacing w:before="103" w:line="226"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10</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bl>
    <w:p w14:paraId="174D5F95">
      <w:pPr>
        <w:bidi w:val="0"/>
        <w:rPr>
          <w:rFonts w:hint="eastAsia"/>
          <w:color w:val="auto"/>
          <w:highlight w:val="none"/>
        </w:rPr>
      </w:pPr>
    </w:p>
    <w:p w14:paraId="2C650989">
      <w:pPr>
        <w:rPr>
          <w:b/>
          <w:bCs/>
        </w:rPr>
      </w:pP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E2"/>
    <w:rsid w:val="004B1AE2"/>
    <w:rsid w:val="005C2E37"/>
    <w:rsid w:val="0AE901D1"/>
    <w:rsid w:val="0EF9321E"/>
    <w:rsid w:val="1FA448A9"/>
    <w:rsid w:val="24107A5A"/>
    <w:rsid w:val="25070282"/>
    <w:rsid w:val="2F410E64"/>
    <w:rsid w:val="34DD1293"/>
    <w:rsid w:val="3CF74EBC"/>
    <w:rsid w:val="42293A2C"/>
    <w:rsid w:val="4E834801"/>
    <w:rsid w:val="518965D2"/>
    <w:rsid w:val="52E30E28"/>
    <w:rsid w:val="53757567"/>
    <w:rsid w:val="55A0213D"/>
    <w:rsid w:val="57D167AC"/>
    <w:rsid w:val="59CF5A18"/>
    <w:rsid w:val="59E636CA"/>
    <w:rsid w:val="61746A1C"/>
    <w:rsid w:val="6C1B30D6"/>
    <w:rsid w:val="6E8F075E"/>
    <w:rsid w:val="6F035C48"/>
    <w:rsid w:val="756B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rPr>
      <w:rFonts w:ascii="Calibri" w:hAnsi="Calibri" w:eastAsia="宋体"/>
      <w:szCs w:val="22"/>
    </w:rPr>
  </w:style>
  <w:style w:type="paragraph" w:styleId="4">
    <w:name w:val="Body Text Indent"/>
    <w:basedOn w:val="1"/>
    <w:qFormat/>
    <w:uiPriority w:val="0"/>
    <w:pPr>
      <w:spacing w:line="380" w:lineRule="exact"/>
      <w:ind w:firstLine="480"/>
    </w:pPr>
    <w:rPr>
      <w:rFonts w:eastAsia="方正书宋简体"/>
      <w:szCs w:val="20"/>
    </w:rPr>
  </w:style>
  <w:style w:type="paragraph" w:styleId="5">
    <w:name w:val="Body Text First Indent 2"/>
    <w:basedOn w:val="4"/>
    <w:unhideWhenUsed/>
    <w:qFormat/>
    <w:uiPriority w:val="99"/>
    <w:pPr>
      <w:spacing w:before="0" w:after="120" w:line="240" w:lineRule="auto"/>
      <w:ind w:left="420" w:leftChars="200" w:firstLine="420" w:firstLineChars="200"/>
    </w:pPr>
    <w:rPr>
      <w:rFonts w:ascii="Times New Roman" w:hAnsi="Times New Roman" w:eastAsia="宋体"/>
      <w:w w:val="100"/>
      <w:sz w:val="21"/>
    </w:rPr>
  </w:style>
  <w:style w:type="character" w:styleId="8">
    <w:name w:val="Strong"/>
    <w:basedOn w:val="7"/>
    <w:qFormat/>
    <w:uiPriority w:val="22"/>
    <w:rPr>
      <w:rFonts w:eastAsia="黑体"/>
      <w:bCs/>
    </w:r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E930A-B475-4C44-9838-1219ECA0FEEB}">
  <ds:schemaRefs/>
</ds:datastoreItem>
</file>

<file path=docProps/app.xml><?xml version="1.0" encoding="utf-8"?>
<Properties xmlns="http://schemas.openxmlformats.org/officeDocument/2006/extended-properties" xmlns:vt="http://schemas.openxmlformats.org/officeDocument/2006/docPropsVTypes">
  <Template>Normal</Template>
  <Pages>7</Pages>
  <Words>1209</Words>
  <Characters>1464</Characters>
  <Lines>3</Lines>
  <Paragraphs>3</Paragraphs>
  <TotalTime>0</TotalTime>
  <ScaleCrop>false</ScaleCrop>
  <LinksUpToDate>false</LinksUpToDate>
  <CharactersWithSpaces>1503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2025-06-05T03:23:00Z</dcterms:created>
  <dc:creator>Administrator</dc:creator>
  <cp:lastModifiedBy>wyt1978</cp:lastModifiedBy>
  <cp:lastPrinted>2025-06-20T02:43:00Z</cp:lastPrinted>
  <dcterms:modified xsi:type="dcterms:W3CDTF">2025-07-24T13:34:09Z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eyJoZGlkIjoiMDMwN2NiY2E4NTlkMjY3NTIwODliN2JmOTkxZDYwMTQiLCJ1c2VySWQiOiI2Mjk5NjAyODkifQ==</vt:lpwstr>
  </property>
  <property fmtid="{D5CDD505-2E9C-101B-9397-08002B2CF9AE}" pid="4" name="ICV">
    <vt:lpwstr>DC530678EFF2454A8F251D592AD5EA7D_13</vt:lpwstr>
  </property>
</Properties>
</file>