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3543">
      <w:pPr>
        <w:pStyle w:val="3"/>
        <w:rPr>
          <w:rFonts w:hint="default"/>
          <w:lang w:val="en-US"/>
        </w:rPr>
      </w:pPr>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兴中镇辣子树村2024年锣鼓菜坪至小蚂冲产业路建设项目需求公示（第三次）</w:t>
      </w:r>
    </w:p>
    <w:p w14:paraId="02EF3319">
      <w:pPr>
        <w:spacing w:line="321" w:lineRule="auto"/>
        <w:ind w:left="29" w:right="13" w:firstLine="476"/>
        <w:rPr>
          <w:rFonts w:hint="eastAsia" w:ascii="宋体" w:hAnsi="宋体"/>
          <w:b/>
          <w:bCs/>
          <w:sz w:val="36"/>
          <w:szCs w:val="36"/>
        </w:rPr>
      </w:pPr>
      <w:r>
        <w:rPr>
          <w:rFonts w:hint="eastAsia" w:ascii="宋体" w:hAnsi="宋体" w:eastAsia="宋体" w:cs="宋体"/>
          <w:b w:val="0"/>
          <w:bCs w:val="0"/>
          <w:spacing w:val="16"/>
          <w:sz w:val="28"/>
          <w:szCs w:val="28"/>
          <w:highlight w:val="none"/>
          <w:lang w:val="en-US" w:eastAsia="zh-CN"/>
        </w:rPr>
        <w:t>本项目的资格要求：</w:t>
      </w:r>
      <w:r>
        <w:rPr>
          <w:rFonts w:hint="eastAsia" w:ascii="宋体" w:hAnsi="宋体" w:cs="宋体"/>
          <w:b w:val="0"/>
          <w:bCs w:val="0"/>
          <w:spacing w:val="16"/>
          <w:sz w:val="28"/>
          <w:szCs w:val="28"/>
          <w:highlight w:val="none"/>
          <w:lang w:val="en-US" w:eastAsia="zh-CN"/>
        </w:rPr>
        <w:t>(1)</w:t>
      </w:r>
      <w:r>
        <w:rPr>
          <w:rFonts w:hint="eastAsia" w:ascii="宋体" w:hAnsi="宋体" w:eastAsia="宋体" w:cs="宋体"/>
          <w:b w:val="0"/>
          <w:bCs w:val="0"/>
          <w:spacing w:val="16"/>
          <w:sz w:val="28"/>
          <w:szCs w:val="28"/>
          <w:highlight w:val="none"/>
          <w:lang w:val="en-US" w:eastAsia="zh-CN"/>
        </w:rPr>
        <w:t>一般资格要求：提供《中华人民共和国政府采购法实施条例》第十七条规定的内容材料；①提供有效“统一社会信用代码”的营业执照；②提供具有良好的商业信誉和健全的财务会计制度的承诺函；③提供具有履行合同所必需的设备和专业技术能力的承诺函；④提供具有依法缴纳税收和社会保障资金的良好记录的承诺函；⑤提供参加政府采购活动前三年内在经营</w:t>
      </w:r>
      <w:bookmarkStart w:id="4" w:name="_GoBack"/>
      <w:bookmarkEnd w:id="4"/>
      <w:r>
        <w:rPr>
          <w:rFonts w:hint="eastAsia" w:ascii="宋体" w:hAnsi="宋体" w:eastAsia="宋体" w:cs="宋体"/>
          <w:b w:val="0"/>
          <w:bCs w:val="0"/>
          <w:spacing w:val="16"/>
          <w:sz w:val="28"/>
          <w:szCs w:val="28"/>
          <w:highlight w:val="none"/>
          <w:lang w:val="en-US" w:eastAsia="zh-CN"/>
        </w:rPr>
        <w:t>活动中没有重大违法记录的书面声明函；⑥提供“中国政府采购网（www.ccgp.gov.cn/search/cr/）”严重违法失信行为记录名单中未被财政部门禁止参加政府采购活动的供应商（处罚决定规定的时间和地域范围内）网页截图；⑦“中国执行信息公开网（zxgk.court.gov.cn/zhzxgk/）”网站中未被列入失信被执行人名单中的供应商网页截图；⑧“国家企业信用信息公示系统（www.gsxt.gov.cn）”网站中未被列入严重违法失信企业名单（黑名单）信息中的供应商网页截图；</w:t>
      </w:r>
      <w:r>
        <w:rPr>
          <w:rFonts w:hint="eastAsia" w:ascii="宋体" w:hAnsi="宋体" w:cs="宋体"/>
          <w:b w:val="0"/>
          <w:bCs w:val="0"/>
          <w:spacing w:val="16"/>
          <w:sz w:val="28"/>
          <w:szCs w:val="28"/>
          <w:highlight w:val="none"/>
          <w:lang w:val="en-US" w:eastAsia="zh-CN"/>
        </w:rPr>
        <w:t>(2)</w:t>
      </w:r>
      <w:r>
        <w:rPr>
          <w:rFonts w:hint="eastAsia" w:ascii="宋体" w:hAnsi="宋体" w:eastAsia="宋体" w:cs="宋体"/>
          <w:b w:val="0"/>
          <w:bCs w:val="0"/>
          <w:spacing w:val="16"/>
          <w:sz w:val="28"/>
          <w:szCs w:val="28"/>
          <w:highlight w:val="none"/>
          <w:lang w:val="en-US" w:eastAsia="zh-CN"/>
        </w:rPr>
        <w:t>特殊资格要求：市政公用工程施工总承包</w:t>
      </w:r>
      <w:r>
        <w:rPr>
          <w:rFonts w:hint="eastAsia" w:ascii="宋体" w:hAnsi="宋体" w:cs="宋体"/>
          <w:b w:val="0"/>
          <w:bCs w:val="0"/>
          <w:spacing w:val="16"/>
          <w:sz w:val="28"/>
          <w:szCs w:val="28"/>
          <w:highlight w:val="none"/>
          <w:lang w:val="en-US" w:eastAsia="zh-CN"/>
        </w:rPr>
        <w:t>叁级（含叁级）及以上</w:t>
      </w:r>
    </w:p>
    <w:p w14:paraId="45632FB0">
      <w:pPr>
        <w:rPr>
          <w:rFonts w:hint="eastAsia"/>
        </w:rPr>
      </w:pPr>
    </w:p>
    <w:p w14:paraId="630581AE">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68B21F22">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086087DF">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sz w:val="36"/>
          <w:szCs w:val="36"/>
          <w:lang w:val="en-US" w:eastAsia="zh-CN"/>
        </w:rPr>
      </w:pPr>
    </w:p>
    <w:p w14:paraId="2230C78C">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rPr>
      </w:pPr>
      <w:r>
        <w:rPr>
          <w:rFonts w:hint="eastAsia" w:ascii="宋体" w:hAnsi="宋体"/>
          <w:b/>
          <w:bCs/>
          <w:sz w:val="36"/>
          <w:szCs w:val="36"/>
          <w:lang w:val="en-US" w:eastAsia="zh-CN"/>
        </w:rPr>
        <w:t>一、</w:t>
      </w:r>
      <w:r>
        <w:rPr>
          <w:rFonts w:hint="eastAsia" w:ascii="宋体" w:hAnsi="宋体"/>
          <w:b/>
          <w:bCs/>
          <w:sz w:val="36"/>
          <w:szCs w:val="36"/>
        </w:rPr>
        <w:t>采购内容及要求</w:t>
      </w:r>
    </w:p>
    <w:p w14:paraId="2B7E5D50">
      <w:pPr>
        <w:spacing w:line="360" w:lineRule="auto"/>
        <w:jc w:val="center"/>
        <w:outlineLvl w:val="0"/>
        <w:rPr>
          <w:rFonts w:hint="eastAsia" w:ascii="宋体" w:hAnsi="宋体"/>
          <w:b/>
          <w:bCs/>
          <w:sz w:val="36"/>
          <w:szCs w:val="36"/>
        </w:rPr>
      </w:pPr>
      <w:bookmarkStart w:id="0" w:name="_Toc12841"/>
      <w:bookmarkStart w:id="1" w:name="_Toc18293"/>
    </w:p>
    <w:p w14:paraId="200902DB">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项目主要内容</w:t>
      </w:r>
    </w:p>
    <w:p w14:paraId="7CD7A4B4">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中镇位于普安县北面，东接白沙、南连盘水街道(原窝沿乡)、西与盘县堡基隔河相望、北与龙吟接壤，政府所在地铅厂距县城23.5公里。国土面积103.8平方公里，全镇最高海拔2033米，最低海拔981米，镇政府所在地海拔1564米，平均海拔1680米。全镇辖五村一社区，包括87个村民小组，总人口20633人，农村户籍人口15727人。</w:t>
      </w:r>
    </w:p>
    <w:p w14:paraId="34959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sz w:val="32"/>
          <w:szCs w:val="32"/>
          <w:lang w:val="en-US" w:eastAsia="zh-CN"/>
        </w:rPr>
        <w:t>辣子树</w:t>
      </w:r>
      <w:r>
        <w:rPr>
          <w:rFonts w:hint="eastAsia" w:ascii="仿宋_GB2312" w:hAnsi="仿宋_GB2312" w:eastAsia="仿宋_GB2312" w:cs="仿宋_GB2312"/>
          <w:color w:val="auto"/>
          <w:sz w:val="32"/>
          <w:szCs w:val="32"/>
        </w:rPr>
        <w:t>村国土面积</w:t>
      </w:r>
      <w:r>
        <w:rPr>
          <w:rFonts w:hint="eastAsia" w:ascii="仿宋_GB2312" w:hAnsi="仿宋_GB2312" w:eastAsia="仿宋_GB2312" w:cs="仿宋_GB2312"/>
          <w:sz w:val="32"/>
          <w:szCs w:val="32"/>
        </w:rPr>
        <w:t>20.55</w:t>
      </w:r>
      <w:r>
        <w:rPr>
          <w:rFonts w:hint="eastAsia" w:ascii="仿宋_GB2312" w:hAnsi="仿宋_GB2312" w:eastAsia="仿宋_GB2312" w:cs="仿宋_GB2312"/>
          <w:color w:val="auto"/>
          <w:sz w:val="32"/>
          <w:szCs w:val="32"/>
        </w:rPr>
        <w:t>平方公里，下辖</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个村民组，总人口</w:t>
      </w:r>
      <w:r>
        <w:rPr>
          <w:rFonts w:hint="eastAsia" w:ascii="仿宋_GB2312" w:hAnsi="仿宋_GB2312" w:eastAsia="仿宋_GB2312" w:cs="仿宋_GB2312"/>
          <w:color w:val="auto"/>
          <w:sz w:val="32"/>
          <w:szCs w:val="32"/>
          <w:lang w:val="en-US" w:eastAsia="zh-CN"/>
        </w:rPr>
        <w:t>583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2720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其中以苗族为主的少数民族有272户1360人,占总人口5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1"/>
          <w:sz w:val="32"/>
          <w:szCs w:val="32"/>
          <w:lang w:val="en-US" w:eastAsia="zh-CN"/>
        </w:rPr>
        <w:t>该项目的实施将提升辣子树村村民医疗服务水平，进一步有效持续推进巩固拓展脱贫攻坚成果同乡村振兴有效衔接。</w:t>
      </w:r>
    </w:p>
    <w:p w14:paraId="10223C59">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drawing>
          <wp:inline distT="0" distB="0" distL="114300" distR="114300">
            <wp:extent cx="5271770" cy="2455545"/>
            <wp:effectExtent l="0" t="0" r="5080" b="19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1770" cy="2455545"/>
                    </a:xfrm>
                    <a:prstGeom prst="rect">
                      <a:avLst/>
                    </a:prstGeom>
                  </pic:spPr>
                </pic:pic>
              </a:graphicData>
            </a:graphic>
          </wp:inline>
        </w:drawing>
      </w:r>
    </w:p>
    <w:p w14:paraId="00040F73">
      <w:pPr>
        <w:rPr>
          <w:rFonts w:hint="eastAsia" w:ascii="楷体_GB2312" w:hAnsi="楷体_GB2312" w:eastAsia="楷体_GB2312" w:cs="楷体_GB2312"/>
          <w:sz w:val="32"/>
          <w:szCs w:val="32"/>
        </w:rPr>
      </w:pPr>
      <w:bookmarkStart w:id="2" w:name="_Toc20991"/>
      <w:r>
        <w:rPr>
          <w:rFonts w:hint="eastAsia" w:ascii="楷体_GB2312" w:hAnsi="楷体_GB2312" w:eastAsia="楷体_GB2312" w:cs="楷体_GB2312"/>
          <w:sz w:val="32"/>
          <w:szCs w:val="32"/>
        </w:rPr>
        <w:t>（一）项目概况</w:t>
      </w:r>
    </w:p>
    <w:p w14:paraId="41287E5D">
      <w:pPr>
        <w:spacing w:line="560" w:lineRule="exact"/>
        <w:ind w:firstLine="640" w:firstLineChars="200"/>
        <w:jc w:val="left"/>
        <w:rPr>
          <w:rFonts w:hint="eastAsia" w:ascii="宋体" w:hAnsi="宋体" w:eastAsia="宋体" w:cs="Times New Roman"/>
          <w:b/>
          <w:bCs/>
          <w:sz w:val="36"/>
          <w:szCs w:val="36"/>
          <w:lang w:val="en-US" w:eastAsia="zh-CN"/>
        </w:rPr>
      </w:pPr>
      <w:r>
        <w:rPr>
          <w:rFonts w:hint="eastAsia" w:ascii="仿宋_GB2312" w:hAnsi="黑体" w:eastAsia="仿宋_GB2312"/>
          <w:sz w:val="32"/>
          <w:szCs w:val="32"/>
          <w:u w:val="single"/>
          <w:lang w:eastAsia="zh-CN"/>
        </w:rPr>
        <w:t>硬化产业路长1667m、宽4.5m、厚15cm、c25混凝土路面硬化。</w:t>
      </w:r>
      <w:bookmarkStart w:id="3" w:name="_Toc376421081"/>
    </w:p>
    <w:p w14:paraId="35B939FD">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Times New Roman"/>
          <w:b/>
          <w:bCs/>
          <w:sz w:val="36"/>
          <w:szCs w:val="36"/>
          <w:lang w:val="en-US" w:eastAsia="zh-CN"/>
        </w:rPr>
      </w:pPr>
    </w:p>
    <w:p w14:paraId="29541911">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color w:val="000000"/>
          <w:sz w:val="24"/>
        </w:rPr>
      </w:pPr>
      <w:r>
        <w:rPr>
          <w:rFonts w:hint="eastAsia" w:ascii="宋体" w:hAnsi="宋体" w:eastAsia="宋体" w:cs="Times New Roman"/>
          <w:b/>
          <w:bCs/>
          <w:sz w:val="36"/>
          <w:szCs w:val="36"/>
          <w:lang w:val="en-US" w:eastAsia="zh-CN"/>
        </w:rPr>
        <w:t>二、</w:t>
      </w:r>
      <w:r>
        <w:rPr>
          <w:rFonts w:hint="eastAsia" w:ascii="宋体" w:hAnsi="宋体" w:eastAsia="宋体" w:cs="Times New Roman"/>
          <w:b/>
          <w:bCs/>
          <w:sz w:val="36"/>
          <w:szCs w:val="36"/>
        </w:rPr>
        <w:t>商务要求</w:t>
      </w:r>
      <w:bookmarkEnd w:id="3"/>
    </w:p>
    <w:bookmarkEnd w:id="0"/>
    <w:bookmarkEnd w:id="1"/>
    <w:bookmarkEnd w:id="2"/>
    <w:tbl>
      <w:tblPr>
        <w:tblStyle w:val="13"/>
        <w:tblpPr w:leftFromText="180" w:rightFromText="180" w:vertAnchor="text" w:horzAnchor="page" w:tblpX="1383" w:tblpY="888"/>
        <w:tblOverlap w:val="never"/>
        <w:tblW w:w="96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379"/>
        <w:gridCol w:w="7418"/>
      </w:tblGrid>
      <w:tr w14:paraId="6636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6" w:type="dxa"/>
            <w:vAlign w:val="center"/>
          </w:tcPr>
          <w:p w14:paraId="2B197FC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序号</w:t>
            </w:r>
          </w:p>
        </w:tc>
        <w:tc>
          <w:tcPr>
            <w:tcW w:w="1379" w:type="dxa"/>
            <w:vAlign w:val="center"/>
          </w:tcPr>
          <w:p w14:paraId="11F7A6C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商务条款</w:t>
            </w:r>
          </w:p>
        </w:tc>
        <w:tc>
          <w:tcPr>
            <w:tcW w:w="7418" w:type="dxa"/>
            <w:vAlign w:val="center"/>
          </w:tcPr>
          <w:p w14:paraId="03D1268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u w:val="none" w:color="auto"/>
                <w:lang w:val="en-US" w:eastAsia="zh-CN"/>
              </w:rPr>
              <w:t>商务实质性要求</w:t>
            </w:r>
          </w:p>
        </w:tc>
      </w:tr>
      <w:tr w14:paraId="2067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6" w:type="dxa"/>
            <w:vAlign w:val="center"/>
          </w:tcPr>
          <w:p w14:paraId="4E17C9E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79" w:type="dxa"/>
            <w:vAlign w:val="center"/>
          </w:tcPr>
          <w:p w14:paraId="5EDE28A9">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r>
              <w:rPr>
                <w:rFonts w:hint="eastAsia" w:asciiTheme="minorEastAsia" w:hAnsiTheme="minorEastAsia" w:eastAsiaTheme="minorEastAsia" w:cstheme="minorEastAsia"/>
                <w:color w:val="auto"/>
                <w:spacing w:val="6"/>
                <w:sz w:val="24"/>
                <w:szCs w:val="24"/>
              </w:rPr>
              <w:t>地点</w:t>
            </w:r>
          </w:p>
        </w:tc>
        <w:tc>
          <w:tcPr>
            <w:tcW w:w="7418" w:type="dxa"/>
            <w:vAlign w:val="center"/>
          </w:tcPr>
          <w:p w14:paraId="503715D6">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 xml:space="preserve">期：合同签订之日起 </w:t>
            </w:r>
            <w:r>
              <w:rPr>
                <w:rFonts w:hint="eastAsia" w:asciiTheme="minorEastAsia" w:hAnsiTheme="minorEastAsia" w:eastAsiaTheme="minorEastAsia" w:cstheme="minorEastAsia"/>
                <w:color w:val="auto"/>
                <w:spacing w:val="2"/>
                <w:sz w:val="24"/>
                <w:szCs w:val="24"/>
                <w:lang w:val="en-US" w:eastAsia="zh-CN"/>
              </w:rPr>
              <w:t xml:space="preserve">210 </w:t>
            </w:r>
            <w:r>
              <w:rPr>
                <w:rFonts w:hint="eastAsia" w:asciiTheme="minorEastAsia" w:hAnsiTheme="minorEastAsia" w:eastAsiaTheme="minorEastAsia" w:cstheme="minorEastAsia"/>
                <w:color w:val="auto"/>
                <w:spacing w:val="2"/>
                <w:sz w:val="24"/>
                <w:szCs w:val="24"/>
              </w:rPr>
              <w:t>日历天</w:t>
            </w:r>
            <w:r>
              <w:rPr>
                <w:rFonts w:hint="eastAsia" w:asciiTheme="minorEastAsia" w:hAnsiTheme="minorEastAsia" w:eastAsiaTheme="minorEastAsia" w:cstheme="minorEastAsia"/>
                <w:color w:val="auto"/>
                <w:spacing w:val="3"/>
                <w:sz w:val="24"/>
                <w:szCs w:val="24"/>
              </w:rPr>
              <w:t>。</w:t>
            </w:r>
          </w:p>
          <w:p w14:paraId="0F3CF697">
            <w:pPr>
              <w:autoSpaceDE w:val="0"/>
              <w:autoSpaceDN w:val="0"/>
              <w:spacing w:line="360" w:lineRule="auto"/>
              <w:ind w:left="119"/>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7FC7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6" w:type="dxa"/>
            <w:vAlign w:val="center"/>
          </w:tcPr>
          <w:p w14:paraId="2066F7E5">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79" w:type="dxa"/>
            <w:vAlign w:val="center"/>
          </w:tcPr>
          <w:p w14:paraId="6B656715">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7418" w:type="dxa"/>
            <w:vAlign w:val="center"/>
          </w:tcPr>
          <w:p w14:paraId="29723F0B">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0E80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876" w:type="dxa"/>
            <w:vAlign w:val="center"/>
          </w:tcPr>
          <w:p w14:paraId="043689A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79" w:type="dxa"/>
            <w:vAlign w:val="center"/>
          </w:tcPr>
          <w:p w14:paraId="5C3B0D5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7418" w:type="dxa"/>
            <w:vAlign w:val="center"/>
          </w:tcPr>
          <w:p w14:paraId="2BF86371">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5703C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6" w:type="dxa"/>
            <w:vAlign w:val="center"/>
          </w:tcPr>
          <w:p w14:paraId="6D1E0841">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79" w:type="dxa"/>
            <w:vAlign w:val="center"/>
          </w:tcPr>
          <w:p w14:paraId="043B9F43">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7418" w:type="dxa"/>
            <w:vAlign w:val="center"/>
          </w:tcPr>
          <w:p w14:paraId="70A72228">
            <w:pPr>
              <w:autoSpaceDE w:val="0"/>
              <w:autoSpaceDN w:val="0"/>
              <w:spacing w:beforeAutospacing="0" w:line="360" w:lineRule="auto"/>
              <w:ind w:left="115" w:right="107" w:firstLine="2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6D11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76" w:type="dxa"/>
            <w:vAlign w:val="center"/>
          </w:tcPr>
          <w:p w14:paraId="28B9BE41">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6</w:t>
            </w:r>
          </w:p>
        </w:tc>
        <w:tc>
          <w:tcPr>
            <w:tcW w:w="1379" w:type="dxa"/>
            <w:vAlign w:val="center"/>
          </w:tcPr>
          <w:p w14:paraId="5278B3B4">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7418" w:type="dxa"/>
            <w:vAlign w:val="top"/>
          </w:tcPr>
          <w:p w14:paraId="345F3690">
            <w:pPr>
              <w:pStyle w:val="14"/>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0AA926FC">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78D50756">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0349A40E">
            <w:pPr>
              <w:pStyle w:val="14"/>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69F2336E">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433B6170">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312789F9">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519A8F8F">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、其他未尽事宜由供需双方在采购合同中详细约定。</w:t>
            </w:r>
          </w:p>
        </w:tc>
      </w:tr>
    </w:tbl>
    <w:p w14:paraId="02A2DB62">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13C6431C">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0A59CADA">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6E250728">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本项目投标价格采用最低价优先法，在全部满足采购文件实质性要求前提下，依据统一的价格要素评定最低报价，按投标报价由低到高顺序排列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612264B"/>
    <w:rsid w:val="09292681"/>
    <w:rsid w:val="09E95D7A"/>
    <w:rsid w:val="0D463014"/>
    <w:rsid w:val="0E0E138E"/>
    <w:rsid w:val="10090303"/>
    <w:rsid w:val="12266F4A"/>
    <w:rsid w:val="17DE2AD8"/>
    <w:rsid w:val="18C1177B"/>
    <w:rsid w:val="1C7E178D"/>
    <w:rsid w:val="231837B9"/>
    <w:rsid w:val="252E51C7"/>
    <w:rsid w:val="26F25E47"/>
    <w:rsid w:val="277F27D8"/>
    <w:rsid w:val="28180D37"/>
    <w:rsid w:val="3411043F"/>
    <w:rsid w:val="3D6B1D44"/>
    <w:rsid w:val="499E20AD"/>
    <w:rsid w:val="4FFE311C"/>
    <w:rsid w:val="500069A2"/>
    <w:rsid w:val="5AF70A51"/>
    <w:rsid w:val="60A2191E"/>
    <w:rsid w:val="610E08BC"/>
    <w:rsid w:val="61A23586"/>
    <w:rsid w:val="635B5245"/>
    <w:rsid w:val="656D5A98"/>
    <w:rsid w:val="670550F4"/>
    <w:rsid w:val="679F2254"/>
    <w:rsid w:val="6B1E7521"/>
    <w:rsid w:val="6D953D91"/>
    <w:rsid w:val="75265D63"/>
    <w:rsid w:val="775B5A6C"/>
    <w:rsid w:val="78802E4D"/>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b/>
      <w:bCs/>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2"/>
    <w:basedOn w:val="1"/>
    <w:qFormat/>
    <w:uiPriority w:val="0"/>
    <w:rPr>
      <w:sz w:val="32"/>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2">
    <w:name w:val="BodyTextIndent"/>
    <w:basedOn w:val="1"/>
    <w:qFormat/>
    <w:uiPriority w:val="0"/>
    <w:pPr>
      <w:spacing w:after="120"/>
      <w:ind w:left="420" w:leftChars="200"/>
      <w:jc w:val="both"/>
      <w:textAlignment w:val="baseline"/>
    </w:pPr>
  </w:style>
  <w:style w:type="table" w:customStyle="1" w:styleId="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1428</Words>
  <Characters>1560</Characters>
  <Lines>0</Lines>
  <Paragraphs>0</Paragraphs>
  <TotalTime>5</TotalTime>
  <ScaleCrop>false</ScaleCrop>
  <LinksUpToDate>false</LinksUpToDate>
  <CharactersWithSpaces>1565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陈陈陈！</cp:lastModifiedBy>
  <dcterms:modified xsi:type="dcterms:W3CDTF">2024-08-26T06:15:12Z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BAA0F804C7E54A3FB07DF463EB886BD3_13</vt:lpwstr>
  </property>
</Properties>
</file>