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C039D">
      <w:pPr>
        <w:pStyle w:val="2"/>
        <w:rPr>
          <w:rFonts w:hint="eastAsia" w:ascii="仿宋" w:hAnsi="仿宋" w:eastAsia="仿宋" w:cs="仿宋"/>
          <w:b w:val="0"/>
          <w:bCs w:val="0"/>
          <w:spacing w:val="-30"/>
          <w:sz w:val="40"/>
          <w:szCs w:val="40"/>
          <w:lang w:val="en-US" w:eastAsia="zh-CN"/>
          <w14:textOutline w14:w="13075" w14:cap="sq" w14:cmpd="sng">
            <w14:solidFill>
              <w14:srgbClr w14:val="000000"/>
            </w14:solidFill>
            <w14:prstDash w14:val="solid"/>
            <w14:bevel/>
          </w14:textOutline>
        </w:rPr>
      </w:pPr>
      <w:r>
        <w:rPr>
          <w:rFonts w:hint="eastAsia" w:ascii="仿宋" w:hAnsi="仿宋" w:eastAsia="仿宋" w:cs="仿宋"/>
          <w:b w:val="0"/>
          <w:bCs w:val="0"/>
          <w:spacing w:val="-30"/>
          <w:sz w:val="40"/>
          <w:szCs w:val="40"/>
          <w:lang w:val="en-US" w:eastAsia="zh-CN"/>
          <w14:textOutline w14:w="13075" w14:cap="sq" w14:cmpd="sng">
            <w14:solidFill>
              <w14:srgbClr w14:val="000000"/>
            </w14:solidFill>
            <w14:prstDash w14:val="solid"/>
            <w14:bevel/>
          </w14:textOutline>
        </w:rPr>
        <w:t>兴中镇田坝村2024年黄牛养殖产业发展项目</w:t>
      </w:r>
    </w:p>
    <w:p w14:paraId="76033543">
      <w:pPr>
        <w:pStyle w:val="2"/>
        <w:rPr>
          <w:rFonts w:hint="default"/>
          <w:lang w:val="en-US"/>
        </w:rPr>
      </w:pPr>
      <w:r>
        <w:rPr>
          <w:rFonts w:hint="eastAsia" w:ascii="仿宋" w:hAnsi="仿宋" w:eastAsia="仿宋" w:cs="仿宋"/>
          <w:b w:val="0"/>
          <w:bCs w:val="0"/>
          <w:spacing w:val="-30"/>
          <w:sz w:val="40"/>
          <w:szCs w:val="40"/>
          <w:lang w:val="en-US" w:eastAsia="zh-CN"/>
          <w14:textOutline w14:w="13075" w14:cap="sq" w14:cmpd="sng">
            <w14:solidFill>
              <w14:srgbClr w14:val="000000"/>
            </w14:solidFill>
            <w14:prstDash w14:val="solid"/>
            <w14:bevel/>
          </w14:textOutline>
        </w:rPr>
        <w:t>需求公示</w:t>
      </w:r>
    </w:p>
    <w:p w14:paraId="0A274220">
      <w:pPr>
        <w:spacing w:line="321" w:lineRule="auto"/>
        <w:ind w:left="29" w:right="13" w:firstLine="476"/>
        <w:rPr>
          <w:rFonts w:hint="eastAsia" w:ascii="宋体" w:hAnsi="宋体" w:eastAsia="宋体" w:cs="宋体"/>
          <w:b w:val="0"/>
          <w:bCs w:val="0"/>
          <w:spacing w:val="16"/>
          <w:sz w:val="28"/>
          <w:szCs w:val="28"/>
          <w:highlight w:val="none"/>
          <w:lang w:val="en-US" w:eastAsia="zh-CN"/>
        </w:rPr>
      </w:pPr>
      <w:r>
        <w:rPr>
          <w:rFonts w:hint="eastAsia" w:ascii="宋体" w:hAnsi="宋体" w:eastAsia="宋体" w:cs="宋体"/>
          <w:b w:val="0"/>
          <w:bCs w:val="0"/>
          <w:spacing w:val="16"/>
          <w:sz w:val="28"/>
          <w:szCs w:val="28"/>
          <w:highlight w:val="none"/>
          <w:lang w:val="en-US" w:eastAsia="zh-CN"/>
        </w:rPr>
        <w:t>本项目的资格要求：</w:t>
      </w:r>
      <w:r>
        <w:rPr>
          <w:rFonts w:hint="eastAsia" w:ascii="宋体" w:hAnsi="宋体" w:cs="宋体"/>
          <w:b w:val="0"/>
          <w:bCs w:val="0"/>
          <w:spacing w:val="16"/>
          <w:sz w:val="28"/>
          <w:szCs w:val="28"/>
          <w:highlight w:val="none"/>
          <w:lang w:val="en-US" w:eastAsia="zh-CN"/>
        </w:rPr>
        <w:t>(1)</w:t>
      </w:r>
      <w:r>
        <w:rPr>
          <w:rFonts w:hint="eastAsia" w:ascii="宋体" w:hAnsi="宋体" w:eastAsia="宋体" w:cs="宋体"/>
          <w:b w:val="0"/>
          <w:bCs w:val="0"/>
          <w:spacing w:val="16"/>
          <w:sz w:val="28"/>
          <w:szCs w:val="28"/>
          <w:highlight w:val="none"/>
          <w:lang w:val="en-US" w:eastAsia="zh-CN"/>
        </w:rPr>
        <w:t>一般资格要求：提供《中华人民共和国政府采购法实施条例》第十七条规定的内容材料；①提供有效“统一社会信用代码”的营业执照；②提供具有良好的商业信誉和健全的财务会计制度的承诺函；③提供具有履行合同所必需的设备和专业技术能力的承诺函；④提供具有依法缴纳税收和社会保障资金的良好记录的承诺函；⑤提供参加政府采购活动前三年内在经营活动中没有重大违法记录的书面声明函；⑥提供“中国政府采购网（www.ccgp.gov.cn/search/cr/）”严重违法失信行为记录名单中未被财政部门禁止参加政府采购活动的供应商（处罚决定规定的时间和地域范围内）网页截图；⑦“中国执行信息公开网（zxgk.court.gov.cn/zhzxgk/）”网站中未被列入失信被执行人名单中的供应商网页截图；⑧“国家企业信用信息公示系统（www.gsxt.gov.cn）”网站中未被列入严重违法失信企业名单（黑名单）信息中的供应商网页截图；</w:t>
      </w:r>
    </w:p>
    <w:p w14:paraId="02EF3319">
      <w:pPr>
        <w:numPr>
          <w:ilvl w:val="0"/>
          <w:numId w:val="1"/>
        </w:numPr>
        <w:spacing w:line="321" w:lineRule="auto"/>
        <w:ind w:left="29" w:right="13" w:firstLine="476"/>
        <w:rPr>
          <w:rFonts w:hint="eastAsia" w:ascii="宋体" w:hAnsi="宋体" w:eastAsia="宋体" w:cs="宋体"/>
          <w:b w:val="0"/>
          <w:bCs w:val="0"/>
          <w:spacing w:val="16"/>
          <w:sz w:val="28"/>
          <w:szCs w:val="28"/>
          <w:highlight w:val="none"/>
          <w:lang w:val="en-US" w:eastAsia="zh-CN"/>
        </w:rPr>
      </w:pPr>
      <w:r>
        <w:rPr>
          <w:rFonts w:hint="eastAsia" w:ascii="宋体" w:hAnsi="宋体" w:eastAsia="宋体" w:cs="宋体"/>
          <w:b w:val="0"/>
          <w:bCs w:val="0"/>
          <w:spacing w:val="16"/>
          <w:sz w:val="28"/>
          <w:szCs w:val="28"/>
          <w:highlight w:val="none"/>
          <w:lang w:val="en-US" w:eastAsia="zh-CN"/>
        </w:rPr>
        <w:t>特殊资格要求：1、本次招标要求供应商需具备建设行政主管部门核发的市政公用工程施工总承包叁级及以上资质；具备有效的安全生产许可证；投标供应商拟派项目经理须具备市政公用工程(专业) 贰级注册建造师及以上资格，具备有效的安全生产考核合格证书（B）类，且未担任其他在建建设工程项目的项目经理，技术负责人的资格要求：具有 中 级及以上职称,从事工程项目管理经验 5 年以上。施工员 1人,质量(检)员 1人,安全员 1人,材料员 1人,资料员 1人。</w:t>
      </w:r>
    </w:p>
    <w:p w14:paraId="584D6365">
      <w:pPr>
        <w:pStyle w:val="4"/>
        <w:numPr>
          <w:ilvl w:val="0"/>
          <w:numId w:val="0"/>
        </w:numPr>
        <w:ind w:firstLine="624" w:firstLineChars="200"/>
        <w:rPr>
          <w:rFonts w:hint="eastAsia" w:ascii="宋体" w:hAnsi="宋体" w:eastAsia="宋体" w:cs="宋体"/>
          <w:b w:val="0"/>
          <w:bCs w:val="0"/>
          <w:spacing w:val="16"/>
          <w:kern w:val="2"/>
          <w:sz w:val="28"/>
          <w:szCs w:val="28"/>
          <w:highlight w:val="none"/>
          <w:lang w:val="en-US" w:eastAsia="zh-CN" w:bidi="ar-SA"/>
        </w:rPr>
      </w:pPr>
      <w:r>
        <w:rPr>
          <w:rFonts w:hint="eastAsia" w:ascii="宋体" w:hAnsi="宋体" w:eastAsia="宋体" w:cs="宋体"/>
          <w:b w:val="0"/>
          <w:bCs w:val="0"/>
          <w:spacing w:val="16"/>
          <w:kern w:val="2"/>
          <w:sz w:val="28"/>
          <w:szCs w:val="28"/>
          <w:highlight w:val="none"/>
          <w:lang w:val="en-US" w:eastAsia="zh-CN" w:bidi="ar-SA"/>
        </w:rPr>
        <w:t xml:space="preserve">2、供应商为中型、小型、微型企业的提供中小企业声明函，为监狱企业的提供监狱企业声明函，为残疾人福利性单位的提供残疾人福利性单位声明函。 </w:t>
      </w:r>
    </w:p>
    <w:p w14:paraId="2CFF2596">
      <w:pPr>
        <w:pStyle w:val="4"/>
        <w:numPr>
          <w:ilvl w:val="0"/>
          <w:numId w:val="0"/>
        </w:numPr>
        <w:ind w:firstLine="624" w:firstLineChars="200"/>
        <w:rPr>
          <w:rFonts w:hint="eastAsia" w:ascii="宋体" w:hAnsi="宋体" w:eastAsia="宋体" w:cs="宋体"/>
          <w:b w:val="0"/>
          <w:bCs w:val="0"/>
          <w:spacing w:val="16"/>
          <w:kern w:val="2"/>
          <w:sz w:val="28"/>
          <w:szCs w:val="28"/>
          <w:highlight w:val="none"/>
          <w:lang w:val="en-US" w:eastAsia="zh-CN" w:bidi="ar-SA"/>
        </w:rPr>
      </w:pPr>
      <w:r>
        <w:rPr>
          <w:rFonts w:hint="eastAsia" w:ascii="宋体" w:hAnsi="宋体" w:eastAsia="宋体" w:cs="宋体"/>
          <w:b w:val="0"/>
          <w:bCs w:val="0"/>
          <w:spacing w:val="16"/>
          <w:kern w:val="2"/>
          <w:sz w:val="28"/>
          <w:szCs w:val="28"/>
          <w:highlight w:val="none"/>
          <w:lang w:val="en-US" w:eastAsia="zh-CN" w:bidi="ar-SA"/>
        </w:rPr>
        <w:t>3、落实政府采购政策需满足的资格要求：根据中华人民共和国《政府采购促进中小企业发展管理办法》(财库【2020】46号)、《财政部印发通知进一步加大政府采购支持中小企业力度》(财库【2022】19号)、《黔西南州政府采购营商环境提升专项行动方案》(州财采【2022】2号) 相关规定：本项目整体专门面向中小型、微型企业(监狱企业、残疾人福利性单位视同为小微企业)采购，供应商应为中小型、微型企业，不再执行价格评审优惠的扶持政策。</w:t>
      </w:r>
    </w:p>
    <w:p w14:paraId="45632FB0">
      <w:pPr>
        <w:rPr>
          <w:rFonts w:hint="eastAsia"/>
        </w:rPr>
      </w:pPr>
    </w:p>
    <w:p w14:paraId="630581AE">
      <w:pPr>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sz w:val="36"/>
          <w:szCs w:val="36"/>
          <w:lang w:val="en-US" w:eastAsia="zh-CN"/>
        </w:rPr>
      </w:pPr>
    </w:p>
    <w:p w14:paraId="68B21F22">
      <w:pPr>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sz w:val="36"/>
          <w:szCs w:val="36"/>
          <w:lang w:val="en-US" w:eastAsia="zh-CN"/>
        </w:rPr>
      </w:pPr>
    </w:p>
    <w:p w14:paraId="086087DF">
      <w:pPr>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宋体" w:hAnsi="宋体"/>
          <w:b/>
          <w:bCs/>
          <w:sz w:val="36"/>
          <w:szCs w:val="36"/>
          <w:lang w:val="en-US" w:eastAsia="zh-CN"/>
        </w:rPr>
      </w:pPr>
    </w:p>
    <w:p w14:paraId="32AC4650">
      <w:pPr>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sz w:val="36"/>
          <w:szCs w:val="36"/>
          <w:lang w:val="en-US" w:eastAsia="zh-CN"/>
        </w:rPr>
      </w:pPr>
    </w:p>
    <w:p w14:paraId="69EBC4A7">
      <w:pPr>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sz w:val="36"/>
          <w:szCs w:val="36"/>
          <w:lang w:val="en-US" w:eastAsia="zh-CN"/>
        </w:rPr>
      </w:pPr>
    </w:p>
    <w:p w14:paraId="3C1490F9">
      <w:pPr>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sz w:val="36"/>
          <w:szCs w:val="36"/>
          <w:lang w:val="en-US" w:eastAsia="zh-CN"/>
        </w:rPr>
      </w:pPr>
    </w:p>
    <w:p w14:paraId="37781BD3">
      <w:pPr>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sz w:val="36"/>
          <w:szCs w:val="36"/>
          <w:lang w:val="en-US" w:eastAsia="zh-CN"/>
        </w:rPr>
      </w:pPr>
    </w:p>
    <w:p w14:paraId="1C7ABD9A">
      <w:pPr>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sz w:val="36"/>
          <w:szCs w:val="36"/>
          <w:lang w:val="en-US" w:eastAsia="zh-CN"/>
        </w:rPr>
      </w:pPr>
    </w:p>
    <w:p w14:paraId="7677ED87">
      <w:pPr>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宋体" w:hAnsi="宋体"/>
          <w:b/>
          <w:bCs/>
          <w:sz w:val="36"/>
          <w:szCs w:val="36"/>
          <w:lang w:val="en-US" w:eastAsia="zh-CN"/>
        </w:rPr>
      </w:pPr>
    </w:p>
    <w:p w14:paraId="2230C78C">
      <w:pPr>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sz w:val="36"/>
          <w:szCs w:val="36"/>
        </w:rPr>
      </w:pPr>
      <w:r>
        <w:rPr>
          <w:rFonts w:hint="eastAsia" w:ascii="宋体" w:hAnsi="宋体"/>
          <w:b/>
          <w:bCs/>
          <w:sz w:val="36"/>
          <w:szCs w:val="36"/>
          <w:lang w:val="en-US" w:eastAsia="zh-CN"/>
        </w:rPr>
        <w:t>一、</w:t>
      </w:r>
      <w:r>
        <w:rPr>
          <w:rFonts w:hint="eastAsia" w:ascii="宋体" w:hAnsi="宋体"/>
          <w:b/>
          <w:bCs/>
          <w:sz w:val="36"/>
          <w:szCs w:val="36"/>
        </w:rPr>
        <w:t>采购内容及要求</w:t>
      </w:r>
    </w:p>
    <w:p w14:paraId="2B7E5D50">
      <w:pPr>
        <w:spacing w:line="360" w:lineRule="auto"/>
        <w:jc w:val="center"/>
        <w:outlineLvl w:val="0"/>
        <w:rPr>
          <w:rFonts w:hint="eastAsia" w:ascii="宋体" w:hAnsi="宋体"/>
          <w:b/>
          <w:bCs/>
          <w:sz w:val="36"/>
          <w:szCs w:val="36"/>
        </w:rPr>
      </w:pPr>
      <w:bookmarkStart w:id="0" w:name="_Toc12841"/>
      <w:bookmarkStart w:id="1" w:name="_Toc18293"/>
    </w:p>
    <w:p w14:paraId="34959B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b w:val="0"/>
          <w:bCs/>
          <w:color w:val="000000"/>
          <w:sz w:val="32"/>
          <w:lang w:val="en-US" w:eastAsia="zh-CN"/>
        </w:rPr>
        <w:t>项目主要内容：</w:t>
      </w:r>
      <w:r>
        <w:rPr>
          <w:rFonts w:hint="eastAsia" w:ascii="仿宋_GB2312" w:hAnsi="仿宋_GB2312" w:eastAsia="仿宋_GB2312"/>
          <w:b w:val="0"/>
          <w:bCs/>
          <w:color w:val="000000"/>
          <w:sz w:val="32"/>
          <w:lang w:eastAsia="zh-CN"/>
        </w:rPr>
        <w:t>对</w:t>
      </w:r>
      <w:r>
        <w:rPr>
          <w:rFonts w:hint="eastAsia" w:ascii="仿宋_GB2312" w:hAnsi="仿宋_GB2312" w:eastAsia="仿宋_GB2312"/>
          <w:b w:val="0"/>
          <w:bCs/>
          <w:color w:val="000000"/>
          <w:sz w:val="32"/>
          <w:lang w:val="en-US" w:eastAsia="zh-CN"/>
        </w:rPr>
        <w:t>16栋长毛兔养殖小区进行改造及周边附属设施建设。</w:t>
      </w:r>
    </w:p>
    <w:tbl>
      <w:tblPr>
        <w:tblStyle w:val="9"/>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3"/>
        <w:gridCol w:w="1830"/>
        <w:gridCol w:w="626"/>
        <w:gridCol w:w="795"/>
        <w:gridCol w:w="926"/>
        <w:gridCol w:w="1552"/>
        <w:gridCol w:w="3403"/>
      </w:tblGrid>
      <w:tr w14:paraId="27BA4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706" w:type="dxa"/>
            <w:gridSpan w:val="7"/>
            <w:tcBorders>
              <w:top w:val="single" w:color="000000" w:sz="4" w:space="0"/>
              <w:left w:val="single" w:color="000000" w:sz="4" w:space="0"/>
              <w:bottom w:val="single" w:color="000000" w:sz="4" w:space="0"/>
              <w:right w:val="single" w:color="000000" w:sz="4" w:space="0"/>
            </w:tcBorders>
            <w:noWrap w:val="0"/>
            <w:vAlign w:val="center"/>
          </w:tcPr>
          <w:p w14:paraId="432B77DF">
            <w:pPr>
              <w:keepNext w:val="0"/>
              <w:keepLines w:val="0"/>
              <w:widowControl/>
              <w:suppressLineNumbers w:val="0"/>
              <w:jc w:val="center"/>
              <w:textAlignment w:val="center"/>
              <w:rPr>
                <w:rFonts w:ascii="黑体" w:hAnsi="宋体" w:eastAsia="黑体" w:cs="黑体"/>
                <w:i w:val="0"/>
                <w:iCs w:val="0"/>
                <w:color w:val="000000"/>
                <w:sz w:val="36"/>
                <w:szCs w:val="36"/>
                <w:u w:val="none"/>
              </w:rPr>
            </w:pPr>
            <w:bookmarkStart w:id="2" w:name="_Toc20991"/>
            <w:r>
              <w:rPr>
                <w:rFonts w:ascii="黑体" w:hAnsi="宋体" w:eastAsia="黑体" w:cs="黑体"/>
                <w:i w:val="0"/>
                <w:iCs w:val="0"/>
                <w:color w:val="000000"/>
                <w:kern w:val="0"/>
                <w:sz w:val="36"/>
                <w:szCs w:val="36"/>
                <w:u w:val="none"/>
                <w:lang w:val="en-US" w:eastAsia="zh-CN" w:bidi="ar"/>
              </w:rPr>
              <w:t>兴中镇田坝村2024年黄牛养殖产业发展项目投资概算表</w:t>
            </w:r>
          </w:p>
        </w:tc>
      </w:tr>
      <w:tr w14:paraId="106C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8D7B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30994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4E75E9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D9E3E0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工程量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22AEBF">
            <w:pPr>
              <w:keepNext w:val="0"/>
              <w:keepLines w:val="0"/>
              <w:widowControl/>
              <w:suppressLineNumbers w:val="0"/>
              <w:jc w:val="center"/>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单价</w:t>
            </w:r>
          </w:p>
          <w:p w14:paraId="279053C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BFC94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总价（元）</w:t>
            </w: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5E5E10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3BA0B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7ABE845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63B5309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兔笼墙板、剪毛间及消毒室拆除</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276ABE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栋</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5D4BF3A">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D6C322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FFFB72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357916B7">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人工拆除、废料运输</w:t>
            </w:r>
          </w:p>
        </w:tc>
      </w:tr>
      <w:tr w14:paraId="73961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2C29DDE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4B07028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室内地面硬化1</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D6EA09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64D09C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1536</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116C53A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F0F9ED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77D00755">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c25混凝土路面硬化、10cm厚</w:t>
            </w:r>
          </w:p>
        </w:tc>
      </w:tr>
      <w:tr w14:paraId="3BA03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72720FC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2C03A58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室内地面硬化2</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811532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2F1EC5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1120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4EF9221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83708F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64246FAC">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c25混凝土路面硬化、5cm厚</w:t>
            </w:r>
          </w:p>
        </w:tc>
      </w:tr>
      <w:tr w14:paraId="55BA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AFB995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3DB3F89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室内空心砖墙体</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A3F82E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E2BE2F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634D6B0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6C63F8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2DB2511A">
            <w:pPr>
              <w:jc w:val="left"/>
              <w:rPr>
                <w:rFonts w:hint="eastAsia" w:ascii="宋体" w:hAnsi="宋体" w:eastAsia="宋体" w:cs="宋体"/>
                <w:i w:val="0"/>
                <w:iCs w:val="0"/>
                <w:color w:val="000000"/>
                <w:sz w:val="24"/>
                <w:szCs w:val="24"/>
                <w:u w:val="none"/>
              </w:rPr>
            </w:pPr>
          </w:p>
        </w:tc>
      </w:tr>
      <w:tr w14:paraId="0C99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62FF51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641ED1D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室内空心砖墙体抹灰及水泥清光</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E29C3E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0384C3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570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D8109C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E2B2BC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01CC75D7">
            <w:pPr>
              <w:jc w:val="left"/>
              <w:rPr>
                <w:rFonts w:hint="eastAsia" w:ascii="宋体" w:hAnsi="宋体" w:eastAsia="宋体" w:cs="宋体"/>
                <w:i w:val="0"/>
                <w:iCs w:val="0"/>
                <w:color w:val="000000"/>
                <w:sz w:val="24"/>
                <w:szCs w:val="24"/>
                <w:u w:val="none"/>
              </w:rPr>
            </w:pPr>
          </w:p>
        </w:tc>
      </w:tr>
      <w:tr w14:paraId="19241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00E1551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671CD42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室内标砖料槽</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5385F1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BEC81B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0BA56D3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8C12AD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4D1B20A9">
            <w:pPr>
              <w:jc w:val="left"/>
              <w:rPr>
                <w:rFonts w:hint="eastAsia" w:ascii="宋体" w:hAnsi="宋体" w:eastAsia="宋体" w:cs="宋体"/>
                <w:i w:val="0"/>
                <w:iCs w:val="0"/>
                <w:color w:val="000000"/>
                <w:sz w:val="24"/>
                <w:szCs w:val="24"/>
                <w:u w:val="none"/>
              </w:rPr>
            </w:pPr>
          </w:p>
        </w:tc>
      </w:tr>
      <w:tr w14:paraId="0E215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3A2470A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3109357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室内料槽抹灰及水泥清光</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7406E4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B920C4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1060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776314B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D51905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2FE81ABF">
            <w:pPr>
              <w:jc w:val="left"/>
              <w:rPr>
                <w:rFonts w:hint="eastAsia" w:ascii="宋体" w:hAnsi="宋体" w:eastAsia="宋体" w:cs="宋体"/>
                <w:i w:val="0"/>
                <w:iCs w:val="0"/>
                <w:color w:val="000000"/>
                <w:sz w:val="24"/>
                <w:szCs w:val="24"/>
                <w:u w:val="none"/>
              </w:rPr>
            </w:pPr>
          </w:p>
        </w:tc>
      </w:tr>
      <w:tr w14:paraId="7671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080F49D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333C0B0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室内钢管栅栏</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9361D6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6ACEE0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1910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2F10E2F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147ACA7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5B6751D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φ75钢管焊接（横管和立管），高1.2m、长1.5m</w:t>
            </w:r>
          </w:p>
        </w:tc>
      </w:tr>
      <w:tr w14:paraId="557BF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37977EA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8FBADF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更换彩钢瓦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AFE973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A03C12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1710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6AF4C91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5D65AD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5B8EFB3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拆除6栋损坏的屋面瓦，更换为彩钢瓦</w:t>
            </w:r>
          </w:p>
        </w:tc>
      </w:tr>
      <w:tr w14:paraId="2948B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16D9632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4327BAA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安装牛劲枷</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EDAFD0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821B68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740D0A8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22FF57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771A44BD">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热镀锌，单开；</w:t>
            </w:r>
          </w:p>
        </w:tc>
      </w:tr>
      <w:tr w14:paraId="24446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7B1ECC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E12A6E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饮水碗</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453CCB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F69A8D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330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0770211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0D62B9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47CFD9A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成品安装；参数：宽24cm，高10cm</w:t>
            </w:r>
          </w:p>
        </w:tc>
      </w:tr>
      <w:tr w14:paraId="5787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2D7BAC2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60B8923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青储池</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0F71FB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座</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C8EBCB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5A2492D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AD3D9A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2124B25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12座（长3m、宽5m、高3m)/1座（长17m、宽12m、高3m）；基础开挖；M7.5浆砌片石基础；24标砖墙体；c25混凝土10cm厚垫层；槽钢镶板木质门。                                     </w:t>
            </w:r>
          </w:p>
        </w:tc>
      </w:tr>
      <w:tr w14:paraId="4F3C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072988D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FB4979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消毒室</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337E48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座</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4EC367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597332A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33966FF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56D7511F">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砖混结构消毒室（长4m、宽2m、高3m)1座；基础开挖，毛石基础；24标砖墙体；板面钢筋混凝土；c25混凝土10cm厚地面硬化；门窗、水电安装；内墙瓷粉、外墙水泥清光。</w:t>
            </w:r>
          </w:p>
        </w:tc>
      </w:tr>
      <w:tr w14:paraId="6FE0F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632E8EF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41F0AF8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储水池</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3807FE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座</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501734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1C4367F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45BF5A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6B55859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2座（长5m、宽4m、高1.5m)；基础开挖；24标砖墙体；板面钢筋混凝土；c25混凝土10cm厚地面硬化；墙面抹灰及涂膜防水。                              </w:t>
            </w:r>
          </w:p>
        </w:tc>
      </w:tr>
      <w:tr w14:paraId="5AEA1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6108701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15</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2EE0349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消毒池</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8E9A13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座</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52FD15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55CD8D7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3C03D64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26384C8F">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砖砌消毒池（长4m、宽4m、高0.3m) ；24标砖墙体；c25混凝土15cm厚垫层；墙面抹灰及涂膜防水。        </w:t>
            </w:r>
          </w:p>
        </w:tc>
      </w:tr>
      <w:tr w14:paraId="5EC11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3300E4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16</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F3C440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PP-R 给水管DN32</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F21DA8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8EA82E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73AAC14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6A0607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24AFC3A4">
            <w:pPr>
              <w:jc w:val="left"/>
              <w:rPr>
                <w:rFonts w:hint="eastAsia" w:ascii="宋体" w:hAnsi="宋体" w:eastAsia="宋体" w:cs="宋体"/>
                <w:i w:val="0"/>
                <w:iCs w:val="0"/>
                <w:color w:val="000000"/>
                <w:sz w:val="24"/>
                <w:szCs w:val="24"/>
                <w:u w:val="none"/>
              </w:rPr>
            </w:pPr>
          </w:p>
        </w:tc>
      </w:tr>
      <w:tr w14:paraId="50CB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2E0B96A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17</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EFF3FD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PP-R 给水管DN50</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DE3F85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76DC5E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560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15E1CDD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6CC1E3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42C8DE2A">
            <w:pPr>
              <w:jc w:val="left"/>
              <w:rPr>
                <w:rFonts w:hint="eastAsia" w:ascii="宋体" w:hAnsi="宋体" w:eastAsia="宋体" w:cs="宋体"/>
                <w:i w:val="0"/>
                <w:iCs w:val="0"/>
                <w:color w:val="000000"/>
                <w:sz w:val="24"/>
                <w:szCs w:val="24"/>
                <w:u w:val="none"/>
              </w:rPr>
            </w:pPr>
          </w:p>
        </w:tc>
      </w:tr>
      <w:tr w14:paraId="57756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D39BE1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5F7CD5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PP-R 给水管DN100</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DACC8B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4A4447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ADD06D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4ED6DF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570B909F">
            <w:pPr>
              <w:jc w:val="left"/>
              <w:rPr>
                <w:rFonts w:hint="eastAsia" w:ascii="宋体" w:hAnsi="宋体" w:eastAsia="宋体" w:cs="宋体"/>
                <w:i w:val="0"/>
                <w:iCs w:val="0"/>
                <w:color w:val="000000"/>
                <w:sz w:val="24"/>
                <w:szCs w:val="24"/>
                <w:u w:val="none"/>
              </w:rPr>
            </w:pPr>
          </w:p>
        </w:tc>
      </w:tr>
      <w:tr w14:paraId="56F0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260D478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19</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22949A1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波纹管DN200排水管</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61A2AA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987BBE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539079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0CFE12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4FC3736F">
            <w:pPr>
              <w:jc w:val="left"/>
              <w:rPr>
                <w:rFonts w:hint="eastAsia" w:ascii="宋体" w:hAnsi="宋体" w:eastAsia="宋体" w:cs="宋体"/>
                <w:i w:val="0"/>
                <w:iCs w:val="0"/>
                <w:color w:val="000000"/>
                <w:sz w:val="24"/>
                <w:szCs w:val="24"/>
                <w:u w:val="none"/>
              </w:rPr>
            </w:pPr>
          </w:p>
        </w:tc>
      </w:tr>
      <w:tr w14:paraId="7612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298789A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4257ADE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室外空心砖围墙</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803FC0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8E05F9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1101672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26902D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61E0D5D6">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基础开挖，M7.5浆砌片石基础，空心砖墙体。</w:t>
            </w:r>
          </w:p>
        </w:tc>
      </w:tr>
      <w:tr w14:paraId="4D2A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2BF6178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21</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6DA95E9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化粪池</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BD85DA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座</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6BFC57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216F2D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384304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00140E5C">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三格式化粪池2座、50m³/座；基础开挖；24标砖墙体；板面钢筋混凝土；c25混凝土10cm厚地面硬化；墙面抹灰及涂膜防水。                              </w:t>
            </w:r>
          </w:p>
        </w:tc>
      </w:tr>
      <w:tr w14:paraId="08F9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23DE2B2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22</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53204B1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道路及场地硬化</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7A5F14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67AAD2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1500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1358E73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6821C9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42E0B7E4">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c25混凝土硬化、15cm厚；10cm厚碎石垫层</w:t>
            </w:r>
          </w:p>
        </w:tc>
      </w:tr>
      <w:tr w14:paraId="159F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3D2DB15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23</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4F0F1C2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室外挡土墙</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53E47D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A23CAB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2D16C3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BFBDD9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11383D9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M7.5浆砌片石挡土墙</w:t>
            </w:r>
          </w:p>
        </w:tc>
      </w:tr>
      <w:tr w14:paraId="5F1A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10BE53F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24</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20A7C6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人行道路面硬化</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A16B8E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7185BC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63</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2B0B028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DBF363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7145B03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c25混凝土路面硬化、15cm厚</w:t>
            </w:r>
          </w:p>
        </w:tc>
      </w:tr>
      <w:tr w14:paraId="3B0B0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3482D7F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25</w:t>
            </w:r>
          </w:p>
        </w:tc>
        <w:tc>
          <w:tcPr>
            <w:tcW w:w="1830" w:type="dxa"/>
            <w:tcBorders>
              <w:top w:val="single" w:color="000000" w:sz="4" w:space="0"/>
              <w:left w:val="single" w:color="000000" w:sz="4" w:space="0"/>
              <w:bottom w:val="single" w:color="auto" w:sz="4" w:space="0"/>
              <w:right w:val="single" w:color="000000" w:sz="4" w:space="0"/>
            </w:tcBorders>
            <w:noWrap w:val="0"/>
            <w:vAlign w:val="center"/>
          </w:tcPr>
          <w:p w14:paraId="69C46FB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室外排水沟</w:t>
            </w:r>
          </w:p>
        </w:tc>
        <w:tc>
          <w:tcPr>
            <w:tcW w:w="626" w:type="dxa"/>
            <w:tcBorders>
              <w:top w:val="single" w:color="000000" w:sz="4" w:space="0"/>
              <w:left w:val="single" w:color="000000" w:sz="4" w:space="0"/>
              <w:bottom w:val="single" w:color="auto" w:sz="4" w:space="0"/>
              <w:right w:val="single" w:color="000000" w:sz="4" w:space="0"/>
            </w:tcBorders>
            <w:noWrap w:val="0"/>
            <w:vAlign w:val="center"/>
          </w:tcPr>
          <w:p w14:paraId="63B7C3E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w:t>
            </w:r>
          </w:p>
        </w:tc>
        <w:tc>
          <w:tcPr>
            <w:tcW w:w="795" w:type="dxa"/>
            <w:tcBorders>
              <w:top w:val="single" w:color="000000" w:sz="4" w:space="0"/>
              <w:left w:val="single" w:color="000000" w:sz="4" w:space="0"/>
              <w:bottom w:val="single" w:color="auto" w:sz="4" w:space="0"/>
              <w:right w:val="single" w:color="000000" w:sz="4" w:space="0"/>
            </w:tcBorders>
            <w:noWrap w:val="0"/>
            <w:vAlign w:val="center"/>
          </w:tcPr>
          <w:p w14:paraId="311DD79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83</w:t>
            </w:r>
          </w:p>
        </w:tc>
        <w:tc>
          <w:tcPr>
            <w:tcW w:w="926" w:type="dxa"/>
            <w:tcBorders>
              <w:top w:val="single" w:color="000000" w:sz="4" w:space="0"/>
              <w:left w:val="single" w:color="000000" w:sz="4" w:space="0"/>
              <w:bottom w:val="single" w:color="auto" w:sz="4" w:space="0"/>
              <w:right w:val="single" w:color="000000" w:sz="4" w:space="0"/>
            </w:tcBorders>
            <w:noWrap w:val="0"/>
            <w:vAlign w:val="center"/>
          </w:tcPr>
          <w:p w14:paraId="3B55C41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8F374E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1E5D4122">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300mm*500mm；混凝土预制盖板；含土基础开挖、垫层、砌体、抹灰清光；</w:t>
            </w:r>
          </w:p>
        </w:tc>
      </w:tr>
      <w:tr w14:paraId="16BE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74" w:type="dxa"/>
            <w:tcBorders>
              <w:top w:val="single" w:color="000000" w:sz="4" w:space="0"/>
              <w:left w:val="single" w:color="000000" w:sz="4" w:space="0"/>
              <w:bottom w:val="single" w:color="000000" w:sz="4" w:space="0"/>
              <w:right w:val="single" w:color="auto" w:sz="4" w:space="0"/>
            </w:tcBorders>
            <w:noWrap w:val="0"/>
            <w:vAlign w:val="center"/>
          </w:tcPr>
          <w:p w14:paraId="6C66876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26</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8FFB5C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大门</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1FEB776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道</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DA4CC5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708BD28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auto" w:sz="4" w:space="0"/>
              <w:bottom w:val="single" w:color="000000" w:sz="4" w:space="0"/>
              <w:right w:val="single" w:color="000000" w:sz="4" w:space="0"/>
            </w:tcBorders>
            <w:noWrap w:val="0"/>
            <w:vAlign w:val="center"/>
          </w:tcPr>
          <w:p w14:paraId="73C68F2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61E9745F">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实心砖柱6根；两道3m*4m/一道6m*4.5m钢质门、方钢50*50（铁皮封框）</w:t>
            </w:r>
          </w:p>
        </w:tc>
      </w:tr>
      <w:tr w14:paraId="63D8F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3C38730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27</w:t>
            </w:r>
          </w:p>
        </w:tc>
        <w:tc>
          <w:tcPr>
            <w:tcW w:w="1830" w:type="dxa"/>
            <w:tcBorders>
              <w:top w:val="single" w:color="auto" w:sz="4" w:space="0"/>
              <w:left w:val="single" w:color="000000" w:sz="4" w:space="0"/>
              <w:bottom w:val="single" w:color="000000" w:sz="4" w:space="0"/>
              <w:right w:val="single" w:color="000000" w:sz="4" w:space="0"/>
            </w:tcBorders>
            <w:noWrap w:val="0"/>
            <w:vAlign w:val="center"/>
          </w:tcPr>
          <w:p w14:paraId="4EC3A0A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饲喂搅拌机</w:t>
            </w:r>
          </w:p>
        </w:tc>
        <w:tc>
          <w:tcPr>
            <w:tcW w:w="626" w:type="dxa"/>
            <w:tcBorders>
              <w:top w:val="single" w:color="auto" w:sz="4" w:space="0"/>
              <w:left w:val="single" w:color="000000" w:sz="4" w:space="0"/>
              <w:bottom w:val="single" w:color="000000" w:sz="4" w:space="0"/>
              <w:right w:val="single" w:color="000000" w:sz="4" w:space="0"/>
            </w:tcBorders>
            <w:noWrap w:val="0"/>
            <w:vAlign w:val="center"/>
          </w:tcPr>
          <w:p w14:paraId="64BB217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台</w:t>
            </w:r>
          </w:p>
        </w:tc>
        <w:tc>
          <w:tcPr>
            <w:tcW w:w="795" w:type="dxa"/>
            <w:tcBorders>
              <w:top w:val="single" w:color="auto" w:sz="4" w:space="0"/>
              <w:left w:val="single" w:color="000000" w:sz="4" w:space="0"/>
              <w:bottom w:val="single" w:color="000000" w:sz="4" w:space="0"/>
              <w:right w:val="single" w:color="000000" w:sz="4" w:space="0"/>
            </w:tcBorders>
            <w:noWrap w:val="0"/>
            <w:vAlign w:val="center"/>
          </w:tcPr>
          <w:p w14:paraId="10C8F7C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26" w:type="dxa"/>
            <w:tcBorders>
              <w:top w:val="single" w:color="auto" w:sz="4" w:space="0"/>
              <w:left w:val="single" w:color="000000" w:sz="4" w:space="0"/>
              <w:bottom w:val="single" w:color="000000" w:sz="4" w:space="0"/>
              <w:right w:val="single" w:color="000000" w:sz="4" w:space="0"/>
            </w:tcBorders>
            <w:noWrap w:val="0"/>
            <w:vAlign w:val="center"/>
          </w:tcPr>
          <w:p w14:paraId="5967A2A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E9DE74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69530DA6">
            <w:pPr>
              <w:keepNext w:val="0"/>
              <w:keepLines w:val="0"/>
              <w:widowControl/>
              <w:suppressLineNumbers w:val="0"/>
              <w:jc w:val="left"/>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1.饲喂搅拌机；</w:t>
            </w:r>
          </w:p>
          <w:p w14:paraId="40B9F1C0">
            <w:pPr>
              <w:keepNext w:val="0"/>
              <w:keepLines w:val="0"/>
              <w:widowControl/>
              <w:suppressLineNumbers w:val="0"/>
              <w:jc w:val="left"/>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2.型号：9JGL-16立式；</w:t>
            </w:r>
          </w:p>
          <w:p w14:paraId="628A75B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3.参数：减速机型号:第一道减速机双RX107.第二道减速机双中号南昌江铃,箱底厚:20毫米 耐磨钢板,刀片数量:大刀16片.直角刀4片,配电:双37千瓦软起动</w:t>
            </w:r>
          </w:p>
        </w:tc>
      </w:tr>
      <w:tr w14:paraId="16DD1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496CB86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28</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FF1B3D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清粪车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032B46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台</w:t>
            </w:r>
          </w:p>
        </w:tc>
        <w:tc>
          <w:tcPr>
            <w:tcW w:w="795" w:type="dxa"/>
            <w:tcBorders>
              <w:top w:val="single" w:color="000000" w:sz="4" w:space="0"/>
              <w:left w:val="single" w:color="000000" w:sz="4" w:space="0"/>
              <w:bottom w:val="nil"/>
              <w:right w:val="single" w:color="000000" w:sz="4" w:space="0"/>
            </w:tcBorders>
            <w:noWrap w:val="0"/>
            <w:vAlign w:val="center"/>
          </w:tcPr>
          <w:p w14:paraId="7407BF8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26" w:type="dxa"/>
            <w:tcBorders>
              <w:top w:val="single" w:color="000000" w:sz="4" w:space="0"/>
              <w:left w:val="single" w:color="000000" w:sz="4" w:space="0"/>
              <w:bottom w:val="nil"/>
              <w:right w:val="single" w:color="000000" w:sz="4" w:space="0"/>
            </w:tcBorders>
            <w:noWrap w:val="0"/>
            <w:vAlign w:val="center"/>
          </w:tcPr>
          <w:p w14:paraId="5B0C850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E4FB47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49B23E93">
            <w:pPr>
              <w:keepNext w:val="0"/>
              <w:keepLines w:val="0"/>
              <w:widowControl/>
              <w:suppressLineNumbers w:val="0"/>
              <w:jc w:val="left"/>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1.清粪车；</w:t>
            </w:r>
          </w:p>
          <w:p w14:paraId="57DD43A2">
            <w:pPr>
              <w:keepNext w:val="0"/>
              <w:keepLines w:val="0"/>
              <w:widowControl/>
              <w:suppressLineNumbers w:val="0"/>
              <w:jc w:val="left"/>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2.型号：9JGW-3立方；</w:t>
            </w:r>
          </w:p>
          <w:p w14:paraId="61771833">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3.参数：整车（长*宽*高）4500*1400*2200,22马力福田五星底盘；</w:t>
            </w:r>
          </w:p>
        </w:tc>
      </w:tr>
      <w:tr w14:paraId="7373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4F9B046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29</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A13C97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电动撒料车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211F0A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台</w:t>
            </w:r>
          </w:p>
        </w:tc>
        <w:tc>
          <w:tcPr>
            <w:tcW w:w="795" w:type="dxa"/>
            <w:tcBorders>
              <w:top w:val="single" w:color="000000" w:sz="4" w:space="0"/>
              <w:left w:val="single" w:color="000000" w:sz="4" w:space="0"/>
              <w:bottom w:val="nil"/>
              <w:right w:val="single" w:color="000000" w:sz="4" w:space="0"/>
            </w:tcBorders>
            <w:noWrap w:val="0"/>
            <w:vAlign w:val="center"/>
          </w:tcPr>
          <w:p w14:paraId="0F4046D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26" w:type="dxa"/>
            <w:tcBorders>
              <w:top w:val="single" w:color="000000" w:sz="4" w:space="0"/>
              <w:left w:val="single" w:color="000000" w:sz="4" w:space="0"/>
              <w:bottom w:val="nil"/>
              <w:right w:val="single" w:color="000000" w:sz="4" w:space="0"/>
            </w:tcBorders>
            <w:noWrap w:val="0"/>
            <w:vAlign w:val="center"/>
          </w:tcPr>
          <w:p w14:paraId="6702E08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214D0D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23EA2852">
            <w:pPr>
              <w:keepNext w:val="0"/>
              <w:keepLines w:val="0"/>
              <w:widowControl/>
              <w:suppressLineNumbers w:val="0"/>
              <w:jc w:val="left"/>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1.电动撒料车；</w:t>
            </w:r>
          </w:p>
          <w:p w14:paraId="730235AB">
            <w:pPr>
              <w:keepNext w:val="0"/>
              <w:keepLines w:val="0"/>
              <w:widowControl/>
              <w:suppressLineNumbers w:val="0"/>
              <w:jc w:val="left"/>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2.型号：9SL-3；</w:t>
            </w:r>
          </w:p>
          <w:p w14:paraId="67C48FDC">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3.参数：工程底盘，6块60an72伏干电池，双出口撒料；</w:t>
            </w:r>
          </w:p>
        </w:tc>
      </w:tr>
      <w:tr w14:paraId="57B39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4999D60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30</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0DDB763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20铲车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7ED2E2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8254698">
            <w:pPr>
              <w:keepNext w:val="0"/>
              <w:keepLines w:val="0"/>
              <w:widowControl/>
              <w:suppressLineNumbers w:val="0"/>
              <w:jc w:val="center"/>
              <w:textAlignment w:val="center"/>
              <w:rPr>
                <w:rFonts w:hint="default" w:ascii="Arial" w:hAnsi="Arial" w:eastAsia="宋体"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6FE63B8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27E625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57D7E959">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1.20铲车；</w:t>
            </w:r>
          </w:p>
          <w:p w14:paraId="7AAE5A20">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2.型号：948型；</w:t>
            </w:r>
          </w:p>
          <w:p w14:paraId="26C47A5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3.参数：大20铲抓一体机，1670-20轮胎，4102涡轮增压发动机，无级变速一杆操作，带跑路档；</w:t>
            </w:r>
          </w:p>
        </w:tc>
      </w:tr>
      <w:tr w14:paraId="2264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2F28FE3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31</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05DC1DC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立式混合粉碎机</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5ED98D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371CC2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4925085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AE7F49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724E0B0A">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1.立式混合粉碎机；</w:t>
            </w:r>
          </w:p>
          <w:p w14:paraId="0DDA9D8E">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2.型号：2吨型；</w:t>
            </w:r>
          </w:p>
          <w:p w14:paraId="72729B9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3.参数：粉碎电机15KW，搅拌电机4KW；</w:t>
            </w:r>
          </w:p>
        </w:tc>
      </w:tr>
      <w:tr w14:paraId="0E10C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0C38DE7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32</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0B72535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输送带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4E65D1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3A7ACF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62CD1AD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31727C7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48266488">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1.输送带；</w:t>
            </w:r>
          </w:p>
          <w:p w14:paraId="5C4BFA4D">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2.型号：9SSD-8；</w:t>
            </w:r>
          </w:p>
          <w:p w14:paraId="0B1CF3D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3.参数：满外一米，带宽八十公分；</w:t>
            </w:r>
          </w:p>
        </w:tc>
      </w:tr>
      <w:tr w14:paraId="73ED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00F0A66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33</w:t>
            </w:r>
          </w:p>
        </w:tc>
        <w:tc>
          <w:tcPr>
            <w:tcW w:w="1830" w:type="dxa"/>
            <w:tcBorders>
              <w:top w:val="single" w:color="000000" w:sz="4" w:space="0"/>
              <w:left w:val="single" w:color="000000" w:sz="4" w:space="0"/>
              <w:bottom w:val="single" w:color="auto" w:sz="4" w:space="0"/>
              <w:right w:val="single" w:color="000000" w:sz="4" w:space="0"/>
            </w:tcBorders>
            <w:noWrap w:val="0"/>
            <w:vAlign w:val="center"/>
          </w:tcPr>
          <w:p w14:paraId="2467E8F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高喷铡草机</w:t>
            </w:r>
          </w:p>
        </w:tc>
        <w:tc>
          <w:tcPr>
            <w:tcW w:w="626" w:type="dxa"/>
            <w:tcBorders>
              <w:top w:val="single" w:color="000000" w:sz="4" w:space="0"/>
              <w:left w:val="single" w:color="000000" w:sz="4" w:space="0"/>
              <w:bottom w:val="single" w:color="auto" w:sz="4" w:space="0"/>
              <w:right w:val="single" w:color="000000" w:sz="4" w:space="0"/>
            </w:tcBorders>
            <w:noWrap w:val="0"/>
            <w:vAlign w:val="center"/>
          </w:tcPr>
          <w:p w14:paraId="156FD59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台</w:t>
            </w:r>
          </w:p>
        </w:tc>
        <w:tc>
          <w:tcPr>
            <w:tcW w:w="795" w:type="dxa"/>
            <w:tcBorders>
              <w:top w:val="single" w:color="000000" w:sz="4" w:space="0"/>
              <w:left w:val="single" w:color="000000" w:sz="4" w:space="0"/>
              <w:bottom w:val="single" w:color="auto" w:sz="4" w:space="0"/>
              <w:right w:val="single" w:color="000000" w:sz="4" w:space="0"/>
            </w:tcBorders>
            <w:noWrap w:val="0"/>
            <w:vAlign w:val="center"/>
          </w:tcPr>
          <w:p w14:paraId="1FF77B9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26" w:type="dxa"/>
            <w:tcBorders>
              <w:top w:val="single" w:color="000000" w:sz="4" w:space="0"/>
              <w:left w:val="single" w:color="000000" w:sz="4" w:space="0"/>
              <w:bottom w:val="single" w:color="auto" w:sz="4" w:space="0"/>
              <w:right w:val="single" w:color="000000" w:sz="4" w:space="0"/>
            </w:tcBorders>
            <w:noWrap w:val="0"/>
            <w:vAlign w:val="center"/>
          </w:tcPr>
          <w:p w14:paraId="5A0134B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14191FA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190027F2">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1.高喷铡草机；</w:t>
            </w:r>
          </w:p>
          <w:p w14:paraId="345DB4A7">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2.型号：21吨；</w:t>
            </w:r>
          </w:p>
          <w:p w14:paraId="4C47C9A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3.参数：5.0链条电机版本，粉碎电机22KW,链条电机3KW；</w:t>
            </w:r>
          </w:p>
        </w:tc>
      </w:tr>
      <w:tr w14:paraId="35D6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574" w:type="dxa"/>
            <w:tcBorders>
              <w:top w:val="single" w:color="000000" w:sz="4" w:space="0"/>
              <w:left w:val="single" w:color="000000" w:sz="4" w:space="0"/>
              <w:bottom w:val="single" w:color="000000" w:sz="4" w:space="0"/>
              <w:right w:val="single" w:color="auto" w:sz="4" w:space="0"/>
            </w:tcBorders>
            <w:noWrap w:val="0"/>
            <w:vAlign w:val="center"/>
          </w:tcPr>
          <w:p w14:paraId="554B1DD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34</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60C0B64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干湿分离机</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402B0D0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台</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445214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462F0F3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auto" w:sz="4" w:space="0"/>
              <w:bottom w:val="single" w:color="000000" w:sz="4" w:space="0"/>
              <w:right w:val="single" w:color="000000" w:sz="4" w:space="0"/>
            </w:tcBorders>
            <w:noWrap w:val="0"/>
            <w:vAlign w:val="center"/>
          </w:tcPr>
          <w:p w14:paraId="40BC19E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0A39E908">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1.干湿分离机；</w:t>
            </w:r>
          </w:p>
          <w:p w14:paraId="529E91E0">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2.挤压机功率三台5.5千瓦主机 ；筛网尺寸600*200 ；料斗尺寸1800*500*500；振动马达：0.25千瓦；排水管20米；框架尺寸:1600*1100*1950</w:t>
            </w:r>
          </w:p>
          <w:p w14:paraId="23ED598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3.型号：三头</w:t>
            </w:r>
          </w:p>
        </w:tc>
      </w:tr>
      <w:tr w14:paraId="0F66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14:paraId="29E9225B">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合计金额（元）</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172C8FF">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C44362">
            <w:pPr>
              <w:rPr>
                <w:rFonts w:hint="eastAsia" w:ascii="黑体" w:hAnsi="宋体" w:eastAsia="黑体" w:cs="黑体"/>
                <w:i w:val="0"/>
                <w:iCs w:val="0"/>
                <w:color w:val="000000"/>
                <w:sz w:val="36"/>
                <w:szCs w:val="36"/>
                <w:u w:val="none"/>
              </w:rPr>
            </w:pPr>
          </w:p>
        </w:tc>
      </w:tr>
    </w:tbl>
    <w:p w14:paraId="35B939FD">
      <w:pPr>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宋体" w:hAnsi="宋体" w:eastAsia="宋体" w:cs="Times New Roman"/>
          <w:b/>
          <w:bCs/>
          <w:sz w:val="36"/>
          <w:szCs w:val="36"/>
          <w:lang w:val="en-US" w:eastAsia="zh-CN"/>
        </w:rPr>
      </w:pPr>
      <w:bookmarkStart w:id="3" w:name="_Toc376421081"/>
    </w:p>
    <w:p w14:paraId="29541911">
      <w:pPr>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宋体" w:hAnsi="宋体"/>
          <w:b/>
          <w:bCs/>
          <w:color w:val="000000"/>
          <w:sz w:val="24"/>
        </w:rPr>
      </w:pPr>
      <w:r>
        <w:rPr>
          <w:rFonts w:hint="eastAsia" w:ascii="宋体" w:hAnsi="宋体" w:eastAsia="宋体" w:cs="Times New Roman"/>
          <w:b/>
          <w:bCs/>
          <w:sz w:val="36"/>
          <w:szCs w:val="36"/>
          <w:lang w:val="en-US" w:eastAsia="zh-CN"/>
        </w:rPr>
        <w:t>二、</w:t>
      </w:r>
      <w:r>
        <w:rPr>
          <w:rFonts w:hint="eastAsia" w:ascii="宋体" w:hAnsi="宋体" w:eastAsia="宋体" w:cs="Times New Roman"/>
          <w:b/>
          <w:bCs/>
          <w:sz w:val="36"/>
          <w:szCs w:val="36"/>
        </w:rPr>
        <w:t>商务要求</w:t>
      </w:r>
      <w:bookmarkEnd w:id="3"/>
    </w:p>
    <w:bookmarkEnd w:id="0"/>
    <w:bookmarkEnd w:id="1"/>
    <w:bookmarkEnd w:id="2"/>
    <w:tbl>
      <w:tblPr>
        <w:tblStyle w:val="14"/>
        <w:tblpPr w:leftFromText="180" w:rightFromText="180" w:vertAnchor="text" w:horzAnchor="page" w:tblpX="1383" w:tblpY="888"/>
        <w:tblOverlap w:val="never"/>
        <w:tblW w:w="96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379"/>
        <w:gridCol w:w="7418"/>
      </w:tblGrid>
      <w:tr w14:paraId="6636C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76" w:type="dxa"/>
            <w:vAlign w:val="center"/>
          </w:tcPr>
          <w:p w14:paraId="2B197FC9">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b/>
                <w:bCs/>
                <w:color w:val="auto"/>
                <w:spacing w:val="5"/>
                <w:sz w:val="24"/>
                <w:szCs w:val="24"/>
                <w:u w:val="none" w:color="auto"/>
                <w:lang w:val="en-US" w:eastAsia="zh-CN"/>
              </w:rPr>
            </w:pPr>
            <w:r>
              <w:rPr>
                <w:rFonts w:hint="eastAsia" w:asciiTheme="minorEastAsia" w:hAnsiTheme="minorEastAsia" w:eastAsiaTheme="minorEastAsia" w:cstheme="minorEastAsia"/>
                <w:b/>
                <w:bCs/>
                <w:color w:val="auto"/>
                <w:spacing w:val="5"/>
                <w:sz w:val="24"/>
                <w:szCs w:val="24"/>
                <w:u w:val="none" w:color="auto"/>
                <w:lang w:val="en-US" w:eastAsia="zh-CN"/>
              </w:rPr>
              <w:t>序号</w:t>
            </w:r>
          </w:p>
        </w:tc>
        <w:tc>
          <w:tcPr>
            <w:tcW w:w="1379" w:type="dxa"/>
            <w:vAlign w:val="center"/>
          </w:tcPr>
          <w:p w14:paraId="11F7A6CF">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b/>
                <w:bCs/>
                <w:color w:val="auto"/>
                <w:spacing w:val="5"/>
                <w:sz w:val="24"/>
                <w:szCs w:val="24"/>
                <w:u w:val="none" w:color="auto"/>
                <w:lang w:val="en-US" w:eastAsia="zh-CN"/>
              </w:rPr>
            </w:pPr>
            <w:r>
              <w:rPr>
                <w:rFonts w:hint="eastAsia" w:asciiTheme="minorEastAsia" w:hAnsiTheme="minorEastAsia" w:eastAsiaTheme="minorEastAsia" w:cstheme="minorEastAsia"/>
                <w:b/>
                <w:bCs/>
                <w:color w:val="auto"/>
                <w:spacing w:val="5"/>
                <w:sz w:val="24"/>
                <w:szCs w:val="24"/>
                <w:u w:val="none" w:color="auto"/>
                <w:lang w:val="en-US" w:eastAsia="zh-CN"/>
              </w:rPr>
              <w:t>商务条款</w:t>
            </w:r>
          </w:p>
        </w:tc>
        <w:tc>
          <w:tcPr>
            <w:tcW w:w="7418" w:type="dxa"/>
            <w:vAlign w:val="center"/>
          </w:tcPr>
          <w:p w14:paraId="03D12684">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u w:val="none" w:color="auto"/>
                <w:lang w:val="en-US" w:eastAsia="zh-CN"/>
              </w:rPr>
              <w:t>商务实质性要求</w:t>
            </w:r>
          </w:p>
        </w:tc>
      </w:tr>
      <w:tr w14:paraId="2067E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76" w:type="dxa"/>
            <w:vAlign w:val="center"/>
          </w:tcPr>
          <w:p w14:paraId="4E17C9EF">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379" w:type="dxa"/>
            <w:vAlign w:val="center"/>
          </w:tcPr>
          <w:p w14:paraId="5EDE28A9">
            <w:pPr>
              <w:autoSpaceDE w:val="0"/>
              <w:autoSpaceDN w:val="0"/>
              <w:spacing w:beforeAutospacing="0" w:line="360" w:lineRule="auto"/>
              <w:ind w:left="0" w:leftChars="0" w:right="0" w:righ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lang w:val="en-US" w:eastAsia="zh-CN"/>
              </w:rPr>
              <w:t>工</w:t>
            </w:r>
            <w:r>
              <w:rPr>
                <w:rFonts w:hint="eastAsia" w:asciiTheme="minorEastAsia" w:hAnsiTheme="minorEastAsia" w:eastAsiaTheme="minorEastAsia" w:cstheme="minorEastAsia"/>
                <w:color w:val="auto"/>
                <w:spacing w:val="6"/>
                <w:sz w:val="24"/>
                <w:szCs w:val="24"/>
              </w:rPr>
              <w:t>期及</w:t>
            </w:r>
            <w:r>
              <w:rPr>
                <w:rFonts w:hint="eastAsia" w:asciiTheme="minorEastAsia" w:hAnsiTheme="minorEastAsia" w:eastAsiaTheme="minorEastAsia" w:cstheme="minorEastAsia"/>
                <w:color w:val="auto"/>
                <w:spacing w:val="6"/>
                <w:sz w:val="24"/>
                <w:szCs w:val="24"/>
                <w:lang w:val="en-US" w:eastAsia="zh-CN"/>
              </w:rPr>
              <w:t>实施</w:t>
            </w:r>
            <w:r>
              <w:rPr>
                <w:rFonts w:hint="eastAsia" w:asciiTheme="minorEastAsia" w:hAnsiTheme="minorEastAsia" w:eastAsiaTheme="minorEastAsia" w:cstheme="minorEastAsia"/>
                <w:color w:val="auto"/>
                <w:spacing w:val="6"/>
                <w:sz w:val="24"/>
                <w:szCs w:val="24"/>
              </w:rPr>
              <w:t>地点</w:t>
            </w:r>
          </w:p>
        </w:tc>
        <w:tc>
          <w:tcPr>
            <w:tcW w:w="7418" w:type="dxa"/>
            <w:vAlign w:val="center"/>
          </w:tcPr>
          <w:p w14:paraId="503715D6">
            <w:pPr>
              <w:autoSpaceDE w:val="0"/>
              <w:autoSpaceDN w:val="0"/>
              <w:spacing w:before="66" w:line="360" w:lineRule="auto"/>
              <w:ind w:left="122" w:right="107" w:hanging="3"/>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lang w:val="en-US" w:eastAsia="zh-CN"/>
              </w:rPr>
              <w:t>工</w:t>
            </w:r>
            <w:r>
              <w:rPr>
                <w:rFonts w:hint="eastAsia" w:asciiTheme="minorEastAsia" w:hAnsiTheme="minorEastAsia" w:eastAsiaTheme="minorEastAsia" w:cstheme="minorEastAsia"/>
                <w:color w:val="auto"/>
                <w:spacing w:val="2"/>
                <w:sz w:val="24"/>
                <w:szCs w:val="24"/>
              </w:rPr>
              <w:t>期：</w:t>
            </w:r>
            <w:r>
              <w:rPr>
                <w:rFonts w:hint="eastAsia" w:asciiTheme="minorEastAsia" w:hAnsiTheme="minorEastAsia" w:eastAsiaTheme="minorEastAsia" w:cstheme="minorEastAsia"/>
                <w:color w:val="auto"/>
                <w:spacing w:val="2"/>
                <w:sz w:val="24"/>
                <w:szCs w:val="24"/>
                <w:lang w:val="en-US" w:eastAsia="zh-CN"/>
              </w:rPr>
              <w:t>210日历天</w:t>
            </w:r>
            <w:bookmarkStart w:id="4" w:name="_GoBack"/>
            <w:bookmarkEnd w:id="4"/>
            <w:r>
              <w:rPr>
                <w:rFonts w:hint="eastAsia" w:asciiTheme="minorEastAsia" w:hAnsiTheme="minorEastAsia" w:eastAsiaTheme="minorEastAsia" w:cstheme="minorEastAsia"/>
                <w:color w:val="auto"/>
                <w:spacing w:val="3"/>
                <w:sz w:val="24"/>
                <w:szCs w:val="24"/>
              </w:rPr>
              <w:t>。</w:t>
            </w:r>
          </w:p>
          <w:p w14:paraId="0F3CF697">
            <w:pPr>
              <w:autoSpaceDE w:val="0"/>
              <w:autoSpaceDN w:val="0"/>
              <w:spacing w:line="360" w:lineRule="auto"/>
              <w:ind w:left="119"/>
              <w:jc w:val="both"/>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pacing w:val="9"/>
                <w:sz w:val="24"/>
                <w:szCs w:val="24"/>
                <w:lang w:val="en-US" w:eastAsia="zh-CN"/>
              </w:rPr>
              <w:t>实施</w:t>
            </w:r>
            <w:r>
              <w:rPr>
                <w:rFonts w:hint="eastAsia" w:asciiTheme="minorEastAsia" w:hAnsiTheme="minorEastAsia" w:eastAsiaTheme="minorEastAsia" w:cstheme="minorEastAsia"/>
                <w:color w:val="auto"/>
                <w:spacing w:val="9"/>
                <w:sz w:val="24"/>
                <w:szCs w:val="24"/>
              </w:rPr>
              <w:t>地点：</w:t>
            </w:r>
            <w:r>
              <w:rPr>
                <w:rFonts w:hint="eastAsia" w:asciiTheme="minorEastAsia" w:hAnsiTheme="minorEastAsia" w:eastAsiaTheme="minorEastAsia" w:cstheme="minorEastAsia"/>
                <w:color w:val="auto"/>
                <w:spacing w:val="9"/>
                <w:sz w:val="24"/>
                <w:szCs w:val="24"/>
                <w:lang w:val="en-US" w:eastAsia="zh-CN"/>
              </w:rPr>
              <w:t>采购人指定地点</w:t>
            </w:r>
          </w:p>
        </w:tc>
      </w:tr>
      <w:tr w14:paraId="7FC7D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76" w:type="dxa"/>
            <w:vAlign w:val="center"/>
          </w:tcPr>
          <w:p w14:paraId="2066F7E5">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379" w:type="dxa"/>
            <w:vAlign w:val="center"/>
          </w:tcPr>
          <w:p w14:paraId="6B656715">
            <w:pPr>
              <w:autoSpaceDE w:val="0"/>
              <w:autoSpaceDN w:val="0"/>
              <w:spacing w:beforeAutospacing="0" w:line="360" w:lineRule="auto"/>
              <w:ind w:left="0" w:leftChars="0" w:right="0" w:righ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投标有</w:t>
            </w:r>
            <w:r>
              <w:rPr>
                <w:rFonts w:hint="eastAsia" w:asciiTheme="minorEastAsia" w:hAnsiTheme="minorEastAsia" w:eastAsiaTheme="minorEastAsia" w:cstheme="minorEastAsia"/>
                <w:color w:val="auto"/>
                <w:spacing w:val="6"/>
                <w:sz w:val="24"/>
                <w:szCs w:val="24"/>
              </w:rPr>
              <w:t>效</w:t>
            </w:r>
            <w:r>
              <w:rPr>
                <w:rFonts w:hint="eastAsia" w:asciiTheme="minorEastAsia" w:hAnsiTheme="minorEastAsia" w:eastAsiaTheme="minorEastAsia" w:cstheme="minorEastAsia"/>
                <w:color w:val="auto"/>
                <w:sz w:val="24"/>
                <w:szCs w:val="24"/>
              </w:rPr>
              <w:t>期</w:t>
            </w:r>
          </w:p>
        </w:tc>
        <w:tc>
          <w:tcPr>
            <w:tcW w:w="7418" w:type="dxa"/>
            <w:vAlign w:val="center"/>
          </w:tcPr>
          <w:p w14:paraId="29723F0B">
            <w:pPr>
              <w:autoSpaceDE w:val="0"/>
              <w:autoSpaceDN w:val="0"/>
              <w:spacing w:beforeAutospacing="0" w:line="360" w:lineRule="auto"/>
              <w:ind w:left="15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自投</w:t>
            </w:r>
            <w:r>
              <w:rPr>
                <w:rFonts w:hint="eastAsia" w:asciiTheme="minorEastAsia" w:hAnsiTheme="minorEastAsia" w:eastAsiaTheme="minorEastAsia" w:cstheme="minorEastAsia"/>
                <w:color w:val="auto"/>
                <w:spacing w:val="6"/>
                <w:sz w:val="24"/>
                <w:szCs w:val="24"/>
              </w:rPr>
              <w:t>标</w:t>
            </w:r>
            <w:r>
              <w:rPr>
                <w:rFonts w:hint="eastAsia" w:asciiTheme="minorEastAsia" w:hAnsiTheme="minorEastAsia" w:eastAsiaTheme="minorEastAsia" w:cstheme="minorEastAsia"/>
                <w:color w:val="auto"/>
                <w:spacing w:val="5"/>
                <w:sz w:val="24"/>
                <w:szCs w:val="24"/>
              </w:rPr>
              <w:t>文件递交截止时间起</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b/>
                <w:bCs/>
                <w:color w:val="auto"/>
                <w:spacing w:val="5"/>
                <w:sz w:val="24"/>
                <w:szCs w:val="24"/>
                <w:u w:val="single" w:color="auto"/>
                <w:lang w:val="en-US" w:eastAsia="zh-CN"/>
              </w:rPr>
              <w:t>90</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5"/>
                <w:sz w:val="24"/>
                <w:szCs w:val="24"/>
              </w:rPr>
              <w:t>天。</w:t>
            </w:r>
          </w:p>
        </w:tc>
      </w:tr>
      <w:tr w14:paraId="0E809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876" w:type="dxa"/>
            <w:vAlign w:val="center"/>
          </w:tcPr>
          <w:p w14:paraId="043689A2">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379" w:type="dxa"/>
            <w:vAlign w:val="center"/>
          </w:tcPr>
          <w:p w14:paraId="5C3B0D54">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付</w:t>
            </w:r>
            <w:r>
              <w:rPr>
                <w:rFonts w:hint="eastAsia" w:asciiTheme="minorEastAsia" w:hAnsiTheme="minorEastAsia" w:eastAsiaTheme="minorEastAsia" w:cstheme="minorEastAsia"/>
                <w:color w:val="auto"/>
                <w:spacing w:val="7"/>
                <w:sz w:val="24"/>
                <w:szCs w:val="24"/>
              </w:rPr>
              <w:t>款方式</w:t>
            </w:r>
          </w:p>
        </w:tc>
        <w:tc>
          <w:tcPr>
            <w:tcW w:w="7418" w:type="dxa"/>
            <w:vAlign w:val="center"/>
          </w:tcPr>
          <w:p w14:paraId="2BF86371">
            <w:pPr>
              <w:autoSpaceDE w:val="0"/>
              <w:autoSpaceDN w:val="0"/>
              <w:spacing w:beforeAutospacing="0" w:line="360" w:lineRule="auto"/>
              <w:ind w:left="15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lang w:val="en-US" w:eastAsia="zh-CN"/>
              </w:rPr>
              <w:t>具体付款方式按双方签订的合同中约定的具体支付方式执行。</w:t>
            </w:r>
          </w:p>
        </w:tc>
      </w:tr>
      <w:tr w14:paraId="5703C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76" w:type="dxa"/>
            <w:vAlign w:val="center"/>
          </w:tcPr>
          <w:p w14:paraId="6D1E0841">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379" w:type="dxa"/>
            <w:vAlign w:val="center"/>
          </w:tcPr>
          <w:p w14:paraId="043B9F43">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验收标准、规范及方式</w:t>
            </w:r>
          </w:p>
        </w:tc>
        <w:tc>
          <w:tcPr>
            <w:tcW w:w="7418" w:type="dxa"/>
            <w:vAlign w:val="center"/>
          </w:tcPr>
          <w:p w14:paraId="70A72228">
            <w:pPr>
              <w:autoSpaceDE w:val="0"/>
              <w:autoSpaceDN w:val="0"/>
              <w:spacing w:beforeAutospacing="0" w:line="360" w:lineRule="auto"/>
              <w:ind w:left="115" w:right="107" w:firstLine="2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按照</w:t>
            </w:r>
            <w:r>
              <w:rPr>
                <w:rFonts w:hint="eastAsia" w:asciiTheme="minorEastAsia" w:hAnsiTheme="minorEastAsia" w:eastAsiaTheme="minorEastAsia" w:cstheme="minorEastAsia"/>
                <w:sz w:val="24"/>
                <w:szCs w:val="24"/>
              </w:rPr>
              <w:t>国家</w:t>
            </w:r>
            <w:r>
              <w:rPr>
                <w:rFonts w:hint="eastAsia" w:asciiTheme="minorEastAsia" w:hAnsiTheme="minorEastAsia" w:eastAsiaTheme="minorEastAsia" w:cstheme="minorEastAsia"/>
                <w:sz w:val="24"/>
                <w:szCs w:val="24"/>
                <w:lang w:val="en-US" w:eastAsia="zh-CN"/>
              </w:rPr>
              <w:t>有关规定、规范进行验收</w:t>
            </w:r>
            <w:r>
              <w:rPr>
                <w:rFonts w:hint="eastAsia" w:asciiTheme="minorEastAsia" w:hAnsiTheme="minorEastAsia" w:eastAsiaTheme="minorEastAsia" w:cstheme="minorEastAsia"/>
                <w:sz w:val="24"/>
                <w:szCs w:val="24"/>
              </w:rPr>
              <w:t>；</w:t>
            </w:r>
          </w:p>
        </w:tc>
      </w:tr>
      <w:tr w14:paraId="6D115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876" w:type="dxa"/>
            <w:vAlign w:val="center"/>
          </w:tcPr>
          <w:p w14:paraId="28B9BE41">
            <w:pPr>
              <w:pStyle w:val="15"/>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rPr>
              <w:t>6</w:t>
            </w:r>
          </w:p>
        </w:tc>
        <w:tc>
          <w:tcPr>
            <w:tcW w:w="1379" w:type="dxa"/>
            <w:vAlign w:val="center"/>
          </w:tcPr>
          <w:p w14:paraId="5278B3B4">
            <w:pPr>
              <w:pStyle w:val="15"/>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pacing w:val="-3"/>
                <w:sz w:val="24"/>
                <w:szCs w:val="24"/>
              </w:rPr>
              <w:t>其他要求</w:t>
            </w:r>
          </w:p>
        </w:tc>
        <w:tc>
          <w:tcPr>
            <w:tcW w:w="7418" w:type="dxa"/>
            <w:vAlign w:val="top"/>
          </w:tcPr>
          <w:p w14:paraId="345F3690">
            <w:pPr>
              <w:pStyle w:val="15"/>
              <w:autoSpaceDE w:val="0"/>
              <w:autoSpaceDN w:val="0"/>
              <w:spacing w:beforeAutospacing="0" w:afterAutospacing="0" w:line="360" w:lineRule="auto"/>
              <w:ind w:left="112" w:right="0" w:rightChars="0" w:firstLine="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1、投标人需承诺在施工期间无论因任何原因对采购人造</w:t>
            </w:r>
            <w:r>
              <w:rPr>
                <w:rFonts w:hint="eastAsia" w:asciiTheme="minorEastAsia" w:hAnsiTheme="minorEastAsia" w:eastAsiaTheme="minorEastAsia" w:cstheme="minorEastAsia"/>
                <w:spacing w:val="-3"/>
                <w:sz w:val="24"/>
                <w:szCs w:val="24"/>
              </w:rPr>
              <w:t>成损失，或</w:t>
            </w:r>
            <w:r>
              <w:rPr>
                <w:rFonts w:hint="eastAsia" w:asciiTheme="minorEastAsia" w:hAnsiTheme="minorEastAsia" w:eastAsiaTheme="minorEastAsia" w:cstheme="minorEastAsia"/>
                <w:spacing w:val="2"/>
                <w:sz w:val="24"/>
                <w:szCs w:val="24"/>
              </w:rPr>
              <w:t>给采购人带来的任何不良影响的（包含可能出现的安全</w:t>
            </w:r>
            <w:r>
              <w:rPr>
                <w:rFonts w:hint="eastAsia" w:asciiTheme="minorEastAsia" w:hAnsiTheme="minorEastAsia" w:eastAsiaTheme="minorEastAsia" w:cstheme="minorEastAsia"/>
                <w:spacing w:val="1"/>
                <w:sz w:val="24"/>
                <w:szCs w:val="24"/>
              </w:rPr>
              <w:t>事故</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1"/>
                <w:sz w:val="24"/>
                <w:szCs w:val="24"/>
              </w:rPr>
              <w:t>一</w:t>
            </w:r>
            <w:r>
              <w:rPr>
                <w:rFonts w:hint="eastAsia" w:asciiTheme="minorEastAsia" w:hAnsiTheme="minorEastAsia" w:eastAsiaTheme="minorEastAsia" w:cstheme="minorEastAsia"/>
                <w:spacing w:val="-1"/>
                <w:sz w:val="24"/>
                <w:szCs w:val="24"/>
              </w:rPr>
              <w:t>切后果由中标供应商自行承担，并对采购人进行赔偿。</w:t>
            </w:r>
          </w:p>
          <w:p w14:paraId="0AA926FC">
            <w:pPr>
              <w:pStyle w:val="15"/>
              <w:autoSpaceDE w:val="0"/>
              <w:autoSpaceDN w:val="0"/>
              <w:spacing w:beforeAutospacing="0" w:afterAutospacing="0" w:line="360" w:lineRule="auto"/>
              <w:ind w:left="112" w:right="0" w:rightChars="0" w:firstLine="3"/>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2"/>
                <w:sz w:val="24"/>
                <w:szCs w:val="24"/>
              </w:rPr>
              <w:t>2、投标供应商需承诺在施工过程中由于相关施工人</w:t>
            </w:r>
            <w:r>
              <w:rPr>
                <w:rFonts w:hint="eastAsia" w:asciiTheme="minorEastAsia" w:hAnsiTheme="minorEastAsia" w:eastAsiaTheme="minorEastAsia" w:cstheme="minorEastAsia"/>
                <w:spacing w:val="-3"/>
                <w:sz w:val="24"/>
                <w:szCs w:val="24"/>
              </w:rPr>
              <w:t>员造成的重大社会不良影响事故，采购方有权立即取消合同，将不再支付剩余费用。</w:t>
            </w:r>
          </w:p>
          <w:p w14:paraId="78D50756">
            <w:pPr>
              <w:pStyle w:val="15"/>
              <w:autoSpaceDE w:val="0"/>
              <w:autoSpaceDN w:val="0"/>
              <w:spacing w:beforeAutospacing="0" w:afterAutospacing="0" w:line="360" w:lineRule="auto"/>
              <w:ind w:left="112" w:right="0" w:rightChars="0" w:firstLine="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3、投标报价应包括：报价包括完成本项目所需的施工费、运输、</w:t>
            </w:r>
            <w:r>
              <w:rPr>
                <w:rFonts w:hint="eastAsia" w:asciiTheme="minorEastAsia" w:hAnsiTheme="minorEastAsia" w:eastAsiaTheme="minorEastAsia" w:cstheme="minorEastAsia"/>
                <w:spacing w:val="2"/>
                <w:sz w:val="24"/>
                <w:szCs w:val="24"/>
              </w:rPr>
              <w:t>安装、调试、人工费、材料费及各种应缴纳的税费等所有费用。因</w:t>
            </w:r>
            <w:r>
              <w:rPr>
                <w:rFonts w:hint="eastAsia" w:asciiTheme="minorEastAsia" w:hAnsiTheme="minorEastAsia" w:eastAsiaTheme="minorEastAsia" w:cstheme="minorEastAsia"/>
                <w:spacing w:val="-2"/>
                <w:sz w:val="24"/>
                <w:szCs w:val="24"/>
              </w:rPr>
              <w:t>成交供应商自身原因造成漏报、少报皆由其自行承担责任，</w:t>
            </w:r>
            <w:r>
              <w:rPr>
                <w:rFonts w:hint="eastAsia" w:asciiTheme="minorEastAsia" w:hAnsiTheme="minorEastAsia" w:eastAsiaTheme="minorEastAsia" w:cstheme="minorEastAsia"/>
                <w:spacing w:val="-3"/>
                <w:sz w:val="24"/>
                <w:szCs w:val="24"/>
              </w:rPr>
              <w:t>采购人</w:t>
            </w:r>
            <w:r>
              <w:rPr>
                <w:rFonts w:hint="eastAsia" w:asciiTheme="minorEastAsia" w:hAnsiTheme="minorEastAsia" w:eastAsiaTheme="minorEastAsia" w:cstheme="minorEastAsia"/>
                <w:spacing w:val="-1"/>
                <w:sz w:val="24"/>
                <w:szCs w:val="24"/>
              </w:rPr>
              <w:t>不再补偿。</w:t>
            </w:r>
          </w:p>
          <w:p w14:paraId="0349A40E">
            <w:pPr>
              <w:pStyle w:val="15"/>
              <w:autoSpaceDE w:val="0"/>
              <w:autoSpaceDN w:val="0"/>
              <w:spacing w:beforeAutospacing="0" w:afterAutospacing="0" w:line="360" w:lineRule="auto"/>
              <w:ind w:left="112" w:right="0" w:righ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4、中标人若不能按时完成采购人交付的工作任务或为采购人提供的</w:t>
            </w:r>
            <w:r>
              <w:rPr>
                <w:rFonts w:hint="eastAsia" w:asciiTheme="minorEastAsia" w:hAnsiTheme="minorEastAsia" w:eastAsiaTheme="minorEastAsia" w:cstheme="minorEastAsia"/>
                <w:spacing w:val="2"/>
                <w:sz w:val="24"/>
                <w:szCs w:val="24"/>
              </w:rPr>
              <w:t>服务不按时、不规范、质量达不到要求时，视为一方违约，应承担</w:t>
            </w:r>
            <w:r>
              <w:rPr>
                <w:rFonts w:hint="eastAsia" w:asciiTheme="minorEastAsia" w:hAnsiTheme="minorEastAsia" w:eastAsiaTheme="minorEastAsia" w:cstheme="minorEastAsia"/>
                <w:spacing w:val="-1"/>
                <w:sz w:val="24"/>
                <w:szCs w:val="24"/>
              </w:rPr>
              <w:t>因其工作失误（或其他原因）给采购人造成的一切损失责任。</w:t>
            </w:r>
          </w:p>
          <w:p w14:paraId="69F2336E">
            <w:pPr>
              <w:pStyle w:val="15"/>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5、中标人无正当理由放弃中标项目的，或未按约定期限签订合同的，</w:t>
            </w:r>
            <w:r>
              <w:rPr>
                <w:rFonts w:hint="eastAsia" w:asciiTheme="minorEastAsia" w:hAnsiTheme="minorEastAsia" w:eastAsiaTheme="minorEastAsia" w:cstheme="minorEastAsia"/>
                <w:spacing w:val="2"/>
                <w:sz w:val="24"/>
                <w:szCs w:val="24"/>
              </w:rPr>
              <w:t>除了要赔偿采购人和本代理机构在本次招标活动中产生的一切费用外，还将报请监督管理部门按相关法律法规规定对中标人追究相应</w:t>
            </w:r>
            <w:r>
              <w:rPr>
                <w:rFonts w:hint="eastAsia" w:asciiTheme="minorEastAsia" w:hAnsiTheme="minorEastAsia" w:eastAsiaTheme="minorEastAsia" w:cstheme="minorEastAsia"/>
                <w:spacing w:val="-2"/>
                <w:sz w:val="24"/>
                <w:szCs w:val="24"/>
              </w:rPr>
              <w:t>的经济和法律责任。</w:t>
            </w:r>
          </w:p>
          <w:p w14:paraId="433B6170">
            <w:pPr>
              <w:pStyle w:val="15"/>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6</w:t>
            </w:r>
            <w:r>
              <w:rPr>
                <w:rFonts w:hint="eastAsia" w:asciiTheme="minorEastAsia" w:hAnsiTheme="minorEastAsia" w:eastAsiaTheme="minorEastAsia" w:cstheme="minorEastAsia"/>
                <w:spacing w:val="-8"/>
                <w:sz w:val="24"/>
                <w:szCs w:val="24"/>
              </w:rPr>
              <w:t>、以上条款和服务承诺投标人必须在投标文件中的商务部分明确列出，承诺内容必须达到采购文件其他条款的要求。</w:t>
            </w:r>
          </w:p>
          <w:p w14:paraId="312789F9">
            <w:pPr>
              <w:pStyle w:val="15"/>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7</w:t>
            </w:r>
            <w:r>
              <w:rPr>
                <w:rFonts w:hint="eastAsia" w:asciiTheme="minorEastAsia" w:hAnsiTheme="minorEastAsia" w:eastAsiaTheme="minorEastAsia" w:cstheme="minorEastAsia"/>
                <w:spacing w:val="-8"/>
                <w:sz w:val="24"/>
                <w:szCs w:val="24"/>
              </w:rPr>
              <w:t xml:space="preserve">、采购人与中标人若发生争议在采购人所属地相关部门进行调解。 </w:t>
            </w:r>
          </w:p>
          <w:p w14:paraId="519A8F8F">
            <w:pPr>
              <w:pStyle w:val="15"/>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8"/>
                <w:sz w:val="24"/>
                <w:szCs w:val="24"/>
                <w:lang w:val="en-US" w:eastAsia="zh-CN"/>
              </w:rPr>
              <w:t>8</w:t>
            </w:r>
            <w:r>
              <w:rPr>
                <w:rFonts w:hint="eastAsia" w:asciiTheme="minorEastAsia" w:hAnsiTheme="minorEastAsia" w:eastAsiaTheme="minorEastAsia" w:cstheme="minorEastAsia"/>
                <w:spacing w:val="-8"/>
                <w:sz w:val="24"/>
                <w:szCs w:val="24"/>
              </w:rPr>
              <w:t>、其他未尽事宜由供需双方在采购合同中详细约定。</w:t>
            </w:r>
          </w:p>
        </w:tc>
      </w:tr>
    </w:tbl>
    <w:p w14:paraId="02A2DB62">
      <w:pPr>
        <w:pStyle w:val="7"/>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pPr>
    </w:p>
    <w:p w14:paraId="13C6431C">
      <w:pPr>
        <w:pStyle w:val="7"/>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pPr>
    </w:p>
    <w:p w14:paraId="0A59CADA">
      <w:pPr>
        <w:pStyle w:val="7"/>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pPr>
    </w:p>
    <w:p w14:paraId="6E250728">
      <w:pPr>
        <w:pStyle w:val="7"/>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pPr>
      <w:r>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t>本项目采用综合评分法，是指响应文件满足磋商文件全部实质性要求且按评审因素的量化指标评审得分最高的供应商为成交候选供应商的评审方法。</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E9DC7">
    <w:pPr>
      <w:spacing w:line="230" w:lineRule="auto"/>
      <w:ind w:left="3551"/>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8" name="文本框 4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0DCB4">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JhFI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E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yYRSNAIAAGUEAAAOAAAAAAAAAAEAIAAAAB8BAABkcnMvZTJvRG9jLnhtbFBL&#10;BQYAAAAABgAGAFkBAADFBQAAAAA=&#10;">
              <v:fill on="f" focussize="0,0"/>
              <v:stroke on="f" weight="0.5pt"/>
              <v:imagedata o:title=""/>
              <o:lock v:ext="edit" aspectratio="f"/>
              <v:textbox inset="0mm,0mm,0mm,0mm" style="mso-fit-shape-to-text:t;">
                <w:txbxContent>
                  <w:p w14:paraId="3400DCB4">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0095">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FE20E"/>
    <w:multiLevelType w:val="singleLevel"/>
    <w:tmpl w:val="ED0FE20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YjUwOTU0NDNhMDQ1YjZlMzc4OGUxNzdlZjk3MGUifQ=="/>
  </w:docVars>
  <w:rsids>
    <w:rsidRoot w:val="00000000"/>
    <w:rsid w:val="008F6EBE"/>
    <w:rsid w:val="0252185E"/>
    <w:rsid w:val="0612264B"/>
    <w:rsid w:val="09292681"/>
    <w:rsid w:val="0D463014"/>
    <w:rsid w:val="0E0E138E"/>
    <w:rsid w:val="10090303"/>
    <w:rsid w:val="12266F4A"/>
    <w:rsid w:val="17DE2AD8"/>
    <w:rsid w:val="18C1177B"/>
    <w:rsid w:val="1C7E178D"/>
    <w:rsid w:val="231837B9"/>
    <w:rsid w:val="252E51C7"/>
    <w:rsid w:val="26F25E47"/>
    <w:rsid w:val="277F27D8"/>
    <w:rsid w:val="28180D37"/>
    <w:rsid w:val="3411043F"/>
    <w:rsid w:val="347228E5"/>
    <w:rsid w:val="3B2D64A6"/>
    <w:rsid w:val="3D6B1D44"/>
    <w:rsid w:val="499E20AD"/>
    <w:rsid w:val="4FFE311C"/>
    <w:rsid w:val="500069A2"/>
    <w:rsid w:val="514D2F0D"/>
    <w:rsid w:val="5AF70A51"/>
    <w:rsid w:val="610E08BC"/>
    <w:rsid w:val="61A23586"/>
    <w:rsid w:val="635B5245"/>
    <w:rsid w:val="656D5A98"/>
    <w:rsid w:val="670550F4"/>
    <w:rsid w:val="671E63C3"/>
    <w:rsid w:val="679F2254"/>
    <w:rsid w:val="6B1E7521"/>
    <w:rsid w:val="6D953D91"/>
    <w:rsid w:val="75265D63"/>
    <w:rsid w:val="775B5A6C"/>
    <w:rsid w:val="78802E4D"/>
    <w:rsid w:val="7EFF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center"/>
    </w:pPr>
    <w:rPr>
      <w:b/>
      <w:bCs/>
      <w:sz w:val="28"/>
    </w:rPr>
  </w:style>
  <w:style w:type="paragraph" w:styleId="4">
    <w:name w:val="table of authorities"/>
    <w:basedOn w:val="1"/>
    <w:next w:val="1"/>
    <w:unhideWhenUsed/>
    <w:qFormat/>
    <w:uiPriority w:val="99"/>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Body Text 2"/>
    <w:basedOn w:val="1"/>
    <w:qFormat/>
    <w:uiPriority w:val="0"/>
    <w:rPr>
      <w:sz w:val="32"/>
    </w:rPr>
  </w:style>
  <w:style w:type="paragraph" w:styleId="8">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Text1I2"/>
    <w:basedOn w:val="13"/>
    <w:qFormat/>
    <w:uiPriority w:val="0"/>
    <w:pPr>
      <w:spacing w:after="0"/>
      <w:ind w:left="0" w:leftChars="0" w:firstLine="420" w:firstLineChars="200"/>
      <w:jc w:val="both"/>
      <w:textAlignment w:val="baseline"/>
    </w:pPr>
    <w:rPr>
      <w:rFonts w:ascii="Arial" w:hAnsi="Arial" w:eastAsia="仿宋_GB2312"/>
      <w:sz w:val="28"/>
    </w:rPr>
  </w:style>
  <w:style w:type="paragraph" w:customStyle="1" w:styleId="13">
    <w:name w:val="BodyTextIndent"/>
    <w:basedOn w:val="1"/>
    <w:qFormat/>
    <w:uiPriority w:val="0"/>
    <w:pPr>
      <w:spacing w:after="120"/>
      <w:ind w:left="420" w:leftChars="200"/>
      <w:jc w:val="both"/>
      <w:textAlignment w:val="baseline"/>
    </w:pPr>
  </w:style>
  <w:style w:type="table" w:customStyle="1" w:styleId="14">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2794</Words>
  <Characters>3245</Characters>
  <Lines>0</Lines>
  <Paragraphs>0</Paragraphs>
  <TotalTime>0</TotalTime>
  <ScaleCrop>false</ScaleCrop>
  <LinksUpToDate>false</LinksUpToDate>
  <CharactersWithSpaces>3372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2022-10-19T03:19:00Z</dcterms:created>
  <dc:creator>Administrator</dc:creator>
  <cp:lastModifiedBy>童华（新众联公司）</cp:lastModifiedBy>
  <dcterms:modified xsi:type="dcterms:W3CDTF">2024-07-26T02:35:54Z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4C26B9929C5A4DD2A9A2A4A81525FA22_13</vt:lpwstr>
  </property>
</Properties>
</file>