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F165">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三桥镇塘村村扶持发展壮大新型农村集体经济项目</w:t>
      </w: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lang w:val="en-US" w:eastAsia="zh-CN"/>
        </w:rPr>
        <w:t>需求公示</w:t>
      </w:r>
    </w:p>
    <w:p w14:paraId="16C93F34">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一、项目基本情况</w:t>
      </w:r>
    </w:p>
    <w:p w14:paraId="30F2084D">
      <w:pPr>
        <w:spacing w:before="74" w:line="312" w:lineRule="auto"/>
        <w:ind w:right="265"/>
        <w:rPr>
          <w:rFonts w:hint="default"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项目编号：GZZY采2025-012</w:t>
      </w:r>
    </w:p>
    <w:p w14:paraId="37FD0131">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项目名称：三桥镇塘村村扶持发展壮大新型农村集体经济项目</w:t>
      </w:r>
    </w:p>
    <w:p w14:paraId="7C8B11A5">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采购方式：竞争性磋商</w:t>
      </w:r>
    </w:p>
    <w:p w14:paraId="15E76236">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预算金额：690353.00 元</w:t>
      </w:r>
    </w:p>
    <w:p w14:paraId="1234F9D7">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最高投标限价：690353.00 元</w:t>
      </w:r>
    </w:p>
    <w:p w14:paraId="7F2F8D40">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 xml:space="preserve">采购需求：户外太空舱2个、户外苹果舱2个、怡然居舱1个，具体详见采购清单。 </w:t>
      </w:r>
    </w:p>
    <w:p w14:paraId="52BA0AE6">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工    期：签订合同时约定.</w:t>
      </w:r>
    </w:p>
    <w:p w14:paraId="3031A7C6">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交货地点：采购人指定地点</w:t>
      </w:r>
    </w:p>
    <w:p w14:paraId="03312B42">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二、申请人的资格要求：</w:t>
      </w:r>
    </w:p>
    <w:p w14:paraId="601B3710">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1.一般资格条件：</w:t>
      </w:r>
    </w:p>
    <w:p w14:paraId="27885A5B">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符合《中华人民共和国政府采购法》第二十二条规定。</w:t>
      </w:r>
    </w:p>
    <w:p w14:paraId="0B25FF56">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(1)具有独立承担民事责任的能力；</w:t>
      </w:r>
    </w:p>
    <w:p w14:paraId="3A23D8B7">
      <w:pPr>
        <w:spacing w:before="74" w:line="312" w:lineRule="auto"/>
        <w:ind w:right="265"/>
        <w:rPr>
          <w:rFonts w:hint="default"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(2)具有良好的商业信誉和健全的财务会计制度：提供良好商业信誉相应声明函及经审计的2022年或2023年财务报告或其基本开户银行出具的资信证明（新成立未满1年公司不作要求）</w:t>
      </w:r>
    </w:p>
    <w:p w14:paraId="405B9BFF">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(3)具有履行合同所必需的设备和专业技术能力；</w:t>
      </w:r>
    </w:p>
    <w:p w14:paraId="6FF21827">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(4)具有依法缴纳税收和社会保障资金的良好记录；</w:t>
      </w:r>
    </w:p>
    <w:p w14:paraId="0689C453">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(5)参加此项采购活动前三年内，在经营活动中没有重大违法记录（提供信用中国和中国 政府采购网截图）</w:t>
      </w:r>
    </w:p>
    <w:p w14:paraId="5814BF66">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2.特殊资格条件：（1）供应商须具备下列合法有效证件：有效企业营业执照、组织机构 代码证、税务登记证（或三证合一营业执照)；（2）供应商须承诺：在“信用中国”网站（</w:t>
      </w:r>
      <w:r>
        <w:rPr>
          <w:rFonts w:hint="eastAsia" w:ascii="仿宋" w:hAnsi="仿宋" w:eastAsia="仿宋" w:cs="仿宋"/>
          <w:b/>
          <w:bCs/>
          <w:color w:val="auto"/>
          <w:kern w:val="44"/>
          <w:sz w:val="32"/>
          <w:szCs w:val="32"/>
          <w:lang w:val="en-US" w:eastAsia="zh-CN"/>
        </w:rPr>
        <w:fldChar w:fldCharType="begin"/>
      </w:r>
      <w:r>
        <w:rPr>
          <w:rFonts w:hint="eastAsia" w:ascii="仿宋" w:hAnsi="仿宋" w:eastAsia="仿宋" w:cs="仿宋"/>
          <w:b/>
          <w:bCs/>
          <w:color w:val="auto"/>
          <w:kern w:val="44"/>
          <w:sz w:val="32"/>
          <w:szCs w:val="32"/>
          <w:lang w:val="en-US" w:eastAsia="zh-CN"/>
        </w:rPr>
        <w:instrText xml:space="preserve"> HYPERLINK "https://www.creditchina.gov.cn" </w:instrText>
      </w:r>
      <w:r>
        <w:rPr>
          <w:rFonts w:hint="eastAsia" w:ascii="仿宋" w:hAnsi="仿宋" w:eastAsia="仿宋" w:cs="仿宋"/>
          <w:b/>
          <w:bCs/>
          <w:color w:val="auto"/>
          <w:kern w:val="44"/>
          <w:sz w:val="32"/>
          <w:szCs w:val="32"/>
          <w:lang w:val="en-US" w:eastAsia="zh-CN"/>
        </w:rPr>
        <w:fldChar w:fldCharType="separate"/>
      </w:r>
      <w:r>
        <w:rPr>
          <w:rFonts w:hint="eastAsia" w:ascii="仿宋" w:hAnsi="仿宋" w:eastAsia="仿宋" w:cs="仿宋"/>
          <w:b/>
          <w:bCs/>
          <w:color w:val="auto"/>
          <w:kern w:val="44"/>
          <w:sz w:val="32"/>
          <w:szCs w:val="32"/>
          <w:lang w:val="en-US" w:eastAsia="zh-CN"/>
        </w:rPr>
        <w:t>www.creditchina.gov.cn</w:t>
      </w:r>
      <w:r>
        <w:rPr>
          <w:rFonts w:hint="eastAsia" w:ascii="仿宋" w:hAnsi="仿宋" w:eastAsia="仿宋" w:cs="仿宋"/>
          <w:b/>
          <w:bCs/>
          <w:color w:val="auto"/>
          <w:kern w:val="44"/>
          <w:sz w:val="32"/>
          <w:szCs w:val="32"/>
          <w:lang w:val="en-US" w:eastAsia="zh-CN"/>
        </w:rPr>
        <w:fldChar w:fldCharType="end"/>
      </w:r>
      <w:r>
        <w:rPr>
          <w:rFonts w:hint="eastAsia" w:ascii="仿宋" w:hAnsi="仿宋" w:eastAsia="仿宋" w:cs="仿宋"/>
          <w:b/>
          <w:bCs/>
          <w:color w:val="auto"/>
          <w:kern w:val="44"/>
          <w:sz w:val="32"/>
          <w:szCs w:val="32"/>
          <w:lang w:val="en-US" w:eastAsia="zh-CN"/>
        </w:rPr>
        <w:t>）、中国政府采购网（</w:t>
      </w:r>
      <w:r>
        <w:rPr>
          <w:rFonts w:hint="eastAsia" w:ascii="仿宋" w:hAnsi="仿宋" w:eastAsia="仿宋" w:cs="仿宋"/>
          <w:b/>
          <w:bCs/>
          <w:color w:val="auto"/>
          <w:kern w:val="44"/>
          <w:sz w:val="32"/>
          <w:szCs w:val="32"/>
          <w:lang w:val="en-US" w:eastAsia="zh-CN"/>
        </w:rPr>
        <w:fldChar w:fldCharType="begin"/>
      </w:r>
      <w:r>
        <w:rPr>
          <w:rFonts w:hint="eastAsia" w:ascii="仿宋" w:hAnsi="仿宋" w:eastAsia="仿宋" w:cs="仿宋"/>
          <w:b/>
          <w:bCs/>
          <w:color w:val="auto"/>
          <w:kern w:val="44"/>
          <w:sz w:val="32"/>
          <w:szCs w:val="32"/>
          <w:lang w:val="en-US" w:eastAsia="zh-CN"/>
        </w:rPr>
        <w:instrText xml:space="preserve"> HYPERLINK "https://www.ccgp.gov.cn" </w:instrText>
      </w:r>
      <w:r>
        <w:rPr>
          <w:rFonts w:hint="eastAsia" w:ascii="仿宋" w:hAnsi="仿宋" w:eastAsia="仿宋" w:cs="仿宋"/>
          <w:b/>
          <w:bCs/>
          <w:color w:val="auto"/>
          <w:kern w:val="44"/>
          <w:sz w:val="32"/>
          <w:szCs w:val="32"/>
          <w:lang w:val="en-US" w:eastAsia="zh-CN"/>
        </w:rPr>
        <w:fldChar w:fldCharType="separate"/>
      </w:r>
      <w:r>
        <w:rPr>
          <w:rFonts w:hint="eastAsia" w:ascii="仿宋" w:hAnsi="仿宋" w:eastAsia="仿宋" w:cs="仿宋"/>
          <w:b/>
          <w:bCs/>
          <w:color w:val="auto"/>
          <w:kern w:val="44"/>
          <w:sz w:val="32"/>
          <w:szCs w:val="32"/>
          <w:lang w:val="en-US" w:eastAsia="zh-CN"/>
        </w:rPr>
        <w:t>www.ccgp.gov.cn</w:t>
      </w:r>
      <w:r>
        <w:rPr>
          <w:rFonts w:hint="eastAsia" w:ascii="仿宋" w:hAnsi="仿宋" w:eastAsia="仿宋" w:cs="仿宋"/>
          <w:b/>
          <w:bCs/>
          <w:color w:val="auto"/>
          <w:kern w:val="44"/>
          <w:sz w:val="32"/>
          <w:szCs w:val="32"/>
          <w:lang w:val="en-US" w:eastAsia="zh-CN"/>
        </w:rPr>
        <w:fldChar w:fldCharType="end"/>
      </w:r>
      <w:r>
        <w:rPr>
          <w:rFonts w:hint="eastAsia" w:ascii="仿宋" w:hAnsi="仿宋" w:eastAsia="仿宋" w:cs="仿宋"/>
          <w:b/>
          <w:bCs/>
          <w:color w:val="auto"/>
          <w:kern w:val="44"/>
          <w:sz w:val="32"/>
          <w:szCs w:val="32"/>
          <w:lang w:val="en-US" w:eastAsia="zh-CN"/>
        </w:rPr>
        <w:t>）等渠道查询中未被列  入失信被执行人名单、重大税收违法案件当事人名单、政府采购严重违法失信行为记录名单 中，如被列入失信被执行人、重大税收违法案件当事人名单、政府采购严重违法失信行为记 录名单中的供应商取消其投标资格，并承担由此造成的一切法律责任及后果；（3）供应商须具有甲级及以上测绘资质；</w:t>
      </w:r>
    </w:p>
    <w:p w14:paraId="05A6CCBC">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3.落实政府采购政策需满足的资格要求：</w:t>
      </w:r>
    </w:p>
    <w:p w14:paraId="4C3A5F27">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（1）依据《财政部关于在政府采购活动中查询及使用信用记录有关问题的通知》</w:t>
      </w:r>
    </w:p>
    <w:p w14:paraId="198ADFC8">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（财库〔2016〕125 号）的相关要求，供应商不得为“信用中国”网站中列入失信被执 行人和重大税收违法案件当事人名单的供应商，不得为中国政府采购网政府采购严重违 法失信行为记录名单中被财政部门禁止参加政府采购活动的供应商。</w:t>
      </w:r>
    </w:p>
    <w:p w14:paraId="3BE86DE4">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（2）根据《财政部关于进一步加大政府采购支持中小企业力度的通知》（财库</w:t>
      </w:r>
    </w:p>
    <w:p w14:paraId="33A5BF98">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[2022]19号）的规定，提高小微企业价格扣除比例。对未预留份额专门面向中小企业采 购的采购项目，面向小微企业价格扣除比例按20%顶格执行。</w:t>
      </w:r>
    </w:p>
    <w:p w14:paraId="29267094">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（3）根据《关于促进残疾人就业政府采购政策的通知》（财库[2017]141号）文件 规定，符合条件的残疾人福利性单位等同于小微企业在投标中享受同等优惠，但须提供 《残疾人福利性单位声明函》。注：残疾人福利性单位属于小微企业的，不重复享受政 策。</w:t>
      </w:r>
    </w:p>
    <w:p w14:paraId="63B37D9E">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（4）根据贵州省财政厅《关于进一步落实政府采购有关政策的通知》（黔财采</w:t>
      </w:r>
    </w:p>
    <w:p w14:paraId="3766B36F">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〔2014〕15号）文件规定：①对投标产品属于“节能产品清单”或“环保产品清单”有  效期内中的产品（强制采购产品除外），在评审总得分的基础上每一项加0.3分；如投标 产品同时属于“节能产品清单”和“环保产品清单”两个清单中产品的，每一项加0.5</w:t>
      </w:r>
    </w:p>
    <w:p w14:paraId="726DAD69">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分，最高不得超过2分；②对原产地在少数民族自治区和享受少数民族自治待遇的省份的 投标主产品（不含附带产品），享受政策性加分，即在总得分基础上加3分。</w:t>
      </w:r>
    </w:p>
    <w:p w14:paraId="67B999DF">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（5）根据《司法部关于政府采购支持监狱企业发展有关问题的通知》（财库</w:t>
      </w:r>
    </w:p>
    <w:p w14:paraId="3B646DD8">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〔2014〕68号）文件规定，在政府采购活动中，监狱企业视同小型、微型企业，享受同 等政策，但不重复享受。但须提供由省级以上监狱管理局、戒毒管理局（含新疆生产建 设兵团）出具的属于监狱企业的证明文件。</w:t>
      </w:r>
    </w:p>
    <w:p w14:paraId="42BBD158">
      <w:pPr>
        <w:spacing w:before="74" w:line="312" w:lineRule="auto"/>
        <w:ind w:right="265"/>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 xml:space="preserve"> （6）该项目为专门面向中小微企业采购，不再执行价格优惠</w:t>
      </w:r>
    </w:p>
    <w:p w14:paraId="17B6FC73">
      <w:pPr>
        <w:spacing w:before="74" w:line="312" w:lineRule="auto"/>
        <w:ind w:right="265"/>
        <w:rPr>
          <w:rFonts w:hint="eastAsia" w:ascii="仿宋" w:hAnsi="仿宋" w:eastAsia="仿宋" w:cs="仿宋"/>
          <w:b/>
          <w:bCs/>
          <w:color w:val="auto"/>
          <w:kern w:val="44"/>
          <w:sz w:val="32"/>
          <w:szCs w:val="32"/>
          <w:lang w:val="en-US" w:eastAsia="zh-CN"/>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1AB6">
    <w:pPr>
      <w:spacing w:line="233" w:lineRule="auto"/>
      <w:ind w:left="5120"/>
      <w:rPr>
        <w:rFonts w:ascii="宋体" w:hAnsi="宋体" w:eastAsia="宋体" w:cs="宋体"/>
        <w:sz w:val="21"/>
        <w:szCs w:val="21"/>
      </w:rPr>
    </w:pPr>
    <w:r>
      <w:rPr>
        <w:rFonts w:ascii="宋体" w:hAnsi="宋体" w:eastAsia="宋体" w:cs="宋体"/>
        <w:sz w:val="21"/>
        <w:szCs w:val="21"/>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GRlYzgxYWFhYmI0NjcyZmU4NjI1YWFlMTMxMzcifQ=="/>
  </w:docVars>
  <w:rsids>
    <w:rsidRoot w:val="00000000"/>
    <w:rsid w:val="013969DE"/>
    <w:rsid w:val="09B13A97"/>
    <w:rsid w:val="0B3705C4"/>
    <w:rsid w:val="13DE7365"/>
    <w:rsid w:val="1BC12595"/>
    <w:rsid w:val="1BF83374"/>
    <w:rsid w:val="1CF72472"/>
    <w:rsid w:val="22143B84"/>
    <w:rsid w:val="24A0616F"/>
    <w:rsid w:val="2F00135C"/>
    <w:rsid w:val="34DA1006"/>
    <w:rsid w:val="35901396"/>
    <w:rsid w:val="365761F0"/>
    <w:rsid w:val="3B34030B"/>
    <w:rsid w:val="41445856"/>
    <w:rsid w:val="44E33C06"/>
    <w:rsid w:val="460C4A6B"/>
    <w:rsid w:val="531A3068"/>
    <w:rsid w:val="538E3B7E"/>
    <w:rsid w:val="54631664"/>
    <w:rsid w:val="55C44CE0"/>
    <w:rsid w:val="5C4A4C41"/>
    <w:rsid w:val="5D745554"/>
    <w:rsid w:val="5D971B83"/>
    <w:rsid w:val="602319D5"/>
    <w:rsid w:val="62023FCF"/>
    <w:rsid w:val="65756A0C"/>
    <w:rsid w:val="69744EB7"/>
    <w:rsid w:val="6A900425"/>
    <w:rsid w:val="6B0C5E52"/>
    <w:rsid w:val="6E957DB5"/>
    <w:rsid w:val="6F0350B8"/>
    <w:rsid w:val="71810C1C"/>
    <w:rsid w:val="7BCE0040"/>
    <w:rsid w:val="7D10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b/>
      <w:bCs/>
      <w:sz w:val="36"/>
    </w:rPr>
  </w:style>
  <w:style w:type="paragraph" w:styleId="3">
    <w:name w:val="Body Text Indent"/>
    <w:basedOn w:val="1"/>
    <w:next w:val="1"/>
    <w:autoRedefine/>
    <w:qFormat/>
    <w:uiPriority w:val="0"/>
    <w:pPr>
      <w:spacing w:line="380" w:lineRule="exact"/>
      <w:ind w:firstLine="480"/>
    </w:pPr>
    <w:rPr>
      <w:rFonts w:eastAsia="方正书宋简体"/>
      <w:sz w:val="24"/>
      <w:szCs w:val="20"/>
    </w:rPr>
  </w:style>
  <w:style w:type="paragraph" w:styleId="4">
    <w:name w:val="footer"/>
    <w:basedOn w:val="1"/>
    <w:autoRedefine/>
    <w:qFormat/>
    <w:uiPriority w:val="99"/>
    <w:pPr>
      <w:widowControl w:val="0"/>
      <w:tabs>
        <w:tab w:val="center" w:pos="4153"/>
        <w:tab w:val="right" w:pos="8306"/>
      </w:tabs>
      <w:snapToGrid w:val="0"/>
      <w:spacing w:after="0" w:line="240" w:lineRule="auto"/>
      <w:ind w:left="0" w:right="0" w:firstLine="0"/>
    </w:pPr>
    <w:rPr>
      <w:rFonts w:ascii="宋体" w:hAnsi="宋体" w:eastAsia="宋体" w:cs="Times New Roman"/>
      <w:sz w:val="18"/>
      <w:szCs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rFonts w:cs="Times New Roman"/>
      <w:sz w:val="18"/>
      <w:szCs w:val="18"/>
    </w:rPr>
  </w:style>
  <w:style w:type="paragraph" w:styleId="6">
    <w:name w:val="Body Text First Indent"/>
    <w:basedOn w:val="2"/>
    <w:qFormat/>
    <w:uiPriority w:val="99"/>
    <w:pPr>
      <w:spacing w:after="120"/>
      <w:ind w:firstLine="420" w:firstLineChars="100"/>
    </w:pPr>
    <w:rPr>
      <w:sz w:val="24"/>
    </w:rPr>
  </w:style>
  <w:style w:type="paragraph" w:styleId="7">
    <w:name w:val="Body Text First Indent 2"/>
    <w:basedOn w:val="3"/>
    <w:autoRedefine/>
    <w:unhideWhenUsed/>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333333"/>
      <w:u w:val="none"/>
    </w:rPr>
  </w:style>
  <w:style w:type="character" w:styleId="12">
    <w:name w:val="Hyperlink"/>
    <w:basedOn w:val="10"/>
    <w:autoRedefine/>
    <w:qFormat/>
    <w:uiPriority w:val="0"/>
    <w:rPr>
      <w:color w:val="333333"/>
      <w:u w:val="none"/>
    </w:rPr>
  </w:style>
  <w:style w:type="paragraph" w:customStyle="1" w:styleId="13">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1280</Words>
  <Characters>1411</Characters>
  <Lines>0</Lines>
  <Paragraphs>0</Paragraphs>
  <TotalTime>1</TotalTime>
  <ScaleCrop>false</ScaleCrop>
  <LinksUpToDate>false</LinksUpToDate>
  <CharactersWithSpaces>1439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2023-02-13T08:20:00Z</dcterms:created>
  <dc:creator>Administrator</dc:creator>
  <cp:lastModifiedBy>(ꈍᴗꈍ)</cp:lastModifiedBy>
  <dcterms:modified xsi:type="dcterms:W3CDTF">2025-08-05T00:48:23Z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C5F2E533F7944BCEBED466DF5F2331C9_13</vt:lpwstr>
  </property>
  <property fmtid="{D5CDD505-2E9C-101B-9397-08002B2CF9AE}" pid="4" name="KSOTemplateDocerSaveRecord">
    <vt:lpwstr>eyJoZGlkIjoiMGJjNzRjZGQ4MGZmOTRkOTE2MzVjZTIzOWViOWE0Y2UiLCJ1c2VySWQiOiIxMDQ3ODcwNjA0In0=</vt:lpwstr>
  </property>
</Properties>
</file>