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72DF5">
      <w:pPr>
        <w:bidi w:val="0"/>
        <w:spacing w:line="360" w:lineRule="auto"/>
        <w:jc w:val="center"/>
        <w:rPr>
          <w:rFonts w:hint="eastAsia" w:ascii="宋体" w:hAnsi="宋体" w:eastAsia="宋体" w:cs="宋体"/>
          <w:b/>
          <w:bCs/>
          <w:sz w:val="44"/>
          <w:szCs w:val="44"/>
          <w:lang w:eastAsia="zh-CN"/>
        </w:rPr>
      </w:pPr>
    </w:p>
    <w:p w14:paraId="050F04B9">
      <w:pPr>
        <w:bidi w:val="0"/>
        <w:spacing w:line="360" w:lineRule="auto"/>
        <w:jc w:val="center"/>
        <w:rPr>
          <w:rFonts w:hint="default" w:ascii="宋体" w:hAnsi="宋体" w:eastAsia="宋体" w:cs="宋体"/>
          <w:b w:val="0"/>
          <w:bCs w:val="0"/>
          <w:sz w:val="28"/>
          <w:szCs w:val="28"/>
          <w:lang w:val="en-US"/>
        </w:rPr>
      </w:pPr>
      <w:r>
        <w:rPr>
          <w:rFonts w:hint="eastAsia" w:ascii="宋体" w:hAnsi="宋体" w:eastAsia="宋体" w:cs="宋体"/>
          <w:b/>
          <w:bCs/>
          <w:sz w:val="44"/>
          <w:szCs w:val="44"/>
          <w:lang w:eastAsia="zh-CN"/>
        </w:rPr>
        <w:t>三都水族自治县人民医院（医共体）总院2024年医疗服务与保障能力提升（公立医院综合改革）中央补助资金建设项目（第一批）</w:t>
      </w:r>
      <w:r>
        <w:rPr>
          <w:rFonts w:hint="eastAsia" w:ascii="宋体" w:hAnsi="宋体" w:eastAsia="宋体" w:cs="宋体"/>
          <w:b/>
          <w:bCs/>
          <w:sz w:val="44"/>
          <w:szCs w:val="44"/>
          <w:lang w:val="en-US" w:eastAsia="zh-CN"/>
        </w:rPr>
        <w:t>C包四次</w:t>
      </w:r>
    </w:p>
    <w:p w14:paraId="7F5BD00C">
      <w:pPr>
        <w:bidi w:val="0"/>
        <w:spacing w:line="360" w:lineRule="auto"/>
        <w:jc w:val="center"/>
        <w:rPr>
          <w:rFonts w:hint="eastAsia" w:ascii="宋体" w:hAnsi="宋体" w:eastAsia="宋体" w:cs="宋体"/>
          <w:b w:val="0"/>
          <w:bCs w:val="0"/>
          <w:sz w:val="28"/>
          <w:szCs w:val="28"/>
        </w:rPr>
      </w:pPr>
    </w:p>
    <w:p w14:paraId="18CE5B85">
      <w:pPr>
        <w:bidi w:val="0"/>
        <w:spacing w:line="360" w:lineRule="auto"/>
        <w:jc w:val="center"/>
        <w:rPr>
          <w:rFonts w:hint="eastAsia" w:ascii="宋体" w:hAnsi="宋体" w:eastAsia="宋体" w:cs="宋体"/>
          <w:b w:val="0"/>
          <w:bCs w:val="0"/>
          <w:sz w:val="28"/>
          <w:szCs w:val="28"/>
        </w:rPr>
      </w:pPr>
    </w:p>
    <w:p w14:paraId="3D85A01A">
      <w:pPr>
        <w:bidi w:val="0"/>
        <w:spacing w:line="360" w:lineRule="auto"/>
        <w:jc w:val="center"/>
        <w:rPr>
          <w:rFonts w:hint="eastAsia" w:ascii="宋体" w:hAnsi="宋体" w:eastAsia="宋体" w:cs="宋体"/>
          <w:b w:val="0"/>
          <w:bCs w:val="0"/>
          <w:sz w:val="28"/>
          <w:szCs w:val="28"/>
        </w:rPr>
      </w:pPr>
    </w:p>
    <w:p w14:paraId="3285D14D">
      <w:pPr>
        <w:bidi w:val="0"/>
        <w:spacing w:line="360" w:lineRule="auto"/>
        <w:jc w:val="center"/>
        <w:rPr>
          <w:rFonts w:hint="eastAsia" w:ascii="宋体" w:hAnsi="宋体" w:eastAsia="宋体" w:cs="宋体"/>
          <w:b w:val="0"/>
          <w:bCs w:val="0"/>
          <w:sz w:val="28"/>
          <w:szCs w:val="28"/>
        </w:rPr>
      </w:pPr>
    </w:p>
    <w:p w14:paraId="5907143C">
      <w:pPr>
        <w:bidi w:val="0"/>
        <w:spacing w:line="360" w:lineRule="auto"/>
        <w:jc w:val="center"/>
        <w:rPr>
          <w:rFonts w:hint="eastAsia" w:ascii="宋体" w:hAnsi="宋体" w:eastAsia="宋体" w:cs="宋体"/>
          <w:b w:val="0"/>
          <w:bCs w:val="0"/>
          <w:sz w:val="28"/>
          <w:szCs w:val="28"/>
        </w:rPr>
      </w:pPr>
    </w:p>
    <w:p w14:paraId="7A9056DA">
      <w:pPr>
        <w:bidi w:val="0"/>
        <w:spacing w:line="360" w:lineRule="auto"/>
        <w:jc w:val="center"/>
        <w:rPr>
          <w:rFonts w:hint="eastAsia" w:ascii="宋体" w:hAnsi="宋体" w:eastAsia="宋体" w:cs="宋体"/>
          <w:b/>
          <w:bCs/>
          <w:sz w:val="28"/>
          <w:szCs w:val="28"/>
        </w:rPr>
      </w:pPr>
    </w:p>
    <w:p w14:paraId="0047D5E2">
      <w:pPr>
        <w:bidi w:val="0"/>
        <w:spacing w:line="360" w:lineRule="auto"/>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rPr>
        <w:t>需</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求</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公</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示</w:t>
      </w:r>
      <w:r>
        <w:rPr>
          <w:rFonts w:hint="eastAsia" w:ascii="宋体" w:hAnsi="宋体" w:eastAsia="宋体" w:cs="宋体"/>
          <w:b/>
          <w:bCs/>
          <w:sz w:val="44"/>
          <w:szCs w:val="44"/>
          <w:lang w:val="en-US" w:eastAsia="zh-CN"/>
        </w:rPr>
        <w:t xml:space="preserve"> 内 容</w:t>
      </w:r>
    </w:p>
    <w:p w14:paraId="4184B534">
      <w:pPr>
        <w:bidi w:val="0"/>
        <w:spacing w:line="360" w:lineRule="auto"/>
        <w:jc w:val="center"/>
        <w:rPr>
          <w:rFonts w:hint="eastAsia" w:ascii="宋体" w:hAnsi="宋体" w:eastAsia="宋体" w:cs="宋体"/>
          <w:b w:val="0"/>
          <w:bCs w:val="0"/>
          <w:sz w:val="28"/>
          <w:szCs w:val="28"/>
        </w:rPr>
      </w:pPr>
    </w:p>
    <w:p w14:paraId="291402AB">
      <w:pPr>
        <w:bidi w:val="0"/>
        <w:spacing w:line="360" w:lineRule="auto"/>
        <w:jc w:val="center"/>
        <w:rPr>
          <w:rFonts w:hint="eastAsia" w:ascii="宋体" w:hAnsi="宋体" w:eastAsia="宋体" w:cs="宋体"/>
          <w:b w:val="0"/>
          <w:bCs w:val="0"/>
          <w:sz w:val="28"/>
          <w:szCs w:val="28"/>
        </w:rPr>
      </w:pPr>
    </w:p>
    <w:p w14:paraId="439D9A07">
      <w:pPr>
        <w:bidi w:val="0"/>
        <w:spacing w:line="360" w:lineRule="auto"/>
        <w:jc w:val="center"/>
        <w:rPr>
          <w:rFonts w:hint="eastAsia" w:ascii="宋体" w:hAnsi="宋体" w:eastAsia="宋体" w:cs="宋体"/>
          <w:b w:val="0"/>
          <w:bCs w:val="0"/>
          <w:sz w:val="28"/>
          <w:szCs w:val="28"/>
        </w:rPr>
      </w:pPr>
    </w:p>
    <w:p w14:paraId="304BE9B7">
      <w:pPr>
        <w:bidi w:val="0"/>
        <w:spacing w:line="360" w:lineRule="auto"/>
        <w:jc w:val="center"/>
        <w:rPr>
          <w:rFonts w:hint="eastAsia" w:ascii="宋体" w:hAnsi="宋体" w:eastAsia="宋体" w:cs="宋体"/>
          <w:b w:val="0"/>
          <w:bCs w:val="0"/>
          <w:sz w:val="28"/>
          <w:szCs w:val="28"/>
        </w:rPr>
      </w:pPr>
    </w:p>
    <w:p w14:paraId="190DD12F">
      <w:pPr>
        <w:bidi w:val="0"/>
        <w:spacing w:line="360" w:lineRule="auto"/>
        <w:jc w:val="center"/>
        <w:rPr>
          <w:rFonts w:hint="eastAsia" w:ascii="宋体" w:hAnsi="宋体" w:eastAsia="宋体" w:cs="宋体"/>
          <w:b w:val="0"/>
          <w:bCs w:val="0"/>
          <w:sz w:val="28"/>
          <w:szCs w:val="28"/>
        </w:rPr>
      </w:pPr>
    </w:p>
    <w:p w14:paraId="177BA3BA">
      <w:pPr>
        <w:bidi w:val="0"/>
        <w:spacing w:line="360" w:lineRule="auto"/>
        <w:jc w:val="center"/>
        <w:rPr>
          <w:rFonts w:hint="eastAsia" w:ascii="宋体" w:hAnsi="宋体" w:eastAsia="宋体" w:cs="宋体"/>
          <w:b w:val="0"/>
          <w:bCs w:val="0"/>
          <w:sz w:val="28"/>
          <w:szCs w:val="28"/>
        </w:rPr>
      </w:pPr>
    </w:p>
    <w:p w14:paraId="1A56C5F0">
      <w:pPr>
        <w:bidi w:val="0"/>
        <w:spacing w:line="360" w:lineRule="auto"/>
        <w:jc w:val="center"/>
        <w:rPr>
          <w:rFonts w:hint="eastAsia" w:ascii="宋体" w:hAnsi="宋体" w:eastAsia="宋体" w:cs="宋体"/>
          <w:b w:val="0"/>
          <w:bCs w:val="0"/>
          <w:sz w:val="28"/>
          <w:szCs w:val="28"/>
        </w:rPr>
      </w:pPr>
    </w:p>
    <w:p w14:paraId="5616B81A">
      <w:pPr>
        <w:bidi w:val="0"/>
        <w:spacing w:line="360" w:lineRule="auto"/>
        <w:jc w:val="center"/>
        <w:rPr>
          <w:rFonts w:hint="eastAsia" w:ascii="宋体" w:hAnsi="宋体" w:eastAsia="宋体" w:cs="宋体"/>
          <w:b w:val="0"/>
          <w:bCs w:val="0"/>
          <w:sz w:val="28"/>
          <w:szCs w:val="28"/>
        </w:rPr>
      </w:pPr>
    </w:p>
    <w:p w14:paraId="106004FF">
      <w:pPr>
        <w:bidi w:val="0"/>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采购单位：</w:t>
      </w:r>
      <w:r>
        <w:rPr>
          <w:rFonts w:hint="eastAsia" w:ascii="宋体" w:hAnsi="宋体" w:eastAsia="宋体" w:cs="宋体"/>
          <w:b/>
          <w:bCs/>
          <w:sz w:val="28"/>
          <w:szCs w:val="28"/>
          <w:lang w:eastAsia="zh-CN"/>
        </w:rPr>
        <w:t>三都水族自治县人民医院</w:t>
      </w:r>
    </w:p>
    <w:p w14:paraId="489CEA47">
      <w:pPr>
        <w:bidi w:val="0"/>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代购代理机构：</w:t>
      </w:r>
      <w:r>
        <w:rPr>
          <w:rFonts w:hint="eastAsia" w:ascii="宋体" w:hAnsi="宋体" w:eastAsia="宋体" w:cs="宋体"/>
          <w:b/>
          <w:bCs/>
          <w:sz w:val="28"/>
          <w:szCs w:val="28"/>
          <w:lang w:val="en-US" w:eastAsia="zh-CN"/>
        </w:rPr>
        <w:t>贵州聚源项目咨询有限公司</w:t>
      </w:r>
    </w:p>
    <w:p w14:paraId="6A487684">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日期：202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日</w:t>
      </w:r>
    </w:p>
    <w:p w14:paraId="1F927515">
      <w:pPr>
        <w:bidi w:val="0"/>
        <w:spacing w:line="360" w:lineRule="auto"/>
        <w:rPr>
          <w:rFonts w:hint="eastAsia" w:ascii="宋体" w:hAnsi="宋体" w:eastAsia="宋体" w:cs="宋体"/>
          <w:b w:val="0"/>
          <w:bCs w:val="0"/>
          <w:sz w:val="28"/>
          <w:szCs w:val="28"/>
        </w:rPr>
        <w:sectPr>
          <w:headerReference r:id="rId5" w:type="default"/>
          <w:pgSz w:w="11906" w:h="16839"/>
          <w:pgMar w:top="400" w:right="1081" w:bottom="0" w:left="1128" w:header="0" w:footer="0" w:gutter="0"/>
          <w:cols w:space="720" w:num="1"/>
        </w:sectPr>
      </w:pPr>
    </w:p>
    <w:p w14:paraId="62438357">
      <w:pPr>
        <w:bidi w:val="0"/>
        <w:spacing w:line="360" w:lineRule="auto"/>
        <w:rPr>
          <w:rFonts w:hint="eastAsia" w:ascii="宋体" w:hAnsi="宋体" w:eastAsia="宋体" w:cs="宋体"/>
          <w:b w:val="0"/>
          <w:bCs w:val="0"/>
          <w:sz w:val="28"/>
          <w:szCs w:val="28"/>
        </w:rPr>
      </w:pPr>
    </w:p>
    <w:p w14:paraId="1898A889">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一、 申请人的资格要求</w:t>
      </w:r>
    </w:p>
    <w:p w14:paraId="7C714AEF">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（一）一般资格条件：</w:t>
      </w:r>
    </w:p>
    <w:p w14:paraId="2CE90FA8">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符合《中华人民共和国政府采购法》第二十二条及《政府采购法实施条例》第十七条规定：</w:t>
      </w:r>
    </w:p>
    <w:p w14:paraId="7848348B">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1. 具有独立承担民事责任的能力：提供法人或其他组织的营业执照等证明文件；</w:t>
      </w:r>
    </w:p>
    <w:p w14:paraId="4B4FD610">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2. 具有良好的商业信誉和健全的财务会计制度：提供202</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年财务报告或</w:t>
      </w:r>
      <w:r>
        <w:rPr>
          <w:rFonts w:hint="eastAsia" w:ascii="宋体" w:hAnsi="宋体" w:eastAsia="宋体" w:cs="宋体"/>
          <w:b w:val="0"/>
          <w:bCs w:val="0"/>
          <w:sz w:val="28"/>
          <w:szCs w:val="28"/>
          <w:lang w:val="en-US" w:eastAsia="zh-CN"/>
        </w:rPr>
        <w:t>2025年</w:t>
      </w:r>
      <w:r>
        <w:rPr>
          <w:rFonts w:hint="eastAsia" w:ascii="宋体" w:hAnsi="宋体" w:eastAsia="宋体" w:cs="宋体"/>
          <w:b w:val="0"/>
          <w:bCs w:val="0"/>
          <w:sz w:val="28"/>
          <w:szCs w:val="28"/>
        </w:rPr>
        <w:t>基本开户银行出具的资信证明。</w:t>
      </w:r>
    </w:p>
    <w:p w14:paraId="38E516A6">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3. 具有履行合同所必需的设备和专业技术能力：提供资格</w:t>
      </w:r>
      <w:bookmarkStart w:id="0" w:name="_GoBack"/>
      <w:bookmarkEnd w:id="0"/>
      <w:r>
        <w:rPr>
          <w:rFonts w:hint="eastAsia" w:ascii="宋体" w:hAnsi="宋体" w:eastAsia="宋体" w:cs="宋体"/>
          <w:b w:val="0"/>
          <w:bCs w:val="0"/>
          <w:sz w:val="28"/>
          <w:szCs w:val="28"/>
        </w:rPr>
        <w:t>声明函；</w:t>
      </w:r>
    </w:p>
    <w:p w14:paraId="5452E9DD">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4. 具有依法缴纳税收和社会保障资金的良好记录：提供202</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年任意</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个月依法缴纳税收和社会保障资金的有效证明材料（依法免税的供应商须提供相应证明文件）</w:t>
      </w:r>
    </w:p>
    <w:p w14:paraId="3780FAB9">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5. 参加本次政府采购活动前三年内，在经营活动中没有违法违规记录：提供资格声明函；</w:t>
      </w:r>
    </w:p>
    <w:p w14:paraId="179FF0D9">
      <w:pPr>
        <w:bidi w:val="0"/>
        <w:spacing w:line="360" w:lineRule="auto"/>
        <w:rPr>
          <w:rFonts w:hint="eastAsia" w:ascii="宋体" w:hAnsi="宋体" w:eastAsia="宋体" w:cs="宋体"/>
          <w:b w:val="0"/>
          <w:bCs w:val="0"/>
          <w:sz w:val="28"/>
          <w:szCs w:val="28"/>
        </w:rPr>
      </w:pPr>
      <w:r>
        <w:rPr>
          <w:rFonts w:hint="eastAsia" w:ascii="宋体" w:hAnsi="宋体" w:eastAsia="宋体" w:cs="宋体"/>
          <w:b w:val="0"/>
          <w:bCs w:val="0"/>
          <w:sz w:val="28"/>
          <w:szCs w:val="28"/>
        </w:rPr>
        <w:t>6. 法律、行政法规规定的其他条件：根据财政部财库（2016）125 号通知要求，对列入失信被执行人、重大税收违法案件当事人名单、政府采购严重违法失信行为记录名单且还在执行期的供应商，拒绝其参与本次采购活动。以“信用中国 ”网站（www.creditchina.gov.cn）、中国政府采购网（www.ccgp.gov.cn）查询结果为依据，提供信用记录承诺书（格式见响应文件格式）。</w:t>
      </w:r>
    </w:p>
    <w:p w14:paraId="045D5AFF">
      <w:pPr>
        <w:bidi w:val="0"/>
        <w:spacing w:line="36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二</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本项目的特定资格要求：</w:t>
      </w:r>
      <w:r>
        <w:rPr>
          <w:rFonts w:hint="eastAsia" w:ascii="宋体" w:hAnsi="宋体" w:eastAsia="宋体" w:cs="宋体"/>
          <w:b w:val="0"/>
          <w:bCs w:val="0"/>
          <w:sz w:val="28"/>
          <w:szCs w:val="28"/>
          <w:lang w:val="en-US" w:eastAsia="zh-CN"/>
        </w:rPr>
        <w:t>/</w:t>
      </w:r>
    </w:p>
    <w:p w14:paraId="354D9D73">
      <w:pPr>
        <w:bidi w:val="0"/>
        <w:spacing w:line="360" w:lineRule="auto"/>
        <w:rPr>
          <w:rFonts w:hint="default" w:ascii="宋体" w:hAnsi="宋体" w:eastAsia="宋体" w:cs="宋体"/>
          <w:b w:val="0"/>
          <w:bCs w:val="0"/>
          <w:sz w:val="28"/>
          <w:szCs w:val="28"/>
          <w:lang w:val="en-US"/>
        </w:rPr>
      </w:pPr>
      <w:r>
        <w:rPr>
          <w:rFonts w:hint="eastAsia" w:ascii="宋体" w:hAnsi="宋体" w:eastAsia="宋体" w:cs="宋体"/>
          <w:b w:val="0"/>
          <w:bCs w:val="0"/>
          <w:sz w:val="28"/>
          <w:szCs w:val="28"/>
        </w:rPr>
        <w:t>（三）落实政府采购政策需满足的资格要求：</w:t>
      </w:r>
      <w:r>
        <w:rPr>
          <w:rFonts w:hint="eastAsia" w:ascii="宋体" w:hAnsi="宋体" w:eastAsia="宋体" w:cs="宋体"/>
          <w:b w:val="0"/>
          <w:bCs w:val="0"/>
          <w:sz w:val="28"/>
          <w:szCs w:val="28"/>
          <w:lang w:val="en-US" w:eastAsia="zh-CN"/>
        </w:rPr>
        <w:t>C包专门面向中小企业采购</w:t>
      </w:r>
    </w:p>
    <w:p w14:paraId="2AC00CED">
      <w:pPr>
        <w:bidi w:val="0"/>
        <w:spacing w:line="360" w:lineRule="auto"/>
        <w:rPr>
          <w:rFonts w:hint="eastAsia" w:ascii="宋体" w:hAnsi="宋体" w:eastAsia="宋体" w:cs="宋体"/>
          <w:b w:val="0"/>
          <w:bCs w:val="0"/>
          <w:sz w:val="28"/>
          <w:szCs w:val="28"/>
        </w:rPr>
      </w:pPr>
    </w:p>
    <w:p w14:paraId="4B7B494B">
      <w:pPr>
        <w:bidi w:val="0"/>
        <w:spacing w:line="360" w:lineRule="auto"/>
        <w:ind w:firstLine="500" w:firstLineChars="0"/>
        <w:rPr>
          <w:rFonts w:hint="eastAsia" w:ascii="宋体" w:hAnsi="宋体" w:eastAsia="宋体" w:cs="宋体"/>
          <w:b w:val="0"/>
          <w:bCs w:val="0"/>
          <w:sz w:val="28"/>
          <w:szCs w:val="28"/>
        </w:rPr>
      </w:pPr>
    </w:p>
    <w:p w14:paraId="3CBFA764">
      <w:pPr>
        <w:bidi w:val="0"/>
        <w:spacing w:line="360" w:lineRule="auto"/>
        <w:rPr>
          <w:rFonts w:hint="eastAsia" w:ascii="宋体" w:hAnsi="宋体" w:eastAsia="宋体" w:cs="宋体"/>
          <w:b w:val="0"/>
          <w:bCs w:val="0"/>
          <w:sz w:val="28"/>
          <w:szCs w:val="28"/>
        </w:rPr>
      </w:pPr>
    </w:p>
    <w:p w14:paraId="4B6082E4">
      <w:pPr>
        <w:bidi w:val="0"/>
        <w:spacing w:line="360" w:lineRule="auto"/>
        <w:rPr>
          <w:rFonts w:hint="eastAsia" w:ascii="宋体" w:hAnsi="宋体" w:eastAsia="宋体" w:cs="宋体"/>
          <w:b w:val="0"/>
          <w:bCs w:val="0"/>
          <w:sz w:val="28"/>
          <w:szCs w:val="28"/>
        </w:rPr>
      </w:pPr>
    </w:p>
    <w:p w14:paraId="461FCE6C">
      <w:pPr>
        <w:bidi w:val="0"/>
        <w:spacing w:line="360" w:lineRule="auto"/>
        <w:rPr>
          <w:rFonts w:hint="eastAsia" w:ascii="宋体" w:hAnsi="宋体" w:eastAsia="宋体" w:cs="宋体"/>
          <w:b w:val="0"/>
          <w:bCs w:val="0"/>
          <w:sz w:val="28"/>
          <w:szCs w:val="28"/>
        </w:rPr>
      </w:pPr>
    </w:p>
    <w:p w14:paraId="247384D8">
      <w:pPr>
        <w:bidi w:val="0"/>
        <w:spacing w:line="360" w:lineRule="auto"/>
        <w:rPr>
          <w:rFonts w:hint="eastAsia" w:ascii="宋体" w:hAnsi="宋体" w:eastAsia="宋体" w:cs="宋体"/>
          <w:b w:val="0"/>
          <w:bCs w:val="0"/>
          <w:sz w:val="28"/>
          <w:szCs w:val="28"/>
        </w:rPr>
      </w:pPr>
    </w:p>
    <w:p w14:paraId="69EA2A0E">
      <w:pPr>
        <w:bidi w:val="0"/>
        <w:spacing w:line="360" w:lineRule="auto"/>
        <w:rPr>
          <w:rFonts w:hint="eastAsia" w:ascii="宋体" w:hAnsi="宋体" w:eastAsia="宋体" w:cs="宋体"/>
          <w:b w:val="0"/>
          <w:bCs w:val="0"/>
          <w:sz w:val="28"/>
          <w:szCs w:val="28"/>
        </w:rPr>
      </w:pPr>
    </w:p>
    <w:p w14:paraId="6218ABB3">
      <w:pPr>
        <w:bidi w:val="0"/>
        <w:spacing w:line="360" w:lineRule="auto"/>
        <w:rPr>
          <w:rFonts w:hint="eastAsia" w:ascii="宋体" w:hAnsi="宋体" w:eastAsia="宋体" w:cs="宋体"/>
          <w:b w:val="0"/>
          <w:bCs w:val="0"/>
          <w:sz w:val="28"/>
          <w:szCs w:val="28"/>
        </w:rPr>
      </w:pPr>
    </w:p>
    <w:p w14:paraId="1D245CAC">
      <w:pPr>
        <w:bidi w:val="0"/>
        <w:spacing w:line="360" w:lineRule="auto"/>
        <w:rPr>
          <w:rFonts w:hint="eastAsia" w:ascii="宋体" w:hAnsi="宋体" w:eastAsia="宋体" w:cs="宋体"/>
          <w:b/>
          <w:bCs/>
          <w:sz w:val="36"/>
          <w:szCs w:val="36"/>
        </w:rPr>
      </w:pPr>
    </w:p>
    <w:p w14:paraId="6A601586">
      <w:pPr>
        <w:pStyle w:val="2"/>
        <w:numPr>
          <w:ilvl w:val="0"/>
          <w:numId w:val="0"/>
        </w:numPr>
        <w:spacing w:line="337" w:lineRule="auto"/>
        <w:jc w:val="both"/>
        <w:rPr>
          <w:rFonts w:hint="eastAsia" w:ascii="宋体" w:hAnsi="宋体" w:eastAsia="宋体" w:cs="宋体"/>
          <w:color w:val="auto"/>
        </w:rPr>
      </w:pPr>
      <w:r>
        <w:rPr>
          <w:rFonts w:hint="eastAsia" w:ascii="宋体" w:hAnsi="宋体" w:eastAsia="宋体" w:cs="宋体"/>
          <w:color w:val="auto"/>
          <w:spacing w:val="7"/>
          <w:sz w:val="31"/>
          <w:szCs w:val="31"/>
        </w:rPr>
        <w:t>二、商务要求</w:t>
      </w:r>
    </w:p>
    <w:p w14:paraId="617572F8">
      <w:pPr>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C包：精神病科病床</w:t>
      </w:r>
      <w:r>
        <w:rPr>
          <w:rFonts w:hint="eastAsia" w:ascii="宋体" w:hAnsi="宋体" w:eastAsia="宋体" w:cs="宋体"/>
          <w:b/>
          <w:bCs/>
          <w:color w:val="auto"/>
          <w:sz w:val="24"/>
          <w:szCs w:val="24"/>
          <w:lang w:val="en-US" w:eastAsia="zh-CN"/>
        </w:rPr>
        <w:br w:type="textWrapping"/>
      </w:r>
      <w:r>
        <w:rPr>
          <w:rFonts w:hint="eastAsia" w:ascii="宋体" w:hAnsi="宋体" w:eastAsia="宋体" w:cs="宋体"/>
          <w:color w:val="auto"/>
          <w:sz w:val="24"/>
          <w:szCs w:val="24"/>
        </w:rPr>
        <w:t>（一）交货期及交货地点</w:t>
      </w:r>
    </w:p>
    <w:p w14:paraId="047C0716">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交货期：签订合同后 </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 xml:space="preserve"> 天内完成交货、安装调试及验收。 </w:t>
      </w:r>
    </w:p>
    <w:p w14:paraId="218D03EB">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交货地点：采购人指定地点。</w:t>
      </w:r>
    </w:p>
    <w:p w14:paraId="56842625">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（二）验收标准、规范</w:t>
      </w:r>
    </w:p>
    <w:p w14:paraId="2D13C159">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根据国家相关规定标准及采购文件内容要求验收。</w:t>
      </w:r>
    </w:p>
    <w:p w14:paraId="0EB38166">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（三）售后服务</w:t>
      </w:r>
    </w:p>
    <w:p w14:paraId="2D52B8CC">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1.如设备出现问题，卖方应在接采购人通知 2 小时内做出响应，在 24 小 时内答复，48 小时内解决问题，不能在规定时间内修好的要提供备品（机）备件确保不影响采购人正常使用。</w:t>
      </w:r>
    </w:p>
    <w:p w14:paraId="080727F8">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2.卖方须向买方提供仪器中文操作手册并培训操作人员，其中包括讲解产品的结构以及原理、产品的使用以及维护保养，直至操作人员能够独立的操作使用。</w:t>
      </w:r>
    </w:p>
    <w:p w14:paraId="1C12BE1A">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.及时提供相关领域新技术与新信息，提供相关技术咨询（该项费用包含在投标报价中）</w:t>
      </w:r>
    </w:p>
    <w:p w14:paraId="177AB1AE">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.供应商承诺中标后对用户人员进行技术培训。使其能掌握有关设备的使用、维护和管理等工作要求。</w:t>
      </w:r>
    </w:p>
    <w:p w14:paraId="4A82BF63">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（四）质保期</w:t>
      </w:r>
    </w:p>
    <w:p w14:paraId="3D5801AA">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通过验收之日起</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年；如国家或厂家对设备或配件另有约定更长免费保修期限的，则从其约定。在质保期内产品质量问题或维修所发生的一切费用由供应商负责。验收时需提供产品质量检测报告。</w:t>
      </w:r>
    </w:p>
    <w:p w14:paraId="690939D0">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（五）付款方式</w:t>
      </w:r>
    </w:p>
    <w:p w14:paraId="478D4453">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付款：采购人与中标供应商自行约定。注：以上款项签订合同后，款项支付时，投标人需提供符合国家财税法规定制度的正规税务发票及验收合格证明（具体以合同签订为准）。</w:t>
      </w:r>
    </w:p>
    <w:p w14:paraId="67AD9F03">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（六）投标有效期</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p w14:paraId="28D73DC0">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（七）其他要求</w:t>
      </w:r>
    </w:p>
    <w:p w14:paraId="55803C0C">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 交通运输、安全等责任由中标方承担；</w:t>
      </w:r>
    </w:p>
    <w:p w14:paraId="4D286F98">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2、未尽事宜，成交后与采购人按相关法律法规合同约定。</w:t>
      </w:r>
    </w:p>
    <w:p w14:paraId="7F01F646">
      <w:pPr>
        <w:bidi w:val="0"/>
        <w:spacing w:line="360" w:lineRule="auto"/>
        <w:rPr>
          <w:rFonts w:hint="eastAsia" w:ascii="宋体" w:hAnsi="宋体" w:eastAsia="宋体" w:cs="宋体"/>
          <w:color w:val="auto"/>
          <w:sz w:val="24"/>
          <w:szCs w:val="24"/>
        </w:rPr>
      </w:pPr>
    </w:p>
    <w:p w14:paraId="524643B7">
      <w:pPr>
        <w:bidi w:val="0"/>
        <w:spacing w:line="360" w:lineRule="auto"/>
        <w:rPr>
          <w:rFonts w:hint="eastAsia" w:ascii="宋体" w:hAnsi="宋体" w:eastAsia="宋体" w:cs="宋体"/>
          <w:b/>
          <w:bCs/>
          <w:color w:val="auto"/>
          <w:sz w:val="24"/>
          <w:szCs w:val="24"/>
          <w:lang w:val="en-US" w:eastAsia="zh-CN"/>
        </w:rPr>
      </w:pPr>
    </w:p>
    <w:p w14:paraId="6094651E">
      <w:pPr>
        <w:bidi w:val="0"/>
        <w:spacing w:line="360" w:lineRule="auto"/>
        <w:rPr>
          <w:rFonts w:hint="eastAsia" w:ascii="宋体" w:hAnsi="宋体" w:eastAsia="宋体" w:cs="宋体"/>
          <w:b/>
          <w:bCs/>
          <w:color w:val="auto"/>
          <w:sz w:val="24"/>
          <w:szCs w:val="24"/>
          <w:lang w:val="en-US" w:eastAsia="zh-CN"/>
        </w:rPr>
      </w:pPr>
    </w:p>
    <w:p w14:paraId="649FAAC4">
      <w:pPr>
        <w:bidi w:val="0"/>
        <w:spacing w:line="360" w:lineRule="auto"/>
        <w:rPr>
          <w:rFonts w:hint="eastAsia" w:ascii="宋体" w:hAnsi="宋体" w:eastAsia="宋体" w:cs="宋体"/>
          <w:b/>
          <w:bCs/>
          <w:color w:val="auto"/>
          <w:sz w:val="24"/>
          <w:szCs w:val="24"/>
          <w:lang w:val="en-US" w:eastAsia="zh-CN"/>
        </w:rPr>
      </w:pPr>
    </w:p>
    <w:p w14:paraId="76058789">
      <w:pPr>
        <w:bidi w:val="0"/>
        <w:spacing w:line="360" w:lineRule="auto"/>
        <w:rPr>
          <w:rFonts w:hint="eastAsia" w:ascii="宋体" w:hAnsi="宋体" w:eastAsia="宋体" w:cs="宋体"/>
          <w:b/>
          <w:bCs/>
          <w:color w:val="auto"/>
          <w:sz w:val="24"/>
          <w:szCs w:val="24"/>
          <w:lang w:val="en-US" w:eastAsia="zh-CN"/>
        </w:rPr>
      </w:pPr>
    </w:p>
    <w:p w14:paraId="4C98D382">
      <w:pPr>
        <w:bidi w:val="0"/>
        <w:spacing w:line="360" w:lineRule="auto"/>
        <w:rPr>
          <w:rFonts w:hint="eastAsia" w:ascii="宋体" w:hAnsi="宋体" w:eastAsia="宋体" w:cs="宋体"/>
          <w:b/>
          <w:bCs/>
          <w:color w:val="auto"/>
          <w:sz w:val="24"/>
          <w:szCs w:val="24"/>
          <w:lang w:val="en-US" w:eastAsia="zh-CN"/>
        </w:rPr>
      </w:pPr>
    </w:p>
    <w:p w14:paraId="5372D9D8">
      <w:pPr>
        <w:bidi w:val="0"/>
        <w:spacing w:line="360" w:lineRule="auto"/>
        <w:rPr>
          <w:rFonts w:hint="eastAsia" w:ascii="宋体" w:hAnsi="宋体" w:eastAsia="宋体" w:cs="宋体"/>
          <w:b/>
          <w:bCs/>
          <w:sz w:val="36"/>
          <w:szCs w:val="36"/>
        </w:rPr>
      </w:pPr>
    </w:p>
    <w:p w14:paraId="008EDA9F">
      <w:pPr>
        <w:bidi w:val="0"/>
        <w:spacing w:line="360" w:lineRule="auto"/>
        <w:rPr>
          <w:rFonts w:hint="default" w:ascii="宋体" w:hAnsi="宋体" w:eastAsia="宋体" w:cs="宋体"/>
          <w:b/>
          <w:bCs/>
          <w:sz w:val="36"/>
          <w:szCs w:val="36"/>
          <w:lang w:val="en-US" w:eastAsia="zh-CN"/>
        </w:rPr>
      </w:pPr>
      <w:r>
        <w:rPr>
          <w:rFonts w:hint="eastAsia" w:ascii="宋体" w:hAnsi="宋体" w:eastAsia="宋体" w:cs="宋体"/>
          <w:b/>
          <w:bCs/>
          <w:sz w:val="36"/>
          <w:szCs w:val="36"/>
        </w:rPr>
        <w:t>三、无效标</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废标</w:t>
      </w:r>
    </w:p>
    <w:p w14:paraId="2077445A">
      <w:pPr>
        <w:spacing w:before="220" w:line="219" w:lineRule="auto"/>
        <w:ind w:left="322"/>
        <w:rPr>
          <w:rFonts w:ascii="宋体" w:hAnsi="宋体" w:eastAsia="宋体" w:cs="宋体"/>
          <w:sz w:val="24"/>
          <w:szCs w:val="24"/>
        </w:rPr>
      </w:pPr>
      <w:r>
        <w:rPr>
          <w:rFonts w:ascii="宋体" w:hAnsi="宋体" w:eastAsia="宋体" w:cs="宋体"/>
          <w:sz w:val="24"/>
          <w:szCs w:val="24"/>
        </w:rPr>
        <w:t>1、供应商存在下列情况之一的，响应无效:</w:t>
      </w:r>
    </w:p>
    <w:p w14:paraId="2DAD0121">
      <w:pPr>
        <w:spacing w:before="184" w:line="219" w:lineRule="auto"/>
        <w:ind w:left="450"/>
        <w:rPr>
          <w:rFonts w:ascii="宋体" w:hAnsi="宋体" w:eastAsia="宋体" w:cs="宋体"/>
          <w:sz w:val="24"/>
          <w:szCs w:val="24"/>
        </w:rPr>
      </w:pPr>
      <w:r>
        <w:rPr>
          <w:rFonts w:ascii="宋体" w:hAnsi="宋体" w:eastAsia="宋体" w:cs="宋体"/>
          <w:spacing w:val="-3"/>
          <w:sz w:val="24"/>
          <w:szCs w:val="24"/>
        </w:rPr>
        <w:t>（1）未实质性响应磋商文件的响应文件；</w:t>
      </w:r>
    </w:p>
    <w:p w14:paraId="26CB5E8E">
      <w:pPr>
        <w:spacing w:before="181" w:line="219" w:lineRule="auto"/>
        <w:ind w:left="450"/>
        <w:rPr>
          <w:rFonts w:ascii="宋体" w:hAnsi="宋体" w:eastAsia="宋体" w:cs="宋体"/>
          <w:sz w:val="24"/>
          <w:szCs w:val="24"/>
        </w:rPr>
      </w:pPr>
      <w:r>
        <w:rPr>
          <w:rFonts w:ascii="宋体" w:hAnsi="宋体" w:eastAsia="宋体" w:cs="宋体"/>
          <w:spacing w:val="-3"/>
          <w:sz w:val="24"/>
          <w:szCs w:val="24"/>
        </w:rPr>
        <w:t>（2）未按照磋商文件的规定提交投标保证金的；</w:t>
      </w:r>
    </w:p>
    <w:p w14:paraId="02E0BAD6">
      <w:pPr>
        <w:spacing w:before="180" w:line="219" w:lineRule="auto"/>
        <w:ind w:left="450"/>
        <w:rPr>
          <w:rFonts w:ascii="宋体" w:hAnsi="宋体" w:eastAsia="宋体" w:cs="宋体"/>
          <w:sz w:val="24"/>
          <w:szCs w:val="24"/>
        </w:rPr>
      </w:pPr>
      <w:r>
        <w:rPr>
          <w:rFonts w:ascii="宋体" w:hAnsi="宋体" w:eastAsia="宋体" w:cs="宋体"/>
          <w:spacing w:val="-3"/>
          <w:sz w:val="24"/>
          <w:szCs w:val="24"/>
        </w:rPr>
        <w:t>（3）响应文件未按磋商文件要求签署、盖章的；</w:t>
      </w:r>
    </w:p>
    <w:p w14:paraId="5B32E026">
      <w:pPr>
        <w:spacing w:before="184" w:line="219" w:lineRule="auto"/>
        <w:ind w:left="450"/>
        <w:rPr>
          <w:rFonts w:ascii="宋体" w:hAnsi="宋体" w:eastAsia="宋体" w:cs="宋体"/>
          <w:sz w:val="24"/>
          <w:szCs w:val="24"/>
        </w:rPr>
      </w:pPr>
      <w:r>
        <w:rPr>
          <w:rFonts w:ascii="宋体" w:hAnsi="宋体" w:eastAsia="宋体" w:cs="宋体"/>
          <w:spacing w:val="-3"/>
          <w:sz w:val="24"/>
          <w:szCs w:val="24"/>
        </w:rPr>
        <w:t>（4）不具备磋商文件中规定的资格要求的；</w:t>
      </w:r>
    </w:p>
    <w:p w14:paraId="616CD5A1">
      <w:pPr>
        <w:spacing w:before="181" w:line="218" w:lineRule="auto"/>
        <w:ind w:left="450"/>
        <w:rPr>
          <w:rFonts w:ascii="宋体" w:hAnsi="宋体" w:eastAsia="宋体" w:cs="宋体"/>
          <w:sz w:val="24"/>
          <w:szCs w:val="24"/>
        </w:rPr>
      </w:pPr>
      <w:r>
        <w:rPr>
          <w:rFonts w:ascii="宋体" w:hAnsi="宋体" w:eastAsia="宋体" w:cs="宋体"/>
          <w:spacing w:val="-3"/>
          <w:sz w:val="24"/>
          <w:szCs w:val="24"/>
        </w:rPr>
        <w:t>（5）报价超过磋商文件中规定的预算金额或者最高限价的；</w:t>
      </w:r>
    </w:p>
    <w:p w14:paraId="6E3F3D95">
      <w:pPr>
        <w:spacing w:before="184" w:line="219" w:lineRule="auto"/>
        <w:ind w:left="450"/>
        <w:rPr>
          <w:rFonts w:ascii="宋体" w:hAnsi="宋体" w:eastAsia="宋体" w:cs="宋体"/>
          <w:sz w:val="24"/>
          <w:szCs w:val="24"/>
        </w:rPr>
      </w:pPr>
      <w:r>
        <w:rPr>
          <w:rFonts w:ascii="宋体" w:hAnsi="宋体" w:eastAsia="宋体" w:cs="宋体"/>
          <w:spacing w:val="-3"/>
          <w:sz w:val="24"/>
          <w:szCs w:val="24"/>
        </w:rPr>
        <w:t>（6）响应文件含有采购人不能接受的附加条件的；</w:t>
      </w:r>
    </w:p>
    <w:p w14:paraId="552B88C8">
      <w:pPr>
        <w:spacing w:before="184" w:line="219" w:lineRule="auto"/>
        <w:ind w:left="450"/>
        <w:rPr>
          <w:rFonts w:ascii="宋体" w:hAnsi="宋体" w:eastAsia="宋体" w:cs="宋体"/>
          <w:sz w:val="24"/>
          <w:szCs w:val="24"/>
        </w:rPr>
      </w:pPr>
      <w:r>
        <w:rPr>
          <w:rFonts w:ascii="宋体" w:hAnsi="宋体" w:eastAsia="宋体" w:cs="宋体"/>
          <w:spacing w:val="-3"/>
          <w:sz w:val="24"/>
          <w:szCs w:val="24"/>
        </w:rPr>
        <w:t>（7）法律、法规和竞争性磋商文件规定的其他无效情形。</w:t>
      </w:r>
    </w:p>
    <w:p w14:paraId="17B6DCDA">
      <w:pPr>
        <w:spacing w:before="181" w:line="289" w:lineRule="auto"/>
        <w:ind w:left="207" w:right="58" w:firstLine="234"/>
        <w:rPr>
          <w:rFonts w:ascii="宋体" w:hAnsi="宋体" w:eastAsia="宋体" w:cs="宋体"/>
          <w:sz w:val="24"/>
          <w:szCs w:val="24"/>
        </w:rPr>
      </w:pPr>
      <w:r>
        <w:rPr>
          <w:rFonts w:ascii="宋体" w:hAnsi="宋体" w:eastAsia="宋体" w:cs="宋体"/>
          <w:spacing w:val="-3"/>
          <w:sz w:val="24"/>
          <w:szCs w:val="24"/>
        </w:rPr>
        <w:t>2、出现下列情形之一的，采购人或者采购代理机构应当终止竞争性磋商采购活动，发布项目终止公告并说明原因，重新开展采购活动：</w:t>
      </w:r>
    </w:p>
    <w:p w14:paraId="748FA9F4">
      <w:pPr>
        <w:spacing w:before="181" w:line="219" w:lineRule="auto"/>
        <w:ind w:left="450"/>
        <w:rPr>
          <w:rFonts w:ascii="宋体" w:hAnsi="宋体" w:eastAsia="宋体" w:cs="宋体"/>
          <w:sz w:val="24"/>
          <w:szCs w:val="24"/>
        </w:rPr>
      </w:pPr>
      <w:r>
        <w:rPr>
          <w:rFonts w:ascii="宋体" w:hAnsi="宋体" w:eastAsia="宋体" w:cs="宋体"/>
          <w:spacing w:val="-3"/>
          <w:sz w:val="24"/>
          <w:szCs w:val="24"/>
        </w:rPr>
        <w:t>（1）因情况变化，不再符合规定的竞争性磋商采购方式适用情形的；</w:t>
      </w:r>
    </w:p>
    <w:p w14:paraId="4B69973A">
      <w:pPr>
        <w:spacing w:before="184" w:line="219" w:lineRule="auto"/>
        <w:ind w:left="450"/>
        <w:rPr>
          <w:rFonts w:ascii="宋体" w:hAnsi="宋体" w:eastAsia="宋体" w:cs="宋体"/>
          <w:sz w:val="24"/>
          <w:szCs w:val="24"/>
        </w:rPr>
      </w:pPr>
      <w:r>
        <w:rPr>
          <w:rFonts w:ascii="宋体" w:hAnsi="宋体" w:eastAsia="宋体" w:cs="宋体"/>
          <w:spacing w:val="-3"/>
          <w:sz w:val="24"/>
          <w:szCs w:val="24"/>
        </w:rPr>
        <w:t>（2）出现影响采购公正的违法、违规行为的；</w:t>
      </w:r>
    </w:p>
    <w:p w14:paraId="139F8C83">
      <w:pPr>
        <w:spacing w:before="182" w:line="289" w:lineRule="auto"/>
        <w:ind w:left="203" w:right="56" w:firstLine="247"/>
        <w:rPr>
          <w:rFonts w:ascii="宋体" w:hAnsi="宋体" w:eastAsia="宋体" w:cs="宋体"/>
          <w:sz w:val="24"/>
          <w:szCs w:val="24"/>
        </w:rPr>
      </w:pPr>
      <w:r>
        <w:rPr>
          <w:rFonts w:ascii="宋体" w:hAnsi="宋体" w:eastAsia="宋体" w:cs="宋体"/>
          <w:spacing w:val="-3"/>
          <w:sz w:val="24"/>
          <w:szCs w:val="24"/>
        </w:rPr>
        <w:t>（3）竞争性磋商符合资格条件的供应商不得少于三家，进入磋商过程中，符合采购人</w:t>
      </w:r>
      <w:r>
        <w:rPr>
          <w:rFonts w:ascii="宋体" w:hAnsi="宋体" w:eastAsia="宋体" w:cs="宋体"/>
          <w:spacing w:val="-4"/>
          <w:sz w:val="24"/>
          <w:szCs w:val="24"/>
        </w:rPr>
        <w:t>技术等方面要</w:t>
      </w:r>
      <w:r>
        <w:rPr>
          <w:rFonts w:ascii="宋体" w:hAnsi="宋体" w:eastAsia="宋体" w:cs="宋体"/>
          <w:spacing w:val="-3"/>
          <w:sz w:val="24"/>
          <w:szCs w:val="24"/>
        </w:rPr>
        <w:t>求的供应商为两家，磋商活动可以继续进行。</w:t>
      </w:r>
    </w:p>
    <w:p w14:paraId="13855851">
      <w:pPr>
        <w:pStyle w:val="3"/>
        <w:rPr>
          <w:rFonts w:hint="eastAsia" w:ascii="宋体" w:hAnsi="宋体" w:eastAsia="宋体" w:cs="宋体"/>
          <w:b w:val="0"/>
          <w:bCs w:val="0"/>
          <w:sz w:val="28"/>
          <w:szCs w:val="28"/>
        </w:rPr>
      </w:pPr>
    </w:p>
    <w:p w14:paraId="3A5078E1">
      <w:pPr>
        <w:rPr>
          <w:rFonts w:hint="eastAsia" w:ascii="宋体" w:hAnsi="宋体" w:eastAsia="宋体" w:cs="宋体"/>
          <w:b w:val="0"/>
          <w:bCs w:val="0"/>
          <w:sz w:val="28"/>
          <w:szCs w:val="28"/>
        </w:rPr>
      </w:pPr>
    </w:p>
    <w:p w14:paraId="728E9316">
      <w:pPr>
        <w:pStyle w:val="3"/>
        <w:rPr>
          <w:rFonts w:hint="eastAsia" w:ascii="宋体" w:hAnsi="宋体" w:eastAsia="宋体" w:cs="宋体"/>
          <w:b w:val="0"/>
          <w:bCs w:val="0"/>
          <w:sz w:val="28"/>
          <w:szCs w:val="28"/>
        </w:rPr>
      </w:pPr>
    </w:p>
    <w:p w14:paraId="4C539E74">
      <w:pPr>
        <w:rPr>
          <w:rFonts w:hint="eastAsia" w:ascii="宋体" w:hAnsi="宋体" w:eastAsia="宋体" w:cs="宋体"/>
          <w:b w:val="0"/>
          <w:bCs w:val="0"/>
          <w:sz w:val="28"/>
          <w:szCs w:val="28"/>
        </w:rPr>
      </w:pPr>
    </w:p>
    <w:p w14:paraId="154B037B">
      <w:pPr>
        <w:pStyle w:val="3"/>
        <w:rPr>
          <w:rFonts w:hint="eastAsia" w:ascii="宋体" w:hAnsi="宋体" w:eastAsia="宋体" w:cs="宋体"/>
          <w:b w:val="0"/>
          <w:bCs w:val="0"/>
          <w:sz w:val="28"/>
          <w:szCs w:val="28"/>
        </w:rPr>
      </w:pPr>
    </w:p>
    <w:p w14:paraId="4E66B48D">
      <w:pPr>
        <w:rPr>
          <w:rFonts w:hint="eastAsia" w:ascii="宋体" w:hAnsi="宋体" w:eastAsia="宋体" w:cs="宋体"/>
          <w:b w:val="0"/>
          <w:bCs w:val="0"/>
          <w:sz w:val="28"/>
          <w:szCs w:val="28"/>
        </w:rPr>
      </w:pPr>
    </w:p>
    <w:p w14:paraId="33FF50D5">
      <w:pPr>
        <w:pStyle w:val="3"/>
        <w:rPr>
          <w:rFonts w:hint="eastAsia" w:ascii="宋体" w:hAnsi="宋体" w:eastAsia="宋体" w:cs="宋体"/>
          <w:b w:val="0"/>
          <w:bCs w:val="0"/>
          <w:sz w:val="28"/>
          <w:szCs w:val="28"/>
        </w:rPr>
      </w:pPr>
    </w:p>
    <w:p w14:paraId="25A13B27">
      <w:pPr>
        <w:rPr>
          <w:rFonts w:hint="eastAsia"/>
        </w:rPr>
      </w:pPr>
    </w:p>
    <w:p w14:paraId="50274A87">
      <w:pPr>
        <w:pStyle w:val="3"/>
        <w:rPr>
          <w:rFonts w:hint="eastAsia" w:ascii="宋体" w:hAnsi="宋体" w:eastAsia="宋体" w:cs="宋体"/>
          <w:b w:val="0"/>
          <w:bCs w:val="0"/>
          <w:sz w:val="28"/>
          <w:szCs w:val="28"/>
        </w:rPr>
      </w:pPr>
    </w:p>
    <w:p w14:paraId="0C70D1A7">
      <w:pPr>
        <w:rPr>
          <w:rFonts w:hint="eastAsia" w:ascii="宋体" w:hAnsi="宋体" w:eastAsia="宋体" w:cs="宋体"/>
          <w:b w:val="0"/>
          <w:bCs w:val="0"/>
          <w:sz w:val="28"/>
          <w:szCs w:val="28"/>
        </w:rPr>
      </w:pPr>
    </w:p>
    <w:p w14:paraId="12D7706F">
      <w:pPr>
        <w:rPr>
          <w:rFonts w:hint="eastAsia" w:ascii="宋体" w:hAnsi="宋体" w:eastAsia="宋体" w:cs="宋体"/>
          <w:b w:val="0"/>
          <w:bCs w:val="0"/>
          <w:sz w:val="28"/>
          <w:szCs w:val="28"/>
        </w:rPr>
      </w:pPr>
    </w:p>
    <w:p w14:paraId="014C420E">
      <w:pPr>
        <w:rPr>
          <w:rFonts w:hint="eastAsia" w:ascii="宋体" w:hAnsi="宋体" w:eastAsia="宋体" w:cs="宋体"/>
          <w:b w:val="0"/>
          <w:bCs w:val="0"/>
          <w:sz w:val="28"/>
          <w:szCs w:val="28"/>
        </w:rPr>
      </w:pPr>
    </w:p>
    <w:p w14:paraId="72467070">
      <w:pPr>
        <w:rPr>
          <w:rFonts w:hint="eastAsia" w:ascii="宋体" w:hAnsi="宋体" w:eastAsia="宋体" w:cs="宋体"/>
          <w:b w:val="0"/>
          <w:bCs w:val="0"/>
          <w:sz w:val="28"/>
          <w:szCs w:val="28"/>
        </w:rPr>
      </w:pPr>
    </w:p>
    <w:p w14:paraId="2A306457">
      <w:pPr>
        <w:rPr>
          <w:rFonts w:hint="eastAsia" w:ascii="宋体" w:hAnsi="宋体" w:eastAsia="宋体" w:cs="宋体"/>
          <w:b w:val="0"/>
          <w:bCs w:val="0"/>
          <w:sz w:val="28"/>
          <w:szCs w:val="28"/>
        </w:rPr>
      </w:pPr>
    </w:p>
    <w:p w14:paraId="6454302C">
      <w:pPr>
        <w:rPr>
          <w:rFonts w:hint="eastAsia" w:ascii="宋体" w:hAnsi="宋体" w:eastAsia="宋体" w:cs="宋体"/>
          <w:b w:val="0"/>
          <w:bCs w:val="0"/>
          <w:sz w:val="28"/>
          <w:szCs w:val="28"/>
        </w:rPr>
      </w:pPr>
    </w:p>
    <w:p w14:paraId="2C1D4712">
      <w:pPr>
        <w:rPr>
          <w:rFonts w:hint="eastAsia" w:ascii="宋体" w:hAnsi="宋体" w:eastAsia="宋体" w:cs="宋体"/>
          <w:b w:val="0"/>
          <w:bCs w:val="0"/>
          <w:sz w:val="28"/>
          <w:szCs w:val="28"/>
        </w:rPr>
      </w:pPr>
    </w:p>
    <w:p w14:paraId="6EA5DADA">
      <w:pPr>
        <w:rPr>
          <w:rFonts w:hint="eastAsia" w:ascii="宋体" w:hAnsi="宋体" w:eastAsia="宋体" w:cs="宋体"/>
          <w:b w:val="0"/>
          <w:bCs w:val="0"/>
          <w:sz w:val="28"/>
          <w:szCs w:val="28"/>
        </w:rPr>
      </w:pPr>
    </w:p>
    <w:p w14:paraId="15FA853A">
      <w:pPr>
        <w:rPr>
          <w:rFonts w:hint="eastAsia" w:ascii="宋体" w:hAnsi="宋体" w:eastAsia="宋体" w:cs="宋体"/>
          <w:b w:val="0"/>
          <w:bCs w:val="0"/>
          <w:sz w:val="28"/>
          <w:szCs w:val="28"/>
        </w:rPr>
      </w:pPr>
    </w:p>
    <w:p w14:paraId="0629DBA0">
      <w:pPr>
        <w:rPr>
          <w:rFonts w:hint="eastAsia" w:ascii="宋体" w:hAnsi="宋体" w:eastAsia="宋体" w:cs="宋体"/>
          <w:b w:val="0"/>
          <w:bCs w:val="0"/>
          <w:sz w:val="28"/>
          <w:szCs w:val="28"/>
        </w:rPr>
      </w:pPr>
    </w:p>
    <w:p w14:paraId="166627CF">
      <w:pPr>
        <w:rPr>
          <w:rFonts w:hint="eastAsia" w:ascii="宋体" w:hAnsi="宋体" w:eastAsia="宋体" w:cs="宋体"/>
          <w:b w:val="0"/>
          <w:bCs w:val="0"/>
          <w:sz w:val="28"/>
          <w:szCs w:val="28"/>
        </w:rPr>
      </w:pPr>
    </w:p>
    <w:p w14:paraId="7A5C149A">
      <w:pPr>
        <w:rPr>
          <w:rFonts w:hint="eastAsia" w:ascii="宋体" w:hAnsi="宋体" w:eastAsia="宋体" w:cs="宋体"/>
          <w:b w:val="0"/>
          <w:bCs w:val="0"/>
          <w:sz w:val="28"/>
          <w:szCs w:val="28"/>
        </w:rPr>
      </w:pPr>
    </w:p>
    <w:p w14:paraId="33956A74">
      <w:pPr>
        <w:rPr>
          <w:rFonts w:hint="eastAsia" w:ascii="宋体" w:hAnsi="宋体" w:eastAsia="宋体" w:cs="宋体"/>
          <w:b w:val="0"/>
          <w:bCs w:val="0"/>
          <w:sz w:val="28"/>
          <w:szCs w:val="28"/>
        </w:rPr>
      </w:pPr>
    </w:p>
    <w:p w14:paraId="69017627">
      <w:pPr>
        <w:rPr>
          <w:rFonts w:hint="eastAsia" w:ascii="宋体" w:hAnsi="宋体" w:eastAsia="宋体" w:cs="宋体"/>
          <w:b w:val="0"/>
          <w:bCs w:val="0"/>
          <w:sz w:val="28"/>
          <w:szCs w:val="28"/>
        </w:rPr>
      </w:pPr>
    </w:p>
    <w:p w14:paraId="305BB4AC">
      <w:pPr>
        <w:rPr>
          <w:rFonts w:hint="eastAsia"/>
        </w:rPr>
      </w:pPr>
    </w:p>
    <w:p w14:paraId="476F351E">
      <w:pPr>
        <w:pStyle w:val="3"/>
        <w:rPr>
          <w:rFonts w:hint="eastAsia"/>
        </w:rPr>
      </w:pPr>
    </w:p>
    <w:p w14:paraId="52B49038">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、评标办法本项目采</w:t>
      </w:r>
      <w:r>
        <w:rPr>
          <w:rFonts w:hint="eastAsia" w:ascii="宋体" w:hAnsi="宋体" w:eastAsia="宋体" w:cs="宋体"/>
          <w:b/>
          <w:bCs/>
          <w:sz w:val="36"/>
          <w:szCs w:val="36"/>
          <w:u w:val="none"/>
        </w:rPr>
        <w:t xml:space="preserve">用 </w:t>
      </w:r>
      <w:r>
        <w:rPr>
          <w:rFonts w:hint="eastAsia" w:ascii="宋体" w:hAnsi="宋体" w:eastAsia="宋体" w:cs="宋体"/>
          <w:b/>
          <w:bCs/>
          <w:sz w:val="36"/>
          <w:szCs w:val="36"/>
          <w:u w:val="single"/>
        </w:rPr>
        <w:t xml:space="preserve"> 综合评分法 </w:t>
      </w:r>
      <w:r>
        <w:rPr>
          <w:rFonts w:hint="eastAsia" w:ascii="宋体" w:hAnsi="宋体" w:eastAsia="宋体" w:cs="宋体"/>
          <w:b/>
          <w:bCs/>
          <w:sz w:val="36"/>
          <w:szCs w:val="36"/>
        </w:rPr>
        <w:t xml:space="preserve"> 进行评审。</w:t>
      </w:r>
    </w:p>
    <w:p w14:paraId="442486E5">
      <w:pPr>
        <w:bidi w:val="0"/>
        <w:spacing w:line="360" w:lineRule="auto"/>
        <w:jc w:val="both"/>
        <w:rPr>
          <w:rFonts w:hint="eastAsia" w:ascii="宋体" w:hAnsi="宋体" w:eastAsia="宋体" w:cs="宋体"/>
          <w:b/>
          <w:bCs/>
          <w:sz w:val="28"/>
          <w:szCs w:val="28"/>
        </w:rPr>
      </w:pPr>
    </w:p>
    <w:p w14:paraId="52F0B34C">
      <w:pPr>
        <w:bidi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（注：本次采购需求内容以发布的采购公告及</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rPr>
        <w:t>文件为准）</w:t>
      </w:r>
    </w:p>
    <w:p w14:paraId="0394EBA6">
      <w:pPr>
        <w:bidi w:val="0"/>
        <w:spacing w:line="360" w:lineRule="auto"/>
        <w:rPr>
          <w:rFonts w:hint="eastAsia" w:ascii="宋体" w:hAnsi="宋体" w:eastAsia="宋体" w:cs="宋体"/>
          <w:b w:val="0"/>
          <w:bCs w:val="0"/>
          <w:sz w:val="28"/>
          <w:szCs w:val="28"/>
        </w:rPr>
      </w:pPr>
    </w:p>
    <w:sectPr>
      <w:headerReference r:id="rId6" w:type="default"/>
      <w:pgSz w:w="11906" w:h="16839"/>
      <w:pgMar w:top="400" w:right="1079" w:bottom="0" w:left="109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4120">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8AC0">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U1ZTk5OTM5Zjk2NzI0NWQ5NTY2NzVmZTQ0NzU5ZGIifQ=="/>
  </w:docVars>
  <w:rsids>
    <w:rsidRoot w:val="00000000"/>
    <w:rsid w:val="010158D6"/>
    <w:rsid w:val="09F57F5A"/>
    <w:rsid w:val="0EE902CC"/>
    <w:rsid w:val="108F6A5A"/>
    <w:rsid w:val="1A9A1F1D"/>
    <w:rsid w:val="1E3B31C9"/>
    <w:rsid w:val="1FD955FC"/>
    <w:rsid w:val="2D3D249A"/>
    <w:rsid w:val="36783969"/>
    <w:rsid w:val="3EB63141"/>
    <w:rsid w:val="47B07704"/>
    <w:rsid w:val="4F7F2836"/>
    <w:rsid w:val="537F6B4E"/>
    <w:rsid w:val="567A2995"/>
    <w:rsid w:val="5A405C9C"/>
    <w:rsid w:val="5AA1498D"/>
    <w:rsid w:val="5F15195E"/>
    <w:rsid w:val="63D655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1"/>
    <w:basedOn w:val="1"/>
    <w:next w:val="1"/>
    <w:qFormat/>
    <w:uiPriority w:val="0"/>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8"/>
      <w:szCs w:val="28"/>
      <w:lang w:val="en-US" w:eastAsia="en-US" w:bidi="ar-SA"/>
    </w:rPr>
  </w:style>
  <w:style w:type="paragraph" w:customStyle="1" w:styleId="9">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1591</Words>
  <Characters>1661</Characters>
  <TotalTime>2</TotalTime>
  <ScaleCrop>false</ScaleCrop>
  <LinksUpToDate>false</LinksUpToDate>
  <CharactersWithSpaces>1689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2024-06-17T13:12:00Z</dcterms:created>
  <dc:creator>y q s</dc:creator>
  <cp:lastModifiedBy>LT</cp:lastModifiedBy>
  <dcterms:modified xsi:type="dcterms:W3CDTF">2025-07-11T06:39:32Z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2024-06-24T10:07:28Z</vt:filetime>
  </property>
  <property fmtid="{D5CDD505-2E9C-101B-9397-08002B2CF9AE}" pid="4" name="KSOProductBuildVer">
    <vt:lpwstr>2052-12.1.0.21915</vt:lpwstr>
  </property>
  <property fmtid="{D5CDD505-2E9C-101B-9397-08002B2CF9AE}" pid="5" name="ICV">
    <vt:lpwstr>3D6DF24914A7440C95C8FEB5BCD1B689_13</vt:lpwstr>
  </property>
  <property fmtid="{D5CDD505-2E9C-101B-9397-08002B2CF9AE}" pid="6" name="KSOTemplateDocerSaveRecord">
    <vt:lpwstr>eyJoZGlkIjoiNDU1ZTk5OTM5Zjk2NzI0NWQ5NTY2NzVmZTQ0NzU5ZGIiLCJ1c2VySWQiOiIxMTIzNzcyMTc4In0=</vt:lpwstr>
  </property>
</Properties>
</file>