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2C53E">
      <w:pPr>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普定县2025年度粤黔东西部协作资金产业基础实施建设项目—定南街道夜郎新村坪子上至田坝产业路</w:t>
      </w:r>
    </w:p>
    <w:p w14:paraId="4302DC6B">
      <w:pPr>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建设项目采购需求公示</w:t>
      </w:r>
    </w:p>
    <w:p w14:paraId="5B41198D">
      <w:pPr>
        <w:pStyle w:val="2"/>
        <w:rPr>
          <w:rFonts w:hint="eastAsia"/>
          <w:lang w:val="en-US" w:eastAsia="zh-CN"/>
        </w:rPr>
      </w:pPr>
    </w:p>
    <w:p w14:paraId="238845F3">
      <w:pPr>
        <w:spacing w:after="78"/>
        <w:ind w:firstLine="562" w:firstLineChars="200"/>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（一）资格条件</w:t>
      </w:r>
    </w:p>
    <w:p w14:paraId="5B68D2EB">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8"/>
          <w:szCs w:val="28"/>
          <w:u w:val="single"/>
          <w:shd w:val="clear" w:color="auto" w:fill="FFFFFF"/>
        </w:rPr>
      </w:pPr>
      <w:r>
        <w:rPr>
          <w:rFonts w:hint="eastAsia" w:ascii="宋体" w:hAnsi="宋体" w:eastAsia="宋体" w:cs="宋体"/>
          <w:color w:val="3D4B64"/>
          <w:sz w:val="28"/>
          <w:szCs w:val="28"/>
          <w:u w:val="single"/>
          <w:shd w:val="clear" w:color="auto" w:fill="FFFFFF"/>
        </w:rPr>
        <w:t xml:space="preserve">1）具有独立承担民事责任的能力：有效的三证合一营业执照； </w:t>
      </w:r>
    </w:p>
    <w:p w14:paraId="3A70450B">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8"/>
          <w:szCs w:val="28"/>
          <w:u w:val="single"/>
          <w:shd w:val="clear" w:color="auto" w:fill="FFFFFF"/>
        </w:rPr>
      </w:pPr>
      <w:r>
        <w:rPr>
          <w:rFonts w:hint="eastAsia" w:ascii="宋体" w:hAnsi="宋体" w:eastAsia="宋体" w:cs="宋体"/>
          <w:color w:val="3D4B64"/>
          <w:sz w:val="28"/>
          <w:szCs w:val="28"/>
          <w:u w:val="single"/>
          <w:shd w:val="clear" w:color="auto" w:fill="FFFFFF"/>
        </w:rPr>
        <w:t>2）具有良好的商业信誉和健全的财务会计制度：提供企业近六个月中任意一个月财务状况报表或2023年</w:t>
      </w:r>
      <w:r>
        <w:rPr>
          <w:rFonts w:hint="eastAsia" w:ascii="宋体" w:hAnsi="宋体" w:eastAsia="宋体" w:cs="宋体"/>
          <w:color w:val="3D4B64"/>
          <w:sz w:val="28"/>
          <w:szCs w:val="28"/>
          <w:u w:val="single"/>
          <w:shd w:val="clear" w:color="auto" w:fill="FFFFFF"/>
          <w:lang w:eastAsia="zh-CN"/>
        </w:rPr>
        <w:t>（</w:t>
      </w:r>
      <w:r>
        <w:rPr>
          <w:rFonts w:hint="eastAsia" w:ascii="宋体" w:hAnsi="宋体" w:eastAsia="宋体" w:cs="宋体"/>
          <w:color w:val="3D4B64"/>
          <w:sz w:val="28"/>
          <w:szCs w:val="28"/>
          <w:u w:val="single"/>
          <w:shd w:val="clear" w:color="auto" w:fill="FFFFFF"/>
          <w:lang w:val="en-US" w:eastAsia="zh-CN"/>
        </w:rPr>
        <w:t>或2024年</w:t>
      </w:r>
      <w:r>
        <w:rPr>
          <w:rFonts w:hint="eastAsia" w:ascii="宋体" w:hAnsi="宋体" w:eastAsia="宋体" w:cs="宋体"/>
          <w:color w:val="3D4B64"/>
          <w:sz w:val="28"/>
          <w:szCs w:val="28"/>
          <w:u w:val="single"/>
          <w:shd w:val="clear" w:color="auto" w:fill="FFFFFF"/>
          <w:lang w:eastAsia="zh-CN"/>
        </w:rPr>
        <w:t>）</w:t>
      </w:r>
      <w:r>
        <w:rPr>
          <w:rFonts w:hint="eastAsia" w:ascii="宋体" w:hAnsi="宋体" w:eastAsia="宋体" w:cs="宋体"/>
          <w:color w:val="3D4B64"/>
          <w:sz w:val="28"/>
          <w:szCs w:val="28"/>
          <w:u w:val="single"/>
          <w:shd w:val="clear" w:color="auto" w:fill="FFFFFF"/>
        </w:rPr>
        <w:t xml:space="preserve">年度审计报告； </w:t>
      </w:r>
    </w:p>
    <w:p w14:paraId="1B6DB08F">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8"/>
          <w:szCs w:val="28"/>
          <w:u w:val="single"/>
          <w:shd w:val="clear" w:color="auto" w:fill="FFFFFF"/>
        </w:rPr>
      </w:pPr>
      <w:r>
        <w:rPr>
          <w:rFonts w:hint="eastAsia" w:ascii="宋体" w:hAnsi="宋体" w:eastAsia="宋体" w:cs="宋体"/>
          <w:color w:val="3D4B64"/>
          <w:sz w:val="28"/>
          <w:szCs w:val="28"/>
          <w:u w:val="single"/>
          <w:shd w:val="clear" w:color="auto" w:fill="FFFFFF"/>
        </w:rPr>
        <w:t xml:space="preserve">3）有履行合同所必须的设备和专业技术能力：提供具备履行合同所必需的设备和专业技术能力的书面承诺函（承诺函格式自拟）； </w:t>
      </w:r>
    </w:p>
    <w:p w14:paraId="7F7F2093">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8"/>
          <w:szCs w:val="28"/>
          <w:u w:val="single"/>
          <w:shd w:val="clear" w:color="auto" w:fill="FFFFFF"/>
        </w:rPr>
      </w:pPr>
      <w:r>
        <w:rPr>
          <w:rFonts w:hint="eastAsia" w:ascii="宋体" w:hAnsi="宋体" w:eastAsia="宋体" w:cs="宋体"/>
          <w:color w:val="3D4B64"/>
          <w:sz w:val="28"/>
          <w:szCs w:val="28"/>
          <w:u w:val="single"/>
          <w:shd w:val="clear" w:color="auto" w:fill="FFFFFF"/>
        </w:rPr>
        <w:t xml:space="preserve">4）有依法缴纳税收和社会保障资金的良好记录：提供企业近六个月中任意一个月缴纳社会保障资金的相关材料的证明材料和企业近六个月中任意一个月依法纳税的证明材料； </w:t>
      </w:r>
    </w:p>
    <w:p w14:paraId="765E9AB4">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8"/>
          <w:szCs w:val="28"/>
          <w:u w:val="single"/>
          <w:shd w:val="clear" w:color="auto" w:fill="FFFFFF"/>
        </w:rPr>
      </w:pPr>
      <w:r>
        <w:rPr>
          <w:rFonts w:hint="eastAsia" w:ascii="宋体" w:hAnsi="宋体" w:eastAsia="宋体" w:cs="宋体"/>
          <w:color w:val="3D4B64"/>
          <w:sz w:val="28"/>
          <w:szCs w:val="28"/>
          <w:u w:val="single"/>
          <w:shd w:val="clear" w:color="auto" w:fill="FFFFFF"/>
        </w:rPr>
        <w:t xml:space="preserve">5）参加政府采购活动前三年内，在经营活动中没有重大违法记录：提供参加政府采购活动前3年内在经营活动中没有重大违法记录的声明函（格式自拟）； </w:t>
      </w:r>
    </w:p>
    <w:p w14:paraId="7946408D">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sz w:val="28"/>
          <w:szCs w:val="28"/>
        </w:rPr>
      </w:pPr>
      <w:r>
        <w:rPr>
          <w:rFonts w:hint="eastAsia" w:ascii="宋体" w:hAnsi="宋体" w:eastAsia="宋体" w:cs="宋体"/>
          <w:color w:val="3D4B64"/>
          <w:sz w:val="28"/>
          <w:szCs w:val="28"/>
          <w:u w:val="single"/>
          <w:shd w:val="clear" w:color="auto" w:fill="FFFFFF"/>
        </w:rPr>
        <w:t>6）法律、行政法规规定的其他条件： ①投标代表为法定代表人的提供本人身份证；投标代表为非法定代表人的提供法定代表人授权委托书、法定代表人身份证复印件、被授权代表身份证； ②投标人在“信用中国”网站（www.creditchina.gov.cn ）查询的信用记录情况（对列入失信被执行人、重大税收违法失信主体名单，如查询结果显示“没查到您要的信息”，视为没有上述不良信用信息查询记录，若有不良信用记录，该投标供应商做无效投标处理）证据留存方式：投标人提供查询记录截图(投标时供应商需提供查询结果的网页截图作为资格证明材料，若有不良信用记录，该投标供应商做无效投标处理)。</w:t>
      </w:r>
      <w:r>
        <w:rPr>
          <w:rFonts w:hint="eastAsia" w:ascii="宋体" w:hAnsi="宋体" w:eastAsia="宋体" w:cs="宋体"/>
          <w:color w:val="3D4B64"/>
          <w:sz w:val="28"/>
          <w:szCs w:val="28"/>
          <w:shd w:val="clear" w:color="auto" w:fill="FFFFFF"/>
        </w:rPr>
        <w:t xml:space="preserve"> </w:t>
      </w:r>
    </w:p>
    <w:p w14:paraId="2B79540D">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8"/>
          <w:szCs w:val="28"/>
          <w:u w:val="single"/>
          <w:shd w:val="clear" w:color="auto" w:fill="FFFFFF"/>
        </w:rPr>
      </w:pPr>
      <w:r>
        <w:rPr>
          <w:rFonts w:hint="eastAsia" w:ascii="宋体" w:hAnsi="宋体" w:eastAsia="宋体" w:cs="宋体"/>
          <w:color w:val="3D4B64"/>
          <w:sz w:val="28"/>
          <w:szCs w:val="28"/>
          <w:shd w:val="clear" w:color="auto" w:fill="FFFFFF"/>
        </w:rPr>
        <w:t>3.本项目的特定资格要求：</w:t>
      </w:r>
      <w:r>
        <w:rPr>
          <w:rFonts w:hint="eastAsia" w:ascii="宋体" w:hAnsi="宋体" w:eastAsia="宋体" w:cs="宋体"/>
          <w:color w:val="3D4B64"/>
          <w:sz w:val="28"/>
          <w:szCs w:val="28"/>
          <w:u w:val="single"/>
          <w:shd w:val="clear" w:color="auto" w:fill="FFFFFF"/>
        </w:rPr>
        <w:t>1）投标单位具备</w:t>
      </w:r>
      <w:r>
        <w:rPr>
          <w:rFonts w:hint="eastAsia" w:ascii="宋体" w:hAnsi="宋体" w:eastAsia="宋体" w:cs="宋体"/>
          <w:color w:val="3D4B64"/>
          <w:sz w:val="28"/>
          <w:szCs w:val="28"/>
          <w:u w:val="single"/>
          <w:shd w:val="clear" w:color="auto" w:fill="FFFFFF"/>
          <w:lang w:eastAsia="zh-CN"/>
        </w:rPr>
        <w:t>市政公用工程</w:t>
      </w:r>
      <w:r>
        <w:rPr>
          <w:rFonts w:hint="eastAsia" w:ascii="宋体" w:hAnsi="宋体" w:eastAsia="宋体" w:cs="宋体"/>
          <w:color w:val="3D4B64"/>
          <w:sz w:val="28"/>
          <w:szCs w:val="28"/>
          <w:u w:val="single"/>
          <w:shd w:val="clear" w:color="auto" w:fill="FFFFFF"/>
        </w:rPr>
        <w:t>施工总承包三级及以上资质、具备有效的安全生产许可证； 2）项目负责人系已在投标人单位注册并具备</w:t>
      </w:r>
      <w:r>
        <w:rPr>
          <w:rFonts w:hint="eastAsia" w:ascii="宋体" w:hAnsi="宋体" w:eastAsia="宋体" w:cs="宋体"/>
          <w:color w:val="3D4B64"/>
          <w:sz w:val="28"/>
          <w:szCs w:val="28"/>
          <w:u w:val="single"/>
          <w:shd w:val="clear" w:color="auto" w:fill="FFFFFF"/>
          <w:lang w:eastAsia="zh-CN"/>
        </w:rPr>
        <w:t>市政公用工程</w:t>
      </w:r>
      <w:r>
        <w:rPr>
          <w:rFonts w:hint="eastAsia" w:ascii="宋体" w:hAnsi="宋体" w:eastAsia="宋体" w:cs="宋体"/>
          <w:color w:val="3D4B64"/>
          <w:sz w:val="28"/>
          <w:szCs w:val="28"/>
          <w:u w:val="single"/>
          <w:shd w:val="clear" w:color="auto" w:fill="FFFFFF"/>
        </w:rPr>
        <w:t>专业二级（含以上级）注册建造师执业资格，具备有效的安全生产考核合格证书（B类）。 3）投标人须提供中小企业申明函。（按照《安顺市财政局 安顺市工业和信息化局关于转发《省财政厅省工业和信息化厅关于转发&lt;政府采购促进中小企业发展管理办法&gt;的通知》的通知》(安市财采[2021]21号)的规定，该项目专门面向中小企业采购。投标供应商应为中型企业、小型企业、微型企业、标准的个体工商户，不得与大型企业的负责人为同一人，不得与大型企业存在直接控股、管理关系(特别提示：根据相关政府采购政策，监狱企业、残疾人福利性单位视同小、微型企业，享受相关政府采购政策）。）</w:t>
      </w:r>
    </w:p>
    <w:p w14:paraId="1784F96C">
      <w:pPr>
        <w:pStyle w:val="16"/>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sz w:val="28"/>
          <w:szCs w:val="28"/>
        </w:rPr>
      </w:pPr>
      <w:r>
        <w:rPr>
          <w:rFonts w:hint="eastAsia" w:ascii="宋体" w:hAnsi="宋体" w:eastAsia="宋体" w:cs="宋体"/>
          <w:color w:val="3D4B64"/>
          <w:sz w:val="28"/>
          <w:szCs w:val="28"/>
          <w:u w:val="single"/>
          <w:shd w:val="clear" w:color="auto" w:fill="FFFFFF"/>
        </w:rPr>
        <w:t>注：①根据安市财采〔2023〕3号规定，供应商投标时提供“安顺市政府采购供应商资格信用承诺函”原件，无需提交【1-6项】资格证明材料，待确定中标人后，中标人应在领取中标通知书前向采购人提交【1-6项】资格证明材料进行核验（供应商应对信用承诺内容的真实性、合法性、有效性负责，如发现供应商虚假信用承诺，视为“提供虚假材料谋取中标、成交”行为，将按照《中华人民共和国政府采购法》第七十七条之规定进行处罚。②以上材料（资格信用承诺函及特殊资格要求的资料）投标人须通过投标工具在资格核验模块上传，开标现场由招标人及监督通过系统在线核验；③本项目不接受联合体投标。</w:t>
      </w:r>
      <w:r>
        <w:rPr>
          <w:rFonts w:hint="eastAsia" w:ascii="宋体" w:hAnsi="宋体" w:eastAsia="宋体" w:cs="宋体"/>
          <w:color w:val="3D4B64"/>
          <w:sz w:val="28"/>
          <w:szCs w:val="28"/>
          <w:shd w:val="clear" w:color="auto" w:fill="FFFFFF"/>
        </w:rPr>
        <w:t xml:space="preserve"> </w:t>
      </w:r>
    </w:p>
    <w:p w14:paraId="705B1324">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14:paraId="2CCB1E92">
      <w:pPr>
        <w:spacing w:line="360" w:lineRule="auto"/>
        <w:ind w:firstLine="562" w:firstLineChars="2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项目内容采购需求</w:t>
      </w:r>
      <w:r>
        <w:rPr>
          <w:rFonts w:hint="eastAsia" w:ascii="宋体" w:hAnsi="宋体" w:eastAsia="宋体" w:cs="宋体"/>
          <w:b/>
          <w:bCs/>
          <w:sz w:val="28"/>
          <w:szCs w:val="28"/>
          <w:highlight w:val="none"/>
          <w:lang w:eastAsia="zh-CN"/>
        </w:rPr>
        <w:t>：</w:t>
      </w:r>
    </w:p>
    <w:tbl>
      <w:tblPr>
        <w:tblW w:w="1084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7"/>
        <w:gridCol w:w="2485"/>
        <w:gridCol w:w="1078"/>
        <w:gridCol w:w="1079"/>
        <w:gridCol w:w="5126"/>
      </w:tblGrid>
      <w:tr w14:paraId="24434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tcBorders>
              <w:bottom w:val="single" w:color="000000" w:sz="8" w:space="0"/>
              <w:right w:val="single" w:color="000000" w:sz="8" w:space="0"/>
            </w:tcBorders>
            <w:shd w:val="clear"/>
            <w:vAlign w:val="center"/>
          </w:tcPr>
          <w:p w14:paraId="5635D96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2491" w:type="dxa"/>
            <w:tcBorders>
              <w:left w:val="nil"/>
              <w:bottom w:val="single" w:color="000000" w:sz="8" w:space="0"/>
              <w:right w:val="single" w:color="000000" w:sz="8" w:space="0"/>
            </w:tcBorders>
            <w:shd w:val="clear"/>
            <w:vAlign w:val="center"/>
          </w:tcPr>
          <w:p w14:paraId="378C42B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项目名称</w:t>
            </w:r>
          </w:p>
        </w:tc>
        <w:tc>
          <w:tcPr>
            <w:tcW w:w="1080" w:type="dxa"/>
            <w:tcBorders>
              <w:left w:val="nil"/>
              <w:bottom w:val="single" w:color="000000" w:sz="8" w:space="0"/>
              <w:right w:val="single" w:color="000000" w:sz="8" w:space="0"/>
            </w:tcBorders>
            <w:shd w:val="clear"/>
            <w:vAlign w:val="center"/>
          </w:tcPr>
          <w:p w14:paraId="061454D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单位</w:t>
            </w:r>
          </w:p>
        </w:tc>
        <w:tc>
          <w:tcPr>
            <w:tcW w:w="1080" w:type="dxa"/>
            <w:tcBorders>
              <w:left w:val="nil"/>
              <w:bottom w:val="single" w:color="000000" w:sz="8" w:space="0"/>
              <w:right w:val="single" w:color="000000" w:sz="8" w:space="0"/>
            </w:tcBorders>
            <w:shd w:val="clear"/>
            <w:vAlign w:val="center"/>
          </w:tcPr>
          <w:p w14:paraId="1B720CF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数量</w:t>
            </w:r>
          </w:p>
        </w:tc>
        <w:tc>
          <w:tcPr>
            <w:tcW w:w="5126" w:type="dxa"/>
            <w:tcBorders>
              <w:left w:val="nil"/>
              <w:bottom w:val="single" w:color="000000" w:sz="8" w:space="0"/>
            </w:tcBorders>
            <w:shd w:val="clear"/>
            <w:noWrap/>
            <w:vAlign w:val="center"/>
          </w:tcPr>
          <w:p w14:paraId="625D2C2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p>
        </w:tc>
      </w:tr>
      <w:tr w14:paraId="1401B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5A5B830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w:t>
            </w:r>
          </w:p>
        </w:tc>
        <w:tc>
          <w:tcPr>
            <w:tcW w:w="2491" w:type="dxa"/>
            <w:tcBorders>
              <w:top w:val="nil"/>
              <w:left w:val="nil"/>
              <w:bottom w:val="single" w:color="000000" w:sz="8" w:space="0"/>
              <w:right w:val="single" w:color="000000" w:sz="8" w:space="0"/>
            </w:tcBorders>
            <w:shd w:val="clear"/>
            <w:vAlign w:val="center"/>
          </w:tcPr>
          <w:p w14:paraId="6BA7D21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工程直接费用</w:t>
            </w:r>
          </w:p>
        </w:tc>
        <w:tc>
          <w:tcPr>
            <w:tcW w:w="1080" w:type="dxa"/>
            <w:tcBorders>
              <w:top w:val="nil"/>
              <w:left w:val="nil"/>
              <w:bottom w:val="single" w:color="000000" w:sz="8" w:space="0"/>
              <w:right w:val="single" w:color="000000" w:sz="8" w:space="0"/>
            </w:tcBorders>
            <w:shd w:val="clear"/>
            <w:vAlign w:val="center"/>
          </w:tcPr>
          <w:p w14:paraId="734388B3">
            <w:pPr>
              <w:jc w:val="center"/>
              <w:rPr>
                <w:rFonts w:hint="eastAsia" w:ascii="宋体" w:hAnsi="宋体" w:eastAsia="宋体" w:cs="宋体"/>
                <w:b/>
                <w:bCs/>
                <w:i w:val="0"/>
                <w:iCs w:val="0"/>
                <w:color w:val="000000"/>
                <w:sz w:val="28"/>
                <w:szCs w:val="28"/>
                <w:u w:val="none"/>
              </w:rPr>
            </w:pPr>
          </w:p>
        </w:tc>
        <w:tc>
          <w:tcPr>
            <w:tcW w:w="1080" w:type="dxa"/>
            <w:tcBorders>
              <w:top w:val="nil"/>
              <w:left w:val="nil"/>
              <w:bottom w:val="single" w:color="000000" w:sz="8" w:space="0"/>
              <w:right w:val="single" w:color="000000" w:sz="8" w:space="0"/>
            </w:tcBorders>
            <w:shd w:val="clear"/>
            <w:vAlign w:val="center"/>
          </w:tcPr>
          <w:p w14:paraId="29BF1865">
            <w:pPr>
              <w:jc w:val="center"/>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8" w:space="0"/>
            </w:tcBorders>
            <w:shd w:val="clear"/>
            <w:noWrap/>
            <w:vAlign w:val="center"/>
          </w:tcPr>
          <w:p w14:paraId="44DF9A65">
            <w:pPr>
              <w:jc w:val="center"/>
              <w:rPr>
                <w:rFonts w:hint="eastAsia" w:ascii="宋体" w:hAnsi="宋体" w:eastAsia="宋体" w:cs="宋体"/>
                <w:b/>
                <w:bCs/>
                <w:i w:val="0"/>
                <w:iCs w:val="0"/>
                <w:color w:val="000000"/>
                <w:sz w:val="28"/>
                <w:szCs w:val="28"/>
                <w:u w:val="none"/>
              </w:rPr>
            </w:pPr>
          </w:p>
        </w:tc>
      </w:tr>
      <w:tr w14:paraId="2FEEB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59257D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2491" w:type="dxa"/>
            <w:tcBorders>
              <w:top w:val="nil"/>
              <w:left w:val="nil"/>
              <w:bottom w:val="single" w:color="000000" w:sz="8" w:space="0"/>
              <w:right w:val="single" w:color="000000" w:sz="8" w:space="0"/>
            </w:tcBorders>
            <w:shd w:val="clear"/>
            <w:vAlign w:val="center"/>
          </w:tcPr>
          <w:p w14:paraId="09A139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土方开挖</w:t>
            </w:r>
          </w:p>
        </w:tc>
        <w:tc>
          <w:tcPr>
            <w:tcW w:w="1080" w:type="dxa"/>
            <w:tcBorders>
              <w:top w:val="nil"/>
              <w:left w:val="nil"/>
              <w:bottom w:val="single" w:color="000000" w:sz="8" w:space="0"/>
              <w:right w:val="single" w:color="000000" w:sz="8" w:space="0"/>
            </w:tcBorders>
            <w:shd w:val="clear"/>
            <w:vAlign w:val="center"/>
          </w:tcPr>
          <w:p w14:paraId="221C26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32"/>
                <w:rFonts w:hint="eastAsia" w:ascii="宋体" w:hAnsi="宋体" w:eastAsia="宋体" w:cs="宋体"/>
                <w:sz w:val="28"/>
                <w:szCs w:val="28"/>
                <w:bdr w:val="none" w:color="auto" w:sz="0" w:space="0"/>
                <w:lang w:val="en-US" w:eastAsia="zh-CN" w:bidi="ar"/>
              </w:rPr>
              <w:t>M</w:t>
            </w:r>
            <w:r>
              <w:rPr>
                <w:rFonts w:hint="eastAsia" w:ascii="宋体" w:hAnsi="宋体" w:eastAsia="宋体" w:cs="宋体"/>
                <w:i w:val="0"/>
                <w:iCs w:val="0"/>
                <w:color w:val="000000"/>
                <w:kern w:val="0"/>
                <w:sz w:val="28"/>
                <w:szCs w:val="28"/>
                <w:u w:val="none"/>
                <w:bdr w:val="none" w:color="auto" w:sz="0" w:space="0"/>
                <w:vertAlign w:val="superscript"/>
                <w:lang w:val="en-US" w:eastAsia="zh-CN" w:bidi="ar"/>
              </w:rPr>
              <w:t>3</w:t>
            </w:r>
          </w:p>
        </w:tc>
        <w:tc>
          <w:tcPr>
            <w:tcW w:w="1080" w:type="dxa"/>
            <w:tcBorders>
              <w:top w:val="nil"/>
              <w:left w:val="nil"/>
              <w:bottom w:val="single" w:color="000000" w:sz="8" w:space="0"/>
              <w:right w:val="single" w:color="000000" w:sz="8" w:space="0"/>
            </w:tcBorders>
            <w:shd w:val="clear"/>
            <w:vAlign w:val="center"/>
          </w:tcPr>
          <w:p w14:paraId="02CE11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3000</w:t>
            </w:r>
          </w:p>
        </w:tc>
        <w:tc>
          <w:tcPr>
            <w:tcW w:w="5126" w:type="dxa"/>
            <w:tcBorders>
              <w:top w:val="nil"/>
              <w:left w:val="nil"/>
              <w:bottom w:val="single" w:color="000000" w:sz="8" w:space="0"/>
            </w:tcBorders>
            <w:shd w:val="clear"/>
            <w:vAlign w:val="center"/>
          </w:tcPr>
          <w:p w14:paraId="628B457B">
            <w:pPr>
              <w:rPr>
                <w:rFonts w:hint="eastAsia" w:ascii="宋体" w:hAnsi="宋体" w:eastAsia="宋体" w:cs="宋体"/>
                <w:i w:val="0"/>
                <w:iCs w:val="0"/>
                <w:color w:val="000000"/>
                <w:sz w:val="28"/>
                <w:szCs w:val="28"/>
                <w:u w:val="none"/>
              </w:rPr>
            </w:pPr>
          </w:p>
        </w:tc>
      </w:tr>
      <w:tr w14:paraId="53F67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6BD9B1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2491" w:type="dxa"/>
            <w:tcBorders>
              <w:top w:val="nil"/>
              <w:left w:val="nil"/>
              <w:bottom w:val="single" w:color="000000" w:sz="8" w:space="0"/>
              <w:right w:val="single" w:color="000000" w:sz="8" w:space="0"/>
            </w:tcBorders>
            <w:shd w:val="clear"/>
            <w:vAlign w:val="center"/>
          </w:tcPr>
          <w:p w14:paraId="24B157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大渣回填（厚20厘米）</w:t>
            </w:r>
          </w:p>
        </w:tc>
        <w:tc>
          <w:tcPr>
            <w:tcW w:w="1080" w:type="dxa"/>
            <w:tcBorders>
              <w:top w:val="nil"/>
              <w:left w:val="nil"/>
              <w:bottom w:val="single" w:color="000000" w:sz="8" w:space="0"/>
              <w:right w:val="single" w:color="000000" w:sz="8" w:space="0"/>
            </w:tcBorders>
            <w:shd w:val="clear"/>
            <w:vAlign w:val="center"/>
          </w:tcPr>
          <w:p w14:paraId="232C5F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32"/>
                <w:rFonts w:hint="eastAsia" w:ascii="宋体" w:hAnsi="宋体" w:eastAsia="宋体" w:cs="宋体"/>
                <w:sz w:val="28"/>
                <w:szCs w:val="28"/>
                <w:bdr w:val="none" w:color="auto" w:sz="0" w:space="0"/>
                <w:lang w:val="en-US" w:eastAsia="zh-CN" w:bidi="ar"/>
              </w:rPr>
              <w:t>M</w:t>
            </w:r>
            <w:r>
              <w:rPr>
                <w:rFonts w:hint="eastAsia" w:ascii="宋体" w:hAnsi="宋体" w:eastAsia="宋体" w:cs="宋体"/>
                <w:i w:val="0"/>
                <w:iCs w:val="0"/>
                <w:color w:val="000000"/>
                <w:kern w:val="0"/>
                <w:sz w:val="28"/>
                <w:szCs w:val="28"/>
                <w:u w:val="none"/>
                <w:bdr w:val="none" w:color="auto" w:sz="0" w:space="0"/>
                <w:vertAlign w:val="superscript"/>
                <w:lang w:val="en-US" w:eastAsia="zh-CN" w:bidi="ar"/>
              </w:rPr>
              <w:t>3</w:t>
            </w:r>
          </w:p>
        </w:tc>
        <w:tc>
          <w:tcPr>
            <w:tcW w:w="1080" w:type="dxa"/>
            <w:tcBorders>
              <w:top w:val="nil"/>
              <w:left w:val="nil"/>
              <w:bottom w:val="single" w:color="000000" w:sz="8" w:space="0"/>
              <w:right w:val="single" w:color="000000" w:sz="8" w:space="0"/>
            </w:tcBorders>
            <w:shd w:val="clear"/>
            <w:vAlign w:val="center"/>
          </w:tcPr>
          <w:p w14:paraId="2B1B84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1225</w:t>
            </w:r>
          </w:p>
        </w:tc>
        <w:tc>
          <w:tcPr>
            <w:tcW w:w="5126" w:type="dxa"/>
            <w:tcBorders>
              <w:top w:val="nil"/>
              <w:left w:val="nil"/>
              <w:bottom w:val="single" w:color="000000" w:sz="8" w:space="0"/>
            </w:tcBorders>
            <w:shd w:val="clear"/>
            <w:vAlign w:val="center"/>
          </w:tcPr>
          <w:p w14:paraId="60C26254">
            <w:pPr>
              <w:rPr>
                <w:rFonts w:hint="eastAsia" w:ascii="宋体" w:hAnsi="宋体" w:eastAsia="宋体" w:cs="宋体"/>
                <w:i w:val="0"/>
                <w:iCs w:val="0"/>
                <w:color w:val="000000"/>
                <w:sz w:val="28"/>
                <w:szCs w:val="28"/>
                <w:u w:val="none"/>
              </w:rPr>
            </w:pPr>
          </w:p>
        </w:tc>
      </w:tr>
      <w:tr w14:paraId="719F5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571997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2491" w:type="dxa"/>
            <w:tcBorders>
              <w:top w:val="nil"/>
              <w:left w:val="nil"/>
              <w:bottom w:val="single" w:color="000000" w:sz="8" w:space="0"/>
              <w:right w:val="single" w:color="000000" w:sz="8" w:space="0"/>
            </w:tcBorders>
            <w:shd w:val="clear"/>
            <w:vAlign w:val="center"/>
          </w:tcPr>
          <w:p w14:paraId="65E0C9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碎石垫层（厚15厘米）</w:t>
            </w:r>
          </w:p>
        </w:tc>
        <w:tc>
          <w:tcPr>
            <w:tcW w:w="1080" w:type="dxa"/>
            <w:tcBorders>
              <w:top w:val="nil"/>
              <w:left w:val="nil"/>
              <w:bottom w:val="single" w:color="000000" w:sz="8" w:space="0"/>
              <w:right w:val="single" w:color="000000" w:sz="8" w:space="0"/>
            </w:tcBorders>
            <w:shd w:val="clear"/>
            <w:vAlign w:val="center"/>
          </w:tcPr>
          <w:p w14:paraId="059CF1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32"/>
                <w:rFonts w:hint="eastAsia" w:ascii="宋体" w:hAnsi="宋体" w:eastAsia="宋体" w:cs="宋体"/>
                <w:sz w:val="28"/>
                <w:szCs w:val="28"/>
                <w:bdr w:val="none" w:color="auto" w:sz="0" w:space="0"/>
                <w:lang w:val="en-US" w:eastAsia="zh-CN" w:bidi="ar"/>
              </w:rPr>
              <w:t>M</w:t>
            </w:r>
            <w:r>
              <w:rPr>
                <w:rFonts w:hint="eastAsia" w:ascii="宋体" w:hAnsi="宋体" w:eastAsia="宋体" w:cs="宋体"/>
                <w:i w:val="0"/>
                <w:iCs w:val="0"/>
                <w:color w:val="000000"/>
                <w:kern w:val="0"/>
                <w:sz w:val="28"/>
                <w:szCs w:val="28"/>
                <w:u w:val="none"/>
                <w:bdr w:val="none" w:color="auto" w:sz="0" w:space="0"/>
                <w:vertAlign w:val="superscript"/>
                <w:lang w:val="en-US" w:eastAsia="zh-CN" w:bidi="ar"/>
              </w:rPr>
              <w:t>3</w:t>
            </w:r>
          </w:p>
        </w:tc>
        <w:tc>
          <w:tcPr>
            <w:tcW w:w="1080" w:type="dxa"/>
            <w:tcBorders>
              <w:top w:val="nil"/>
              <w:left w:val="nil"/>
              <w:bottom w:val="single" w:color="000000" w:sz="8" w:space="0"/>
              <w:right w:val="single" w:color="000000" w:sz="8" w:space="0"/>
            </w:tcBorders>
            <w:shd w:val="clear"/>
            <w:vAlign w:val="center"/>
          </w:tcPr>
          <w:p w14:paraId="134250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920</w:t>
            </w:r>
          </w:p>
        </w:tc>
        <w:tc>
          <w:tcPr>
            <w:tcW w:w="5126" w:type="dxa"/>
            <w:tcBorders>
              <w:top w:val="nil"/>
              <w:left w:val="nil"/>
              <w:bottom w:val="single" w:color="000000" w:sz="8" w:space="0"/>
            </w:tcBorders>
            <w:shd w:val="clear"/>
            <w:vAlign w:val="bottom"/>
          </w:tcPr>
          <w:p w14:paraId="7FFB8B4C">
            <w:pPr>
              <w:rPr>
                <w:rFonts w:hint="eastAsia" w:ascii="宋体" w:hAnsi="宋体" w:eastAsia="宋体" w:cs="宋体"/>
                <w:i w:val="0"/>
                <w:iCs w:val="0"/>
                <w:color w:val="000000"/>
                <w:sz w:val="28"/>
                <w:szCs w:val="28"/>
                <w:u w:val="none"/>
              </w:rPr>
            </w:pPr>
          </w:p>
        </w:tc>
      </w:tr>
      <w:tr w14:paraId="1A083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6ECDF7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2491" w:type="dxa"/>
            <w:tcBorders>
              <w:top w:val="nil"/>
              <w:left w:val="nil"/>
              <w:bottom w:val="single" w:color="000000" w:sz="8" w:space="0"/>
              <w:right w:val="single" w:color="000000" w:sz="8" w:space="0"/>
            </w:tcBorders>
            <w:shd w:val="clear"/>
            <w:vAlign w:val="center"/>
          </w:tcPr>
          <w:p w14:paraId="201707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C25混凝土硬化</w:t>
            </w:r>
          </w:p>
        </w:tc>
        <w:tc>
          <w:tcPr>
            <w:tcW w:w="1080" w:type="dxa"/>
            <w:tcBorders>
              <w:top w:val="nil"/>
              <w:left w:val="nil"/>
              <w:bottom w:val="single" w:color="000000" w:sz="8" w:space="0"/>
              <w:right w:val="single" w:color="000000" w:sz="8" w:space="0"/>
            </w:tcBorders>
            <w:shd w:val="clear"/>
            <w:vAlign w:val="center"/>
          </w:tcPr>
          <w:p w14:paraId="273324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32"/>
                <w:rFonts w:hint="eastAsia" w:ascii="宋体" w:hAnsi="宋体" w:eastAsia="宋体" w:cs="宋体"/>
                <w:sz w:val="28"/>
                <w:szCs w:val="28"/>
                <w:bdr w:val="none" w:color="auto" w:sz="0" w:space="0"/>
                <w:lang w:val="en-US" w:eastAsia="zh-CN" w:bidi="ar"/>
              </w:rPr>
              <w:t>M</w:t>
            </w:r>
            <w:r>
              <w:rPr>
                <w:rStyle w:val="33"/>
                <w:rFonts w:hint="eastAsia" w:ascii="宋体" w:hAnsi="宋体" w:eastAsia="宋体" w:cs="宋体"/>
                <w:sz w:val="28"/>
                <w:szCs w:val="28"/>
                <w:bdr w:val="none" w:color="auto" w:sz="0" w:space="0"/>
                <w:lang w:val="en-US" w:eastAsia="zh-CN" w:bidi="ar"/>
              </w:rPr>
              <w:t>²</w:t>
            </w:r>
          </w:p>
        </w:tc>
        <w:tc>
          <w:tcPr>
            <w:tcW w:w="1080" w:type="dxa"/>
            <w:tcBorders>
              <w:top w:val="nil"/>
              <w:left w:val="nil"/>
              <w:bottom w:val="single" w:color="000000" w:sz="8" w:space="0"/>
              <w:right w:val="single" w:color="000000" w:sz="8" w:space="0"/>
            </w:tcBorders>
            <w:shd w:val="clear"/>
            <w:vAlign w:val="center"/>
          </w:tcPr>
          <w:p w14:paraId="6A264E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6125</w:t>
            </w:r>
          </w:p>
        </w:tc>
        <w:tc>
          <w:tcPr>
            <w:tcW w:w="5126" w:type="dxa"/>
            <w:tcBorders>
              <w:top w:val="nil"/>
              <w:left w:val="nil"/>
              <w:bottom w:val="single" w:color="000000" w:sz="8" w:space="0"/>
            </w:tcBorders>
            <w:shd w:val="clear"/>
            <w:vAlign w:val="center"/>
          </w:tcPr>
          <w:p w14:paraId="11304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长1997.61米，宽3米，厚15厘米，含错车道6个，双波峰增强排水管30米。</w:t>
            </w:r>
          </w:p>
        </w:tc>
      </w:tr>
      <w:tr w14:paraId="38D32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4E798C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2491" w:type="dxa"/>
            <w:tcBorders>
              <w:top w:val="nil"/>
              <w:left w:val="nil"/>
              <w:bottom w:val="single" w:color="000000" w:sz="8" w:space="0"/>
              <w:right w:val="single" w:color="000000" w:sz="8" w:space="0"/>
            </w:tcBorders>
            <w:shd w:val="clear"/>
            <w:vAlign w:val="center"/>
          </w:tcPr>
          <w:p w14:paraId="5D99B0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M7.5浆砌堡坎</w:t>
            </w:r>
          </w:p>
        </w:tc>
        <w:tc>
          <w:tcPr>
            <w:tcW w:w="1080" w:type="dxa"/>
            <w:tcBorders>
              <w:top w:val="nil"/>
              <w:left w:val="nil"/>
              <w:bottom w:val="single" w:color="000000" w:sz="8" w:space="0"/>
              <w:right w:val="single" w:color="000000" w:sz="8" w:space="0"/>
            </w:tcBorders>
            <w:shd w:val="clear"/>
            <w:vAlign w:val="center"/>
          </w:tcPr>
          <w:p w14:paraId="2320AB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32"/>
                <w:rFonts w:hint="eastAsia" w:ascii="宋体" w:hAnsi="宋体" w:eastAsia="宋体" w:cs="宋体"/>
                <w:sz w:val="28"/>
                <w:szCs w:val="28"/>
                <w:bdr w:val="none" w:color="auto" w:sz="0" w:space="0"/>
                <w:lang w:val="en-US" w:eastAsia="zh-CN" w:bidi="ar"/>
              </w:rPr>
              <w:t>M</w:t>
            </w:r>
            <w:r>
              <w:rPr>
                <w:rFonts w:hint="eastAsia" w:ascii="宋体" w:hAnsi="宋体" w:eastAsia="宋体" w:cs="宋体"/>
                <w:i w:val="0"/>
                <w:iCs w:val="0"/>
                <w:color w:val="000000"/>
                <w:kern w:val="0"/>
                <w:sz w:val="28"/>
                <w:szCs w:val="28"/>
                <w:u w:val="none"/>
                <w:bdr w:val="none" w:color="auto" w:sz="0" w:space="0"/>
                <w:vertAlign w:val="superscript"/>
                <w:lang w:val="en-US" w:eastAsia="zh-CN" w:bidi="ar"/>
              </w:rPr>
              <w:t>3</w:t>
            </w:r>
          </w:p>
        </w:tc>
        <w:tc>
          <w:tcPr>
            <w:tcW w:w="1080" w:type="dxa"/>
            <w:tcBorders>
              <w:top w:val="nil"/>
              <w:left w:val="nil"/>
              <w:bottom w:val="single" w:color="000000" w:sz="8" w:space="0"/>
              <w:right w:val="single" w:color="000000" w:sz="8" w:space="0"/>
            </w:tcBorders>
            <w:shd w:val="clear"/>
            <w:vAlign w:val="center"/>
          </w:tcPr>
          <w:p w14:paraId="417277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1280</w:t>
            </w:r>
          </w:p>
        </w:tc>
        <w:tc>
          <w:tcPr>
            <w:tcW w:w="5126" w:type="dxa"/>
            <w:tcBorders>
              <w:top w:val="nil"/>
              <w:left w:val="nil"/>
              <w:bottom w:val="single" w:color="000000" w:sz="8" w:space="0"/>
            </w:tcBorders>
            <w:shd w:val="clear"/>
            <w:vAlign w:val="center"/>
          </w:tcPr>
          <w:p w14:paraId="1B1F02C5">
            <w:pPr>
              <w:jc w:val="center"/>
              <w:rPr>
                <w:rFonts w:hint="eastAsia" w:ascii="宋体" w:hAnsi="宋体" w:eastAsia="宋体" w:cs="宋体"/>
                <w:i w:val="0"/>
                <w:iCs w:val="0"/>
                <w:color w:val="000000"/>
                <w:sz w:val="28"/>
                <w:szCs w:val="28"/>
                <w:u w:val="none"/>
              </w:rPr>
            </w:pPr>
          </w:p>
        </w:tc>
      </w:tr>
      <w:tr w14:paraId="0B335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60A106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w:t>
            </w:r>
          </w:p>
        </w:tc>
        <w:tc>
          <w:tcPr>
            <w:tcW w:w="2491" w:type="dxa"/>
            <w:tcBorders>
              <w:top w:val="nil"/>
              <w:left w:val="nil"/>
              <w:bottom w:val="single" w:color="000000" w:sz="8" w:space="0"/>
              <w:right w:val="single" w:color="000000" w:sz="8" w:space="0"/>
            </w:tcBorders>
            <w:shd w:val="clear"/>
            <w:vAlign w:val="center"/>
          </w:tcPr>
          <w:p w14:paraId="0F54FC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双波峰增强排水管</w:t>
            </w:r>
          </w:p>
        </w:tc>
        <w:tc>
          <w:tcPr>
            <w:tcW w:w="1080" w:type="dxa"/>
            <w:tcBorders>
              <w:top w:val="nil"/>
              <w:left w:val="nil"/>
              <w:bottom w:val="single" w:color="000000" w:sz="8" w:space="0"/>
              <w:right w:val="single" w:color="000000" w:sz="8" w:space="0"/>
            </w:tcBorders>
            <w:shd w:val="clear"/>
            <w:vAlign w:val="center"/>
          </w:tcPr>
          <w:p w14:paraId="264408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M</w:t>
            </w:r>
          </w:p>
        </w:tc>
        <w:tc>
          <w:tcPr>
            <w:tcW w:w="1080" w:type="dxa"/>
            <w:tcBorders>
              <w:top w:val="nil"/>
              <w:left w:val="nil"/>
              <w:bottom w:val="single" w:color="000000" w:sz="8" w:space="0"/>
              <w:right w:val="single" w:color="000000" w:sz="8" w:space="0"/>
            </w:tcBorders>
            <w:shd w:val="clear"/>
            <w:vAlign w:val="center"/>
          </w:tcPr>
          <w:p w14:paraId="3D84CB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w:t>
            </w:r>
          </w:p>
        </w:tc>
        <w:tc>
          <w:tcPr>
            <w:tcW w:w="5126" w:type="dxa"/>
            <w:tcBorders>
              <w:top w:val="nil"/>
              <w:left w:val="nil"/>
              <w:bottom w:val="single" w:color="000000" w:sz="8" w:space="0"/>
            </w:tcBorders>
            <w:shd w:val="clear"/>
            <w:vAlign w:val="center"/>
          </w:tcPr>
          <w:p w14:paraId="39B476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DN200HDPE双壁波纹管</w:t>
            </w:r>
          </w:p>
        </w:tc>
      </w:tr>
      <w:tr w14:paraId="42308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23226F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w:t>
            </w:r>
          </w:p>
        </w:tc>
        <w:tc>
          <w:tcPr>
            <w:tcW w:w="2491" w:type="dxa"/>
            <w:tcBorders>
              <w:top w:val="nil"/>
              <w:left w:val="nil"/>
              <w:bottom w:val="single" w:color="000000" w:sz="8" w:space="0"/>
              <w:right w:val="single" w:color="000000" w:sz="8" w:space="0"/>
            </w:tcBorders>
            <w:shd w:val="clear"/>
            <w:vAlign w:val="center"/>
          </w:tcPr>
          <w:p w14:paraId="722320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项目公示牌</w:t>
            </w:r>
          </w:p>
        </w:tc>
        <w:tc>
          <w:tcPr>
            <w:tcW w:w="1080" w:type="dxa"/>
            <w:tcBorders>
              <w:top w:val="nil"/>
              <w:left w:val="nil"/>
              <w:bottom w:val="single" w:color="000000" w:sz="8" w:space="0"/>
              <w:right w:val="single" w:color="000000" w:sz="8" w:space="0"/>
            </w:tcBorders>
            <w:shd w:val="clear"/>
            <w:vAlign w:val="center"/>
          </w:tcPr>
          <w:p w14:paraId="60C44C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块</w:t>
            </w:r>
          </w:p>
        </w:tc>
        <w:tc>
          <w:tcPr>
            <w:tcW w:w="1080" w:type="dxa"/>
            <w:tcBorders>
              <w:top w:val="nil"/>
              <w:left w:val="nil"/>
              <w:bottom w:val="single" w:color="000000" w:sz="8" w:space="0"/>
              <w:right w:val="single" w:color="000000" w:sz="8" w:space="0"/>
            </w:tcBorders>
            <w:shd w:val="clear"/>
            <w:vAlign w:val="center"/>
          </w:tcPr>
          <w:p w14:paraId="55398B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5126" w:type="dxa"/>
            <w:tcBorders>
              <w:top w:val="nil"/>
              <w:left w:val="nil"/>
              <w:bottom w:val="single" w:color="000000" w:sz="8" w:space="0"/>
            </w:tcBorders>
            <w:shd w:val="clear"/>
            <w:vAlign w:val="center"/>
          </w:tcPr>
          <w:p w14:paraId="79A63F96">
            <w:pPr>
              <w:jc w:val="center"/>
              <w:rPr>
                <w:rFonts w:hint="eastAsia" w:ascii="宋体" w:hAnsi="宋体" w:eastAsia="宋体" w:cs="宋体"/>
                <w:i w:val="0"/>
                <w:iCs w:val="0"/>
                <w:color w:val="000000"/>
                <w:sz w:val="28"/>
                <w:szCs w:val="28"/>
                <w:u w:val="none"/>
              </w:rPr>
            </w:pPr>
          </w:p>
        </w:tc>
      </w:tr>
      <w:tr w14:paraId="558CC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bottom w:val="single" w:color="000000" w:sz="8" w:space="0"/>
              <w:right w:val="single" w:color="000000" w:sz="8" w:space="0"/>
            </w:tcBorders>
            <w:shd w:val="clear"/>
            <w:vAlign w:val="center"/>
          </w:tcPr>
          <w:p w14:paraId="12077F5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二</w:t>
            </w:r>
          </w:p>
        </w:tc>
        <w:tc>
          <w:tcPr>
            <w:tcW w:w="2491" w:type="dxa"/>
            <w:tcBorders>
              <w:top w:val="nil"/>
              <w:left w:val="nil"/>
              <w:bottom w:val="single" w:color="000000" w:sz="8" w:space="0"/>
              <w:right w:val="single" w:color="000000" w:sz="8" w:space="0"/>
            </w:tcBorders>
            <w:shd w:val="clear"/>
            <w:vAlign w:val="center"/>
          </w:tcPr>
          <w:p w14:paraId="5DB213D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工程其他费用</w:t>
            </w:r>
          </w:p>
        </w:tc>
        <w:tc>
          <w:tcPr>
            <w:tcW w:w="1080" w:type="dxa"/>
            <w:tcBorders>
              <w:top w:val="nil"/>
              <w:left w:val="nil"/>
              <w:bottom w:val="single" w:color="000000" w:sz="8" w:space="0"/>
              <w:right w:val="single" w:color="000000" w:sz="8" w:space="0"/>
            </w:tcBorders>
            <w:shd w:val="clear"/>
            <w:vAlign w:val="center"/>
          </w:tcPr>
          <w:p w14:paraId="1419DDF8">
            <w:pPr>
              <w:jc w:val="center"/>
              <w:rPr>
                <w:rFonts w:hint="eastAsia" w:ascii="宋体" w:hAnsi="宋体" w:eastAsia="宋体" w:cs="宋体"/>
                <w:b/>
                <w:bCs/>
                <w:i w:val="0"/>
                <w:iCs w:val="0"/>
                <w:color w:val="000000"/>
                <w:sz w:val="28"/>
                <w:szCs w:val="28"/>
                <w:u w:val="none"/>
              </w:rPr>
            </w:pPr>
          </w:p>
        </w:tc>
        <w:tc>
          <w:tcPr>
            <w:tcW w:w="1080" w:type="dxa"/>
            <w:tcBorders>
              <w:top w:val="nil"/>
              <w:left w:val="nil"/>
              <w:bottom w:val="single" w:color="000000" w:sz="8" w:space="0"/>
              <w:right w:val="single" w:color="000000" w:sz="8" w:space="0"/>
            </w:tcBorders>
            <w:shd w:val="clear"/>
            <w:vAlign w:val="center"/>
          </w:tcPr>
          <w:p w14:paraId="250875DE">
            <w:pPr>
              <w:jc w:val="center"/>
              <w:rPr>
                <w:rFonts w:hint="eastAsia" w:ascii="宋体" w:hAnsi="宋体" w:eastAsia="宋体" w:cs="宋体"/>
                <w:b/>
                <w:bCs/>
                <w:i w:val="0"/>
                <w:iCs w:val="0"/>
                <w:color w:val="000000"/>
                <w:sz w:val="28"/>
                <w:szCs w:val="28"/>
                <w:u w:val="none"/>
              </w:rPr>
            </w:pPr>
          </w:p>
        </w:tc>
        <w:tc>
          <w:tcPr>
            <w:tcW w:w="5126" w:type="dxa"/>
            <w:tcBorders>
              <w:top w:val="nil"/>
              <w:left w:val="nil"/>
              <w:bottom w:val="single" w:color="000000" w:sz="8" w:space="0"/>
            </w:tcBorders>
            <w:shd w:val="clear"/>
            <w:vAlign w:val="center"/>
          </w:tcPr>
          <w:p w14:paraId="6F2C67B1">
            <w:pPr>
              <w:jc w:val="center"/>
              <w:rPr>
                <w:rFonts w:hint="eastAsia" w:ascii="宋体" w:hAnsi="宋体" w:eastAsia="宋体" w:cs="宋体"/>
                <w:b/>
                <w:bCs/>
                <w:i w:val="0"/>
                <w:iCs w:val="0"/>
                <w:color w:val="000000"/>
                <w:sz w:val="28"/>
                <w:szCs w:val="28"/>
                <w:u w:val="none"/>
              </w:rPr>
            </w:pPr>
          </w:p>
        </w:tc>
      </w:tr>
      <w:tr w14:paraId="53DF9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right w:val="single" w:color="000000" w:sz="8" w:space="0"/>
            </w:tcBorders>
            <w:shd w:val="clear"/>
            <w:vAlign w:val="center"/>
          </w:tcPr>
          <w:p w14:paraId="7F8DBD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2491" w:type="dxa"/>
            <w:tcBorders>
              <w:top w:val="nil"/>
              <w:left w:val="nil"/>
              <w:right w:val="single" w:color="000000" w:sz="8" w:space="0"/>
            </w:tcBorders>
            <w:shd w:val="clear"/>
            <w:vAlign w:val="center"/>
          </w:tcPr>
          <w:p w14:paraId="655171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项目管理费</w:t>
            </w:r>
          </w:p>
        </w:tc>
        <w:tc>
          <w:tcPr>
            <w:tcW w:w="1080" w:type="dxa"/>
            <w:tcBorders>
              <w:top w:val="nil"/>
              <w:left w:val="nil"/>
              <w:right w:val="single" w:color="000000" w:sz="8" w:space="0"/>
            </w:tcBorders>
            <w:shd w:val="clear"/>
            <w:vAlign w:val="center"/>
          </w:tcPr>
          <w:p w14:paraId="2D9B87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项</w:t>
            </w:r>
          </w:p>
        </w:tc>
        <w:tc>
          <w:tcPr>
            <w:tcW w:w="1080" w:type="dxa"/>
            <w:tcBorders>
              <w:top w:val="nil"/>
              <w:left w:val="nil"/>
              <w:right w:val="single" w:color="000000" w:sz="8" w:space="0"/>
            </w:tcBorders>
            <w:shd w:val="clear"/>
            <w:vAlign w:val="center"/>
          </w:tcPr>
          <w:p w14:paraId="13FD87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5126" w:type="dxa"/>
            <w:tcBorders>
              <w:top w:val="nil"/>
              <w:left w:val="nil"/>
            </w:tcBorders>
            <w:shd w:val="clear"/>
            <w:vAlign w:val="center"/>
          </w:tcPr>
          <w:p w14:paraId="5ECC1138">
            <w:pPr>
              <w:jc w:val="center"/>
              <w:rPr>
                <w:rFonts w:hint="eastAsia" w:ascii="宋体" w:hAnsi="宋体" w:eastAsia="宋体" w:cs="宋体"/>
                <w:i w:val="0"/>
                <w:iCs w:val="0"/>
                <w:color w:val="000000"/>
                <w:sz w:val="28"/>
                <w:szCs w:val="28"/>
                <w:u w:val="none"/>
              </w:rPr>
            </w:pPr>
          </w:p>
        </w:tc>
      </w:tr>
    </w:tbl>
    <w:p w14:paraId="6E0519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）商务条款：</w:t>
      </w:r>
    </w:p>
    <w:p w14:paraId="06CAF2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服务地点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采购人指定地点</w:t>
      </w:r>
      <w:r>
        <w:rPr>
          <w:rFonts w:hint="eastAsia" w:ascii="宋体" w:hAnsi="宋体" w:eastAsia="宋体" w:cs="宋体"/>
          <w:color w:val="auto"/>
          <w:sz w:val="28"/>
          <w:szCs w:val="28"/>
          <w:highlight w:val="none"/>
        </w:rPr>
        <w:t>；</w:t>
      </w:r>
    </w:p>
    <w:p w14:paraId="31FE03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2、付款方式：甲乙双方自行在合同中约定；</w:t>
      </w:r>
    </w:p>
    <w:p w14:paraId="71C8FD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工期</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2025年12月前完工</w:t>
      </w:r>
      <w:bookmarkStart w:id="2" w:name="_GoBack"/>
      <w:bookmarkEnd w:id="2"/>
      <w:r>
        <w:rPr>
          <w:rFonts w:hint="eastAsia" w:ascii="宋体" w:hAnsi="宋体" w:eastAsia="宋体" w:cs="宋体"/>
          <w:color w:val="auto"/>
          <w:sz w:val="28"/>
          <w:szCs w:val="28"/>
          <w:highlight w:val="none"/>
        </w:rPr>
        <w:t>；</w:t>
      </w:r>
    </w:p>
    <w:p w14:paraId="6BBA64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投标有效期： 60日历天。</w:t>
      </w:r>
    </w:p>
    <w:p w14:paraId="5C7F4C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5、工程质量：符合国家现行有关施工质量验收规范标准。</w:t>
      </w:r>
    </w:p>
    <w:p w14:paraId="0BAC30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6、施工安全文明标准化：满足有关规范标准要求。</w:t>
      </w:r>
    </w:p>
    <w:p w14:paraId="3702B2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7、其他要求：涉及到占用村民土地的，中标单位在施工前应协调好土地使用问题，避免与当地村民发生纠纷，一旦发生纠纷，中标单位自行承担。</w:t>
      </w:r>
    </w:p>
    <w:p w14:paraId="707818B2">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p>
    <w:p w14:paraId="1DBD874E">
      <w:pPr>
        <w:numPr>
          <w:ilvl w:val="0"/>
          <w:numId w:val="0"/>
        </w:numPr>
        <w:spacing w:after="78"/>
        <w:ind w:left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（四）评分办法</w:t>
      </w:r>
      <w:r>
        <w:rPr>
          <w:rFonts w:hint="eastAsia" w:ascii="宋体" w:hAnsi="宋体" w:eastAsia="宋体" w:cs="宋体"/>
          <w:b/>
          <w:sz w:val="28"/>
          <w:szCs w:val="28"/>
          <w:highlight w:val="none"/>
        </w:rPr>
        <w:t>：</w:t>
      </w:r>
    </w:p>
    <w:p w14:paraId="67E34429">
      <w:pPr>
        <w:numPr>
          <w:ilvl w:val="0"/>
          <w:numId w:val="0"/>
        </w:numPr>
        <w:spacing w:after="78" w:line="360" w:lineRule="auto"/>
        <w:ind w:leftChars="100"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根据《中华人民共和国政府采购法》和中华人民共和国财政部颁布《政府采购竞争性磋商暂行管理办法》的有关规定，本次招标的评标办法采用“综合评分法”。</w:t>
      </w:r>
      <w:bookmarkStart w:id="0" w:name="_Toc317669035"/>
      <w:bookmarkStart w:id="1" w:name="_Toc369699963"/>
    </w:p>
    <w:bookmarkEnd w:id="0"/>
    <w:bookmarkEnd w:id="1"/>
    <w:p w14:paraId="516533A3">
      <w:pPr>
        <w:numPr>
          <w:ilvl w:val="0"/>
          <w:numId w:val="0"/>
        </w:numPr>
        <w:spacing w:line="360" w:lineRule="auto"/>
        <w:jc w:val="both"/>
        <w:rPr>
          <w:rFonts w:hint="eastAsia" w:ascii="宋体" w:hAnsi="宋体" w:eastAsia="宋体" w:cs="宋体"/>
          <w:b w:val="0"/>
          <w:bCs w:val="0"/>
          <w:color w:val="auto"/>
          <w:sz w:val="28"/>
          <w:szCs w:val="28"/>
          <w:lang w:val="en-US" w:eastAsia="zh-CN"/>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仿宋_GB2312">
    <w:altName w:val="Arial Unicode MS"/>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80C3">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0C03">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B0C03">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Tc1MjRlY2Y3OGE3OThjNTdhZGNmZGFhZmNkOTEifQ=="/>
  </w:docVars>
  <w:rsids>
    <w:rsidRoot w:val="00000000"/>
    <w:rsid w:val="00D33D6C"/>
    <w:rsid w:val="04C3335A"/>
    <w:rsid w:val="04DD6FC6"/>
    <w:rsid w:val="07702E6D"/>
    <w:rsid w:val="07855C0B"/>
    <w:rsid w:val="0B487B6E"/>
    <w:rsid w:val="0C923F44"/>
    <w:rsid w:val="10E87217"/>
    <w:rsid w:val="17A347FD"/>
    <w:rsid w:val="1B4A36AF"/>
    <w:rsid w:val="1C0F17CF"/>
    <w:rsid w:val="1CF007B9"/>
    <w:rsid w:val="1E907079"/>
    <w:rsid w:val="262E0DEB"/>
    <w:rsid w:val="26AF55CF"/>
    <w:rsid w:val="2B673484"/>
    <w:rsid w:val="2D8434BB"/>
    <w:rsid w:val="2F8814DE"/>
    <w:rsid w:val="304E740C"/>
    <w:rsid w:val="306A77DB"/>
    <w:rsid w:val="31423803"/>
    <w:rsid w:val="32B84FA8"/>
    <w:rsid w:val="35CD41FD"/>
    <w:rsid w:val="361B4568"/>
    <w:rsid w:val="389A0AAA"/>
    <w:rsid w:val="3B213FFF"/>
    <w:rsid w:val="43E8375F"/>
    <w:rsid w:val="470C6597"/>
    <w:rsid w:val="48525895"/>
    <w:rsid w:val="4BF16BC4"/>
    <w:rsid w:val="571D49ED"/>
    <w:rsid w:val="5772139A"/>
    <w:rsid w:val="57A35D6B"/>
    <w:rsid w:val="57EF39FE"/>
    <w:rsid w:val="59425A8A"/>
    <w:rsid w:val="596B6295"/>
    <w:rsid w:val="606F6DE8"/>
    <w:rsid w:val="618B2F0A"/>
    <w:rsid w:val="62C41C0F"/>
    <w:rsid w:val="62E13D95"/>
    <w:rsid w:val="644E19E4"/>
    <w:rsid w:val="6A17795B"/>
    <w:rsid w:val="6BD00728"/>
    <w:rsid w:val="6C0B0763"/>
    <w:rsid w:val="6EC34821"/>
    <w:rsid w:val="6F0A18A1"/>
    <w:rsid w:val="6F7E0187"/>
    <w:rsid w:val="700B7CE3"/>
    <w:rsid w:val="71932FE6"/>
    <w:rsid w:val="73BE1697"/>
    <w:rsid w:val="73F1616D"/>
    <w:rsid w:val="7A717723"/>
    <w:rsid w:val="7CA25144"/>
    <w:rsid w:val="7E2777D4"/>
    <w:rsid w:val="7E94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4">
    <w:name w:val="heading 3"/>
    <w:basedOn w:val="1"/>
    <w:next w:val="1"/>
    <w:qFormat/>
    <w:uiPriority w:val="0"/>
    <w:pPr>
      <w:keepNext/>
      <w:keepLines/>
      <w:spacing w:before="260" w:beforeLines="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0"/>
    <w:pPr>
      <w:keepNext/>
      <w:keepLines/>
      <w:spacing w:before="280" w:beforeLines="0" w:line="376" w:lineRule="auto"/>
      <w:outlineLvl w:val="3"/>
    </w:pPr>
    <w:rPr>
      <w:rFonts w:ascii="Times New Roman" w:hAnsi="Times New Roman" w:eastAsia="黑体" w:cs="Times New Roman"/>
      <w:b/>
      <w:bCs/>
      <w:sz w:val="28"/>
      <w:szCs w:val="28"/>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120" w:beforeLines="0" w:after="60" w:afterLines="0"/>
      <w:jc w:val="center"/>
    </w:pPr>
    <w:rPr>
      <w:rFonts w:ascii="Arial" w:hAnsi="Arial" w:eastAsia="宋体"/>
      <w:b/>
      <w:kern w:val="2"/>
      <w:sz w:val="44"/>
      <w:lang w:val="en-US" w:eastAsia="zh-CN"/>
    </w:rPr>
  </w:style>
  <w:style w:type="paragraph" w:styleId="6">
    <w:name w:val="table of authorities"/>
    <w:basedOn w:val="1"/>
    <w:next w:val="1"/>
    <w:qFormat/>
    <w:uiPriority w:val="0"/>
    <w:pPr>
      <w:ind w:left="200" w:leftChars="200"/>
    </w:pPr>
    <w:rPr>
      <w:rFonts w:ascii="Times New Roman" w:hAnsi="Times New Roman" w:eastAsia="仿宋" w:cs="Times New Roman"/>
      <w:sz w:val="28"/>
    </w:rPr>
  </w:style>
  <w:style w:type="paragraph" w:styleId="7">
    <w:name w:val="Normal Indent"/>
    <w:basedOn w:val="1"/>
    <w:next w:val="1"/>
    <w:autoRedefine/>
    <w:qFormat/>
    <w:uiPriority w:val="0"/>
    <w:pPr>
      <w:ind w:firstLine="420" w:firstLineChars="200"/>
    </w:pPr>
  </w:style>
  <w:style w:type="paragraph" w:styleId="8">
    <w:name w:val="Body Text"/>
    <w:basedOn w:val="1"/>
    <w:next w:val="9"/>
    <w:autoRedefine/>
    <w:qFormat/>
    <w:uiPriority w:val="0"/>
    <w:pPr>
      <w:spacing w:after="120"/>
    </w:pPr>
  </w:style>
  <w:style w:type="paragraph" w:styleId="9">
    <w:name w:val="Body Text 2"/>
    <w:basedOn w:val="1"/>
    <w:autoRedefine/>
    <w:qFormat/>
    <w:uiPriority w:val="0"/>
    <w:pPr>
      <w:spacing w:after="120" w:line="480" w:lineRule="auto"/>
    </w:pPr>
    <w:rPr>
      <w:rFonts w:ascii="Arial" w:hAnsi="Arial"/>
      <w:sz w:val="24"/>
    </w:rPr>
  </w:style>
  <w:style w:type="paragraph" w:styleId="10">
    <w:name w:val="Body Text Indent"/>
    <w:basedOn w:val="1"/>
    <w:next w:val="11"/>
    <w:autoRedefine/>
    <w:qFormat/>
    <w:uiPriority w:val="0"/>
    <w:pPr>
      <w:ind w:firstLine="630" w:firstLineChars="225"/>
    </w:pPr>
    <w:rPr>
      <w:rFonts w:eastAsia="仿宋_GB2312"/>
      <w:sz w:val="28"/>
    </w:rPr>
  </w:style>
  <w:style w:type="paragraph" w:customStyle="1" w:styleId="11">
    <w:name w:val="font5"/>
    <w:basedOn w:val="1"/>
    <w:autoRedefine/>
    <w:qFormat/>
    <w:uiPriority w:val="0"/>
    <w:pPr>
      <w:widowControl/>
      <w:spacing w:before="100" w:beforeLines="0" w:beforeAutospacing="1" w:after="100" w:afterLines="0" w:afterAutospacing="1"/>
      <w:jc w:val="left"/>
    </w:pPr>
    <w:rPr>
      <w:rFonts w:ascii="宋体"/>
      <w:kern w:val="0"/>
      <w:sz w:val="18"/>
    </w:rPr>
  </w:style>
  <w:style w:type="paragraph" w:styleId="12">
    <w:name w:val="Plain Text"/>
    <w:basedOn w:val="1"/>
    <w:autoRedefine/>
    <w:qFormat/>
    <w:uiPriority w:val="0"/>
    <w:rPr>
      <w:rFonts w:ascii="宋体" w:hAnsi="Courier New"/>
      <w:szCs w:val="20"/>
    </w:rPr>
  </w:style>
  <w:style w:type="paragraph" w:styleId="13">
    <w:name w:val="Balloon Text"/>
    <w:basedOn w:val="1"/>
    <w:next w:val="1"/>
    <w:autoRedefine/>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8"/>
    <w:autoRedefine/>
    <w:qFormat/>
    <w:uiPriority w:val="0"/>
    <w:pPr>
      <w:tabs>
        <w:tab w:val="left" w:pos="567"/>
      </w:tabs>
      <w:spacing w:after="120"/>
      <w:ind w:firstLine="420" w:firstLineChars="100"/>
    </w:pPr>
    <w:rPr>
      <w:rFonts w:ascii="Times New Roman" w:hAnsi="Times New Roman"/>
      <w:sz w:val="21"/>
    </w:rPr>
  </w:style>
  <w:style w:type="paragraph" w:styleId="18">
    <w:name w:val="Body Text First Indent 2"/>
    <w:basedOn w:val="10"/>
    <w:next w:val="1"/>
    <w:autoRedefine/>
    <w:qFormat/>
    <w:uiPriority w:val="0"/>
    <w:pPr>
      <w:spacing w:after="0"/>
      <w:ind w:left="0" w:firstLine="200" w:firstLineChars="200"/>
    </w:pPr>
    <w:rPr>
      <w:rFonts w:ascii="Arial" w:hAnsi="Arial" w:eastAsia="仿宋_GB2312"/>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标题二、"/>
    <w:basedOn w:val="1"/>
    <w:autoRedefine/>
    <w:qFormat/>
    <w:uiPriority w:val="0"/>
    <w:pPr>
      <w:spacing w:line="360" w:lineRule="auto"/>
      <w:ind w:firstLine="200" w:firstLineChars="200"/>
      <w:outlineLvl w:val="2"/>
    </w:pPr>
    <w:rPr>
      <w:rFonts w:ascii="宋体" w:hAnsi="宋体"/>
      <w:b/>
      <w:szCs w:val="21"/>
    </w:rPr>
  </w:style>
  <w:style w:type="paragraph" w:customStyle="1" w:styleId="23">
    <w:name w:val="正文2"/>
    <w:basedOn w:val="1"/>
    <w:autoRedefine/>
    <w:qFormat/>
    <w:uiPriority w:val="0"/>
    <w:pPr>
      <w:ind w:firstLine="372" w:firstLineChars="177"/>
    </w:pPr>
    <w:rPr>
      <w:rFonts w:ascii="仿宋_GB2312" w:hAnsi="仿宋_GB2312" w:eastAsia="仿宋_GB2312"/>
      <w:sz w:val="24"/>
    </w:rPr>
  </w:style>
  <w:style w:type="character" w:customStyle="1" w:styleId="24">
    <w:name w:val="font01"/>
    <w:basedOn w:val="21"/>
    <w:autoRedefine/>
    <w:qFormat/>
    <w:uiPriority w:val="0"/>
    <w:rPr>
      <w:rFonts w:hint="eastAsia" w:ascii="宋体" w:hAnsi="宋体" w:eastAsia="宋体" w:cs="宋体"/>
      <w:color w:val="000000"/>
      <w:sz w:val="20"/>
      <w:szCs w:val="20"/>
      <w:u w:val="none"/>
    </w:rPr>
  </w:style>
  <w:style w:type="paragraph" w:customStyle="1" w:styleId="25">
    <w:name w:val="贵正1"/>
    <w:basedOn w:val="1"/>
    <w:autoRedefine/>
    <w:qFormat/>
    <w:uiPriority w:val="0"/>
    <w:pPr>
      <w:autoSpaceDE/>
      <w:autoSpaceDN/>
      <w:adjustRightInd/>
      <w:spacing w:afterLines="50" w:line="360" w:lineRule="auto"/>
      <w:ind w:firstLine="420" w:firstLineChars="200"/>
      <w:jc w:val="both"/>
      <w:textAlignment w:val="auto"/>
    </w:pPr>
    <w:rPr>
      <w:rFonts w:ascii="Times New Roman"/>
      <w:kern w:val="2"/>
      <w:sz w:val="21"/>
    </w:rPr>
  </w:style>
  <w:style w:type="paragraph" w:customStyle="1" w:styleId="26">
    <w:name w:val="List Paragraph"/>
    <w:basedOn w:val="1"/>
    <w:autoRedefine/>
    <w:qFormat/>
    <w:uiPriority w:val="0"/>
    <w:pPr>
      <w:ind w:firstLine="420" w:firstLineChars="200"/>
    </w:pPr>
  </w:style>
  <w:style w:type="paragraph" w:customStyle="1" w:styleId="27">
    <w:name w:val="列出段落2"/>
    <w:basedOn w:val="1"/>
    <w:autoRedefine/>
    <w:qFormat/>
    <w:uiPriority w:val="0"/>
    <w:pPr>
      <w:ind w:firstLine="420" w:firstLineChars="200"/>
    </w:pPr>
  </w:style>
  <w:style w:type="paragraph" w:customStyle="1" w:styleId="28">
    <w:name w:val="Table Text"/>
    <w:basedOn w:val="1"/>
    <w:semiHidden/>
    <w:qFormat/>
    <w:uiPriority w:val="0"/>
    <w:rPr>
      <w:rFonts w:ascii="宋体" w:hAnsi="宋体" w:eastAsia="宋体" w:cs="宋体"/>
      <w:sz w:val="18"/>
      <w:szCs w:val="18"/>
      <w:lang w:val="en-US" w:eastAsia="en-US" w:bidi="ar-SA"/>
    </w:rPr>
  </w:style>
  <w:style w:type="paragraph" w:customStyle="1" w:styleId="29">
    <w:name w:val="正文文本1"/>
    <w:basedOn w:val="1"/>
    <w:qFormat/>
    <w:uiPriority w:val="0"/>
    <w:pPr>
      <w:spacing w:after="120"/>
    </w:pPr>
  </w:style>
  <w:style w:type="character" w:customStyle="1" w:styleId="30">
    <w:name w:val="font81"/>
    <w:basedOn w:val="21"/>
    <w:qFormat/>
    <w:uiPriority w:val="0"/>
    <w:rPr>
      <w:rFonts w:hint="default" w:ascii="Times New Roman" w:hAnsi="Times New Roman" w:cs="Times New Roman"/>
      <w:color w:val="000000"/>
      <w:sz w:val="20"/>
      <w:szCs w:val="20"/>
      <w:u w:val="none"/>
    </w:rPr>
  </w:style>
  <w:style w:type="character" w:customStyle="1" w:styleId="31">
    <w:name w:val="font61"/>
    <w:basedOn w:val="21"/>
    <w:qFormat/>
    <w:uiPriority w:val="0"/>
    <w:rPr>
      <w:rFonts w:ascii="宋体" w:hAnsi="宋体" w:eastAsia="宋体" w:cs="宋体"/>
      <w:color w:val="000000"/>
      <w:sz w:val="20"/>
      <w:szCs w:val="20"/>
      <w:u w:val="none"/>
    </w:rPr>
  </w:style>
  <w:style w:type="character" w:customStyle="1" w:styleId="32">
    <w:name w:val="font41"/>
    <w:basedOn w:val="21"/>
    <w:uiPriority w:val="0"/>
    <w:rPr>
      <w:rFonts w:hint="default" w:ascii="仿宋" w:hAnsi="仿宋" w:eastAsia="仿宋" w:cs="仿宋"/>
      <w:color w:val="000000"/>
      <w:sz w:val="24"/>
      <w:szCs w:val="24"/>
      <w:u w:val="none"/>
    </w:rPr>
  </w:style>
  <w:style w:type="character" w:customStyle="1" w:styleId="33">
    <w:name w:val="font91"/>
    <w:basedOn w:val="2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5047</Words>
  <Characters>5271</Characters>
  <Lines>0</Lines>
  <Paragraphs>0</Paragraphs>
  <TotalTime>6</TotalTime>
  <ScaleCrop>false</ScaleCrop>
  <LinksUpToDate>false</LinksUpToDate>
  <CharactersWithSpaces>5496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魏宇航</cp:lastModifiedBy>
  <cp:lastPrinted>2021-11-24T08:03:00Z</cp:lastPrinted>
  <dcterms:modified xsi:type="dcterms:W3CDTF">2025-07-16T09:35:47Z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50EB2F681E08428B891CC8FFC1702C0F</vt:lpwstr>
  </property>
  <property fmtid="{D5CDD505-2E9C-101B-9397-08002B2CF9AE}" pid="4" name="KSOTemplateDocerSaveRecord">
    <vt:lpwstr>eyJoZGlkIjoiZjRhMWFkYmY3OTJiYzViYzBkNGMyYzA3MWVmZjdiOTkiLCJ1c2VySWQiOiIyMDMyMzYxNTAifQ==</vt:lpwstr>
  </property>
</Properties>
</file>