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D3C8F">
      <w:pPr>
        <w:jc w:val="center"/>
        <w:rPr>
          <w:rFonts w:hint="eastAsia" w:cs="宋体"/>
          <w:b/>
          <w:bCs/>
          <w:sz w:val="36"/>
          <w:szCs w:val="36"/>
          <w:lang w:val="en-US" w:eastAsia="zh-CN"/>
        </w:rPr>
      </w:pPr>
      <w:r>
        <w:rPr>
          <w:rFonts w:hint="eastAsia" w:cs="宋体"/>
          <w:b/>
          <w:bCs/>
          <w:sz w:val="36"/>
          <w:szCs w:val="36"/>
          <w:lang w:val="en-US" w:eastAsia="zh-CN"/>
        </w:rPr>
        <w:t>资格部分</w:t>
      </w:r>
    </w:p>
    <w:tbl>
      <w:tblPr>
        <w:tblStyle w:val="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12"/>
        <w:gridCol w:w="2132"/>
        <w:gridCol w:w="5082"/>
      </w:tblGrid>
      <w:tr w14:paraId="1571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tcPr>
          <w:p w14:paraId="0014D04D">
            <w:pPr>
              <w:pStyle w:val="2"/>
              <w:keepNext w:val="0"/>
              <w:keepLines w:val="0"/>
              <w:suppressLineNumbers w:val="0"/>
              <w:spacing w:before="0" w:beforeAutospacing="0" w:after="0" w:afterAutospacing="0" w:line="440" w:lineRule="exact"/>
              <w:ind w:left="0" w:right="0"/>
              <w:jc w:val="both"/>
              <w:rPr>
                <w:rFonts w:hint="default"/>
                <w:highlight w:val="none"/>
              </w:rPr>
            </w:pPr>
            <w:r>
              <w:rPr>
                <w:rFonts w:hint="eastAsia"/>
                <w:highlight w:val="none"/>
              </w:rPr>
              <w:t>供应商资格要求</w:t>
            </w:r>
          </w:p>
        </w:tc>
      </w:tr>
      <w:tr w14:paraId="4730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7F9A773">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序号</w:t>
            </w:r>
          </w:p>
        </w:tc>
        <w:tc>
          <w:tcPr>
            <w:tcW w:w="1012" w:type="dxa"/>
            <w:vAlign w:val="center"/>
          </w:tcPr>
          <w:p w14:paraId="499B06ED">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资格要求</w:t>
            </w:r>
          </w:p>
        </w:tc>
        <w:tc>
          <w:tcPr>
            <w:tcW w:w="2132" w:type="dxa"/>
            <w:vAlign w:val="center"/>
          </w:tcPr>
          <w:p w14:paraId="3DB0520C">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评分点名称</w:t>
            </w:r>
          </w:p>
        </w:tc>
        <w:tc>
          <w:tcPr>
            <w:tcW w:w="5082" w:type="dxa"/>
            <w:vAlign w:val="center"/>
          </w:tcPr>
          <w:p w14:paraId="06537569">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评审标准</w:t>
            </w:r>
          </w:p>
        </w:tc>
      </w:tr>
      <w:tr w14:paraId="433A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5" w:type="dxa"/>
            <w:vAlign w:val="center"/>
          </w:tcPr>
          <w:p w14:paraId="4DEF1DDD">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1</w:t>
            </w:r>
          </w:p>
        </w:tc>
        <w:tc>
          <w:tcPr>
            <w:tcW w:w="1012" w:type="dxa"/>
            <w:vMerge w:val="restart"/>
            <w:vAlign w:val="center"/>
          </w:tcPr>
          <w:p w14:paraId="7024577A">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一般资格</w:t>
            </w:r>
          </w:p>
        </w:tc>
        <w:tc>
          <w:tcPr>
            <w:tcW w:w="2132" w:type="dxa"/>
          </w:tcPr>
          <w:p w14:paraId="1E9AFBBE">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具有独立承担民事责任的能力</w:t>
            </w:r>
          </w:p>
        </w:tc>
        <w:tc>
          <w:tcPr>
            <w:tcW w:w="5082" w:type="dxa"/>
            <w:vAlign w:val="center"/>
          </w:tcPr>
          <w:p w14:paraId="336086D6">
            <w:pPr>
              <w:pStyle w:val="2"/>
              <w:keepNext w:val="0"/>
              <w:keepLines w:val="0"/>
              <w:suppressLineNumbers w:val="0"/>
              <w:spacing w:before="0" w:beforeAutospacing="0" w:after="0" w:afterAutospacing="0" w:line="440" w:lineRule="exact"/>
              <w:ind w:left="0" w:right="0"/>
              <w:jc w:val="both"/>
              <w:rPr>
                <w:rFonts w:hint="default"/>
                <w:highlight w:val="none"/>
              </w:rPr>
            </w:pPr>
            <w:r>
              <w:rPr>
                <w:rFonts w:hint="eastAsia"/>
                <w:highlight w:val="none"/>
              </w:rPr>
              <w:t>提供法人或者其他组织的营业执照等证明文件，自然人的身份证明。（复印件加盖投标单位公章）</w:t>
            </w:r>
          </w:p>
        </w:tc>
      </w:tr>
      <w:tr w14:paraId="58DD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0BF387D">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2</w:t>
            </w:r>
          </w:p>
        </w:tc>
        <w:tc>
          <w:tcPr>
            <w:tcW w:w="1012" w:type="dxa"/>
            <w:vMerge w:val="continue"/>
          </w:tcPr>
          <w:p w14:paraId="4B302AE7">
            <w:pPr>
              <w:pStyle w:val="2"/>
              <w:keepNext w:val="0"/>
              <w:keepLines w:val="0"/>
              <w:suppressLineNumbers w:val="0"/>
              <w:spacing w:before="0" w:beforeAutospacing="0" w:after="0" w:afterAutospacing="0" w:line="440" w:lineRule="exact"/>
              <w:ind w:left="0" w:right="0"/>
              <w:jc w:val="both"/>
              <w:rPr>
                <w:rFonts w:hint="default"/>
                <w:highlight w:val="none"/>
                <w:lang w:val="en-US"/>
              </w:rPr>
            </w:pPr>
          </w:p>
        </w:tc>
        <w:tc>
          <w:tcPr>
            <w:tcW w:w="2132" w:type="dxa"/>
          </w:tcPr>
          <w:p w14:paraId="1E7995AE">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具有良好的商业信誉和健全的财务会计制度</w:t>
            </w:r>
          </w:p>
        </w:tc>
        <w:tc>
          <w:tcPr>
            <w:tcW w:w="5082" w:type="dxa"/>
            <w:vAlign w:val="center"/>
          </w:tcPr>
          <w:p w14:paraId="6D818647">
            <w:pPr>
              <w:pStyle w:val="2"/>
              <w:keepNext w:val="0"/>
              <w:keepLines w:val="0"/>
              <w:suppressLineNumbers w:val="0"/>
              <w:spacing w:before="0" w:beforeAutospacing="0" w:after="0" w:afterAutospacing="0" w:line="440" w:lineRule="exact"/>
              <w:ind w:left="0" w:right="0"/>
              <w:jc w:val="both"/>
              <w:rPr>
                <w:rFonts w:hint="default"/>
                <w:highlight w:val="none"/>
              </w:rPr>
            </w:pPr>
            <w:r>
              <w:rPr>
                <w:rFonts w:hint="eastAsia"/>
                <w:highlight w:val="none"/>
              </w:rPr>
              <w:t>提供财务状况报告（经合法审计机构出具的</w:t>
            </w:r>
            <w:r>
              <w:rPr>
                <w:rFonts w:hint="eastAsia"/>
                <w:highlight w:val="none"/>
                <w:lang w:val="en-US" w:eastAsia="zh-CN"/>
              </w:rPr>
              <w:t>完整的</w:t>
            </w:r>
            <w:r>
              <w:rPr>
                <w:rFonts w:hint="eastAsia"/>
                <w:highlight w:val="none"/>
                <w:lang w:eastAsia="zh-CN"/>
              </w:rPr>
              <w:t>2023或2024年度</w:t>
            </w:r>
            <w:r>
              <w:rPr>
                <w:rFonts w:hint="eastAsia"/>
                <w:highlight w:val="none"/>
              </w:rPr>
              <w:t>财务审计报告，或</w:t>
            </w:r>
            <w:r>
              <w:rPr>
                <w:rFonts w:hint="eastAsia"/>
                <w:highlight w:val="none"/>
                <w:lang w:val="en-US" w:eastAsia="zh-CN"/>
              </w:rPr>
              <w:t>2025年</w:t>
            </w:r>
            <w:r>
              <w:rPr>
                <w:rFonts w:hint="eastAsia"/>
                <w:highlight w:val="none"/>
              </w:rPr>
              <w:t>银行出具的有效的资信证明）。（复印件加盖投标单位公章）</w:t>
            </w:r>
          </w:p>
        </w:tc>
      </w:tr>
      <w:tr w14:paraId="7F23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2E9DB66">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3</w:t>
            </w:r>
          </w:p>
        </w:tc>
        <w:tc>
          <w:tcPr>
            <w:tcW w:w="1012" w:type="dxa"/>
            <w:vMerge w:val="continue"/>
          </w:tcPr>
          <w:p w14:paraId="444A507B">
            <w:pPr>
              <w:pStyle w:val="2"/>
              <w:keepNext w:val="0"/>
              <w:keepLines w:val="0"/>
              <w:suppressLineNumbers w:val="0"/>
              <w:spacing w:before="0" w:beforeAutospacing="0" w:after="0" w:afterAutospacing="0" w:line="440" w:lineRule="exact"/>
              <w:ind w:left="0" w:right="0"/>
              <w:jc w:val="both"/>
              <w:rPr>
                <w:rFonts w:hint="default"/>
                <w:highlight w:val="none"/>
                <w:lang w:val="en-US"/>
              </w:rPr>
            </w:pPr>
          </w:p>
        </w:tc>
        <w:tc>
          <w:tcPr>
            <w:tcW w:w="2132" w:type="dxa"/>
          </w:tcPr>
          <w:p w14:paraId="530A7749">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具有履行合同所必需的设备和专业技术能力</w:t>
            </w:r>
          </w:p>
        </w:tc>
        <w:tc>
          <w:tcPr>
            <w:tcW w:w="5082" w:type="dxa"/>
            <w:vAlign w:val="center"/>
          </w:tcPr>
          <w:p w14:paraId="3C830386">
            <w:pPr>
              <w:pStyle w:val="2"/>
              <w:keepNext w:val="0"/>
              <w:keepLines w:val="0"/>
              <w:suppressLineNumbers w:val="0"/>
              <w:spacing w:before="0" w:beforeAutospacing="0" w:after="0" w:afterAutospacing="0" w:line="440" w:lineRule="exact"/>
              <w:ind w:left="0" w:right="0"/>
              <w:jc w:val="both"/>
              <w:rPr>
                <w:rFonts w:hint="default"/>
                <w:highlight w:val="none"/>
              </w:rPr>
            </w:pPr>
            <w:r>
              <w:rPr>
                <w:rFonts w:hint="eastAsia"/>
                <w:highlight w:val="none"/>
              </w:rPr>
              <w:t>提供具备履行合同所必需的设备和专业技术能力的证明材料。（提供承诺函）</w:t>
            </w:r>
          </w:p>
        </w:tc>
      </w:tr>
      <w:tr w14:paraId="2CCF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F48F8C9">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4</w:t>
            </w:r>
          </w:p>
        </w:tc>
        <w:tc>
          <w:tcPr>
            <w:tcW w:w="1012" w:type="dxa"/>
            <w:vMerge w:val="continue"/>
          </w:tcPr>
          <w:p w14:paraId="405E1633">
            <w:pPr>
              <w:pStyle w:val="2"/>
              <w:keepNext w:val="0"/>
              <w:keepLines w:val="0"/>
              <w:suppressLineNumbers w:val="0"/>
              <w:spacing w:before="0" w:beforeAutospacing="0" w:after="0" w:afterAutospacing="0" w:line="440" w:lineRule="exact"/>
              <w:ind w:left="0" w:right="0"/>
              <w:jc w:val="both"/>
              <w:rPr>
                <w:rFonts w:hint="default"/>
                <w:highlight w:val="none"/>
                <w:lang w:val="en-US"/>
              </w:rPr>
            </w:pPr>
          </w:p>
        </w:tc>
        <w:tc>
          <w:tcPr>
            <w:tcW w:w="2132" w:type="dxa"/>
          </w:tcPr>
          <w:p w14:paraId="03F3DD42">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具有依法缴纳税收和社会保障资金的良好记录</w:t>
            </w:r>
          </w:p>
        </w:tc>
        <w:tc>
          <w:tcPr>
            <w:tcW w:w="5082" w:type="dxa"/>
            <w:vAlign w:val="center"/>
          </w:tcPr>
          <w:p w14:paraId="5A9E6D2B">
            <w:pPr>
              <w:pStyle w:val="2"/>
              <w:keepNext w:val="0"/>
              <w:keepLines w:val="0"/>
              <w:suppressLineNumbers w:val="0"/>
              <w:spacing w:before="0" w:beforeAutospacing="0" w:after="0" w:afterAutospacing="0" w:line="440" w:lineRule="exact"/>
              <w:ind w:left="0" w:right="0"/>
              <w:jc w:val="both"/>
              <w:rPr>
                <w:rFonts w:hint="default"/>
                <w:highlight w:val="none"/>
              </w:rPr>
            </w:pPr>
            <w:r>
              <w:rPr>
                <w:rFonts w:hint="eastAsia"/>
                <w:highlight w:val="none"/>
              </w:rPr>
              <w:t>提供</w:t>
            </w:r>
            <w:r>
              <w:rPr>
                <w:rFonts w:hint="eastAsia"/>
                <w:highlight w:val="none"/>
                <w:lang w:eastAsia="zh-CN"/>
              </w:rPr>
              <w:t>2024年6月至今</w:t>
            </w:r>
            <w:r>
              <w:rPr>
                <w:rFonts w:hint="eastAsia"/>
                <w:highlight w:val="none"/>
              </w:rPr>
              <w:t>任意</w:t>
            </w:r>
            <w:r>
              <w:rPr>
                <w:rFonts w:hint="eastAsia"/>
                <w:highlight w:val="none"/>
                <w:lang w:val="en-US" w:eastAsia="zh-CN"/>
              </w:rPr>
              <w:t>1</w:t>
            </w:r>
            <w:r>
              <w:rPr>
                <w:rFonts w:hint="eastAsia"/>
                <w:highlight w:val="none"/>
              </w:rPr>
              <w:t>个月的纳税证明和社保缴纳证明；如不需缴纳的，须提供有效的证明材料。（</w:t>
            </w:r>
            <w:r>
              <w:rPr>
                <w:rFonts w:hint="eastAsia"/>
                <w:highlight w:val="none"/>
                <w:lang w:val="en-US" w:eastAsia="zh-CN"/>
              </w:rPr>
              <w:t>扫描件</w:t>
            </w:r>
            <w:r>
              <w:rPr>
                <w:rFonts w:hint="eastAsia"/>
                <w:highlight w:val="none"/>
              </w:rPr>
              <w:t>加盖投标单位公章）</w:t>
            </w:r>
          </w:p>
        </w:tc>
      </w:tr>
      <w:tr w14:paraId="5C58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B756BBD">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5</w:t>
            </w:r>
          </w:p>
        </w:tc>
        <w:tc>
          <w:tcPr>
            <w:tcW w:w="1012" w:type="dxa"/>
            <w:vMerge w:val="continue"/>
          </w:tcPr>
          <w:p w14:paraId="030B6F0E">
            <w:pPr>
              <w:pStyle w:val="2"/>
              <w:keepNext w:val="0"/>
              <w:keepLines w:val="0"/>
              <w:suppressLineNumbers w:val="0"/>
              <w:spacing w:before="0" w:beforeAutospacing="0" w:after="0" w:afterAutospacing="0" w:line="440" w:lineRule="exact"/>
              <w:ind w:left="0" w:right="0"/>
              <w:jc w:val="both"/>
              <w:rPr>
                <w:rFonts w:hint="default"/>
                <w:highlight w:val="none"/>
                <w:lang w:val="en-US"/>
              </w:rPr>
            </w:pPr>
          </w:p>
        </w:tc>
        <w:tc>
          <w:tcPr>
            <w:tcW w:w="2132" w:type="dxa"/>
          </w:tcPr>
          <w:p w14:paraId="49EB9854">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参加政府采购活动前三年内，在经营活动中没有违法违规记录</w:t>
            </w:r>
          </w:p>
        </w:tc>
        <w:tc>
          <w:tcPr>
            <w:tcW w:w="5082" w:type="dxa"/>
            <w:vAlign w:val="center"/>
          </w:tcPr>
          <w:p w14:paraId="5A3AE3B2">
            <w:pPr>
              <w:pStyle w:val="2"/>
              <w:keepNext w:val="0"/>
              <w:keepLines w:val="0"/>
              <w:suppressLineNumbers w:val="0"/>
              <w:spacing w:before="0" w:beforeAutospacing="0" w:after="0" w:afterAutospacing="0" w:line="440" w:lineRule="exact"/>
              <w:ind w:left="0" w:right="0"/>
              <w:jc w:val="both"/>
              <w:rPr>
                <w:rFonts w:hint="default"/>
                <w:highlight w:val="none"/>
              </w:rPr>
            </w:pPr>
            <w:r>
              <w:rPr>
                <w:rFonts w:hint="eastAsia"/>
                <w:highlight w:val="none"/>
              </w:rPr>
              <w:t>提供参加政府采购活动前3年内在经营活动中没有重大违法记录的书面声明（格式文件详见投标文件范本）。</w:t>
            </w:r>
          </w:p>
        </w:tc>
      </w:tr>
      <w:tr w14:paraId="124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46B3DC9">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6</w:t>
            </w:r>
          </w:p>
        </w:tc>
        <w:tc>
          <w:tcPr>
            <w:tcW w:w="1012" w:type="dxa"/>
            <w:vMerge w:val="continue"/>
          </w:tcPr>
          <w:p w14:paraId="27DD5E4A">
            <w:pPr>
              <w:pStyle w:val="2"/>
              <w:keepNext w:val="0"/>
              <w:keepLines w:val="0"/>
              <w:suppressLineNumbers w:val="0"/>
              <w:spacing w:before="0" w:beforeAutospacing="0" w:after="0" w:afterAutospacing="0" w:line="440" w:lineRule="exact"/>
              <w:ind w:left="0" w:right="0"/>
              <w:jc w:val="both"/>
              <w:rPr>
                <w:rFonts w:hint="default"/>
                <w:highlight w:val="none"/>
                <w:lang w:val="en-US"/>
              </w:rPr>
            </w:pPr>
          </w:p>
        </w:tc>
        <w:tc>
          <w:tcPr>
            <w:tcW w:w="2132" w:type="dxa"/>
            <w:vAlign w:val="center"/>
          </w:tcPr>
          <w:p w14:paraId="7FCD63B1">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法律、行政法规和国家有关规定的其他条件</w:t>
            </w:r>
          </w:p>
        </w:tc>
        <w:tc>
          <w:tcPr>
            <w:tcW w:w="5082" w:type="dxa"/>
          </w:tcPr>
          <w:p w14:paraId="545D7C8F">
            <w:pPr>
              <w:pStyle w:val="2"/>
              <w:keepNext w:val="0"/>
              <w:keepLines w:val="0"/>
              <w:suppressLineNumbers w:val="0"/>
              <w:spacing w:before="0" w:beforeAutospacing="0" w:after="0" w:afterAutospacing="0" w:line="440" w:lineRule="exact"/>
              <w:ind w:left="0" w:right="0"/>
              <w:jc w:val="left"/>
              <w:rPr>
                <w:rFonts w:hint="default"/>
                <w:highlight w:val="none"/>
              </w:rPr>
            </w:pPr>
            <w:r>
              <w:rPr>
                <w:rFonts w:hint="eastAsia"/>
                <w:highlight w:val="none"/>
              </w:rPr>
              <w:t xml:space="preserve">供应商须承诺：在“信用中国”网站（www.creditchina.gov.cn）、中国政府采购网（www.ccgp.gov.cn）等渠道中查询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 </w:t>
            </w:r>
          </w:p>
        </w:tc>
      </w:tr>
      <w:tr w14:paraId="642E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5D52211">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7</w:t>
            </w:r>
          </w:p>
        </w:tc>
        <w:tc>
          <w:tcPr>
            <w:tcW w:w="1012" w:type="dxa"/>
            <w:vAlign w:val="center"/>
          </w:tcPr>
          <w:p w14:paraId="399C0D89">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特殊资格</w:t>
            </w:r>
          </w:p>
        </w:tc>
        <w:tc>
          <w:tcPr>
            <w:tcW w:w="2132" w:type="dxa"/>
            <w:vAlign w:val="center"/>
          </w:tcPr>
          <w:p w14:paraId="602FFC0B">
            <w:pPr>
              <w:pStyle w:val="2"/>
              <w:keepNext w:val="0"/>
              <w:keepLines w:val="0"/>
              <w:suppressLineNumbers w:val="0"/>
              <w:spacing w:before="0" w:beforeAutospacing="0" w:after="0" w:afterAutospacing="0" w:line="440" w:lineRule="exact"/>
              <w:ind w:left="0" w:right="0"/>
              <w:jc w:val="center"/>
              <w:rPr>
                <w:rFonts w:hint="default"/>
                <w:highlight w:val="none"/>
              </w:rPr>
            </w:pPr>
            <w:r>
              <w:rPr>
                <w:rFonts w:hint="eastAsia"/>
                <w:highlight w:val="none"/>
              </w:rPr>
              <w:t>所需特殊行业资质或要求供应商须具备</w:t>
            </w:r>
          </w:p>
        </w:tc>
        <w:tc>
          <w:tcPr>
            <w:tcW w:w="5082" w:type="dxa"/>
            <w:vAlign w:val="center"/>
          </w:tcPr>
          <w:p w14:paraId="6755DF00">
            <w:pPr>
              <w:pStyle w:val="2"/>
              <w:keepNext w:val="0"/>
              <w:keepLines w:val="0"/>
              <w:suppressLineNumbers w:val="0"/>
              <w:spacing w:before="0" w:beforeAutospacing="0" w:after="0" w:afterAutospacing="0" w:line="440" w:lineRule="exact"/>
              <w:ind w:left="0" w:right="0"/>
              <w:jc w:val="left"/>
              <w:rPr>
                <w:rFonts w:hint="default" w:eastAsia="宋体"/>
                <w:highlight w:val="none"/>
                <w:lang w:val="en-US" w:eastAsia="zh-CN"/>
              </w:rPr>
            </w:pPr>
            <w:r>
              <w:rPr>
                <w:rFonts w:hint="default" w:eastAsia="宋体"/>
                <w:highlight w:val="none"/>
                <w:lang w:val="en-US" w:eastAsia="zh-CN"/>
              </w:rPr>
              <w:t>供应商须具有有效的食品经营许可证或餐饮服务许可证。（扫描件加盖投标单位公章）</w:t>
            </w:r>
          </w:p>
        </w:tc>
      </w:tr>
      <w:tr w14:paraId="39B6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F3AC2BF">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8</w:t>
            </w:r>
          </w:p>
        </w:tc>
        <w:tc>
          <w:tcPr>
            <w:tcW w:w="3144" w:type="dxa"/>
            <w:gridSpan w:val="2"/>
            <w:vAlign w:val="center"/>
          </w:tcPr>
          <w:p w14:paraId="509F2955">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联合体</w:t>
            </w:r>
          </w:p>
        </w:tc>
        <w:tc>
          <w:tcPr>
            <w:tcW w:w="5082" w:type="dxa"/>
            <w:vAlign w:val="center"/>
          </w:tcPr>
          <w:p w14:paraId="7A1A16DE">
            <w:pPr>
              <w:pStyle w:val="2"/>
              <w:keepNext w:val="0"/>
              <w:keepLines w:val="0"/>
              <w:suppressLineNumbers w:val="0"/>
              <w:spacing w:before="0" w:beforeAutospacing="0" w:after="0" w:afterAutospacing="0" w:line="440" w:lineRule="exact"/>
              <w:ind w:left="0" w:right="0"/>
              <w:jc w:val="left"/>
              <w:rPr>
                <w:rFonts w:hint="default"/>
                <w:highlight w:val="none"/>
                <w:lang w:val="en-US"/>
              </w:rPr>
            </w:pPr>
            <w:r>
              <w:rPr>
                <w:rFonts w:hint="eastAsia"/>
                <w:highlight w:val="none"/>
                <w:lang w:val="en-US"/>
              </w:rPr>
              <w:t>本项目不接受联合体投标</w:t>
            </w:r>
          </w:p>
        </w:tc>
      </w:tr>
      <w:tr w14:paraId="3DCE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CDD8FDA">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eastAsia"/>
                <w:highlight w:val="none"/>
                <w:lang w:val="en-US"/>
              </w:rPr>
              <w:t>9</w:t>
            </w:r>
          </w:p>
        </w:tc>
        <w:tc>
          <w:tcPr>
            <w:tcW w:w="1012" w:type="dxa"/>
            <w:vAlign w:val="center"/>
          </w:tcPr>
          <w:p w14:paraId="58B1E6C3">
            <w:pPr>
              <w:pStyle w:val="2"/>
              <w:keepNext w:val="0"/>
              <w:keepLines w:val="0"/>
              <w:suppressLineNumbers w:val="0"/>
              <w:spacing w:before="0" w:beforeAutospacing="0" w:after="0" w:afterAutospacing="0" w:line="440" w:lineRule="exact"/>
              <w:ind w:left="0" w:right="0"/>
              <w:jc w:val="center"/>
              <w:rPr>
                <w:rFonts w:hint="default"/>
                <w:highlight w:val="none"/>
                <w:lang w:val="en-US"/>
              </w:rPr>
            </w:pPr>
            <w:r>
              <w:rPr>
                <w:rFonts w:hint="default"/>
                <w:highlight w:val="none"/>
                <w:lang w:val="en-US"/>
              </w:rPr>
              <w:t>本项目专门面向中小微企业</w:t>
            </w:r>
          </w:p>
        </w:tc>
        <w:tc>
          <w:tcPr>
            <w:tcW w:w="7214" w:type="dxa"/>
            <w:gridSpan w:val="2"/>
            <w:vAlign w:val="center"/>
          </w:tcPr>
          <w:p w14:paraId="08A544EA">
            <w:pPr>
              <w:pStyle w:val="2"/>
              <w:keepNext w:val="0"/>
              <w:keepLines w:val="0"/>
              <w:suppressLineNumbers w:val="0"/>
              <w:spacing w:before="0" w:beforeAutospacing="0" w:after="0" w:afterAutospacing="0" w:line="440" w:lineRule="exact"/>
              <w:ind w:left="0" w:right="0"/>
              <w:jc w:val="both"/>
              <w:rPr>
                <w:rFonts w:hint="default"/>
                <w:highlight w:val="none"/>
                <w:lang w:val="en-US"/>
              </w:rPr>
            </w:pPr>
            <w:r>
              <w:rPr>
                <w:rFonts w:hint="eastAsia"/>
                <w:highlight w:val="none"/>
              </w:rPr>
              <w:t>本项目专门面向</w:t>
            </w:r>
            <w:r>
              <w:rPr>
                <w:rFonts w:hint="eastAsia"/>
                <w:highlight w:val="none"/>
                <w:lang w:val="en-US"/>
              </w:rPr>
              <w:t>中</w:t>
            </w:r>
            <w:r>
              <w:rPr>
                <w:rFonts w:hint="eastAsia"/>
                <w:highlight w:val="none"/>
              </w:rPr>
              <w:t>小微企业(含残疾人福利性单位、监狱企业)采购，不接受非</w:t>
            </w:r>
            <w:r>
              <w:rPr>
                <w:rFonts w:hint="eastAsia"/>
                <w:highlight w:val="none"/>
                <w:lang w:val="en-US"/>
              </w:rPr>
              <w:t>中</w:t>
            </w:r>
            <w:r>
              <w:rPr>
                <w:rFonts w:hint="eastAsia"/>
                <w:highlight w:val="none"/>
              </w:rPr>
              <w:t>小微企业投标。【提供中小企业声明函原件，或残疾人福利性单位声明函原件，或省级以上监狱管理局、戒毒管理局(含新疆生产建设兵团)出具的属于监狱企业的证明文件】</w:t>
            </w:r>
          </w:p>
        </w:tc>
      </w:tr>
    </w:tbl>
    <w:p w14:paraId="552F1D60">
      <w:pPr>
        <w:rPr>
          <w:rFonts w:hint="eastAsia" w:cs="宋体"/>
          <w:b/>
          <w:bCs/>
          <w:sz w:val="36"/>
          <w:szCs w:val="36"/>
          <w:lang w:val="en-US" w:eastAsia="zh-CN"/>
        </w:rPr>
      </w:pPr>
      <w:r>
        <w:rPr>
          <w:rFonts w:hint="eastAsia" w:cs="宋体"/>
          <w:b/>
          <w:bCs/>
          <w:sz w:val="36"/>
          <w:szCs w:val="36"/>
          <w:lang w:val="en-US" w:eastAsia="zh-CN"/>
        </w:rPr>
        <w:br w:type="page"/>
      </w:r>
    </w:p>
    <w:p w14:paraId="46ED1F8A">
      <w:pPr>
        <w:rPr>
          <w:rFonts w:hint="eastAsia" w:cs="宋体"/>
          <w:b/>
          <w:bCs/>
          <w:sz w:val="36"/>
          <w:szCs w:val="36"/>
          <w:lang w:val="en-US" w:eastAsia="zh-CN"/>
        </w:rPr>
      </w:pPr>
      <w:r>
        <w:rPr>
          <w:rFonts w:hint="eastAsia" w:cs="宋体"/>
          <w:b/>
          <w:bCs/>
          <w:sz w:val="36"/>
          <w:szCs w:val="36"/>
          <w:lang w:val="en-US" w:eastAsia="zh-CN"/>
        </w:rPr>
        <w:t>商务部分</w:t>
      </w:r>
    </w:p>
    <w:p w14:paraId="32E44EF0">
      <w:pPr>
        <w:keepNext w:val="0"/>
        <w:keepLines w:val="0"/>
        <w:pageBreakBefore w:val="0"/>
        <w:widowControl w:val="0"/>
        <w:kinsoku/>
        <w:wordWrap/>
        <w:overflowPunct/>
        <w:topLinePunct w:val="0"/>
        <w:bidi w:val="0"/>
        <w:adjustRightInd/>
        <w:spacing w:line="360" w:lineRule="auto"/>
        <w:jc w:val="both"/>
        <w:textAlignment w:val="auto"/>
        <w:rPr>
          <w:b/>
          <w:bCs/>
          <w:sz w:val="24"/>
          <w:szCs w:val="24"/>
        </w:rPr>
      </w:pPr>
      <w:r>
        <w:rPr>
          <w:rFonts w:hint="eastAsia"/>
          <w:b/>
          <w:bCs/>
          <w:sz w:val="24"/>
          <w:szCs w:val="24"/>
        </w:rPr>
        <w:t xml:space="preserve">一、服务期及服务地点 </w:t>
      </w:r>
    </w:p>
    <w:p w14:paraId="01D4AAF9">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highlight w:val="none"/>
        </w:rPr>
      </w:pPr>
      <w:r>
        <w:rPr>
          <w:rFonts w:hint="eastAsia"/>
          <w:sz w:val="24"/>
          <w:szCs w:val="24"/>
          <w:highlight w:val="none"/>
          <w:lang w:val="en-US"/>
        </w:rPr>
        <w:t>1.</w:t>
      </w:r>
      <w:r>
        <w:rPr>
          <w:rFonts w:hint="eastAsia"/>
          <w:sz w:val="24"/>
          <w:szCs w:val="24"/>
          <w:highlight w:val="none"/>
        </w:rPr>
        <w:t>服务期：</w:t>
      </w:r>
      <w:r>
        <w:rPr>
          <w:rFonts w:hint="eastAsia"/>
          <w:sz w:val="24"/>
          <w:szCs w:val="24"/>
          <w:highlight w:val="none"/>
          <w:lang w:val="en-US" w:eastAsia="zh-CN"/>
        </w:rPr>
        <w:t>合同签订生效之日起并提供实质性服务1年。保证按照采购人提出的要求，按时、高质量完成合同约定的工作内容。</w:t>
      </w:r>
    </w:p>
    <w:p w14:paraId="784FF6E3">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lang w:val="en-US"/>
        </w:rPr>
        <w:t>2.</w:t>
      </w:r>
      <w:r>
        <w:rPr>
          <w:rFonts w:hint="eastAsia"/>
          <w:sz w:val="24"/>
          <w:szCs w:val="24"/>
        </w:rPr>
        <w:t>服务地点：</w:t>
      </w:r>
      <w:r>
        <w:rPr>
          <w:rFonts w:hint="eastAsia"/>
          <w:sz w:val="24"/>
          <w:szCs w:val="24"/>
          <w:lang w:val="en-US" w:eastAsia="zh-CN"/>
        </w:rPr>
        <w:t>贵阳市</w:t>
      </w:r>
      <w:r>
        <w:rPr>
          <w:rFonts w:hint="eastAsia"/>
          <w:sz w:val="24"/>
          <w:szCs w:val="24"/>
          <w:lang w:eastAsia="zh-CN"/>
        </w:rPr>
        <w:t>南明区中医医院</w:t>
      </w:r>
      <w:r>
        <w:rPr>
          <w:rFonts w:hint="eastAsia"/>
          <w:sz w:val="24"/>
          <w:szCs w:val="24"/>
          <w:lang w:val="en-US" w:eastAsia="zh-CN"/>
        </w:rPr>
        <w:t>食堂。</w:t>
      </w:r>
    </w:p>
    <w:p w14:paraId="1B045786">
      <w:pPr>
        <w:keepNext w:val="0"/>
        <w:keepLines w:val="0"/>
        <w:pageBreakBefore w:val="0"/>
        <w:widowControl w:val="0"/>
        <w:kinsoku/>
        <w:wordWrap/>
        <w:overflowPunct/>
        <w:topLinePunct w:val="0"/>
        <w:bidi w:val="0"/>
        <w:adjustRightInd/>
        <w:spacing w:line="360" w:lineRule="auto"/>
        <w:jc w:val="both"/>
        <w:textAlignment w:val="auto"/>
        <w:rPr>
          <w:b/>
          <w:bCs/>
          <w:sz w:val="24"/>
          <w:szCs w:val="24"/>
        </w:rPr>
      </w:pPr>
      <w:r>
        <w:rPr>
          <w:rFonts w:hint="eastAsia"/>
          <w:b/>
          <w:bCs/>
          <w:sz w:val="24"/>
          <w:szCs w:val="24"/>
        </w:rPr>
        <w:t>二、验收标准、规范及方式</w:t>
      </w:r>
    </w:p>
    <w:p w14:paraId="1C1A9D21">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lang w:val="en-US" w:eastAsia="zh-CN"/>
        </w:rPr>
        <w:t>1</w:t>
      </w:r>
      <w:r>
        <w:rPr>
          <w:rFonts w:hint="eastAsia"/>
          <w:sz w:val="24"/>
          <w:szCs w:val="24"/>
          <w:lang w:val="en-US"/>
        </w:rPr>
        <w:t>.</w:t>
      </w:r>
      <w:r>
        <w:rPr>
          <w:rFonts w:hint="eastAsia"/>
          <w:sz w:val="24"/>
          <w:szCs w:val="24"/>
        </w:rPr>
        <w:t>验收标准：</w:t>
      </w:r>
    </w:p>
    <w:p w14:paraId="084E047A">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rPr>
        <w:t>严格国家相关法律法规标准及采购文件要求执行。</w:t>
      </w:r>
    </w:p>
    <w:p w14:paraId="6373DF53">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lang w:val="en-US" w:eastAsia="zh-CN"/>
        </w:rPr>
        <w:t>2</w:t>
      </w:r>
      <w:r>
        <w:rPr>
          <w:rFonts w:hint="eastAsia"/>
          <w:sz w:val="24"/>
          <w:szCs w:val="24"/>
          <w:lang w:val="en-US"/>
        </w:rPr>
        <w:t>.</w:t>
      </w:r>
      <w:r>
        <w:rPr>
          <w:rFonts w:hint="eastAsia"/>
          <w:sz w:val="24"/>
          <w:szCs w:val="24"/>
        </w:rPr>
        <w:t>验收规范：</w:t>
      </w:r>
    </w:p>
    <w:p w14:paraId="4FCA6E8A">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rPr>
        <w:t>严格国家相关法律法规标准及采购文件要求执行。</w:t>
      </w:r>
    </w:p>
    <w:p w14:paraId="6FA2FEDA">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lang w:val="en-US" w:eastAsia="zh-CN"/>
        </w:rPr>
        <w:t>3</w:t>
      </w:r>
      <w:r>
        <w:rPr>
          <w:rFonts w:hint="eastAsia"/>
          <w:sz w:val="24"/>
          <w:szCs w:val="24"/>
          <w:lang w:val="en-US"/>
        </w:rPr>
        <w:t>.</w:t>
      </w:r>
      <w:r>
        <w:rPr>
          <w:rFonts w:hint="eastAsia"/>
          <w:sz w:val="24"/>
          <w:szCs w:val="24"/>
        </w:rPr>
        <w:t>验收方式：</w:t>
      </w:r>
    </w:p>
    <w:p w14:paraId="20D85BE1">
      <w:pPr>
        <w:keepNext w:val="0"/>
        <w:keepLines w:val="0"/>
        <w:pageBreakBefore w:val="0"/>
        <w:widowControl w:val="0"/>
        <w:kinsoku/>
        <w:wordWrap/>
        <w:overflowPunct/>
        <w:topLinePunct w:val="0"/>
        <w:bidi w:val="0"/>
        <w:adjustRightInd/>
        <w:spacing w:line="360" w:lineRule="auto"/>
        <w:ind w:firstLine="480" w:firstLineChars="200"/>
        <w:jc w:val="both"/>
        <w:textAlignment w:val="auto"/>
        <w:rPr>
          <w:sz w:val="24"/>
          <w:szCs w:val="24"/>
        </w:rPr>
      </w:pPr>
      <w:r>
        <w:rPr>
          <w:rFonts w:hint="eastAsia"/>
          <w:sz w:val="24"/>
          <w:szCs w:val="24"/>
          <w:lang w:val="en-US" w:eastAsia="zh-CN"/>
        </w:rPr>
        <w:t>中标人提供的餐饮服务内容与服务合同一致，达到采购文件的要求。按月对中标人的业务完成情况进行考核。考核结果作为支付外包费用的重要依据。若出现违约事项，按合同约定扣除违约金后支付当月外包费用</w:t>
      </w:r>
      <w:r>
        <w:rPr>
          <w:rFonts w:hint="eastAsia"/>
          <w:sz w:val="24"/>
          <w:szCs w:val="24"/>
        </w:rPr>
        <w:t>。</w:t>
      </w:r>
    </w:p>
    <w:p w14:paraId="3ADFC4F2">
      <w:pPr>
        <w:keepNext w:val="0"/>
        <w:keepLines w:val="0"/>
        <w:pageBreakBefore w:val="0"/>
        <w:widowControl w:val="0"/>
        <w:kinsoku/>
        <w:wordWrap/>
        <w:overflowPunct/>
        <w:topLinePunct w:val="0"/>
        <w:bidi w:val="0"/>
        <w:adjustRightInd/>
        <w:spacing w:line="360" w:lineRule="auto"/>
        <w:jc w:val="both"/>
        <w:textAlignment w:val="auto"/>
        <w:rPr>
          <w:rFonts w:hint="eastAsia"/>
          <w:b/>
          <w:bCs/>
          <w:sz w:val="24"/>
          <w:szCs w:val="24"/>
        </w:rPr>
      </w:pPr>
      <w:r>
        <w:rPr>
          <w:rFonts w:hint="eastAsia"/>
          <w:b/>
          <w:bCs/>
          <w:sz w:val="24"/>
          <w:szCs w:val="24"/>
          <w:lang w:val="en-US" w:eastAsia="zh-CN"/>
        </w:rPr>
        <w:t>三</w:t>
      </w:r>
      <w:r>
        <w:rPr>
          <w:rFonts w:hint="eastAsia"/>
          <w:b/>
          <w:bCs/>
          <w:sz w:val="24"/>
          <w:szCs w:val="24"/>
        </w:rPr>
        <w:t>、付款方式</w:t>
      </w:r>
    </w:p>
    <w:p w14:paraId="5B05AFE0">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服务费结算周期为月结</w:t>
      </w:r>
      <w:r>
        <w:rPr>
          <w:rFonts w:hint="eastAsia" w:cs="宋体"/>
          <w:sz w:val="24"/>
          <w:szCs w:val="24"/>
          <w:lang w:val="en-US" w:eastAsia="zh-CN"/>
        </w:rPr>
        <w:t>，根据每月实际用工情况据实结算</w:t>
      </w:r>
      <w:r>
        <w:rPr>
          <w:rFonts w:hint="eastAsia" w:ascii="宋体" w:hAnsi="宋体" w:eastAsia="宋体" w:cs="宋体"/>
          <w:sz w:val="24"/>
          <w:szCs w:val="24"/>
          <w:lang w:val="en-US" w:eastAsia="zh-CN"/>
        </w:rPr>
        <w:t>。每月初第一个工作日由中标方提供合法合规增值税发票，采购人在收到发票后5个工作日内支付上月费用。</w:t>
      </w:r>
      <w:r>
        <w:rPr>
          <w:rFonts w:hint="eastAsia" w:cs="宋体"/>
          <w:sz w:val="24"/>
          <w:szCs w:val="24"/>
          <w:lang w:val="en-US" w:eastAsia="zh-CN"/>
        </w:rPr>
        <w:t>根据“检查考核”相关要求，</w:t>
      </w:r>
      <w:r>
        <w:rPr>
          <w:rFonts w:hint="eastAsia" w:ascii="宋体" w:hAnsi="宋体" w:eastAsia="宋体" w:cs="宋体"/>
          <w:sz w:val="24"/>
          <w:szCs w:val="24"/>
          <w:lang w:val="en-US" w:eastAsia="zh-CN"/>
        </w:rPr>
        <w:t>采购人有权在支付结算费用时直接扣除中标人的罚款。</w:t>
      </w:r>
    </w:p>
    <w:p w14:paraId="083B047E">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四、报价要求</w:t>
      </w:r>
    </w:p>
    <w:p w14:paraId="712F8BF1">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w:t>
      </w:r>
      <w:r>
        <w:rPr>
          <w:rFonts w:hint="default" w:ascii="宋体" w:hAnsi="宋体" w:eastAsia="宋体" w:cs="宋体"/>
          <w:color w:val="auto"/>
          <w:sz w:val="24"/>
          <w:szCs w:val="24"/>
          <w:lang w:val="en-US" w:eastAsia="zh-CN"/>
        </w:rPr>
        <w:t>报价须为人民币报价。报价为包干价，包含但不限于完成本项目所需的服务费、提供服务所需的员工工资、社会保险、劳保福利、税费、管理费、员工遣散费、员工住宿、</w:t>
      </w:r>
      <w:r>
        <w:rPr>
          <w:rFonts w:hint="eastAsia" w:cs="宋体"/>
          <w:b w:val="0"/>
          <w:bCs w:val="0"/>
          <w:color w:val="auto"/>
          <w:sz w:val="24"/>
          <w:szCs w:val="24"/>
          <w:lang w:val="en-US" w:eastAsia="zh-CN"/>
        </w:rPr>
        <w:t>工作服装、法定节假日、轮休、培训、保险（意外险或雇主责任险）</w:t>
      </w:r>
      <w:r>
        <w:rPr>
          <w:rFonts w:hint="default" w:ascii="宋体" w:hAnsi="宋体" w:eastAsia="宋体" w:cs="宋体"/>
          <w:color w:val="auto"/>
          <w:sz w:val="24"/>
          <w:szCs w:val="24"/>
          <w:lang w:val="en-US" w:eastAsia="zh-CN"/>
        </w:rPr>
        <w:t>（投标人如有漏项，则默认为此项费用已经包含在报价中）。员工劳务关系在乙方，甲方不承担其它人力费用。</w:t>
      </w:r>
    </w:p>
    <w:p w14:paraId="7089A647">
      <w:pPr>
        <w:keepNext w:val="0"/>
        <w:keepLines w:val="0"/>
        <w:pageBreakBefore w:val="0"/>
        <w:widowControl w:val="0"/>
        <w:kinsoku/>
        <w:wordWrap/>
        <w:overflowPunct/>
        <w:topLinePunct w:val="0"/>
        <w:bidi w:val="0"/>
        <w:adjustRightInd/>
        <w:spacing w:line="360" w:lineRule="auto"/>
        <w:jc w:val="both"/>
        <w:textAlignment w:val="auto"/>
        <w:rPr>
          <w:b/>
          <w:bCs/>
          <w:sz w:val="24"/>
          <w:szCs w:val="24"/>
        </w:rPr>
      </w:pPr>
      <w:r>
        <w:rPr>
          <w:rFonts w:hint="eastAsia"/>
          <w:b/>
          <w:bCs/>
          <w:sz w:val="24"/>
          <w:szCs w:val="24"/>
          <w:lang w:val="en-US" w:eastAsia="zh-CN"/>
        </w:rPr>
        <w:t>四</w:t>
      </w:r>
      <w:r>
        <w:rPr>
          <w:rFonts w:hint="eastAsia"/>
          <w:b/>
          <w:bCs/>
          <w:sz w:val="24"/>
          <w:szCs w:val="24"/>
        </w:rPr>
        <w:t>、投标有效期</w:t>
      </w:r>
    </w:p>
    <w:p w14:paraId="7DB48376">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eastAsia"/>
          <w:sz w:val="24"/>
          <w:szCs w:val="24"/>
          <w:lang w:val="en-US" w:eastAsia="zh-CN"/>
        </w:rPr>
      </w:pPr>
      <w:r>
        <w:rPr>
          <w:rFonts w:hint="eastAsia" w:ascii="宋体" w:hAnsi="宋体" w:eastAsia="宋体" w:cs="宋体"/>
          <w:color w:val="auto"/>
          <w:sz w:val="24"/>
          <w:szCs w:val="24"/>
        </w:rPr>
        <w:t>投标截止时间起生效，有效期为90日历天。</w:t>
      </w:r>
    </w:p>
    <w:p w14:paraId="6FA93092">
      <w:pPr>
        <w:keepNext w:val="0"/>
        <w:keepLines w:val="0"/>
        <w:pageBreakBefore w:val="0"/>
        <w:widowControl w:val="0"/>
        <w:kinsoku/>
        <w:wordWrap/>
        <w:overflowPunct/>
        <w:topLinePunct w:val="0"/>
        <w:bidi w:val="0"/>
        <w:adjustRightInd/>
        <w:spacing w:line="360" w:lineRule="auto"/>
        <w:jc w:val="both"/>
        <w:textAlignment w:val="auto"/>
        <w:rPr>
          <w:b/>
          <w:bCs/>
          <w:sz w:val="24"/>
          <w:szCs w:val="24"/>
        </w:rPr>
      </w:pPr>
      <w:r>
        <w:rPr>
          <w:rFonts w:hint="eastAsia"/>
          <w:b/>
          <w:bCs/>
          <w:sz w:val="24"/>
          <w:szCs w:val="24"/>
          <w:lang w:val="en-US" w:eastAsia="zh-CN"/>
        </w:rPr>
        <w:t>五</w:t>
      </w:r>
      <w:r>
        <w:rPr>
          <w:rFonts w:hint="eastAsia"/>
          <w:b/>
          <w:bCs/>
          <w:sz w:val="24"/>
          <w:szCs w:val="24"/>
        </w:rPr>
        <w:t>、其他要求</w:t>
      </w:r>
    </w:p>
    <w:p w14:paraId="33949D49">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eastAsia" w:cs="宋体"/>
          <w:sz w:val="24"/>
          <w:szCs w:val="24"/>
          <w:highlight w:val="none"/>
          <w:lang w:val="en-US" w:eastAsia="zh-CN"/>
        </w:rPr>
        <w:t>供应商须承诺：</w:t>
      </w:r>
      <w:r>
        <w:rPr>
          <w:rFonts w:hint="eastAsia" w:ascii="宋体" w:hAnsi="宋体" w:eastAsia="宋体" w:cs="宋体"/>
          <w:sz w:val="24"/>
          <w:szCs w:val="24"/>
          <w:highlight w:val="none"/>
          <w:lang w:val="en-US" w:eastAsia="zh-CN"/>
        </w:rPr>
        <w:t>拟派服务人员，服务期内在工作岗位上出现因病、伤、残、亡等责任时由</w:t>
      </w:r>
      <w:r>
        <w:rPr>
          <w:rFonts w:hint="eastAsia" w:cs="宋体"/>
          <w:sz w:val="24"/>
          <w:szCs w:val="24"/>
          <w:highlight w:val="none"/>
          <w:lang w:val="en-US" w:eastAsia="zh-CN"/>
        </w:rPr>
        <w:t>投标人</w:t>
      </w:r>
      <w:r>
        <w:rPr>
          <w:rFonts w:hint="eastAsia" w:ascii="宋体" w:hAnsi="宋体" w:eastAsia="宋体" w:cs="宋体"/>
          <w:sz w:val="24"/>
          <w:szCs w:val="24"/>
          <w:highlight w:val="none"/>
          <w:lang w:val="en-US" w:eastAsia="zh-CN"/>
        </w:rPr>
        <w:t>独立承担责任，且不转嫁给采购人。</w:t>
      </w:r>
    </w:p>
    <w:p w14:paraId="2EF649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eastAsia="zh-CN"/>
        </w:rPr>
        <w:t>须承诺因</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eastAsia="zh-CN"/>
        </w:rPr>
        <w:t>人员原因造成</w:t>
      </w:r>
      <w:r>
        <w:rPr>
          <w:rFonts w:hint="eastAsia" w:ascii="宋体" w:hAnsi="宋体" w:eastAsia="宋体" w:cs="宋体"/>
          <w:b w:val="0"/>
          <w:bCs/>
          <w:color w:val="auto"/>
          <w:sz w:val="24"/>
          <w:szCs w:val="24"/>
          <w:highlight w:val="none"/>
          <w:lang w:val="en-US" w:eastAsia="zh-CN"/>
        </w:rPr>
        <w:t>采购人或第三人</w:t>
      </w:r>
      <w:r>
        <w:rPr>
          <w:rFonts w:hint="eastAsia" w:ascii="宋体" w:hAnsi="宋体" w:eastAsia="宋体" w:cs="宋体"/>
          <w:b w:val="0"/>
          <w:bCs/>
          <w:color w:val="auto"/>
          <w:sz w:val="24"/>
          <w:szCs w:val="24"/>
          <w:highlight w:val="none"/>
          <w:lang w:eastAsia="zh-CN"/>
        </w:rPr>
        <w:t>经济和财产损失的，由</w:t>
      </w:r>
      <w:r>
        <w:rPr>
          <w:rFonts w:hint="eastAsia"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lang w:eastAsia="zh-CN"/>
        </w:rPr>
        <w:t>全部</w:t>
      </w:r>
      <w:r>
        <w:rPr>
          <w:rFonts w:hint="eastAsia" w:ascii="宋体" w:hAnsi="宋体" w:eastAsia="宋体" w:cs="宋体"/>
          <w:b w:val="0"/>
          <w:bCs/>
          <w:color w:val="auto"/>
          <w:sz w:val="24"/>
          <w:szCs w:val="24"/>
          <w:highlight w:val="none"/>
        </w:rPr>
        <w:t>承担。</w:t>
      </w:r>
    </w:p>
    <w:p w14:paraId="47554002">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3</w:t>
      </w:r>
      <w:r>
        <w:rPr>
          <w:rFonts w:hint="default" w:ascii="宋体" w:hAnsi="宋体" w:eastAsia="宋体" w:cs="宋体"/>
          <w:sz w:val="24"/>
          <w:szCs w:val="24"/>
          <w:highlight w:val="none"/>
          <w:lang w:val="en-US" w:eastAsia="zh-CN"/>
        </w:rPr>
        <w:t>.</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eastAsia="zh-CN"/>
        </w:rPr>
        <w:t>须承诺</w:t>
      </w:r>
      <w:r>
        <w:rPr>
          <w:rFonts w:hint="eastAsia" w:cs="宋体"/>
          <w:sz w:val="24"/>
          <w:szCs w:val="24"/>
          <w:highlight w:val="none"/>
          <w:lang w:val="en-US" w:eastAsia="zh-CN"/>
        </w:rPr>
        <w:t>，其</w:t>
      </w:r>
      <w:r>
        <w:rPr>
          <w:rFonts w:hint="eastAsia" w:ascii="宋体" w:hAnsi="宋体" w:eastAsia="宋体" w:cs="宋体"/>
          <w:sz w:val="24"/>
          <w:szCs w:val="24"/>
          <w:highlight w:val="none"/>
          <w:lang w:val="en-US" w:eastAsia="zh-CN"/>
        </w:rPr>
        <w:t>拟派服务人员的劳动关系均在供应商，其一切费用由</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承担，不得因支付给服务人员的薪酬等劳动合同纠纷或劳务纠纷而牵涉到采购人。</w:t>
      </w:r>
    </w:p>
    <w:p w14:paraId="468A587A">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default" w:ascii="宋体" w:hAnsi="宋体" w:eastAsia="宋体" w:cs="宋体"/>
          <w:sz w:val="24"/>
          <w:szCs w:val="24"/>
          <w:lang w:val="en-US" w:eastAsia="zh-CN"/>
        </w:rPr>
        <w:t>.</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eastAsia="zh-CN"/>
        </w:rPr>
        <w:t>须承诺</w:t>
      </w:r>
      <w:r>
        <w:rPr>
          <w:rFonts w:hint="eastAsia" w:cs="宋体"/>
          <w:sz w:val="24"/>
          <w:szCs w:val="24"/>
          <w:lang w:val="en-US" w:eastAsia="zh-CN"/>
        </w:rPr>
        <w:t>，</w:t>
      </w:r>
      <w:r>
        <w:rPr>
          <w:rFonts w:hint="eastAsia" w:ascii="宋体" w:hAnsi="宋体" w:eastAsia="宋体" w:cs="宋体"/>
          <w:sz w:val="24"/>
          <w:szCs w:val="24"/>
          <w:lang w:val="en-US" w:eastAsia="zh-CN"/>
        </w:rPr>
        <w:t>负责其拟派服务人员的雇主责任险、服务的管理费、风险金、合理的利润、残保金、培训费、管理成本、节假日福利等。</w:t>
      </w:r>
    </w:p>
    <w:p w14:paraId="6BE126E7">
      <w:pPr>
        <w:keepNext w:val="0"/>
        <w:keepLines w:val="0"/>
        <w:pageBreakBefore w:val="0"/>
        <w:widowControl w:val="0"/>
        <w:kinsoku/>
        <w:wordWrap/>
        <w:overflowPunct/>
        <w:topLinePunct w:val="0"/>
        <w:bidi w:val="0"/>
        <w:adjustRightInd/>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eastAsia="zh-CN"/>
        </w:rPr>
        <w:t>须承诺</w:t>
      </w:r>
      <w:r>
        <w:rPr>
          <w:rFonts w:hint="eastAsia" w:ascii="宋体" w:hAnsi="宋体" w:eastAsia="宋体" w:cs="宋体"/>
          <w:b w:val="0"/>
          <w:bCs/>
          <w:color w:val="auto"/>
          <w:sz w:val="24"/>
          <w:szCs w:val="24"/>
          <w:highlight w:val="none"/>
          <w:lang w:val="en-US" w:eastAsia="zh-CN"/>
        </w:rPr>
        <w:t>为其拟派人员购买保险。</w:t>
      </w:r>
    </w:p>
    <w:p w14:paraId="79731043">
      <w:pPr>
        <w:rPr>
          <w:rFonts w:hint="eastAsia" w:cs="宋体"/>
          <w:b/>
          <w:bCs/>
          <w:sz w:val="36"/>
          <w:szCs w:val="36"/>
          <w:lang w:val="en-US" w:eastAsia="zh-CN"/>
        </w:rPr>
      </w:pPr>
      <w:r>
        <w:rPr>
          <w:rFonts w:hint="eastAsia" w:cs="宋体"/>
          <w:sz w:val="24"/>
          <w:szCs w:val="24"/>
          <w:lang w:val="en-US" w:eastAsia="zh-CN"/>
        </w:rPr>
        <w:t>6.</w:t>
      </w:r>
      <w:r>
        <w:rPr>
          <w:rFonts w:hint="eastAsia" w:ascii="宋体" w:hAnsi="宋体" w:eastAsia="宋体" w:cs="宋体"/>
          <w:sz w:val="24"/>
          <w:szCs w:val="24"/>
          <w:lang w:val="en-US" w:eastAsia="zh-CN"/>
        </w:rPr>
        <w:t>其他未尽事宜由供需双方在采购合同中详细约定。</w:t>
      </w:r>
      <w:r>
        <w:rPr>
          <w:rFonts w:hint="eastAsia" w:cs="宋体"/>
          <w:b/>
          <w:bCs/>
          <w:sz w:val="36"/>
          <w:szCs w:val="36"/>
          <w:lang w:val="en-US" w:eastAsia="zh-CN"/>
        </w:rPr>
        <w:br w:type="page"/>
      </w:r>
    </w:p>
    <w:p w14:paraId="2429A15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b/>
          <w:bCs/>
          <w:sz w:val="36"/>
          <w:szCs w:val="36"/>
          <w:lang w:val="en-US" w:eastAsia="zh-CN"/>
        </w:rPr>
      </w:pPr>
      <w:r>
        <w:rPr>
          <w:rFonts w:hint="eastAsia" w:cs="宋体"/>
          <w:b/>
          <w:bCs/>
          <w:sz w:val="36"/>
          <w:szCs w:val="36"/>
          <w:lang w:val="en-US" w:eastAsia="zh-CN"/>
        </w:rPr>
        <w:t>采购需求部分</w:t>
      </w:r>
    </w:p>
    <w:p w14:paraId="58A98F2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一、项目概述</w:t>
      </w:r>
    </w:p>
    <w:p w14:paraId="286A12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为南明区中医医院患者及职工提供早、中、晚三餐，每日就餐人数约为300人次，内容包括但不限于：</w:t>
      </w:r>
    </w:p>
    <w:p w14:paraId="0E3A06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（一）</w:t>
      </w:r>
      <w:r>
        <w:rPr>
          <w:rFonts w:hint="eastAsia" w:ascii="宋体" w:hAnsi="宋体" w:eastAsia="宋体" w:cs="宋体"/>
          <w:b w:val="0"/>
          <w:bCs w:val="0"/>
          <w:sz w:val="24"/>
          <w:szCs w:val="24"/>
          <w:highlight w:val="none"/>
          <w:lang w:val="en-US" w:eastAsia="zh-CN"/>
        </w:rPr>
        <w:t>负责每日约300人次患者及职工的早中晚三餐供应、服务以及食堂质量控制的各项工作（菜谱安排和食材清单制定、参与食材验收、加收制作、配餐烹饪、就餐管理、餐具消毒清洗，食堂卫生）；</w:t>
      </w:r>
    </w:p>
    <w:p w14:paraId="5D0BCA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（二）</w:t>
      </w:r>
      <w:r>
        <w:rPr>
          <w:rFonts w:hint="eastAsia" w:ascii="宋体" w:hAnsi="宋体" w:eastAsia="宋体" w:cs="宋体"/>
          <w:b w:val="0"/>
          <w:bCs w:val="0"/>
          <w:sz w:val="24"/>
          <w:szCs w:val="24"/>
          <w:highlight w:val="none"/>
          <w:lang w:val="en-US" w:eastAsia="zh-CN"/>
        </w:rPr>
        <w:t>负责食堂食品卫生安全、消防安全、财产安全工作；</w:t>
      </w:r>
    </w:p>
    <w:p w14:paraId="6C3522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（三）</w:t>
      </w:r>
      <w:r>
        <w:rPr>
          <w:rFonts w:hint="eastAsia" w:ascii="宋体" w:hAnsi="宋体" w:eastAsia="宋体" w:cs="宋体"/>
          <w:b w:val="0"/>
          <w:bCs w:val="0"/>
          <w:sz w:val="24"/>
          <w:szCs w:val="24"/>
          <w:highlight w:val="none"/>
          <w:lang w:val="en-US" w:eastAsia="zh-CN"/>
        </w:rPr>
        <w:t>负责食堂物资采购计划的申报、参与验收及库房管理。</w:t>
      </w:r>
    </w:p>
    <w:p w14:paraId="69E49F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技术要求</w:t>
      </w:r>
    </w:p>
    <w:p w14:paraId="7FC5A3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（一）项目人员清单</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1617"/>
        <w:gridCol w:w="1153"/>
        <w:gridCol w:w="2442"/>
        <w:gridCol w:w="2247"/>
      </w:tblGrid>
      <w:tr w14:paraId="09D35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790FB1F1">
            <w:pPr>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17" w:type="dxa"/>
            <w:vAlign w:val="center"/>
          </w:tcPr>
          <w:p w14:paraId="1EF5F31E">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岗位</w:t>
            </w:r>
          </w:p>
        </w:tc>
        <w:tc>
          <w:tcPr>
            <w:tcW w:w="1153" w:type="dxa"/>
            <w:vAlign w:val="center"/>
          </w:tcPr>
          <w:p w14:paraId="454327CD">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人数</w:t>
            </w:r>
          </w:p>
        </w:tc>
        <w:tc>
          <w:tcPr>
            <w:tcW w:w="2442" w:type="dxa"/>
            <w:vAlign w:val="center"/>
          </w:tcPr>
          <w:p w14:paraId="19FD891C">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6"/>
                <w:sz w:val="24"/>
                <w:szCs w:val="24"/>
              </w:rPr>
            </w:pPr>
            <w:r>
              <w:rPr>
                <w:rFonts w:hint="eastAsia" w:cs="宋体"/>
                <w:spacing w:val="6"/>
                <w:sz w:val="24"/>
                <w:szCs w:val="24"/>
                <w:lang w:val="en-US" w:eastAsia="zh-CN"/>
              </w:rPr>
              <w:t>最高单价</w:t>
            </w:r>
            <w:r>
              <w:rPr>
                <w:rFonts w:hint="eastAsia" w:ascii="宋体" w:hAnsi="宋体" w:eastAsia="宋体" w:cs="宋体"/>
                <w:spacing w:val="6"/>
                <w:sz w:val="24"/>
                <w:szCs w:val="24"/>
              </w:rPr>
              <w:t>报价</w:t>
            </w:r>
          </w:p>
          <w:p w14:paraId="03C2C78C">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eastAsia="zh-CN"/>
              </w:rPr>
            </w:pPr>
            <w:r>
              <w:rPr>
                <w:rFonts w:hint="eastAsia" w:cs="宋体"/>
                <w:spacing w:val="6"/>
                <w:sz w:val="24"/>
                <w:szCs w:val="24"/>
                <w:lang w:eastAsia="zh-CN"/>
              </w:rPr>
              <w:t>（</w:t>
            </w:r>
            <w:r>
              <w:rPr>
                <w:rFonts w:hint="eastAsia" w:cs="宋体"/>
                <w:spacing w:val="6"/>
                <w:sz w:val="24"/>
                <w:szCs w:val="24"/>
                <w:lang w:val="en-US" w:eastAsia="zh-CN"/>
              </w:rPr>
              <w:t>元/月/人</w:t>
            </w:r>
            <w:r>
              <w:rPr>
                <w:rFonts w:hint="eastAsia" w:cs="宋体"/>
                <w:spacing w:val="6"/>
                <w:sz w:val="24"/>
                <w:szCs w:val="24"/>
                <w:lang w:eastAsia="zh-CN"/>
              </w:rPr>
              <w:t>）</w:t>
            </w:r>
          </w:p>
        </w:tc>
        <w:tc>
          <w:tcPr>
            <w:tcW w:w="2247" w:type="dxa"/>
            <w:vAlign w:val="center"/>
          </w:tcPr>
          <w:p w14:paraId="7C54B423">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备注</w:t>
            </w:r>
          </w:p>
        </w:tc>
      </w:tr>
      <w:tr w14:paraId="4AA8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4F563F2C">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1</w:t>
            </w:r>
          </w:p>
        </w:tc>
        <w:tc>
          <w:tcPr>
            <w:tcW w:w="1617" w:type="dxa"/>
            <w:vAlign w:val="center"/>
          </w:tcPr>
          <w:p w14:paraId="510042BD">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主厨</w:t>
            </w:r>
          </w:p>
        </w:tc>
        <w:tc>
          <w:tcPr>
            <w:tcW w:w="1153" w:type="dxa"/>
            <w:vAlign w:val="center"/>
          </w:tcPr>
          <w:p w14:paraId="4A0D957E">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2442" w:type="dxa"/>
            <w:vAlign w:val="center"/>
          </w:tcPr>
          <w:p w14:paraId="75432E3F">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9,000.00</w:t>
            </w:r>
          </w:p>
        </w:tc>
        <w:tc>
          <w:tcPr>
            <w:tcW w:w="2247" w:type="dxa"/>
            <w:vAlign w:val="center"/>
          </w:tcPr>
          <w:p w14:paraId="0FF4D188">
            <w:pPr>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p>
        </w:tc>
      </w:tr>
      <w:tr w14:paraId="7F12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742609C6">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2</w:t>
            </w:r>
          </w:p>
        </w:tc>
        <w:tc>
          <w:tcPr>
            <w:tcW w:w="1617" w:type="dxa"/>
            <w:vAlign w:val="center"/>
          </w:tcPr>
          <w:p w14:paraId="4618388D">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副厨</w:t>
            </w:r>
          </w:p>
        </w:tc>
        <w:tc>
          <w:tcPr>
            <w:tcW w:w="1153" w:type="dxa"/>
            <w:vAlign w:val="center"/>
          </w:tcPr>
          <w:p w14:paraId="4E9D0E44">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2442" w:type="dxa"/>
            <w:vAlign w:val="center"/>
          </w:tcPr>
          <w:p w14:paraId="7EDBDB24">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7,500.00</w:t>
            </w:r>
          </w:p>
        </w:tc>
        <w:tc>
          <w:tcPr>
            <w:tcW w:w="2247" w:type="dxa"/>
            <w:vAlign w:val="center"/>
          </w:tcPr>
          <w:p w14:paraId="32D7B0BF">
            <w:pPr>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p>
        </w:tc>
      </w:tr>
      <w:tr w14:paraId="6DFE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66021A19">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3</w:t>
            </w:r>
          </w:p>
        </w:tc>
        <w:tc>
          <w:tcPr>
            <w:tcW w:w="1617" w:type="dxa"/>
            <w:vAlign w:val="center"/>
          </w:tcPr>
          <w:p w14:paraId="5F249586">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墩子</w:t>
            </w:r>
          </w:p>
        </w:tc>
        <w:tc>
          <w:tcPr>
            <w:tcW w:w="1153" w:type="dxa"/>
            <w:vAlign w:val="center"/>
          </w:tcPr>
          <w:p w14:paraId="71BC5B8A">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2442" w:type="dxa"/>
            <w:vAlign w:val="center"/>
          </w:tcPr>
          <w:p w14:paraId="2B963898">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4,500.00</w:t>
            </w:r>
          </w:p>
        </w:tc>
        <w:tc>
          <w:tcPr>
            <w:tcW w:w="2247" w:type="dxa"/>
            <w:vAlign w:val="center"/>
          </w:tcPr>
          <w:p w14:paraId="171DD495">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含切配、开早</w:t>
            </w:r>
            <w:r>
              <w:rPr>
                <w:rFonts w:hint="eastAsia" w:ascii="宋体" w:hAnsi="宋体" w:eastAsia="宋体" w:cs="宋体"/>
                <w:sz w:val="24"/>
                <w:szCs w:val="24"/>
              </w:rPr>
              <w:t>餐</w:t>
            </w:r>
          </w:p>
        </w:tc>
      </w:tr>
      <w:tr w14:paraId="008B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0F7C232E">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4</w:t>
            </w:r>
          </w:p>
        </w:tc>
        <w:tc>
          <w:tcPr>
            <w:tcW w:w="1617" w:type="dxa"/>
            <w:vAlign w:val="center"/>
          </w:tcPr>
          <w:p w14:paraId="70A92D31">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面点</w:t>
            </w:r>
          </w:p>
        </w:tc>
        <w:tc>
          <w:tcPr>
            <w:tcW w:w="1153" w:type="dxa"/>
            <w:vAlign w:val="center"/>
          </w:tcPr>
          <w:p w14:paraId="3BE15BAB">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2442" w:type="dxa"/>
            <w:vAlign w:val="center"/>
          </w:tcPr>
          <w:p w14:paraId="15B445EC">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5,500.00</w:t>
            </w:r>
          </w:p>
        </w:tc>
        <w:tc>
          <w:tcPr>
            <w:tcW w:w="2247" w:type="dxa"/>
            <w:vAlign w:val="center"/>
          </w:tcPr>
          <w:p w14:paraId="79BCF056">
            <w:pPr>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p>
        </w:tc>
      </w:tr>
      <w:tr w14:paraId="76B32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097AEF8F">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5</w:t>
            </w:r>
          </w:p>
        </w:tc>
        <w:tc>
          <w:tcPr>
            <w:tcW w:w="1617" w:type="dxa"/>
            <w:vAlign w:val="center"/>
          </w:tcPr>
          <w:p w14:paraId="3D06C876">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洗碗/洗菜工</w:t>
            </w:r>
          </w:p>
        </w:tc>
        <w:tc>
          <w:tcPr>
            <w:tcW w:w="1153" w:type="dxa"/>
            <w:vAlign w:val="center"/>
          </w:tcPr>
          <w:p w14:paraId="3BB86057">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2442" w:type="dxa"/>
            <w:vAlign w:val="center"/>
          </w:tcPr>
          <w:p w14:paraId="1C5FEA4A">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4,000.00</w:t>
            </w:r>
          </w:p>
        </w:tc>
        <w:tc>
          <w:tcPr>
            <w:tcW w:w="2247" w:type="dxa"/>
            <w:vAlign w:val="center"/>
          </w:tcPr>
          <w:p w14:paraId="06D440C2">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含营业区保洁</w:t>
            </w:r>
          </w:p>
        </w:tc>
      </w:tr>
      <w:tr w14:paraId="0E314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5" w:type="dxa"/>
            <w:vAlign w:val="center"/>
          </w:tcPr>
          <w:p w14:paraId="29C64D4B">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6</w:t>
            </w:r>
          </w:p>
        </w:tc>
        <w:tc>
          <w:tcPr>
            <w:tcW w:w="1617" w:type="dxa"/>
            <w:vAlign w:val="center"/>
          </w:tcPr>
          <w:p w14:paraId="3B0F886E">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服务员</w:t>
            </w:r>
          </w:p>
        </w:tc>
        <w:tc>
          <w:tcPr>
            <w:tcW w:w="1153" w:type="dxa"/>
            <w:vAlign w:val="center"/>
          </w:tcPr>
          <w:p w14:paraId="1B5D41AF">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w:t>
            </w:r>
          </w:p>
        </w:tc>
        <w:tc>
          <w:tcPr>
            <w:tcW w:w="2442" w:type="dxa"/>
            <w:vAlign w:val="center"/>
          </w:tcPr>
          <w:p w14:paraId="18B6FC20">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4,000.00</w:t>
            </w:r>
          </w:p>
        </w:tc>
        <w:tc>
          <w:tcPr>
            <w:tcW w:w="2247" w:type="dxa"/>
            <w:vAlign w:val="center"/>
          </w:tcPr>
          <w:p w14:paraId="25248A55">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含送餐/收银</w:t>
            </w:r>
          </w:p>
        </w:tc>
      </w:tr>
      <w:tr w14:paraId="0AB03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04" w:type="dxa"/>
            <w:gridSpan w:val="5"/>
            <w:vAlign w:val="center"/>
          </w:tcPr>
          <w:p w14:paraId="352E1174">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both"/>
              <w:textAlignment w:val="baseline"/>
              <w:rPr>
                <w:rFonts w:hint="eastAsia" w:cs="宋体"/>
                <w:b w:val="0"/>
                <w:bCs w:val="0"/>
                <w:color w:val="FF0000"/>
                <w:sz w:val="24"/>
                <w:szCs w:val="24"/>
                <w:lang w:val="en-US" w:eastAsia="zh-CN"/>
              </w:rPr>
            </w:pPr>
            <w:r>
              <w:rPr>
                <w:rFonts w:hint="eastAsia" w:cs="宋体"/>
                <w:b w:val="0"/>
                <w:bCs w:val="0"/>
                <w:color w:val="FF0000"/>
                <w:sz w:val="24"/>
                <w:szCs w:val="24"/>
                <w:lang w:val="en-US" w:eastAsia="zh-CN"/>
              </w:rPr>
              <w:t>报价要求：</w:t>
            </w:r>
          </w:p>
          <w:p w14:paraId="23C700C0">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240" w:right="0" w:hanging="240" w:hangingChars="100"/>
              <w:jc w:val="both"/>
              <w:textAlignment w:val="baseline"/>
              <w:rPr>
                <w:rFonts w:hint="eastAsia" w:cs="宋体"/>
                <w:b w:val="0"/>
                <w:bCs w:val="0"/>
                <w:color w:val="FF0000"/>
                <w:sz w:val="24"/>
                <w:szCs w:val="24"/>
                <w:lang w:val="en-US" w:eastAsia="zh-CN"/>
              </w:rPr>
            </w:pPr>
            <w:r>
              <w:rPr>
                <w:rFonts w:hint="eastAsia" w:cs="宋体"/>
                <w:b w:val="0"/>
                <w:bCs w:val="0"/>
                <w:color w:val="FF0000"/>
                <w:sz w:val="24"/>
                <w:szCs w:val="24"/>
                <w:lang w:val="en-US" w:eastAsia="zh-CN"/>
              </w:rPr>
              <w:t>1.本次报价须为人民币报价。报价包含但不限于完成本项目所需的服务费、提供服务所需的员工工资、社会保险、劳保福利、税费、管理费、员工遣散费、员工住宿、工作服装、法定节假日、轮休、培训、保险（意外险或雇主责任险）等直至达到服务标准要求和采购人付款条件所发生的一切费用，即包干价。</w:t>
            </w:r>
          </w:p>
          <w:p w14:paraId="2F07A384">
            <w:pPr>
              <w:pStyle w:val="9"/>
              <w:keepNext w:val="0"/>
              <w:keepLines w:val="0"/>
              <w:pageBreakBefore w:val="0"/>
              <w:widowControl/>
              <w:kinsoku w:val="0"/>
              <w:wordWrap/>
              <w:overflowPunct/>
              <w:topLinePunct w:val="0"/>
              <w:autoSpaceDE w:val="0"/>
              <w:autoSpaceDN w:val="0"/>
              <w:bidi w:val="0"/>
              <w:adjustRightInd w:val="0"/>
              <w:snapToGrid w:val="0"/>
              <w:spacing w:line="450" w:lineRule="exact"/>
              <w:ind w:left="0" w:right="0" w:firstLine="0" w:firstLineChars="0"/>
              <w:jc w:val="both"/>
              <w:textAlignment w:val="baseline"/>
              <w:rPr>
                <w:rFonts w:hint="default" w:cs="宋体"/>
                <w:sz w:val="24"/>
                <w:szCs w:val="24"/>
                <w:lang w:val="en-US" w:eastAsia="zh-CN"/>
              </w:rPr>
            </w:pPr>
            <w:r>
              <w:rPr>
                <w:rFonts w:hint="eastAsia" w:cs="宋体"/>
                <w:b w:val="0"/>
                <w:bCs w:val="0"/>
                <w:color w:val="FF0000"/>
                <w:sz w:val="24"/>
                <w:szCs w:val="24"/>
                <w:lang w:val="en-US" w:eastAsia="zh-CN"/>
              </w:rPr>
              <w:t>2.上述报价按单人每月单价报价，报价超过</w:t>
            </w:r>
            <w:r>
              <w:rPr>
                <w:rFonts w:hint="eastAsia" w:cs="宋体"/>
                <w:b w:val="0"/>
                <w:bCs w:val="0"/>
                <w:color w:val="FF0000"/>
                <w:spacing w:val="6"/>
                <w:sz w:val="24"/>
                <w:szCs w:val="24"/>
                <w:lang w:val="en-US" w:eastAsia="zh-CN"/>
              </w:rPr>
              <w:t>最高单价</w:t>
            </w:r>
            <w:r>
              <w:rPr>
                <w:rFonts w:hint="eastAsia" w:ascii="宋体" w:hAnsi="宋体" w:eastAsia="宋体" w:cs="宋体"/>
                <w:b w:val="0"/>
                <w:bCs w:val="0"/>
                <w:color w:val="FF0000"/>
                <w:spacing w:val="6"/>
                <w:sz w:val="24"/>
                <w:szCs w:val="24"/>
              </w:rPr>
              <w:t>报价</w:t>
            </w:r>
            <w:r>
              <w:rPr>
                <w:rFonts w:hint="eastAsia" w:cs="宋体"/>
                <w:b w:val="0"/>
                <w:bCs w:val="0"/>
                <w:color w:val="FF0000"/>
                <w:sz w:val="24"/>
                <w:szCs w:val="24"/>
                <w:lang w:val="en-US" w:eastAsia="zh-CN"/>
              </w:rPr>
              <w:t>的，按无效投标处理。</w:t>
            </w:r>
          </w:p>
        </w:tc>
      </w:tr>
    </w:tbl>
    <w:p w14:paraId="4CF505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t>
      </w:r>
      <w:r>
        <w:rPr>
          <w:rFonts w:hint="eastAsia" w:cs="宋体"/>
          <w:b/>
          <w:bCs/>
          <w:kern w:val="2"/>
          <w:sz w:val="24"/>
          <w:szCs w:val="24"/>
          <w:highlight w:val="none"/>
          <w:lang w:val="en-US" w:eastAsia="zh-CN" w:bidi="ar-SA"/>
        </w:rPr>
        <w:t>二</w:t>
      </w:r>
      <w:r>
        <w:rPr>
          <w:rFonts w:hint="eastAsia" w:ascii="宋体" w:hAnsi="宋体" w:eastAsia="宋体" w:cs="宋体"/>
          <w:b/>
          <w:bCs/>
          <w:kern w:val="2"/>
          <w:sz w:val="24"/>
          <w:szCs w:val="24"/>
          <w:highlight w:val="none"/>
          <w:lang w:val="en-US" w:eastAsia="zh-CN" w:bidi="ar-SA"/>
        </w:rPr>
        <w:t>）人员和岗位要求</w:t>
      </w:r>
    </w:p>
    <w:tbl>
      <w:tblPr>
        <w:tblStyle w:val="5"/>
        <w:tblW w:w="8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982"/>
        <w:gridCol w:w="900"/>
        <w:gridCol w:w="941"/>
        <w:gridCol w:w="4240"/>
      </w:tblGrid>
      <w:tr w14:paraId="149D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7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3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0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人数</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年龄</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B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sz w:val="24"/>
                <w:szCs w:val="24"/>
                <w:highlight w:val="none"/>
                <w:lang w:val="en-US" w:eastAsia="zh-CN"/>
              </w:rPr>
              <w:t>人员和岗位要求</w:t>
            </w:r>
          </w:p>
        </w:tc>
      </w:tr>
      <w:tr w14:paraId="503C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1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3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主厨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8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14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50岁以下</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5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.职业资格：具有中式烹调（饪）师职业资格</w:t>
            </w:r>
            <w:r>
              <w:rPr>
                <w:rFonts w:hint="eastAsia" w:ascii="宋体" w:hAnsi="宋体" w:eastAsia="宋体" w:cs="宋体"/>
                <w:color w:val="000000"/>
                <w:sz w:val="24"/>
                <w:szCs w:val="24"/>
                <w:highlight w:val="none"/>
                <w:lang w:val="en-US" w:eastAsia="zh-CN"/>
              </w:rPr>
              <w:t>三级</w:t>
            </w:r>
            <w:r>
              <w:rPr>
                <w:rFonts w:hint="default"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以上证书，及公共营养师证书（提供证</w:t>
            </w:r>
            <w:r>
              <w:rPr>
                <w:rFonts w:hint="eastAsia" w:cs="宋体"/>
                <w:color w:val="auto"/>
                <w:sz w:val="24"/>
                <w:szCs w:val="24"/>
                <w:highlight w:val="none"/>
                <w:lang w:val="en-US" w:eastAsia="zh-CN"/>
              </w:rPr>
              <w:t>书</w:t>
            </w:r>
            <w:r>
              <w:rPr>
                <w:rFonts w:hint="eastAsia" w:ascii="宋体" w:hAnsi="宋体" w:eastAsia="宋体" w:cs="宋体"/>
                <w:color w:val="auto"/>
                <w:sz w:val="24"/>
                <w:szCs w:val="24"/>
                <w:highlight w:val="none"/>
                <w:lang w:val="en-US" w:eastAsia="zh-CN"/>
              </w:rPr>
              <w:t>复印件并加盖投标人公章）；</w:t>
            </w:r>
          </w:p>
          <w:p w14:paraId="5CC4B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2.工作经验：具有5年及以上餐饮业相关岗位工作经验；</w:t>
            </w:r>
          </w:p>
          <w:p w14:paraId="104ED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3.精通烹饪知识，通晓食品生产加工过程；</w:t>
            </w:r>
          </w:p>
          <w:p w14:paraId="016C6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4.了解餐饮市场行情，通晓发展和改进菜式的知识，具备选择原料改进食品制作的能力，组织菜品研发；</w:t>
            </w:r>
          </w:p>
          <w:p w14:paraId="4B1CE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5.掌握食品生产质量的要求和标准，具备丰富的原料采购、供应、库存的知识，能有效的控制成本；</w:t>
            </w:r>
          </w:p>
          <w:p w14:paraId="4F5C3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6.负责厨房各项管理工作，带领员工完成有关厨务各项工作，主动督导、协调和检查厨房的各项工作，发现问题及时处理和汇报；</w:t>
            </w:r>
          </w:p>
          <w:p w14:paraId="17475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7.协助现场经理制作各项工作方案及工作流程并带领团队进行方案实施、监督检查员工的执行情况并进行实时指导；</w:t>
            </w:r>
          </w:p>
          <w:p w14:paraId="7F3D1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8.负责食品卫生安全及设备操作安全工作，严格按照餐饮食品卫生控制标准及设备操作安全标准监督检查、指导团队人员正确操作；</w:t>
            </w:r>
          </w:p>
          <w:p w14:paraId="139EB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9.与现场经理制定菜单，执行适合的餐饮产品搭配；</w:t>
            </w:r>
          </w:p>
          <w:p w14:paraId="764EE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10.根据菜单安排及库存情况订购食品原料，监督管理食品原料卫生及质 量，协调食品原料配送中出现的问题；</w:t>
            </w:r>
          </w:p>
          <w:p w14:paraId="5E7F2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11.确定食品烹饪安排，确保及时供应，监督、协调厨师的烹饪工作，随时检查控制菜肴品质，保障菜品卫生、安全、口味等符合质量标准；</w:t>
            </w:r>
          </w:p>
          <w:p w14:paraId="4E135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12.随时检查设施设备的运行情况，杜绝安全隐患，对卫生、安全事故、及事故隐患及时整改并向上级汇报；</w:t>
            </w:r>
          </w:p>
          <w:p w14:paraId="7DE49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sz w:val="24"/>
                <w:szCs w:val="24"/>
                <w:highlight w:val="none"/>
                <w:u w:val="none"/>
                <w:shd w:val="clear" w:color="auto" w:fill="auto"/>
                <w:lang w:val="en-US" w:eastAsia="zh-CN"/>
              </w:rPr>
            </w:pPr>
            <w:r>
              <w:rPr>
                <w:rFonts w:hint="eastAsia" w:ascii="宋体" w:hAnsi="宋体" w:eastAsia="宋体" w:cs="宋体"/>
                <w:color w:val="auto"/>
                <w:sz w:val="24"/>
                <w:szCs w:val="24"/>
                <w:highlight w:val="none"/>
                <w:lang w:val="en-US" w:eastAsia="zh-CN"/>
              </w:rPr>
              <w:t>13.定期的烟道清洗工作监督、管理。</w:t>
            </w:r>
          </w:p>
        </w:tc>
      </w:tr>
      <w:tr w14:paraId="697D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A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4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4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50岁以下</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4A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1.职业资格：</w:t>
            </w:r>
            <w:r>
              <w:rPr>
                <w:rFonts w:hint="eastAsia" w:ascii="宋体" w:hAnsi="宋体" w:eastAsia="宋体" w:cs="宋体"/>
                <w:color w:val="auto"/>
                <w:sz w:val="24"/>
                <w:szCs w:val="24"/>
                <w:highlight w:val="none"/>
                <w:lang w:val="en-US" w:eastAsia="zh-CN"/>
              </w:rPr>
              <w:t>具有中式烹调（饪）师职业资格</w:t>
            </w:r>
            <w:r>
              <w:rPr>
                <w:rFonts w:hint="eastAsia" w:ascii="宋体" w:hAnsi="宋体" w:eastAsia="宋体" w:cs="宋体"/>
                <w:color w:val="000000"/>
                <w:sz w:val="24"/>
                <w:szCs w:val="24"/>
                <w:highlight w:val="none"/>
                <w:lang w:val="en-US" w:eastAsia="zh-CN"/>
              </w:rPr>
              <w:t>四级</w:t>
            </w:r>
            <w:r>
              <w:rPr>
                <w:rFonts w:hint="default"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以上证书。</w:t>
            </w:r>
            <w:r>
              <w:rPr>
                <w:rFonts w:hint="eastAsia" w:ascii="宋体" w:hAnsi="宋体" w:eastAsia="宋体" w:cs="宋体"/>
                <w:color w:val="auto"/>
                <w:sz w:val="24"/>
                <w:szCs w:val="24"/>
                <w:lang w:val="en-US" w:eastAsia="zh-CN"/>
              </w:rPr>
              <w:t>（提供证</w:t>
            </w:r>
            <w:r>
              <w:rPr>
                <w:rFonts w:hint="eastAsia" w:cs="宋体"/>
                <w:color w:val="auto"/>
                <w:sz w:val="24"/>
                <w:szCs w:val="24"/>
                <w:lang w:val="en-US" w:eastAsia="zh-CN"/>
              </w:rPr>
              <w:t>书</w:t>
            </w:r>
            <w:r>
              <w:rPr>
                <w:rFonts w:hint="eastAsia" w:ascii="宋体" w:hAnsi="宋体" w:eastAsia="宋体" w:cs="宋体"/>
                <w:color w:val="auto"/>
                <w:sz w:val="24"/>
                <w:szCs w:val="24"/>
                <w:lang w:val="en-US" w:eastAsia="zh-CN"/>
              </w:rPr>
              <w:t>复印件并加盖投标人公章）；</w:t>
            </w:r>
          </w:p>
          <w:p w14:paraId="2181C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2.工作经验：具有5年及以上餐饮业工作经验；</w:t>
            </w:r>
          </w:p>
          <w:p w14:paraId="13157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3.负责早、午、晚餐的菜肴烹饪及前期加工工作，根据菜单及上级安排烹饪食品，保障食品的卫生、口味符合质量要求，保证及时供给并根据顾客就餐客流在主厨的指导下分</w:t>
            </w:r>
            <w:r>
              <w:rPr>
                <w:rFonts w:hint="eastAsia" w:ascii="宋体" w:hAnsi="宋体" w:eastAsia="宋体" w:cs="宋体"/>
                <w:color w:val="auto"/>
                <w:sz w:val="24"/>
                <w:szCs w:val="24"/>
                <w:highlight w:val="none"/>
                <w:lang w:val="en-US" w:eastAsia="zh-CN"/>
              </w:rPr>
              <w:t>批烹饪菜品，保障菜品新鲜度，做到勤炒小炒；</w:t>
            </w:r>
          </w:p>
          <w:p w14:paraId="6070A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4.打扫并保持工作及公共区域卫生清洁；</w:t>
            </w:r>
          </w:p>
          <w:p w14:paraId="4E226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5.按照操作说明清洁保养烹饪设备及厨房内的各种设施、设备，杜绝安全隐患；</w:t>
            </w:r>
          </w:p>
          <w:p w14:paraId="3F622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6.擅长川菜、黔菜、湘菜、粤菜等的制作。</w:t>
            </w:r>
          </w:p>
        </w:tc>
      </w:tr>
      <w:tr w14:paraId="1072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8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0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墩子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C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55岁以下</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32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1.工作经验：具有4年及以上餐饮业工作经验；</w:t>
            </w:r>
          </w:p>
          <w:p w14:paraId="04667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2.切菜时应配合厨师工作，按厨师要求切菜、配菜，按时供应。全力做好供餐准备；</w:t>
            </w:r>
          </w:p>
          <w:p w14:paraId="1CA05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3.根据每日菜谱，负责当天和隔天原料的计划预计和准确控制；</w:t>
            </w:r>
          </w:p>
          <w:p w14:paraId="3D94A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4.负责厨具、厨房环境的卫生及原材料的保质保鲜工作，禁止使用腐烂变质的蔬菜及鱼类、肉类及其他辅料食品；</w:t>
            </w:r>
          </w:p>
          <w:p w14:paraId="395E8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5.切菜前应把刀、砧板等用具洗净消毒好。刀和砧板等工具用完后洗净放回原位置（每周定期用沸水蒸煮消毒）；</w:t>
            </w:r>
          </w:p>
          <w:p w14:paraId="7DC05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6.每日检查冰箱、冰库原料的库存及质量，有效防止大量积压存料；</w:t>
            </w:r>
          </w:p>
          <w:p w14:paraId="2C456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7.负责将切配后的原料及时送到加工制作区域或放入冷库及冰箱保鲜；</w:t>
            </w:r>
          </w:p>
          <w:p w14:paraId="7320A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8.负责维护保养切配加工设备，并能按照操作规程进行操作设备设施等；</w:t>
            </w:r>
          </w:p>
          <w:p w14:paraId="3A051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9.负责三台（供餐台、放菜台、切菜台的清洁工作）；</w:t>
            </w:r>
          </w:p>
          <w:p w14:paraId="7D11B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10.处理工作完成后，要及时清理排水沟的杂物。</w:t>
            </w:r>
          </w:p>
        </w:tc>
      </w:tr>
      <w:tr w14:paraId="4BA4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E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1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B0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50岁以下</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22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1.职业资格：具有中式面点师四级</w:t>
            </w:r>
            <w:r>
              <w:rPr>
                <w:rFonts w:hint="eastAsia" w:cs="宋体"/>
                <w:color w:val="auto"/>
                <w:sz w:val="24"/>
                <w:szCs w:val="24"/>
                <w:lang w:val="en-US" w:eastAsia="zh-CN"/>
              </w:rPr>
              <w:t>及</w:t>
            </w:r>
            <w:r>
              <w:rPr>
                <w:rFonts w:hint="eastAsia" w:ascii="宋体" w:hAnsi="宋体" w:eastAsia="宋体" w:cs="宋体"/>
                <w:color w:val="auto"/>
                <w:sz w:val="24"/>
                <w:szCs w:val="24"/>
                <w:lang w:val="en-US" w:eastAsia="zh-CN"/>
              </w:rPr>
              <w:t>以上资格。（提供证</w:t>
            </w:r>
            <w:r>
              <w:rPr>
                <w:rFonts w:hint="eastAsia" w:cs="宋体"/>
                <w:color w:val="auto"/>
                <w:sz w:val="24"/>
                <w:szCs w:val="24"/>
                <w:lang w:val="en-US" w:eastAsia="zh-CN"/>
              </w:rPr>
              <w:t>书</w:t>
            </w:r>
            <w:r>
              <w:rPr>
                <w:rFonts w:hint="eastAsia" w:ascii="宋体" w:hAnsi="宋体" w:eastAsia="宋体" w:cs="宋体"/>
                <w:color w:val="auto"/>
                <w:sz w:val="24"/>
                <w:szCs w:val="24"/>
                <w:lang w:val="en-US" w:eastAsia="zh-CN"/>
              </w:rPr>
              <w:t>复印件并加盖投标人公章）；</w:t>
            </w:r>
          </w:p>
          <w:p w14:paraId="63611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2.工作经验：具有5年及以上餐饮业工作经验；</w:t>
            </w:r>
          </w:p>
          <w:p w14:paraId="4AD10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3.熟练掌握各式、各味面点、小吃的制作工艺与流程，适应不同层次，不同档次的要求，能正确，准确运用各类技法：如包、捏、溜、擀等。</w:t>
            </w:r>
          </w:p>
        </w:tc>
      </w:tr>
      <w:tr w14:paraId="4254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2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F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洗碗洗菜工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AE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55岁以下</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26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1.负责大厅卫生、洗碗、洗菜、餐具消毒；</w:t>
            </w:r>
          </w:p>
          <w:p w14:paraId="40C1A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2.工作经验：具有3年及以上餐饮业工作经验。</w:t>
            </w:r>
          </w:p>
        </w:tc>
      </w:tr>
      <w:tr w14:paraId="6E93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3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4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7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99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50岁以下</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14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1.工作经验：具有相关岗位3年及以上相关工作经验；</w:t>
            </w:r>
          </w:p>
          <w:p w14:paraId="5139C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2.勤快能吃苦，做事灵活，眼明手快；</w:t>
            </w:r>
          </w:p>
          <w:p w14:paraId="7CB4D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240" w:right="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3.掌握接待餐服务程序，具有熟练的服务技巧。</w:t>
            </w:r>
          </w:p>
        </w:tc>
      </w:tr>
    </w:tbl>
    <w:p w14:paraId="255B8E57">
      <w:pPr>
        <w:keepNext w:val="0"/>
        <w:keepLines w:val="0"/>
        <w:pageBreakBefore w:val="0"/>
        <w:widowControl w:val="0"/>
        <w:kinsoku/>
        <w:wordWrap/>
        <w:overflowPunct/>
        <w:topLinePunct w:val="0"/>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（三）管理要求</w:t>
      </w:r>
    </w:p>
    <w:p w14:paraId="22116123">
      <w:pPr>
        <w:pStyle w:val="2"/>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1.</w:t>
      </w:r>
      <w:r>
        <w:rPr>
          <w:rFonts w:hint="eastAsia" w:ascii="宋体" w:hAnsi="宋体" w:eastAsia="宋体" w:cs="宋体"/>
          <w:sz w:val="24"/>
          <w:szCs w:val="24"/>
          <w:highlight w:val="none"/>
          <w:lang w:val="en-US" w:eastAsia="zh-CN"/>
        </w:rPr>
        <w:t>中标供应商需提供完善的外包厨师团队管理方案（内容包含：组织机构、人员配备情况、员工招募、培训、上岗等）。</w:t>
      </w:r>
    </w:p>
    <w:p w14:paraId="269C76C4">
      <w:pPr>
        <w:pStyle w:val="2"/>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2.</w:t>
      </w:r>
      <w:r>
        <w:rPr>
          <w:rFonts w:hint="eastAsia" w:ascii="宋体" w:hAnsi="宋体" w:eastAsia="宋体" w:cs="宋体"/>
          <w:sz w:val="24"/>
          <w:szCs w:val="24"/>
          <w:highlight w:val="none"/>
          <w:lang w:val="en-US" w:eastAsia="zh-CN"/>
        </w:rPr>
        <w:t>中标供应商需提供《卫生管理制度》（内容包括：蔬菜、肉类、鱼等的清洗规程、餐具及厨具的清洗与消毒规程、厨房员工卫生操作规程、厨房卫生及垃圾处理规程、库房卫生管理等）。</w:t>
      </w:r>
    </w:p>
    <w:p w14:paraId="0AEB8440">
      <w:pPr>
        <w:pStyle w:val="2"/>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sz w:val="24"/>
          <w:szCs w:val="24"/>
          <w:highlight w:val="none"/>
          <w:lang w:val="en-US" w:eastAsia="zh-CN"/>
        </w:rPr>
        <w:t>中标供应商需做好应急保障方案（如遇停水、电、气等情况），确保在特殊情况下能正常就餐。</w:t>
      </w:r>
    </w:p>
    <w:p w14:paraId="63F7C960">
      <w:pPr>
        <w:pStyle w:val="2"/>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4.</w:t>
      </w:r>
      <w:r>
        <w:rPr>
          <w:rFonts w:hint="eastAsia" w:ascii="宋体" w:hAnsi="宋体" w:eastAsia="宋体" w:cs="宋体"/>
          <w:sz w:val="24"/>
          <w:szCs w:val="24"/>
          <w:highlight w:val="none"/>
          <w:lang w:val="en-US" w:eastAsia="zh-CN"/>
        </w:rPr>
        <w:t>中标供应商需高度重视并多措施强化从业人员食品安全意识；健全食品安全管理，制定《食品安全保障方案或处置措施》。</w:t>
      </w:r>
    </w:p>
    <w:p w14:paraId="2F9FC91C">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lang w:val="en-US" w:eastAsia="zh-CN"/>
        </w:rPr>
        <w:t>中标供应商需做好食堂及周边区域清洁。做好餐厅就餐区、传菜间、卫生间、厨房后厨操作区地面及墙面、冷藏冷冻库房、食堂周边区域内的卫生保洁，垃圾每天定时清运到垃圾站，保持排水、排污管、沟通畅清洁。每日对食堂区域进行消毒，每周对就餐区桌椅进行清洗消毒。</w:t>
      </w:r>
    </w:p>
    <w:p w14:paraId="79679990">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pPr>
      <w:r>
        <w:rPr>
          <w:rFonts w:hint="eastAsia"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lang w:val="en-US" w:eastAsia="zh-CN"/>
        </w:rPr>
        <w:t>中标供应商需配合食堂临时装卸任务。安排专人对特殊采购任务进行临时装卸工作。</w:t>
      </w:r>
    </w:p>
    <w:p w14:paraId="5A64113D">
      <w:pPr>
        <w:pStyle w:val="2"/>
        <w:rPr>
          <w:rFonts w:hint="default" w:eastAsia="宋体"/>
          <w:lang w:val="en-US" w:eastAsia="zh-CN"/>
        </w:rPr>
      </w:pPr>
      <w:r>
        <w:rPr>
          <w:rFonts w:hint="eastAsia"/>
          <w:lang w:val="en-US" w:eastAsia="zh-CN"/>
        </w:rPr>
        <w:t>7.</w:t>
      </w:r>
      <w:r>
        <w:rPr>
          <w:rFonts w:hint="eastAsia" w:ascii="宋体" w:hAnsi="宋体" w:eastAsia="宋体" w:cs="宋体"/>
          <w:sz w:val="24"/>
          <w:szCs w:val="24"/>
          <w:highlight w:val="none"/>
          <w:lang w:val="en-US" w:eastAsia="zh-CN"/>
        </w:rPr>
        <w:t>中标供应商拟派</w:t>
      </w:r>
      <w:r>
        <w:rPr>
          <w:rFonts w:hint="eastAsia"/>
          <w:lang w:val="en-US" w:eastAsia="zh-CN"/>
        </w:rPr>
        <w:t>服务人员应微笑服务，与医院的工作人员及病人产生纠纷时，由供应商负责处理，采购人不负任何责任。</w:t>
      </w:r>
    </w:p>
    <w:p w14:paraId="55C32990">
      <w:pPr>
        <w:keepNext w:val="0"/>
        <w:keepLines w:val="0"/>
        <w:pageBreakBefore w:val="0"/>
        <w:widowControl w:val="0"/>
        <w:kinsoku/>
        <w:wordWrap/>
        <w:overflowPunct/>
        <w:topLinePunct w:val="0"/>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采购要求</w:t>
      </w:r>
    </w:p>
    <w:p w14:paraId="52FF3B65">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bookmarkStart w:id="0" w:name="_Hlk51752020"/>
      <w:r>
        <w:rPr>
          <w:rFonts w:hint="eastAsia" w:ascii="宋体" w:hAnsi="宋体" w:eastAsia="宋体" w:cs="宋体"/>
          <w:sz w:val="24"/>
          <w:szCs w:val="24"/>
          <w:highlight w:val="none"/>
          <w:lang w:val="en-US" w:eastAsia="zh-CN"/>
        </w:rPr>
        <w:t>1.接受采购人对菜品质量和餐厅管理的建议意见，并应当在收到建议或意见后24小时内整改完毕并回复整改情况。</w:t>
      </w:r>
    </w:p>
    <w:bookmarkEnd w:id="0"/>
    <w:p w14:paraId="5703FDA8">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2.采购人有权随时抽查企业资质证明、人员健康证明及从业资质证明等相关资料。</w:t>
      </w:r>
    </w:p>
    <w:p w14:paraId="6D753B55">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3.提供的服务和人员配备不能满足就餐服务需求的，采购方有权解除合同，追究责任，并要求赔偿损失。</w:t>
      </w:r>
    </w:p>
    <w:p w14:paraId="46E9CCEB">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4.服从采购人的其他安排，包括但不限于有其他特殊人群需要特殊菜品时，供应商须满足该要求（如清真菜等）。</w:t>
      </w:r>
    </w:p>
    <w:p w14:paraId="766E0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（五）其他要求</w:t>
      </w:r>
    </w:p>
    <w:p w14:paraId="71FE06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供应商</w:t>
      </w:r>
      <w:r>
        <w:rPr>
          <w:rFonts w:hint="eastAsia" w:ascii="宋体" w:hAnsi="宋体" w:eastAsia="宋体" w:cs="宋体"/>
          <w:b w:val="0"/>
          <w:bCs w:val="0"/>
          <w:sz w:val="24"/>
          <w:szCs w:val="24"/>
          <w:lang w:val="en-US" w:eastAsia="zh-CN"/>
        </w:rPr>
        <w:t>应根据相关法规，结合采购人实际，建立健全食材验收、食品加工、设备操作、餐具洗消等一系列管理制度、操作流程和工作标准，并制定具体的落实措施、考核办</w:t>
      </w:r>
      <w:r>
        <w:rPr>
          <w:rFonts w:hint="eastAsia" w:cs="宋体"/>
          <w:i w:val="0"/>
          <w:iCs w:val="0"/>
          <w:color w:val="000000"/>
          <w:sz w:val="24"/>
          <w:szCs w:val="24"/>
          <w:u w:val="none"/>
          <w:lang w:val="en-US" w:eastAsia="zh-CN"/>
        </w:rPr>
        <w:t>法和激励机制。</w:t>
      </w:r>
    </w:p>
    <w:p w14:paraId="1DEE8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（2）供应商的主厨、副厨、面点师等专业人员必须具备相应专业等级资格，持证上岗。所有员工统一着装、佩戴明显标志、工作规范、作风严谨。</w:t>
      </w:r>
    </w:p>
    <w:p w14:paraId="1D03E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3）供应商须为本项目配备管理人员，该人员负责供应商服务期间与采购人对接项目事宜，管理人员需具备应用计算机等现代化管理能力，根据采购人要求，完成就餐、食材消耗的日报表、月报表、食材采购表、库房领用表等相关资料的统计，协助做好其他工作。</w:t>
      </w:r>
    </w:p>
    <w:p w14:paraId="4EC09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（4）供应商必须建立健全应急管理机制。应急管理机制包含但不限于食物中毒、消防安全等，每年至少组织一次应急演练，并做好资料留存，及时向采购人报备。</w:t>
      </w:r>
    </w:p>
    <w:p w14:paraId="2BD0C1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（5）供应商应协同采购人按季开展膳食管理服务工作满意度调查，及时总结和整改，保留相关数据，并形成书面报告。</w:t>
      </w:r>
    </w:p>
    <w:p w14:paraId="149A92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（6）供应商配置的各岗位人员数量、素质、岗位专业等级应满足本招标文件要求。</w:t>
      </w:r>
    </w:p>
    <w:p w14:paraId="24C38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cs="宋体"/>
          <w:i w:val="0"/>
          <w:iCs w:val="0"/>
          <w:color w:val="000000"/>
          <w:sz w:val="24"/>
          <w:szCs w:val="24"/>
          <w:u w:val="none"/>
          <w:lang w:val="en-US" w:eastAsia="zh-CN"/>
        </w:rPr>
      </w:pPr>
      <w:r>
        <w:rPr>
          <w:rFonts w:hint="eastAsia" w:cs="宋体"/>
          <w:i w:val="0"/>
          <w:iCs w:val="0"/>
          <w:color w:val="000000"/>
          <w:sz w:val="24"/>
          <w:szCs w:val="24"/>
          <w:u w:val="none"/>
          <w:lang w:val="en-US" w:eastAsia="zh-CN"/>
        </w:rPr>
        <w:t>（7）供应商的主厨、副厨、面点师等变动应至少提前一个月向采购人报备，经采购人同意后，方可调整，且调整人员不得低于原服务人员资质水平。</w:t>
      </w:r>
    </w:p>
    <w:p w14:paraId="34EE1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r>
        <w:rPr>
          <w:rFonts w:hint="eastAsia" w:cs="宋体"/>
          <w:b w:val="0"/>
          <w:bCs w:val="0"/>
          <w:sz w:val="24"/>
          <w:szCs w:val="24"/>
          <w:lang w:val="en-US" w:eastAsia="zh-CN"/>
        </w:rPr>
        <w:t>供应商</w:t>
      </w:r>
      <w:r>
        <w:rPr>
          <w:rFonts w:hint="eastAsia" w:ascii="宋体" w:hAnsi="宋体" w:eastAsia="宋体" w:cs="宋体"/>
          <w:b w:val="0"/>
          <w:bCs w:val="0"/>
          <w:sz w:val="24"/>
          <w:szCs w:val="24"/>
          <w:lang w:val="en-US" w:eastAsia="zh-CN"/>
        </w:rPr>
        <w:t>应定期组织岗位培训，及时向采购人报备，建立工作日志，详实记载。</w:t>
      </w:r>
    </w:p>
    <w:p w14:paraId="50E7EE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r>
        <w:rPr>
          <w:rFonts w:hint="eastAsia" w:cs="宋体"/>
          <w:b w:val="0"/>
          <w:bCs w:val="0"/>
          <w:sz w:val="24"/>
          <w:szCs w:val="24"/>
          <w:lang w:val="en-US" w:eastAsia="zh-CN"/>
        </w:rPr>
        <w:t>供应商</w:t>
      </w:r>
      <w:r>
        <w:rPr>
          <w:rFonts w:hint="eastAsia" w:ascii="宋体" w:hAnsi="宋体" w:eastAsia="宋体" w:cs="宋体"/>
          <w:b w:val="0"/>
          <w:bCs w:val="0"/>
          <w:sz w:val="24"/>
          <w:szCs w:val="24"/>
          <w:lang w:val="en-US" w:eastAsia="zh-CN"/>
        </w:rPr>
        <w:t>负责办理本项目履约期内所发生的与餐饮服务内容相关的证件及相关部门登记备案手续等，包括但不限于有效的食品经营许可证或餐饮服务许可证，员工健康证等。</w:t>
      </w:r>
    </w:p>
    <w:p w14:paraId="00EEC6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（六）</w:t>
      </w:r>
      <w:r>
        <w:rPr>
          <w:rFonts w:hint="eastAsia" w:ascii="宋体" w:hAnsi="宋体" w:eastAsia="宋体" w:cs="宋体"/>
          <w:b/>
          <w:bCs/>
          <w:sz w:val="24"/>
          <w:szCs w:val="24"/>
          <w:lang w:val="en-US" w:eastAsia="zh-CN"/>
        </w:rPr>
        <w:t>服务标准</w:t>
      </w:r>
    </w:p>
    <w:p w14:paraId="4154E2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1.总体要求</w:t>
      </w:r>
    </w:p>
    <w:p w14:paraId="3EFE7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ascii="宋体" w:hAnsi="宋体" w:eastAsia="宋体" w:cs="宋体"/>
          <w:b w:val="0"/>
          <w:bCs w:val="0"/>
          <w:sz w:val="24"/>
          <w:szCs w:val="24"/>
          <w:lang w:val="en-US" w:eastAsia="zh-CN"/>
        </w:rPr>
        <w:t>（1）根据采购人实际用餐需求，按时保质保量供应。定期或不定期配合采购人，检查饭菜质量、数量及服务质量。标准餐每日正常供餐时间：早餐7:30-9:30,午餐11：30-13：30，晚</w:t>
      </w:r>
      <w:r>
        <w:rPr>
          <w:rFonts w:hint="eastAsia" w:cs="宋体"/>
          <w:i w:val="0"/>
          <w:iCs w:val="0"/>
          <w:color w:val="000000"/>
          <w:sz w:val="24"/>
          <w:szCs w:val="24"/>
          <w:u w:val="none"/>
          <w:lang w:val="en-US" w:eastAsia="zh-CN"/>
        </w:rPr>
        <w:t>餐17:00-19:00。中标供应商必须保证全年不间断供餐。如因特殊任务或其他工作需要调整供餐时间的，由采购人提前通知中标供应商，中标供应商应配合安排，并且应确保正常时间段以外其他时间段的供餐，人员配置与排班不低于满足150人早餐、200人中餐、50人晚餐。</w:t>
      </w:r>
    </w:p>
    <w:p w14:paraId="36CCAC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（2）根据采购人用餐人数、菜品数量及炒锅大小的不同，严格实行大锅小炒、小锅分炒，确保菜品的质量、数量、速度和新鲜度。</w:t>
      </w:r>
    </w:p>
    <w:p w14:paraId="69711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cs="宋体"/>
          <w:i w:val="0"/>
          <w:iCs w:val="0"/>
          <w:color w:val="000000"/>
          <w:sz w:val="24"/>
          <w:szCs w:val="24"/>
          <w:u w:val="none"/>
          <w:lang w:val="en-US" w:eastAsia="zh-CN"/>
        </w:rPr>
        <w:t>（3）做好每日就餐及食材消耗登记，在确保供应数量、质量的基础上，根据就餐情况，及时做好调整，协助采购人控制好成本，避免造成不必要的浪</w:t>
      </w:r>
      <w:r>
        <w:rPr>
          <w:rFonts w:hint="eastAsia" w:ascii="宋体" w:hAnsi="宋体" w:eastAsia="宋体" w:cs="宋体"/>
          <w:b w:val="0"/>
          <w:bCs w:val="0"/>
          <w:sz w:val="24"/>
          <w:szCs w:val="24"/>
          <w:lang w:val="en-US" w:eastAsia="zh-CN"/>
        </w:rPr>
        <w:t>费。</w:t>
      </w:r>
    </w:p>
    <w:p w14:paraId="1E7E6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（4）做好食品加工生产安全管理。规范食品加工流程，确保食品加工过程规范、卫生；严格落实食品留样、农残检测等食品安全制度，杜绝食物中毒事件。</w:t>
      </w:r>
    </w:p>
    <w:p w14:paraId="13F18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ascii="宋体" w:hAnsi="宋体" w:eastAsia="宋体" w:cs="宋体"/>
          <w:b w:val="0"/>
          <w:bCs w:val="0"/>
          <w:sz w:val="24"/>
          <w:szCs w:val="24"/>
          <w:lang w:val="en-US" w:eastAsia="zh-CN"/>
        </w:rPr>
        <w:t>（5）做好厨房、餐厅等环境卫生管理。随时保持各场所卫生清洁；各类餐饮具按规范流</w:t>
      </w:r>
      <w:r>
        <w:rPr>
          <w:rFonts w:hint="eastAsia" w:cs="宋体"/>
          <w:i w:val="0"/>
          <w:iCs w:val="0"/>
          <w:color w:val="000000"/>
          <w:sz w:val="24"/>
          <w:szCs w:val="24"/>
          <w:u w:val="none"/>
          <w:lang w:val="en-US" w:eastAsia="zh-CN"/>
        </w:rPr>
        <w:t>程洗净、消毒，符合国家有关卫生标准；餐具保洁柜及时清洗、保持洁净。</w:t>
      </w:r>
    </w:p>
    <w:p w14:paraId="4C62A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（6）安全操作使用水电气等设施设备。做好餐饮服务人员对厨房及各类设施设备的培训和日常提醒，规范操作流程，做好日常维护，杜绝因操作不当引发的安全责任事故。</w:t>
      </w:r>
    </w:p>
    <w:p w14:paraId="7065F3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（7）积极配合采购人做好采购、验收、领用、保管、结算、安全、卫生等一系列日常工作,做好相关台账和图片资料。</w:t>
      </w:r>
    </w:p>
    <w:p w14:paraId="54FF3D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（8）积极配合采购人做好杜绝就餐浪费各项工作，做好职工食堂文明就餐宣传工作。</w:t>
      </w:r>
    </w:p>
    <w:p w14:paraId="38C945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cs="宋体"/>
          <w:i w:val="0"/>
          <w:iCs w:val="0"/>
          <w:color w:val="000000"/>
          <w:sz w:val="24"/>
          <w:szCs w:val="24"/>
          <w:u w:val="none"/>
          <w:lang w:val="en-US" w:eastAsia="zh-CN"/>
        </w:rPr>
        <w:t>（9）加强水、电、气等能耗管理，配合采购人开</w:t>
      </w:r>
      <w:r>
        <w:rPr>
          <w:rFonts w:hint="eastAsia" w:ascii="宋体" w:hAnsi="宋体" w:eastAsia="宋体" w:cs="宋体"/>
          <w:b w:val="0"/>
          <w:bCs w:val="0"/>
          <w:sz w:val="24"/>
          <w:szCs w:val="24"/>
          <w:lang w:val="en-US" w:eastAsia="zh-CN"/>
        </w:rPr>
        <w:t>展节能减排工作，避免“长明灯”、“长流水”等浪费现象。</w:t>
      </w:r>
    </w:p>
    <w:p w14:paraId="1016D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ascii="宋体" w:hAnsi="宋体" w:eastAsia="宋体" w:cs="宋体"/>
          <w:b w:val="0"/>
          <w:bCs w:val="0"/>
          <w:sz w:val="24"/>
          <w:szCs w:val="24"/>
          <w:lang w:val="en-US" w:eastAsia="zh-CN"/>
        </w:rPr>
        <w:t>（10）</w:t>
      </w:r>
      <w:r>
        <w:rPr>
          <w:rFonts w:hint="eastAsia" w:cs="宋体"/>
          <w:i w:val="0"/>
          <w:iCs w:val="0"/>
          <w:color w:val="000000"/>
          <w:sz w:val="24"/>
          <w:szCs w:val="24"/>
          <w:u w:val="none"/>
          <w:lang w:val="en-US" w:eastAsia="zh-CN"/>
        </w:rPr>
        <w:t>按照国家要求做好餐厨垃圾的回收、分类处理工作。</w:t>
      </w:r>
    </w:p>
    <w:p w14:paraId="3ED67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（11）配合采购人做好突发事件的安全卫生保障工作，确保安全无事故。</w:t>
      </w:r>
    </w:p>
    <w:p w14:paraId="153D4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（12）中标供应商每月提交日常服务日志等相关资料（装订成册）。</w:t>
      </w:r>
    </w:p>
    <w:p w14:paraId="37E10A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（13）中标供应商在提供餐饮中严格执行有关法律法规规定及负责食堂范围以内的一切安全生产责任，并负责食堂范围内所有设备清洁、维护、保养及其产生的费用。</w:t>
      </w:r>
    </w:p>
    <w:p w14:paraId="394FD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2.餐饮服务内容及要求</w:t>
      </w:r>
    </w:p>
    <w:p w14:paraId="44ADFE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1）早餐标准：不少于4个不同品种供选择，其中：本地特色粉面、西式糕点、中式面点、热菜、卤凉菜、鸡蛋、五谷杂粮、粥（广式粥类、白粥各一种）、青菜、牛奶、豆浆、适当小菜（萝卜干、盐菜任意一种）及调料（辣椒面、油辣椒、酱油、醋）等。</w:t>
      </w:r>
    </w:p>
    <w:p w14:paraId="07258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（2）午餐标准：不少于4个不同品种供选择，其中：1全</w:t>
      </w:r>
      <w:r>
        <w:rPr>
          <w:rFonts w:hint="eastAsia" w:ascii="宋体" w:hAnsi="宋体" w:eastAsia="宋体" w:cs="宋体"/>
          <w:b w:val="0"/>
          <w:bCs w:val="0"/>
          <w:color w:val="auto"/>
          <w:sz w:val="24"/>
          <w:szCs w:val="24"/>
          <w:lang w:val="en-US" w:eastAsia="zh-CN"/>
        </w:rPr>
        <w:t>肉、2荤菜、2素菜、</w:t>
      </w:r>
      <w:r>
        <w:rPr>
          <w:rFonts w:hint="eastAsia" w:cs="宋体"/>
          <w:i w:val="0"/>
          <w:iCs w:val="0"/>
          <w:color w:val="000000"/>
          <w:sz w:val="24"/>
          <w:szCs w:val="24"/>
          <w:u w:val="none"/>
          <w:lang w:val="en-US" w:eastAsia="zh-CN"/>
        </w:rPr>
        <w:t>1凉菜、米饭、面点、杂粮、炒饭、汤、时令水果。</w:t>
      </w:r>
    </w:p>
    <w:p w14:paraId="2B364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（3）晚餐标准：不少于4个不同品种供选择，其中：炒菜、烫饭、盖饭、火锅等。</w:t>
      </w:r>
    </w:p>
    <w:p w14:paraId="217B1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（4）单出营养餐，数量在50份以内（满足采购人临时增加营养餐数量要求）。</w:t>
      </w:r>
    </w:p>
    <w:p w14:paraId="7E4B2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（5）按行业标准流程，必须在规定时间内做好开餐准备，做好相关服务保障工作，确保供应及时合理，无误餐现象发生。</w:t>
      </w:r>
    </w:p>
    <w:p w14:paraId="08CE6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（6）能够积极提升服务品质，菜品荤菜搭配合理性，如根据采购人要求研发制作成品或半成品食品供应服务等。</w:t>
      </w:r>
    </w:p>
    <w:p w14:paraId="26E5E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（7）中标供应商严格按规定配餐，每周五前须提供下周早中晚餐菜单，菜谱设计种类丰富、合理、完全满足采购人实际需要。</w:t>
      </w:r>
    </w:p>
    <w:p w14:paraId="7BAAD8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（8）食堂员工衣帽应统一、穿戴整齐，保持整洁，中标供应商给每个员工配备冬、夏工作服至少各两套。</w:t>
      </w:r>
    </w:p>
    <w:p w14:paraId="3AA0A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3.食品卫生与安全管理要求</w:t>
      </w:r>
    </w:p>
    <w:p w14:paraId="0CDD63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（1）食品留样管理</w:t>
      </w:r>
    </w:p>
    <w:p w14:paraId="106F0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①指定专人负责菜品留样工作。</w:t>
      </w:r>
    </w:p>
    <w:p w14:paraId="2BE0A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②保持食品留样冰柜的工作温度控制在摄氏0℃至6℃度之间，并保持冰柜内外卫生清洁。</w:t>
      </w:r>
    </w:p>
    <w:p w14:paraId="143C9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ascii="宋体" w:hAnsi="宋体" w:eastAsia="宋体" w:cs="宋体"/>
          <w:b w:val="0"/>
          <w:bCs w:val="0"/>
          <w:sz w:val="24"/>
          <w:szCs w:val="24"/>
          <w:lang w:val="en-US" w:eastAsia="zh-CN"/>
        </w:rPr>
        <w:t>③负责留样的工作人员要对每餐的留样情况进行记录，并认真填写《食品留样记录》及</w:t>
      </w:r>
      <w:r>
        <w:rPr>
          <w:rFonts w:hint="eastAsia" w:cs="宋体"/>
          <w:i w:val="0"/>
          <w:iCs w:val="0"/>
          <w:color w:val="000000"/>
          <w:sz w:val="24"/>
          <w:szCs w:val="24"/>
          <w:u w:val="none"/>
          <w:lang w:val="en-US" w:eastAsia="zh-CN"/>
        </w:rPr>
        <w:t>留样标签，确保时间、品名、餐次、留样人等记录要素完整。</w:t>
      </w:r>
    </w:p>
    <w:p w14:paraId="10338A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④每餐制作的菜品和重要接待任务的所有菜品都必须留样，每份样品的数量不少于100克。</w:t>
      </w:r>
    </w:p>
    <w:p w14:paraId="2BEF52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⑤留样的热菜必须冷却凉透后方可放入留样冰柜。</w:t>
      </w:r>
    </w:p>
    <w:p w14:paraId="036B2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⑥每份样品在留样冰柜内保留的时间不少于48小时。</w:t>
      </w:r>
    </w:p>
    <w:p w14:paraId="2FBBCE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⑦留样的样品超过保存期限应及时处理，禁止食用。</w:t>
      </w:r>
    </w:p>
    <w:p w14:paraId="67D34D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⑧留样冰柜必须上锁，专人管理，定期清理、消毒。</w:t>
      </w:r>
    </w:p>
    <w:p w14:paraId="3AF04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⑨餐厅负责人和负责留样的工作人员负有直接管理责任。</w:t>
      </w:r>
    </w:p>
    <w:p w14:paraId="332310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（2）配合采购人做好食材（食品）验收管理，按照国家相关食品验收标准进行验收。</w:t>
      </w:r>
    </w:p>
    <w:p w14:paraId="529A6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①对进入食堂的所有食材（食品）进行验收。</w:t>
      </w:r>
    </w:p>
    <w:p w14:paraId="66EC6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②做好食材验收登记，详细、规范记录食材（食品）品名、数量、质量、验收时间、验收人、食材供应商名称、供应商联系人电话等，切实做到食材可溯源。</w:t>
      </w:r>
    </w:p>
    <w:p w14:paraId="74D3D9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③严格验收标准，杜绝质次、变质、过期食品，确保食材（食品）新鲜、品质良好，且均为非转基因产品。</w:t>
      </w:r>
    </w:p>
    <w:p w14:paraId="06DA13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④对验收不合格食材（食品）应及时退货并做好相关登记。</w:t>
      </w:r>
    </w:p>
    <w:p w14:paraId="78B4A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⑤对验收合格后的食材（食品）所涉及的卫生安全责任由投标人承担。</w:t>
      </w:r>
    </w:p>
    <w:p w14:paraId="3E80F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（3）卫生管理</w:t>
      </w:r>
    </w:p>
    <w:p w14:paraId="420BBF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①在工作期间，餐饮服务人员应注重个人卫生，严格洗手消毒，穿戴整洁的工作衣帽，戴口罩和一次性手套。</w:t>
      </w:r>
    </w:p>
    <w:p w14:paraId="7F1214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②认真检查食品质量，食品加工过程中如发现食材存在气味、色泽、形态等异常，必须立即撤换，并报告采购人管理人员。</w:t>
      </w:r>
    </w:p>
    <w:p w14:paraId="2C40AB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③食品所需使用的专用工具必须消毒后使用，在指定位置存放。厨房、仓库、配餐间、就餐区(桌椅、地面、门窗）等清洁卫生由中标供应商承担负责。中标供应商要严格落实好食堂防鼠、防蝇、防尘“三防”措施。中标供应商要合理使用，妥善保管厨房设备设施，餐具必须彻底清洁消毒。搞好室内外环境清洁和消毒工作，清除卫生死角，疏通下水道，加强灭蝇、灭蟑螂、灭鼠等措施。</w:t>
      </w:r>
    </w:p>
    <w:p w14:paraId="385A1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④配餐前后必须对配餐台进行消毒。</w:t>
      </w:r>
    </w:p>
    <w:p w14:paraId="41C012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⑤供餐结束后，应对砧板、案板、刀具等进行卫生清理消毒。应对公共区域进行卫生清理，确保地面清洁，餐厅及各操作间无油渍、污渍、残渍。</w:t>
      </w:r>
    </w:p>
    <w:p w14:paraId="332331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⑥确保每餐开餐前半小时将当餐餐具消毒整理到位。</w:t>
      </w:r>
    </w:p>
    <w:p w14:paraId="1215F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⑦中、晚餐用餐时段必须提前20分钟将食堂卫生清理完毕并将设备摆放到位，晚餐结束后必须将食堂卫生全面清理和餐用具全面消毒到位，并将次日早餐所需餐用具全面准备到位。全力做好职工食堂的人员保障、卫生保障和服务保障等各方面工作。</w:t>
      </w:r>
    </w:p>
    <w:p w14:paraId="650BF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⑧应落实防火、防盗、防毒及饭堂安全等安全工作。如果发生食物中毒等恶性事件，相应赔偿等责任由中标供应商负责，采购人有权单方面解除合同，一切后果由中标供应商负责。</w:t>
      </w:r>
    </w:p>
    <w:p w14:paraId="6267AF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（4）配合采购人做好卫生检查</w:t>
      </w:r>
    </w:p>
    <w:p w14:paraId="37BBAC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①中标供应商应建立各项卫生检查制度，每日供餐前和加工期间至少应进行一次卫生检查，每周餐厅及包房大扫除一次，做到桌上无油渍，地面无残渣、无水渍，保证就餐大厅整洁卫生，保证就餐通道及周边环境整洁，并做好自查记录。</w:t>
      </w:r>
    </w:p>
    <w:p w14:paraId="0525A4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②制订定期或不定期卫生检查计划，全面检查与抽查、自查相结合，主要检查各项制度落实情况。</w:t>
      </w:r>
    </w:p>
    <w:p w14:paraId="334504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③对发现的问题及提出的整改事项，应建立相关台账，限时整改，整改情况应及时向采购人管理人员反馈。</w:t>
      </w:r>
    </w:p>
    <w:p w14:paraId="58EC8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（5）人员健康检查制度</w:t>
      </w:r>
    </w:p>
    <w:p w14:paraId="43AFDE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①所有餐饮服务人员及新入职人员在进驻采购人服务前必须提供专业体检机构的健康检查报告，并严格按照国家规定办理健康证明。</w:t>
      </w:r>
    </w:p>
    <w:p w14:paraId="49CCC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②中标供应商每年要组织餐饮服务人员必须进行一次健康检查，健康检查报告应及时交由采购人备存。</w:t>
      </w:r>
    </w:p>
    <w:p w14:paraId="2D572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③凡在健康检查报告中或履约过程中发现患有痢疾、伤寒、病毒性肝炎等消化道传染病（包括病原携带者），活动性肺结核，化脓性或者渗出性皮肤病及其它有碍食品卫生疾病的，必须立即调离岗位，并及时按要求补充人员。</w:t>
      </w:r>
    </w:p>
    <w:p w14:paraId="566DA5E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rPr>
        <w:t>检查考核</w:t>
      </w:r>
    </w:p>
    <w:p w14:paraId="2E90F0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工作考核</w:t>
      </w:r>
    </w:p>
    <w:p w14:paraId="639018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中标方的服务质量必须接受采购方的监督与考核，考核内容含职工满意度测评、食堂厨师团队履职情况考核（见附件1《食堂厨师团队履职情况考核表》）以及安全卫生、日常检查等方面。</w:t>
      </w:r>
    </w:p>
    <w:p w14:paraId="6CD425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满意度测评</w:t>
      </w:r>
    </w:p>
    <w:p w14:paraId="708AC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采购方每季度收集就餐人员对餐厅饭菜质量及相关服务的考评，开展服务满意度调查工作（见附件2《食堂餐饮劳务外包服务满意度调查表》）。</w:t>
      </w:r>
    </w:p>
    <w:p w14:paraId="731AC3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3.检查考核结果的运用</w:t>
      </w:r>
    </w:p>
    <w:p w14:paraId="0B261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(1)根据食堂厨师团队履职情况考核结果（附件1《食堂厨师团队履职情况考核评分表》），评分结果在85分（含）至95分的，每比95分少1分，从当月服务费中进行扣除500元；评分结果在80分（含）至85分的，每比85分少1分，从当月服务费中进行扣除1000元。（注：以上扣除费用累计计算，如当月分数83分，则需扣减服务费：（95-85）×500+（85-83）×1000=7000元）</w:t>
      </w:r>
    </w:p>
    <w:p w14:paraId="58077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(2)根据食堂厨师团队履职情况考核结果（附件1《食堂厨师团队履职情况考核评分表》），考核得分80分以下的，中标方应在采购方通知之日起5个工作日内完成整改，未如期完成整改的部分，采购方按10000元/分收取中标方违约金，并有权单方面解除合同，由此造成的损失由中标方自行承担。</w:t>
      </w:r>
    </w:p>
    <w:p w14:paraId="09C67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(3)根据食堂餐饮劳务外包服务满意度调查结果（附件2《食堂餐饮劳务外包服务满意度调查表》），针对满意度调查中反应的问题，采购方有权要求中标方整改；满意度低于80分，采购方有权解除合同。</w:t>
      </w:r>
    </w:p>
    <w:p w14:paraId="4A8CDCD4">
      <w:pPr>
        <w:rPr>
          <w:rFonts w:hint="eastAsia"/>
        </w:rPr>
      </w:pPr>
      <w:r>
        <w:rPr>
          <w:rFonts w:hint="eastAsia" w:ascii="宋体" w:hAnsi="宋体" w:eastAsia="宋体" w:cs="宋体"/>
          <w:color w:val="000000"/>
          <w:sz w:val="24"/>
          <w:szCs w:val="24"/>
          <w:highlight w:val="none"/>
        </w:rPr>
        <w:br w:type="page"/>
      </w:r>
    </w:p>
    <w:p w14:paraId="6C4472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附件1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rPr>
        <w:t>食堂厨师团队履职情况考核评分表</w:t>
      </w:r>
    </w:p>
    <w:tbl>
      <w:tblPr>
        <w:tblStyle w:val="5"/>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001"/>
        <w:gridCol w:w="6086"/>
        <w:gridCol w:w="1984"/>
      </w:tblGrid>
      <w:tr w14:paraId="1B678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01" w:type="dxa"/>
            <w:tcBorders>
              <w:tl2br w:val="nil"/>
              <w:tr2bl w:val="nil"/>
            </w:tcBorders>
            <w:noWrap w:val="0"/>
            <w:vAlign w:val="center"/>
          </w:tcPr>
          <w:p w14:paraId="146D5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086" w:type="dxa"/>
            <w:tcBorders>
              <w:tl2br w:val="nil"/>
              <w:tr2bl w:val="nil"/>
            </w:tcBorders>
            <w:noWrap w:val="0"/>
            <w:vAlign w:val="center"/>
          </w:tcPr>
          <w:p w14:paraId="0D1A4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1984" w:type="dxa"/>
            <w:tcBorders>
              <w:tl2br w:val="nil"/>
              <w:tr2bl w:val="nil"/>
            </w:tcBorders>
            <w:noWrap w:val="0"/>
            <w:vAlign w:val="center"/>
          </w:tcPr>
          <w:p w14:paraId="23933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考核细则</w:t>
            </w:r>
          </w:p>
        </w:tc>
      </w:tr>
      <w:tr w14:paraId="7B61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restart"/>
            <w:tcBorders>
              <w:tl2br w:val="nil"/>
              <w:tr2bl w:val="nil"/>
            </w:tcBorders>
            <w:noWrap w:val="0"/>
            <w:vAlign w:val="center"/>
          </w:tcPr>
          <w:p w14:paraId="46688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w:t>
            </w:r>
          </w:p>
        </w:tc>
        <w:tc>
          <w:tcPr>
            <w:tcW w:w="6086" w:type="dxa"/>
            <w:tcBorders>
              <w:tl2br w:val="nil"/>
              <w:tr2bl w:val="nil"/>
            </w:tcBorders>
            <w:noWrap w:val="0"/>
            <w:vAlign w:val="center"/>
          </w:tcPr>
          <w:p w14:paraId="0D1D0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val="en-US" w:eastAsia="zh-CN"/>
              </w:rPr>
              <w:t>采购方</w:t>
            </w:r>
            <w:r>
              <w:rPr>
                <w:rFonts w:hint="eastAsia" w:ascii="宋体" w:hAnsi="宋体" w:eastAsia="宋体" w:cs="宋体"/>
                <w:color w:val="auto"/>
                <w:sz w:val="21"/>
                <w:szCs w:val="21"/>
                <w:highlight w:val="none"/>
              </w:rPr>
              <w:t>同意，擅自更换合同约定的厨师团队人员</w:t>
            </w:r>
          </w:p>
        </w:tc>
        <w:tc>
          <w:tcPr>
            <w:tcW w:w="1984" w:type="dxa"/>
            <w:tcBorders>
              <w:tl2br w:val="nil"/>
              <w:tr2bl w:val="nil"/>
            </w:tcBorders>
            <w:noWrap w:val="0"/>
            <w:vAlign w:val="center"/>
          </w:tcPr>
          <w:p w14:paraId="39F183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发现一次扣20分，并扣减相应的总</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w:t>
            </w:r>
          </w:p>
        </w:tc>
      </w:tr>
      <w:tr w14:paraId="56443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12782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331D3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工作人员工作期间不穿工作服</w:t>
            </w:r>
          </w:p>
        </w:tc>
        <w:tc>
          <w:tcPr>
            <w:tcW w:w="1984" w:type="dxa"/>
            <w:tcBorders>
              <w:tl2br w:val="nil"/>
              <w:tr2bl w:val="nil"/>
            </w:tcBorders>
            <w:noWrap w:val="0"/>
            <w:vAlign w:val="center"/>
          </w:tcPr>
          <w:p w14:paraId="663E9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0C9D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1763A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4FBA9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工作人员衣冠不整，工作服不整洁</w:t>
            </w:r>
          </w:p>
        </w:tc>
        <w:tc>
          <w:tcPr>
            <w:tcW w:w="1984" w:type="dxa"/>
            <w:tcBorders>
              <w:tl2br w:val="nil"/>
              <w:tr2bl w:val="nil"/>
            </w:tcBorders>
            <w:noWrap w:val="0"/>
            <w:vAlign w:val="center"/>
          </w:tcPr>
          <w:p w14:paraId="69CA1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3984E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52A5E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0F082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工作人员服务态度差，无礼与就餐人员发生口角</w:t>
            </w:r>
          </w:p>
        </w:tc>
        <w:tc>
          <w:tcPr>
            <w:tcW w:w="1984" w:type="dxa"/>
            <w:tcBorders>
              <w:tl2br w:val="nil"/>
              <w:tr2bl w:val="nil"/>
            </w:tcBorders>
            <w:noWrap w:val="0"/>
            <w:vAlign w:val="center"/>
          </w:tcPr>
          <w:p w14:paraId="60A38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发现一次扣3分</w:t>
            </w:r>
          </w:p>
        </w:tc>
      </w:tr>
      <w:tr w14:paraId="1A6B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30827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1B554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工作人员与就餐人员发生打架斗殴</w:t>
            </w:r>
          </w:p>
        </w:tc>
        <w:tc>
          <w:tcPr>
            <w:tcW w:w="1984" w:type="dxa"/>
            <w:tcBorders>
              <w:tl2br w:val="nil"/>
              <w:tr2bl w:val="nil"/>
            </w:tcBorders>
            <w:noWrap w:val="0"/>
            <w:vAlign w:val="center"/>
          </w:tcPr>
          <w:p w14:paraId="6DD54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发现一次扣10分</w:t>
            </w:r>
          </w:p>
        </w:tc>
      </w:tr>
      <w:tr w14:paraId="0374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09BF1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78D91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工作人员饮酒后上班或在上班期间饮酒</w:t>
            </w:r>
          </w:p>
        </w:tc>
        <w:tc>
          <w:tcPr>
            <w:tcW w:w="1984" w:type="dxa"/>
            <w:tcBorders>
              <w:tl2br w:val="nil"/>
              <w:tr2bl w:val="nil"/>
            </w:tcBorders>
            <w:noWrap w:val="0"/>
            <w:vAlign w:val="center"/>
          </w:tcPr>
          <w:p w14:paraId="4622D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发现一次扣10分</w:t>
            </w:r>
          </w:p>
        </w:tc>
      </w:tr>
      <w:tr w14:paraId="7015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64B04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7D498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不服从安排，安排工作不落实</w:t>
            </w:r>
          </w:p>
        </w:tc>
        <w:tc>
          <w:tcPr>
            <w:tcW w:w="1984" w:type="dxa"/>
            <w:tcBorders>
              <w:tl2br w:val="nil"/>
              <w:tr2bl w:val="nil"/>
            </w:tcBorders>
            <w:noWrap w:val="0"/>
            <w:vAlign w:val="center"/>
          </w:tcPr>
          <w:p w14:paraId="06EA9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发现一次扣10分</w:t>
            </w:r>
          </w:p>
        </w:tc>
      </w:tr>
      <w:tr w14:paraId="476BF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1CBD1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4BFFB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故意损坏公物或厨房设施设备</w:t>
            </w:r>
          </w:p>
        </w:tc>
        <w:tc>
          <w:tcPr>
            <w:tcW w:w="1984" w:type="dxa"/>
            <w:tcBorders>
              <w:tl2br w:val="nil"/>
              <w:tr2bl w:val="nil"/>
            </w:tcBorders>
            <w:noWrap w:val="0"/>
            <w:vAlign w:val="center"/>
          </w:tcPr>
          <w:p w14:paraId="5AE3B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发现一次扣1分，情节严重的扣20分</w:t>
            </w:r>
          </w:p>
        </w:tc>
      </w:tr>
      <w:tr w14:paraId="7A9A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395A0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78CF9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规范工作人员私人物品摆放，上下班随身携带的提包等必须放在指定位置</w:t>
            </w:r>
          </w:p>
        </w:tc>
        <w:tc>
          <w:tcPr>
            <w:tcW w:w="1984" w:type="dxa"/>
            <w:tcBorders>
              <w:tl2br w:val="nil"/>
              <w:tr2bl w:val="nil"/>
            </w:tcBorders>
            <w:noWrap w:val="0"/>
            <w:vAlign w:val="center"/>
          </w:tcPr>
          <w:p w14:paraId="578D0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违反一次扣5分</w:t>
            </w:r>
          </w:p>
        </w:tc>
      </w:tr>
      <w:tr w14:paraId="388C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restart"/>
            <w:tcBorders>
              <w:tl2br w:val="nil"/>
              <w:tr2bl w:val="nil"/>
            </w:tcBorders>
            <w:noWrap w:val="0"/>
            <w:vAlign w:val="center"/>
          </w:tcPr>
          <w:p w14:paraId="6C7F4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安全卫生</w:t>
            </w:r>
          </w:p>
        </w:tc>
        <w:tc>
          <w:tcPr>
            <w:tcW w:w="6086" w:type="dxa"/>
            <w:tcBorders>
              <w:tl2br w:val="nil"/>
              <w:tr2bl w:val="nil"/>
            </w:tcBorders>
            <w:noWrap w:val="0"/>
            <w:vAlign w:val="center"/>
          </w:tcPr>
          <w:p w14:paraId="4221B7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工作人员未持健康证上岗的</w:t>
            </w:r>
          </w:p>
        </w:tc>
        <w:tc>
          <w:tcPr>
            <w:tcW w:w="1984" w:type="dxa"/>
            <w:tcBorders>
              <w:tl2br w:val="nil"/>
              <w:tr2bl w:val="nil"/>
            </w:tcBorders>
            <w:noWrap w:val="0"/>
            <w:vAlign w:val="center"/>
          </w:tcPr>
          <w:p w14:paraId="7797B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发现一次扣15分</w:t>
            </w:r>
          </w:p>
        </w:tc>
      </w:tr>
      <w:tr w14:paraId="70FB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1B004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6E45D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未做好食品留样工作的</w:t>
            </w:r>
          </w:p>
        </w:tc>
        <w:tc>
          <w:tcPr>
            <w:tcW w:w="1984" w:type="dxa"/>
            <w:tcBorders>
              <w:tl2br w:val="nil"/>
              <w:tr2bl w:val="nil"/>
            </w:tcBorders>
            <w:noWrap w:val="0"/>
            <w:vAlign w:val="center"/>
          </w:tcPr>
          <w:p w14:paraId="1A092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发现一次扣5分</w:t>
            </w:r>
          </w:p>
        </w:tc>
      </w:tr>
      <w:tr w14:paraId="7D1A5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4D28FC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2765B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未按工作要求每天对食堂操作区灶具、厨具、墙面进行常规清洗；每周对食堂油污池进行清理；每周清洗食堂桌椅的</w:t>
            </w:r>
          </w:p>
        </w:tc>
        <w:tc>
          <w:tcPr>
            <w:tcW w:w="1984" w:type="dxa"/>
            <w:tcBorders>
              <w:tl2br w:val="nil"/>
              <w:tr2bl w:val="nil"/>
            </w:tcBorders>
            <w:noWrap w:val="0"/>
            <w:vAlign w:val="center"/>
          </w:tcPr>
          <w:p w14:paraId="7E647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6C542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23BD5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1BBC7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餐具清洗不干净，就餐人员发现不洁餐具投诉的</w:t>
            </w:r>
          </w:p>
        </w:tc>
        <w:tc>
          <w:tcPr>
            <w:tcW w:w="1984" w:type="dxa"/>
            <w:tcBorders>
              <w:tl2br w:val="nil"/>
              <w:tr2bl w:val="nil"/>
            </w:tcBorders>
            <w:noWrap w:val="0"/>
            <w:vAlign w:val="center"/>
          </w:tcPr>
          <w:p w14:paraId="204FA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4DF5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2FE4C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73BA1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食堂环境清洁卫生不合格的</w:t>
            </w:r>
          </w:p>
        </w:tc>
        <w:tc>
          <w:tcPr>
            <w:tcW w:w="1984" w:type="dxa"/>
            <w:tcBorders>
              <w:tl2br w:val="nil"/>
              <w:tr2bl w:val="nil"/>
            </w:tcBorders>
            <w:noWrap w:val="0"/>
            <w:vAlign w:val="center"/>
          </w:tcPr>
          <w:p w14:paraId="4995C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2AD40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3B489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0A2B4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厨师制作菜品时，生食、熟食菜刀菜板未分开的</w:t>
            </w:r>
          </w:p>
        </w:tc>
        <w:tc>
          <w:tcPr>
            <w:tcW w:w="1984" w:type="dxa"/>
            <w:tcBorders>
              <w:tl2br w:val="nil"/>
              <w:tr2bl w:val="nil"/>
            </w:tcBorders>
            <w:noWrap w:val="0"/>
            <w:vAlign w:val="center"/>
          </w:tcPr>
          <w:p w14:paraId="71F75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378CD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40D47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72587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食品储藏时，生食、熟食未分开存放的</w:t>
            </w:r>
          </w:p>
        </w:tc>
        <w:tc>
          <w:tcPr>
            <w:tcW w:w="1984" w:type="dxa"/>
            <w:tcBorders>
              <w:tl2br w:val="nil"/>
              <w:tr2bl w:val="nil"/>
            </w:tcBorders>
            <w:noWrap w:val="0"/>
            <w:vAlign w:val="center"/>
          </w:tcPr>
          <w:p w14:paraId="3BCE8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3BEF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0349B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01797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餐食中发现非食材异物的</w:t>
            </w:r>
          </w:p>
        </w:tc>
        <w:tc>
          <w:tcPr>
            <w:tcW w:w="1984" w:type="dxa"/>
            <w:tcBorders>
              <w:tl2br w:val="nil"/>
              <w:tr2bl w:val="nil"/>
            </w:tcBorders>
            <w:noWrap w:val="0"/>
            <w:vAlign w:val="center"/>
          </w:tcPr>
          <w:p w14:paraId="0FDE8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发现一次扣1分，情况严重的扣20分</w:t>
            </w:r>
          </w:p>
        </w:tc>
      </w:tr>
      <w:tr w14:paraId="6F76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restart"/>
            <w:tcBorders>
              <w:tl2br w:val="nil"/>
              <w:tr2bl w:val="nil"/>
            </w:tcBorders>
            <w:noWrap w:val="0"/>
            <w:vAlign w:val="center"/>
          </w:tcPr>
          <w:p w14:paraId="4D4B4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反食品浪费工作</w:t>
            </w:r>
          </w:p>
        </w:tc>
        <w:tc>
          <w:tcPr>
            <w:tcW w:w="6086" w:type="dxa"/>
            <w:tcBorders>
              <w:tl2br w:val="nil"/>
              <w:tr2bl w:val="nil"/>
            </w:tcBorders>
            <w:noWrap w:val="0"/>
            <w:vAlign w:val="center"/>
          </w:tcPr>
          <w:p w14:paraId="37923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未充分利用食材边角余料或未做到能用尽用、超标准浪费食材，造成食材综合利率未达到90%以上标准；</w:t>
            </w:r>
          </w:p>
        </w:tc>
        <w:tc>
          <w:tcPr>
            <w:tcW w:w="1984" w:type="dxa"/>
            <w:tcBorders>
              <w:tl2br w:val="nil"/>
              <w:tr2bl w:val="nil"/>
            </w:tcBorders>
            <w:noWrap w:val="0"/>
            <w:vAlign w:val="center"/>
          </w:tcPr>
          <w:p w14:paraId="0BA66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发现一次扣当日服务费的1%</w:t>
            </w:r>
          </w:p>
        </w:tc>
      </w:tr>
      <w:tr w14:paraId="0FBA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34FC9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2B14D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浪费能源资源，发现"长明灯"、"长流水"现象</w:t>
            </w:r>
          </w:p>
        </w:tc>
        <w:tc>
          <w:tcPr>
            <w:tcW w:w="1984" w:type="dxa"/>
            <w:tcBorders>
              <w:tl2br w:val="nil"/>
              <w:tr2bl w:val="nil"/>
            </w:tcBorders>
            <w:noWrap w:val="0"/>
            <w:vAlign w:val="center"/>
          </w:tcPr>
          <w:p w14:paraId="2417E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16EBC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720DD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1EAF0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未按月开展处室团队反食品浪费知识培训，并将其作为工作人员入职培训的重要内容</w:t>
            </w:r>
          </w:p>
        </w:tc>
        <w:tc>
          <w:tcPr>
            <w:tcW w:w="1984" w:type="dxa"/>
            <w:tcBorders>
              <w:tl2br w:val="nil"/>
              <w:tr2bl w:val="nil"/>
            </w:tcBorders>
            <w:noWrap w:val="0"/>
            <w:vAlign w:val="center"/>
          </w:tcPr>
          <w:p w14:paraId="66624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0EAC0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10A97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0FA22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未积极组织开展形式多样的节约教育和岗位练兵活动</w:t>
            </w:r>
          </w:p>
        </w:tc>
        <w:tc>
          <w:tcPr>
            <w:tcW w:w="1984" w:type="dxa"/>
            <w:tcBorders>
              <w:tl2br w:val="nil"/>
              <w:tr2bl w:val="nil"/>
            </w:tcBorders>
            <w:noWrap w:val="0"/>
            <w:vAlign w:val="center"/>
          </w:tcPr>
          <w:p w14:paraId="42519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55824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7E557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10BF0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每月末对食堂人员岗位配置、管理措施及其它情况开展自查；</w:t>
            </w:r>
          </w:p>
        </w:tc>
        <w:tc>
          <w:tcPr>
            <w:tcW w:w="1984" w:type="dxa"/>
            <w:tcBorders>
              <w:tl2br w:val="nil"/>
              <w:tr2bl w:val="nil"/>
            </w:tcBorders>
            <w:noWrap w:val="0"/>
            <w:vAlign w:val="center"/>
          </w:tcPr>
          <w:p w14:paraId="39584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10EF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276FA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29BB8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每日每餐监测食品浪费数，未做好餐余垃圾台帐留存照片资料。</w:t>
            </w:r>
          </w:p>
        </w:tc>
        <w:tc>
          <w:tcPr>
            <w:tcW w:w="1984" w:type="dxa"/>
            <w:tcBorders>
              <w:tl2br w:val="nil"/>
              <w:tr2bl w:val="nil"/>
            </w:tcBorders>
            <w:noWrap w:val="0"/>
            <w:vAlign w:val="center"/>
          </w:tcPr>
          <w:p w14:paraId="2FECC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02693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6F00A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6FCA1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未积极配合、推进机关食堂反食品浪费工作成效评估和报告制度实施；</w:t>
            </w:r>
          </w:p>
        </w:tc>
        <w:tc>
          <w:tcPr>
            <w:tcW w:w="1984" w:type="dxa"/>
            <w:tcBorders>
              <w:tl2br w:val="nil"/>
              <w:tr2bl w:val="nil"/>
            </w:tcBorders>
            <w:noWrap w:val="0"/>
            <w:vAlign w:val="center"/>
          </w:tcPr>
          <w:p w14:paraId="0C210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528C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0280D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5EF92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未根据用餐预估人数合理备餐</w:t>
            </w:r>
          </w:p>
        </w:tc>
        <w:tc>
          <w:tcPr>
            <w:tcW w:w="1984" w:type="dxa"/>
            <w:tcBorders>
              <w:tl2br w:val="nil"/>
              <w:tr2bl w:val="nil"/>
            </w:tcBorders>
            <w:noWrap w:val="0"/>
            <w:vAlign w:val="center"/>
          </w:tcPr>
          <w:p w14:paraId="70037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05B8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restart"/>
            <w:tcBorders>
              <w:tl2br w:val="nil"/>
              <w:tr2bl w:val="nil"/>
            </w:tcBorders>
            <w:noWrap w:val="0"/>
            <w:vAlign w:val="center"/>
          </w:tcPr>
          <w:p w14:paraId="32545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饭菜质量</w:t>
            </w:r>
          </w:p>
        </w:tc>
        <w:tc>
          <w:tcPr>
            <w:tcW w:w="6086" w:type="dxa"/>
            <w:tcBorders>
              <w:tl2br w:val="nil"/>
              <w:tr2bl w:val="nil"/>
            </w:tcBorders>
            <w:noWrap w:val="0"/>
            <w:vAlign w:val="center"/>
          </w:tcPr>
          <w:p w14:paraId="4DA90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制作加工隔夜饭菜</w:t>
            </w:r>
          </w:p>
        </w:tc>
        <w:tc>
          <w:tcPr>
            <w:tcW w:w="1984" w:type="dxa"/>
            <w:tcBorders>
              <w:tl2br w:val="nil"/>
              <w:tr2bl w:val="nil"/>
            </w:tcBorders>
            <w:noWrap w:val="0"/>
            <w:vAlign w:val="center"/>
          </w:tcPr>
          <w:p w14:paraId="03140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发现一次扣5分，并扣减</w:t>
            </w:r>
            <w:r>
              <w:rPr>
                <w:rFonts w:hint="eastAsia" w:ascii="宋体" w:hAnsi="宋体" w:eastAsia="宋体" w:cs="宋体"/>
                <w:color w:val="auto"/>
                <w:sz w:val="21"/>
                <w:szCs w:val="21"/>
                <w:highlight w:val="none"/>
                <w:lang w:val="en-US" w:eastAsia="zh-CN"/>
              </w:rPr>
              <w:t>当日服务费的1%</w:t>
            </w:r>
          </w:p>
        </w:tc>
      </w:tr>
      <w:tr w14:paraId="70F1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7D7B2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27D63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加菜不及时，导致大部分就餐人员提出意见的</w:t>
            </w:r>
          </w:p>
        </w:tc>
        <w:tc>
          <w:tcPr>
            <w:tcW w:w="1984" w:type="dxa"/>
            <w:tcBorders>
              <w:tl2br w:val="nil"/>
              <w:tr2bl w:val="nil"/>
            </w:tcBorders>
            <w:noWrap w:val="0"/>
            <w:vAlign w:val="center"/>
          </w:tcPr>
          <w:p w14:paraId="10DD3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769F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6075C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3C6F5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制作菜品质量差，一次有10%以上就餐人员提出意见的</w:t>
            </w:r>
          </w:p>
        </w:tc>
        <w:tc>
          <w:tcPr>
            <w:tcW w:w="1984" w:type="dxa"/>
            <w:tcBorders>
              <w:tl2br w:val="nil"/>
              <w:tr2bl w:val="nil"/>
            </w:tcBorders>
            <w:noWrap w:val="0"/>
            <w:vAlign w:val="center"/>
          </w:tcPr>
          <w:p w14:paraId="1D8E4C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32883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restart"/>
            <w:tcBorders>
              <w:tl2br w:val="nil"/>
              <w:tr2bl w:val="nil"/>
            </w:tcBorders>
            <w:noWrap w:val="0"/>
            <w:vAlign w:val="center"/>
          </w:tcPr>
          <w:p w14:paraId="0A2E8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6086" w:type="dxa"/>
            <w:tcBorders>
              <w:tl2br w:val="nil"/>
              <w:tr2bl w:val="nil"/>
            </w:tcBorders>
            <w:noWrap w:val="0"/>
            <w:vAlign w:val="center"/>
          </w:tcPr>
          <w:p w14:paraId="7EEC4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经主管部门查实，因工作人员操作不当，导致发生煤气泄露、火灾事故的</w:t>
            </w:r>
          </w:p>
        </w:tc>
        <w:tc>
          <w:tcPr>
            <w:tcW w:w="1984" w:type="dxa"/>
            <w:tcBorders>
              <w:tl2br w:val="nil"/>
              <w:tr2bl w:val="nil"/>
            </w:tcBorders>
            <w:noWrap w:val="0"/>
            <w:vAlign w:val="center"/>
          </w:tcPr>
          <w:p w14:paraId="55ABC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发现一次扣30分</w:t>
            </w:r>
          </w:p>
        </w:tc>
      </w:tr>
      <w:tr w14:paraId="3D5E8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3F3D3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5924FC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未按规定正确使用和维护食堂设备设施</w:t>
            </w:r>
          </w:p>
        </w:tc>
        <w:tc>
          <w:tcPr>
            <w:tcW w:w="1984" w:type="dxa"/>
            <w:tcBorders>
              <w:tl2br w:val="nil"/>
              <w:tr2bl w:val="nil"/>
            </w:tcBorders>
            <w:noWrap w:val="0"/>
            <w:vAlign w:val="center"/>
          </w:tcPr>
          <w:p w14:paraId="13FD6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2A26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03BE9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136B0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不节约使用能源（含水、电、气），出现长流水、长明灯、下班不关空调等现象的</w:t>
            </w:r>
          </w:p>
        </w:tc>
        <w:tc>
          <w:tcPr>
            <w:tcW w:w="1984" w:type="dxa"/>
            <w:tcBorders>
              <w:tl2br w:val="nil"/>
              <w:tr2bl w:val="nil"/>
            </w:tcBorders>
            <w:noWrap w:val="0"/>
            <w:vAlign w:val="center"/>
          </w:tcPr>
          <w:p w14:paraId="36FCF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353C5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1" w:type="dxa"/>
            <w:vMerge w:val="continue"/>
            <w:tcBorders>
              <w:tl2br w:val="nil"/>
              <w:tr2bl w:val="nil"/>
            </w:tcBorders>
            <w:noWrap w:val="0"/>
            <w:vAlign w:val="center"/>
          </w:tcPr>
          <w:p w14:paraId="15BA1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c>
          <w:tcPr>
            <w:tcW w:w="6086" w:type="dxa"/>
            <w:tcBorders>
              <w:tl2br w:val="nil"/>
              <w:tr2bl w:val="nil"/>
            </w:tcBorders>
            <w:noWrap w:val="0"/>
            <w:vAlign w:val="center"/>
          </w:tcPr>
          <w:p w14:paraId="08074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未经许可将食材或食物擅自带离食堂</w:t>
            </w:r>
          </w:p>
        </w:tc>
        <w:tc>
          <w:tcPr>
            <w:tcW w:w="1984" w:type="dxa"/>
            <w:tcBorders>
              <w:tl2br w:val="nil"/>
              <w:tr2bl w:val="nil"/>
            </w:tcBorders>
            <w:noWrap w:val="0"/>
            <w:vAlign w:val="center"/>
          </w:tcPr>
          <w:p w14:paraId="4AF2C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发现一次扣10分，并扣减相应的总服务费</w:t>
            </w:r>
          </w:p>
        </w:tc>
      </w:tr>
      <w:tr w14:paraId="42AD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7087" w:type="dxa"/>
            <w:gridSpan w:val="2"/>
            <w:tcBorders>
              <w:tl2br w:val="nil"/>
              <w:tr2bl w:val="nil"/>
            </w:tcBorders>
            <w:noWrap w:val="0"/>
            <w:vAlign w:val="center"/>
          </w:tcPr>
          <w:p w14:paraId="44F19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考核得分</w:t>
            </w:r>
          </w:p>
        </w:tc>
        <w:tc>
          <w:tcPr>
            <w:tcW w:w="1984" w:type="dxa"/>
            <w:tcBorders>
              <w:tl2br w:val="nil"/>
              <w:tr2bl w:val="nil"/>
            </w:tcBorders>
            <w:noWrap w:val="0"/>
            <w:vAlign w:val="center"/>
          </w:tcPr>
          <w:p w14:paraId="71448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highlight w:val="none"/>
              </w:rPr>
            </w:pPr>
          </w:p>
        </w:tc>
      </w:tr>
    </w:tbl>
    <w:p w14:paraId="7657D02E">
      <w:pPr>
        <w:rPr>
          <w:rFonts w:hint="eastAsia"/>
        </w:rPr>
      </w:pPr>
      <w:r>
        <w:rPr>
          <w:rFonts w:hint="eastAsia" w:ascii="仿宋" w:hAnsi="仿宋" w:eastAsia="仿宋" w:cs="仿宋"/>
          <w:color w:val="auto"/>
          <w:sz w:val="32"/>
          <w:szCs w:val="32"/>
          <w:highlight w:val="none"/>
        </w:rPr>
        <w:br w:type="page"/>
      </w:r>
    </w:p>
    <w:p w14:paraId="30B1CA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食堂餐饮劳务外包服务满意度调查表</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851"/>
        <w:gridCol w:w="761"/>
        <w:gridCol w:w="856"/>
        <w:gridCol w:w="883"/>
        <w:gridCol w:w="999"/>
      </w:tblGrid>
      <w:tr w14:paraId="2068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1C4981E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0403C7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调查内容（总分100分）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C3D29B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4EE3C9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410191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一般</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11821A0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p>
        </w:tc>
      </w:tr>
      <w:tr w14:paraId="0BAA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7FCC912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6016EDA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食堂饭菜的新鲜度及食材质量（10分）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5DDF11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394A398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7FE7A62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CA800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295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3DF274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0599237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食堂饭菜荤素营养搭配（10分）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81A135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607605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8E115D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AF176F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6DE3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39D314D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43CEF72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食堂饭菜种类（10分）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D0DB6E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392C7C5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7B13BE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20575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102A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7A7D2D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2255F61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食堂饭菜口感（10分）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3CD792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05EE101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7437E6A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F8FA52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5ED3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7691A9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003D8F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食堂饭菜保温效果（10分）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7CE53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2E92386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3A41CE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02618A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48BF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3A8C77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10F70A5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食堂的早、中、晚餐按时供餐情况（10分）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8AC36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24597E4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6460FE0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CBC9A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20E5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4A5B37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5737C7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食堂就餐环境、卫生状况（10分）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F3D0E6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0A349CF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26378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2B8202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1324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3A3F55A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6526EA8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食堂餐具的卫生情况（10分）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164650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28A933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C7F64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0B630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5714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F56DA2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7F253C4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食堂工作人员的服务质量及服务态度（10分）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26D6A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0D378E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2E220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314526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00C0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7A6AD2A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851" w:type="dxa"/>
            <w:tcBorders>
              <w:top w:val="single" w:color="auto" w:sz="4" w:space="0"/>
              <w:left w:val="single" w:color="auto" w:sz="4" w:space="0"/>
              <w:bottom w:val="single" w:color="auto" w:sz="4" w:space="0"/>
              <w:right w:val="single" w:color="auto" w:sz="4" w:space="0"/>
            </w:tcBorders>
            <w:noWrap w:val="0"/>
            <w:vAlign w:val="center"/>
          </w:tcPr>
          <w:p w14:paraId="3615BA0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食堂工作人员的着装及个人卫生情况（10分）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1614B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7EB14D2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E46135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7281C8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2814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2" w:type="dxa"/>
            <w:gridSpan w:val="2"/>
            <w:tcBorders>
              <w:top w:val="single" w:color="auto" w:sz="4" w:space="0"/>
              <w:left w:val="single" w:color="auto" w:sz="4" w:space="0"/>
              <w:bottom w:val="single" w:color="auto" w:sz="4" w:space="0"/>
              <w:right w:val="single" w:color="auto" w:sz="4" w:space="0"/>
            </w:tcBorders>
            <w:noWrap w:val="0"/>
            <w:vAlign w:val="center"/>
          </w:tcPr>
          <w:p w14:paraId="2BEF64D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分值小计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3FEB57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73FC92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77DDCEF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BDBF1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1E0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2" w:type="dxa"/>
            <w:gridSpan w:val="2"/>
            <w:tcBorders>
              <w:top w:val="single" w:color="auto" w:sz="4" w:space="0"/>
              <w:left w:val="single" w:color="auto" w:sz="4" w:space="0"/>
              <w:bottom w:val="single" w:color="auto" w:sz="4" w:space="0"/>
              <w:right w:val="single" w:color="auto" w:sz="4" w:space="0"/>
            </w:tcBorders>
            <w:noWrap w:val="0"/>
            <w:vAlign w:val="center"/>
          </w:tcPr>
          <w:p w14:paraId="4320E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3499" w:type="dxa"/>
            <w:gridSpan w:val="4"/>
            <w:tcBorders>
              <w:top w:val="single" w:color="auto" w:sz="4" w:space="0"/>
              <w:left w:val="single" w:color="auto" w:sz="4" w:space="0"/>
              <w:bottom w:val="single" w:color="auto" w:sz="4" w:space="0"/>
              <w:right w:val="single" w:color="auto" w:sz="4" w:space="0"/>
            </w:tcBorders>
            <w:noWrap w:val="0"/>
            <w:vAlign w:val="center"/>
          </w:tcPr>
          <w:p w14:paraId="72E8B05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5952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1" w:type="dxa"/>
            <w:gridSpan w:val="6"/>
            <w:tcBorders>
              <w:top w:val="single" w:color="auto" w:sz="4" w:space="0"/>
              <w:left w:val="single" w:color="auto" w:sz="4" w:space="0"/>
              <w:bottom w:val="single" w:color="auto" w:sz="4" w:space="0"/>
              <w:right w:val="single" w:color="auto" w:sz="4" w:space="0"/>
            </w:tcBorders>
            <w:noWrap w:val="0"/>
            <w:vAlign w:val="center"/>
          </w:tcPr>
          <w:p w14:paraId="24B9838C">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“优”为9分及以上，“良”为8分至9分，“一般”为6分至8分，“差”为6分及以下。</w:t>
            </w:r>
          </w:p>
        </w:tc>
      </w:tr>
    </w:tbl>
    <w:p w14:paraId="4562CC68">
      <w:r>
        <w:br w:type="page"/>
      </w:r>
    </w:p>
    <w:p w14:paraId="6606204A">
      <w:pPr>
        <w:pStyle w:val="2"/>
        <w:jc w:val="center"/>
        <w:rPr>
          <w:rFonts w:hint="eastAsia"/>
          <w:b/>
          <w:bCs/>
          <w:sz w:val="36"/>
          <w:szCs w:val="36"/>
          <w:lang w:val="en-US" w:eastAsia="zh-CN"/>
        </w:rPr>
      </w:pPr>
      <w:bookmarkStart w:id="1" w:name="_GoBack"/>
      <w:r>
        <w:rPr>
          <w:rFonts w:hint="eastAsia"/>
          <w:b/>
          <w:bCs/>
          <w:sz w:val="36"/>
          <w:szCs w:val="36"/>
          <w:lang w:val="en-US" w:eastAsia="zh-CN"/>
        </w:rPr>
        <w:t>评审部分</w:t>
      </w:r>
    </w:p>
    <w:bookmarkEnd w:id="1"/>
    <w:tbl>
      <w:tblPr>
        <w:tblStyle w:val="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3"/>
        <w:gridCol w:w="1005"/>
        <w:gridCol w:w="6047"/>
        <w:gridCol w:w="772"/>
      </w:tblGrid>
      <w:tr w14:paraId="41B6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857"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50423A0">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评分项及评分标准</w:t>
            </w:r>
          </w:p>
        </w:tc>
      </w:tr>
      <w:tr w14:paraId="400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A64DF9E">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评分项名称</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6AD14B9">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评分点</w:t>
            </w:r>
          </w:p>
          <w:p w14:paraId="5FF19BDE">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名称</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0E10E296">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评审标准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628A484">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得分</w:t>
            </w:r>
          </w:p>
        </w:tc>
      </w:tr>
      <w:tr w14:paraId="006B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26EC20D">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价格分</w:t>
            </w:r>
          </w:p>
          <w:p w14:paraId="2C3691D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w:t>
            </w:r>
            <w:r>
              <w:rPr>
                <w:rFonts w:hint="eastAsia"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995C850">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kern w:val="0"/>
                <w:sz w:val="24"/>
                <w:szCs w:val="24"/>
                <w:highlight w:val="none"/>
                <w:lang w:val="en-US" w:eastAsia="zh-CN" w:bidi="ar"/>
              </w:rPr>
              <w:t>投标报价</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1F5E497F">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425" w:leftChars="0" w:right="0" w:rightChars="0" w:hanging="425"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sz w:val="24"/>
                <w:szCs w:val="24"/>
                <w:highlight w:val="none"/>
                <w:lang w:val="en-US" w:eastAsia="zh-CN"/>
              </w:rPr>
              <w:t>主厨</w:t>
            </w:r>
            <w:r>
              <w:rPr>
                <w:rFonts w:hint="eastAsia" w:ascii="宋体" w:hAnsi="宋体" w:eastAsia="宋体" w:cs="宋体"/>
                <w:color w:val="000000"/>
                <w:sz w:val="24"/>
                <w:szCs w:val="24"/>
                <w:highlight w:val="none"/>
              </w:rPr>
              <w:t>报价得分=（评标基准价/投标报价）×</w:t>
            </w:r>
            <w:r>
              <w:rPr>
                <w:rFonts w:hint="eastAsia" w:ascii="宋体" w:hAnsi="宋体" w:eastAsia="宋体" w:cs="宋体"/>
                <w:color w:val="000000"/>
                <w:sz w:val="24"/>
                <w:szCs w:val="24"/>
                <w:highlight w:val="none"/>
                <w:lang w:val="en-US" w:eastAsia="zh-CN"/>
              </w:rPr>
              <w:t>3</w:t>
            </w:r>
          </w:p>
          <w:p w14:paraId="0DA1B28B">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425" w:leftChars="0" w:right="0" w:rightChars="0" w:hanging="425"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sz w:val="24"/>
                <w:szCs w:val="24"/>
                <w:highlight w:val="none"/>
                <w:lang w:val="en-US" w:eastAsia="zh-CN"/>
              </w:rPr>
              <w:t>副厨</w:t>
            </w:r>
            <w:r>
              <w:rPr>
                <w:rFonts w:hint="eastAsia" w:ascii="宋体" w:hAnsi="宋体" w:eastAsia="宋体" w:cs="宋体"/>
                <w:color w:val="000000"/>
                <w:sz w:val="24"/>
                <w:szCs w:val="24"/>
                <w:highlight w:val="none"/>
              </w:rPr>
              <w:t>报价得分=（评标基准价/投标报价）×</w:t>
            </w:r>
            <w:r>
              <w:rPr>
                <w:rFonts w:hint="eastAsia" w:ascii="宋体" w:hAnsi="宋体" w:eastAsia="宋体" w:cs="宋体"/>
                <w:color w:val="000000"/>
                <w:sz w:val="24"/>
                <w:szCs w:val="24"/>
                <w:highlight w:val="none"/>
                <w:lang w:val="en-US" w:eastAsia="zh-CN"/>
              </w:rPr>
              <w:t>3</w:t>
            </w:r>
          </w:p>
          <w:p w14:paraId="4F0ADDC6">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425" w:leftChars="0" w:right="0" w:rightChars="0" w:hanging="425"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sz w:val="24"/>
                <w:szCs w:val="24"/>
                <w:highlight w:val="none"/>
                <w:lang w:val="en-US" w:eastAsia="zh-CN"/>
              </w:rPr>
              <w:t>墩子</w:t>
            </w:r>
            <w:r>
              <w:rPr>
                <w:rFonts w:hint="eastAsia" w:ascii="宋体" w:hAnsi="宋体" w:eastAsia="宋体" w:cs="宋体"/>
                <w:color w:val="000000"/>
                <w:sz w:val="24"/>
                <w:szCs w:val="24"/>
                <w:highlight w:val="none"/>
              </w:rPr>
              <w:t>报价得分=（评标基准价/投标报价）×</w:t>
            </w:r>
            <w:r>
              <w:rPr>
                <w:rFonts w:hint="eastAsia" w:ascii="宋体" w:hAnsi="宋体" w:eastAsia="宋体" w:cs="宋体"/>
                <w:color w:val="000000"/>
                <w:sz w:val="24"/>
                <w:szCs w:val="24"/>
                <w:highlight w:val="none"/>
                <w:lang w:val="en-US" w:eastAsia="zh-CN"/>
              </w:rPr>
              <w:t>1</w:t>
            </w:r>
          </w:p>
          <w:p w14:paraId="3BA92BFD">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425" w:leftChars="0" w:right="0" w:rightChars="0" w:hanging="425"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sz w:val="24"/>
                <w:szCs w:val="24"/>
                <w:highlight w:val="none"/>
                <w:lang w:val="en-US" w:eastAsia="zh-CN"/>
              </w:rPr>
              <w:t>面点</w:t>
            </w:r>
            <w:r>
              <w:rPr>
                <w:rFonts w:hint="eastAsia" w:ascii="宋体" w:hAnsi="宋体" w:eastAsia="宋体" w:cs="宋体"/>
                <w:color w:val="000000"/>
                <w:sz w:val="24"/>
                <w:szCs w:val="24"/>
                <w:highlight w:val="none"/>
              </w:rPr>
              <w:t>报价得分=（评标基准价/投标报价）×</w:t>
            </w:r>
            <w:r>
              <w:rPr>
                <w:rFonts w:hint="eastAsia" w:ascii="宋体" w:hAnsi="宋体" w:eastAsia="宋体" w:cs="宋体"/>
                <w:color w:val="000000"/>
                <w:sz w:val="24"/>
                <w:szCs w:val="24"/>
                <w:highlight w:val="none"/>
                <w:lang w:val="en-US" w:eastAsia="zh-CN"/>
              </w:rPr>
              <w:t>3</w:t>
            </w:r>
          </w:p>
          <w:p w14:paraId="28C6EAB3">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425" w:leftChars="0" w:right="0" w:rightChars="0" w:hanging="425"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sz w:val="24"/>
                <w:szCs w:val="24"/>
                <w:highlight w:val="none"/>
                <w:lang w:val="en-US" w:eastAsia="zh-CN"/>
              </w:rPr>
              <w:t>洗碗/洗菜工</w:t>
            </w:r>
            <w:r>
              <w:rPr>
                <w:rFonts w:hint="eastAsia" w:ascii="宋体" w:hAnsi="宋体" w:eastAsia="宋体" w:cs="宋体"/>
                <w:color w:val="000000"/>
                <w:sz w:val="24"/>
                <w:szCs w:val="24"/>
                <w:highlight w:val="none"/>
              </w:rPr>
              <w:t>报价得分=（评标基准价/投标报价）×</w:t>
            </w:r>
            <w:r>
              <w:rPr>
                <w:rFonts w:hint="eastAsia" w:ascii="宋体" w:hAnsi="宋体" w:eastAsia="宋体" w:cs="宋体"/>
                <w:color w:val="000000"/>
                <w:sz w:val="24"/>
                <w:szCs w:val="24"/>
                <w:highlight w:val="none"/>
                <w:lang w:val="en-US" w:eastAsia="zh-CN"/>
              </w:rPr>
              <w:t>1</w:t>
            </w:r>
          </w:p>
          <w:p w14:paraId="405A8A38">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425" w:leftChars="0" w:right="0" w:rightChars="0" w:hanging="425"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sz w:val="24"/>
                <w:szCs w:val="24"/>
                <w:highlight w:val="none"/>
                <w:lang w:val="en-US" w:eastAsia="zh-CN"/>
              </w:rPr>
              <w:t>服务员</w:t>
            </w:r>
            <w:r>
              <w:rPr>
                <w:rFonts w:hint="eastAsia" w:ascii="宋体" w:hAnsi="宋体" w:eastAsia="宋体" w:cs="宋体"/>
                <w:color w:val="000000"/>
                <w:sz w:val="24"/>
                <w:szCs w:val="24"/>
                <w:highlight w:val="none"/>
              </w:rPr>
              <w:t>报价得分=（评标基准价/投标报价）×</w:t>
            </w:r>
            <w:r>
              <w:rPr>
                <w:rFonts w:hint="eastAsia" w:ascii="宋体" w:hAnsi="宋体" w:eastAsia="宋体" w:cs="宋体"/>
                <w:color w:val="000000"/>
                <w:sz w:val="24"/>
                <w:szCs w:val="24"/>
                <w:highlight w:val="none"/>
                <w:lang w:val="en-US" w:eastAsia="zh-CN"/>
              </w:rPr>
              <w:t>1</w:t>
            </w:r>
          </w:p>
          <w:p w14:paraId="07E8F9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40" w:lineRule="exact"/>
              <w:ind w:left="0" w:leftChars="0" w:right="0" w:firstLine="0" w:firstLineChars="0"/>
              <w:jc w:val="both"/>
              <w:textAlignment w:val="baseline"/>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报价分=</w:t>
            </w:r>
            <w:r>
              <w:rPr>
                <w:rFonts w:hint="eastAsia" w:ascii="宋体" w:hAnsi="宋体" w:eastAsia="宋体" w:cs="宋体"/>
                <w:color w:val="000000"/>
                <w:sz w:val="24"/>
                <w:szCs w:val="24"/>
                <w:highlight w:val="none"/>
                <w:lang w:val="en-US" w:eastAsia="zh-CN"/>
              </w:rPr>
              <w:t>主厨</w:t>
            </w:r>
            <w:r>
              <w:rPr>
                <w:rFonts w:hint="eastAsia" w:ascii="宋体" w:hAnsi="宋体" w:eastAsia="宋体" w:cs="宋体"/>
                <w:color w:val="000000"/>
                <w:sz w:val="24"/>
                <w:szCs w:val="24"/>
                <w:highlight w:val="none"/>
              </w:rPr>
              <w:t>报价得分+</w:t>
            </w:r>
            <w:r>
              <w:rPr>
                <w:rFonts w:hint="eastAsia" w:ascii="宋体" w:hAnsi="宋体" w:eastAsia="宋体" w:cs="宋体"/>
                <w:color w:val="000000"/>
                <w:sz w:val="24"/>
                <w:szCs w:val="24"/>
                <w:highlight w:val="none"/>
                <w:lang w:val="en-US" w:eastAsia="zh-CN"/>
              </w:rPr>
              <w:t>副厨</w:t>
            </w:r>
            <w:r>
              <w:rPr>
                <w:rFonts w:hint="eastAsia" w:ascii="宋体" w:hAnsi="宋体" w:eastAsia="宋体" w:cs="宋体"/>
                <w:color w:val="000000"/>
                <w:sz w:val="24"/>
                <w:szCs w:val="24"/>
                <w:highlight w:val="none"/>
              </w:rPr>
              <w:t>报价得分+</w:t>
            </w:r>
            <w:r>
              <w:rPr>
                <w:rFonts w:hint="eastAsia" w:ascii="宋体" w:hAnsi="宋体" w:eastAsia="宋体" w:cs="宋体"/>
                <w:color w:val="000000"/>
                <w:sz w:val="24"/>
                <w:szCs w:val="24"/>
                <w:highlight w:val="none"/>
                <w:lang w:val="en-US" w:eastAsia="zh-CN"/>
              </w:rPr>
              <w:t>墩子</w:t>
            </w:r>
            <w:r>
              <w:rPr>
                <w:rFonts w:hint="eastAsia" w:ascii="宋体" w:hAnsi="宋体" w:eastAsia="宋体" w:cs="宋体"/>
                <w:color w:val="000000"/>
                <w:sz w:val="24"/>
                <w:szCs w:val="24"/>
                <w:highlight w:val="none"/>
              </w:rPr>
              <w:t>报价得分+</w:t>
            </w:r>
            <w:r>
              <w:rPr>
                <w:rFonts w:hint="eastAsia" w:ascii="宋体" w:hAnsi="宋体" w:eastAsia="宋体" w:cs="宋体"/>
                <w:color w:val="000000"/>
                <w:sz w:val="24"/>
                <w:szCs w:val="24"/>
                <w:highlight w:val="none"/>
                <w:lang w:val="en-US" w:eastAsia="zh-CN"/>
              </w:rPr>
              <w:t>面点</w:t>
            </w:r>
            <w:r>
              <w:rPr>
                <w:rFonts w:hint="eastAsia" w:ascii="宋体" w:hAnsi="宋体" w:eastAsia="宋体" w:cs="宋体"/>
                <w:color w:val="000000"/>
                <w:sz w:val="24"/>
                <w:szCs w:val="24"/>
                <w:highlight w:val="none"/>
              </w:rPr>
              <w:t>报价得分+</w:t>
            </w:r>
            <w:r>
              <w:rPr>
                <w:rFonts w:hint="eastAsia" w:ascii="宋体" w:hAnsi="宋体" w:eastAsia="宋体" w:cs="宋体"/>
                <w:color w:val="000000"/>
                <w:sz w:val="24"/>
                <w:szCs w:val="24"/>
                <w:highlight w:val="none"/>
                <w:lang w:val="en-US" w:eastAsia="zh-CN"/>
              </w:rPr>
              <w:t>洗碗/洗菜工</w:t>
            </w:r>
            <w:r>
              <w:rPr>
                <w:rFonts w:hint="eastAsia" w:ascii="宋体" w:hAnsi="宋体" w:eastAsia="宋体" w:cs="宋体"/>
                <w:color w:val="000000"/>
                <w:sz w:val="24"/>
                <w:szCs w:val="24"/>
                <w:highlight w:val="none"/>
              </w:rPr>
              <w:t>报价得分</w:t>
            </w:r>
            <w:r>
              <w:rPr>
                <w:rFonts w:hint="eastAsia" w:ascii="宋体" w:hAnsi="宋体" w:eastAsia="宋体" w:cs="宋体"/>
                <w:color w:val="000000"/>
                <w:sz w:val="24"/>
                <w:szCs w:val="24"/>
                <w:highlight w:val="none"/>
                <w:lang w:val="en-US" w:eastAsia="zh-CN"/>
              </w:rPr>
              <w:t>+服务员</w:t>
            </w:r>
            <w:r>
              <w:rPr>
                <w:rFonts w:hint="eastAsia" w:ascii="宋体" w:hAnsi="宋体" w:eastAsia="宋体" w:cs="宋体"/>
                <w:color w:val="000000"/>
                <w:sz w:val="24"/>
                <w:szCs w:val="24"/>
                <w:highlight w:val="none"/>
              </w:rPr>
              <w:t>报价得分</w:t>
            </w:r>
          </w:p>
          <w:p w14:paraId="5BAC0944">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w:t>
            </w:r>
          </w:p>
          <w:p w14:paraId="08FAED9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hanging="240" w:hangingChars="100"/>
              <w:jc w:val="both"/>
              <w:textAlignment w:val="baseline"/>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w:t>
            </w:r>
            <w:r>
              <w:rPr>
                <w:rFonts w:hint="eastAsia" w:ascii="宋体" w:hAnsi="宋体" w:eastAsia="宋体" w:cs="宋体"/>
                <w:color w:val="000000"/>
                <w:sz w:val="24"/>
                <w:szCs w:val="24"/>
                <w:highlight w:val="none"/>
              </w:rPr>
              <w:t>评标基准价指满足</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文件要求且投标价格最低的各</w:t>
            </w:r>
            <w:r>
              <w:rPr>
                <w:rFonts w:hint="eastAsia" w:ascii="宋体" w:hAnsi="宋体" w:eastAsia="宋体" w:cs="宋体"/>
                <w:color w:val="000000"/>
                <w:sz w:val="24"/>
                <w:szCs w:val="24"/>
                <w:highlight w:val="none"/>
                <w:lang w:val="en-US" w:eastAsia="zh-CN"/>
              </w:rPr>
              <w:t>项目人员的单人每月</w:t>
            </w:r>
            <w:r>
              <w:rPr>
                <w:rFonts w:hint="eastAsia" w:ascii="宋体" w:hAnsi="宋体" w:eastAsia="宋体" w:cs="宋体"/>
                <w:color w:val="000000"/>
                <w:sz w:val="24"/>
                <w:szCs w:val="24"/>
                <w:highlight w:val="none"/>
              </w:rPr>
              <w:t>单价报价，投标报价指满足</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文件要求的各投标单位的各</w:t>
            </w:r>
            <w:r>
              <w:rPr>
                <w:rFonts w:hint="eastAsia" w:ascii="宋体" w:hAnsi="宋体" w:eastAsia="宋体" w:cs="宋体"/>
                <w:color w:val="000000"/>
                <w:sz w:val="24"/>
                <w:szCs w:val="24"/>
                <w:highlight w:val="none"/>
                <w:lang w:val="en-US" w:eastAsia="zh-CN"/>
              </w:rPr>
              <w:t>项目人员的单人每月</w:t>
            </w:r>
            <w:r>
              <w:rPr>
                <w:rFonts w:hint="eastAsia" w:ascii="宋体" w:hAnsi="宋体" w:eastAsia="宋体" w:cs="宋体"/>
                <w:color w:val="000000"/>
                <w:sz w:val="24"/>
                <w:szCs w:val="24"/>
                <w:highlight w:val="none"/>
              </w:rPr>
              <w:t>单价报价。</w:t>
            </w:r>
          </w:p>
          <w:p w14:paraId="1C4E7FC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440" w:lineRule="exact"/>
              <w:ind w:left="0" w:right="0" w:rightChars="0"/>
              <w:jc w:val="both"/>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2.经评审被确定为无效响应的报价不进入报价分计算。</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ACE2D62">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w:t>
            </w:r>
            <w:r>
              <w:rPr>
                <w:rFonts w:hint="eastAsia"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分</w:t>
            </w:r>
          </w:p>
        </w:tc>
      </w:tr>
      <w:tr w14:paraId="6D23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932F27">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主观分</w:t>
            </w:r>
            <w:r>
              <w:rPr>
                <w:rFonts w:hint="eastAsia" w:ascii="宋体" w:hAnsi="宋体" w:eastAsia="宋体" w:cs="宋体"/>
                <w:kern w:val="0"/>
                <w:sz w:val="24"/>
                <w:szCs w:val="24"/>
                <w:highlight w:val="none"/>
                <w:lang w:val="en-US" w:eastAsia="zh-CN" w:bidi="ar"/>
              </w:rPr>
              <w:t>(15分)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34DD044">
            <w:pPr>
              <w:pStyle w:val="2"/>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sz w:val="24"/>
                <w:szCs w:val="24"/>
                <w:highlight w:val="none"/>
                <w:lang w:val="en-US"/>
              </w:rPr>
            </w:pPr>
            <w:r>
              <w:rPr>
                <w:rFonts w:hint="eastAsia"/>
                <w:highlight w:val="none"/>
                <w:lang w:val="en-US"/>
              </w:rPr>
              <w:t>服务方案</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132CC726">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eastAsia="zh-CN"/>
              </w:rPr>
              <w:t>评标委员会根据供应商针对本项目采购需求提供的服务方案（包含但不限于经营模式方案，经营管理方案，餐饮服务的定位、目标，提高餐饮服务水平的措施，投诉处理措施，人员培训和人员管理方案等）进行综合评审：</w:t>
            </w:r>
          </w:p>
          <w:p w14:paraId="73BC4537">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1.方案完整、科学、可行性高得5分；</w:t>
            </w:r>
          </w:p>
          <w:p w14:paraId="7CDB9CB8">
            <w:pPr>
              <w:keepNext w:val="0"/>
              <w:keepLines w:val="0"/>
              <w:suppressLineNumbers w:val="0"/>
              <w:snapToGrid w:val="0"/>
              <w:spacing w:before="0" w:beforeAutospacing="0" w:after="0" w:afterAutospacing="0" w:line="440" w:lineRule="exact"/>
              <w:ind w:left="0" w:right="0"/>
              <w:jc w:val="both"/>
              <w:rPr>
                <w:rFonts w:hint="default"/>
                <w:sz w:val="24"/>
                <w:szCs w:val="24"/>
                <w:highlight w:val="none"/>
                <w:lang w:val="en-US"/>
              </w:rPr>
            </w:pPr>
            <w:r>
              <w:rPr>
                <w:rFonts w:hint="eastAsia"/>
                <w:sz w:val="24"/>
                <w:szCs w:val="24"/>
                <w:highlight w:val="none"/>
                <w:lang w:val="en-US"/>
              </w:rPr>
              <w:t>2.方案相对完整、可行性</w:t>
            </w:r>
            <w:r>
              <w:rPr>
                <w:rFonts w:hint="eastAsia"/>
                <w:sz w:val="24"/>
                <w:szCs w:val="24"/>
                <w:highlight w:val="none"/>
                <w:lang w:val="en-US" w:eastAsia="zh-CN"/>
              </w:rPr>
              <w:t>较</w:t>
            </w:r>
            <w:r>
              <w:rPr>
                <w:rFonts w:hint="eastAsia"/>
                <w:sz w:val="24"/>
                <w:szCs w:val="24"/>
                <w:highlight w:val="none"/>
                <w:lang w:val="en-US"/>
              </w:rPr>
              <w:t>高得3分；</w:t>
            </w:r>
          </w:p>
          <w:p w14:paraId="1EB6B3F6">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3.方案基本完整、可行性基本满足要求得1分。</w:t>
            </w:r>
          </w:p>
          <w:p w14:paraId="6F3FAF09">
            <w:pPr>
              <w:keepNext w:val="0"/>
              <w:keepLines w:val="0"/>
              <w:suppressLineNumbers w:val="0"/>
              <w:snapToGrid w:val="0"/>
              <w:spacing w:before="0" w:beforeAutospacing="0" w:after="0" w:afterAutospacing="0" w:line="440" w:lineRule="exact"/>
              <w:ind w:left="0" w:right="0"/>
              <w:jc w:val="both"/>
              <w:rPr>
                <w:rFonts w:hint="default"/>
                <w:sz w:val="24"/>
                <w:szCs w:val="24"/>
                <w:highlight w:val="none"/>
                <w:lang w:val="en-US"/>
              </w:rPr>
            </w:pPr>
            <w:r>
              <w:rPr>
                <w:rFonts w:hint="eastAsia"/>
                <w:sz w:val="24"/>
                <w:szCs w:val="24"/>
                <w:highlight w:val="none"/>
                <w:lang w:val="en-US"/>
              </w:rPr>
              <w:t>4.未提供方案或方案不具备可行性得0分。</w:t>
            </w:r>
          </w:p>
          <w:p w14:paraId="268DC149">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en-US" w:eastAsia="zh-CN"/>
              </w:rPr>
            </w:pPr>
            <w:r>
              <w:rPr>
                <w:rFonts w:hint="eastAsia" w:cs="宋体"/>
                <w:sz w:val="24"/>
                <w:highlight w:val="none"/>
                <w:lang w:val="en-US" w:eastAsia="zh-CN"/>
              </w:rPr>
              <w:t>注：</w:t>
            </w:r>
          </w:p>
          <w:p w14:paraId="17E1E7EE">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en-US" w:eastAsia="zh-CN"/>
              </w:rPr>
              <w:t>（1）</w:t>
            </w:r>
            <w:r>
              <w:rPr>
                <w:rFonts w:hint="eastAsia" w:cs="宋体"/>
                <w:sz w:val="24"/>
                <w:highlight w:val="none"/>
              </w:rPr>
              <w:t>方案</w:t>
            </w:r>
            <w:r>
              <w:rPr>
                <w:rFonts w:hint="eastAsia" w:cs="宋体"/>
                <w:sz w:val="24"/>
                <w:highlight w:val="none"/>
                <w:lang w:val="en-US"/>
              </w:rPr>
              <w:t>完整、科学、可行性高</w:t>
            </w:r>
            <w:r>
              <w:rPr>
                <w:rFonts w:hint="eastAsia" w:cs="宋体"/>
                <w:sz w:val="24"/>
                <w:highlight w:val="none"/>
                <w:lang w:val="zh-CN"/>
              </w:rPr>
              <w:t>指：</w:t>
            </w:r>
          </w:p>
          <w:p w14:paraId="7D5DE489">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a.提供的方案基于采购需求的全口径，提出具有可行性的现状情况预判；</w:t>
            </w:r>
          </w:p>
          <w:p w14:paraId="7BD65EF8">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b.准确把握方案中的重、难点，分析各类情况可能发生的不可预见性，并尽可能列明多种详细预案；</w:t>
            </w:r>
          </w:p>
          <w:p w14:paraId="02E66AF3">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c.针对不同的需求，能提供个性化的解决方案，可以举例论证；</w:t>
            </w:r>
          </w:p>
          <w:p w14:paraId="121DF601">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d.对于资料、数据等响应方案的支持材料提供详细、具体，具有一定的论证支持性。</w:t>
            </w:r>
          </w:p>
          <w:p w14:paraId="6FF3E62D">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lang w:val="en-US" w:eastAsia="zh-CN"/>
              </w:rPr>
              <w:t>（2）</w:t>
            </w:r>
            <w:r>
              <w:rPr>
                <w:rFonts w:hint="eastAsia" w:cs="宋体"/>
                <w:sz w:val="24"/>
                <w:highlight w:val="none"/>
                <w:lang w:val="en-US"/>
              </w:rPr>
              <w:t>方案相对完整、可行性</w:t>
            </w:r>
            <w:r>
              <w:rPr>
                <w:rFonts w:hint="eastAsia" w:cs="宋体"/>
                <w:sz w:val="24"/>
                <w:highlight w:val="none"/>
                <w:lang w:val="en-US" w:eastAsia="zh-CN"/>
              </w:rPr>
              <w:t>较</w:t>
            </w:r>
            <w:r>
              <w:rPr>
                <w:rFonts w:hint="eastAsia" w:cs="宋体"/>
                <w:sz w:val="24"/>
                <w:highlight w:val="none"/>
                <w:lang w:val="en-US"/>
              </w:rPr>
              <w:t>高</w:t>
            </w:r>
            <w:r>
              <w:rPr>
                <w:rFonts w:hint="eastAsia" w:cs="宋体"/>
                <w:sz w:val="24"/>
                <w:highlight w:val="none"/>
              </w:rPr>
              <w:t>指：</w:t>
            </w:r>
          </w:p>
          <w:p w14:paraId="635CD638">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a.方案内容对采购文件要求的条款已作完整响应；</w:t>
            </w:r>
          </w:p>
          <w:p w14:paraId="19CF0FD3">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b.只对方案作出标题式的简单论证，并未展开分析或列明可行的具体解决方案；</w:t>
            </w:r>
          </w:p>
          <w:p w14:paraId="732BC9E7">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c.部分资料、数据等响应方案的支撑材料提供过于简单或未提供。</w:t>
            </w:r>
          </w:p>
          <w:p w14:paraId="1AB1E5CD">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lang w:val="en-US" w:eastAsia="zh-CN"/>
              </w:rPr>
              <w:t>（3）</w:t>
            </w:r>
            <w:r>
              <w:rPr>
                <w:rFonts w:hint="eastAsia" w:cs="宋体"/>
                <w:sz w:val="24"/>
                <w:highlight w:val="none"/>
                <w:lang w:val="en-US"/>
              </w:rPr>
              <w:t>方案基本完整、可行性基本满足要求</w:t>
            </w:r>
            <w:r>
              <w:rPr>
                <w:rFonts w:hint="eastAsia" w:cs="宋体"/>
                <w:sz w:val="24"/>
                <w:highlight w:val="none"/>
              </w:rPr>
              <w:t>指：</w:t>
            </w:r>
          </w:p>
          <w:p w14:paraId="44B67FA7">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a.方案不完整，与采购需求存在明显的响应缺项；</w:t>
            </w:r>
          </w:p>
          <w:p w14:paraId="6E910B28">
            <w:pPr>
              <w:keepNext w:val="0"/>
              <w:keepLines w:val="0"/>
              <w:suppressLineNumbers w:val="0"/>
              <w:snapToGrid w:val="0"/>
              <w:spacing w:before="0" w:beforeAutospacing="0" w:after="0" w:afterAutospacing="0" w:line="450" w:lineRule="exact"/>
              <w:ind w:left="0" w:right="0"/>
              <w:jc w:val="both"/>
              <w:rPr>
                <w:rFonts w:hint="default"/>
                <w:highlight w:val="none"/>
                <w:lang w:val="en-US"/>
              </w:rPr>
            </w:pPr>
            <w:r>
              <w:rPr>
                <w:rFonts w:hint="eastAsia" w:cs="宋体"/>
                <w:sz w:val="24"/>
                <w:highlight w:val="none"/>
              </w:rPr>
              <w:t>b.方案不切实际，操作困难，与采购需求相违背。</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391EF45D">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5分</w:t>
            </w:r>
          </w:p>
        </w:tc>
      </w:tr>
      <w:tr w14:paraId="44B1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743A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495AEE8">
            <w:pPr>
              <w:pStyle w:val="2"/>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食品卫生与安全管理方案</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43597C12">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eastAsia="zh-CN"/>
              </w:rPr>
              <w:t>评标委员会根据供应商针对本项目采购需求提供的</w:t>
            </w:r>
            <w:r>
              <w:rPr>
                <w:rFonts w:hint="eastAsia" w:ascii="宋体" w:hAnsi="宋体" w:eastAsia="宋体" w:cs="宋体"/>
                <w:sz w:val="24"/>
                <w:szCs w:val="24"/>
                <w:highlight w:val="none"/>
                <w:lang w:val="en-US" w:eastAsia="zh-CN"/>
              </w:rPr>
              <w:t>食品卫生与安全管理方案</w:t>
            </w:r>
            <w:r>
              <w:rPr>
                <w:rFonts w:hint="eastAsia" w:cs="宋体"/>
                <w:sz w:val="24"/>
                <w:szCs w:val="24"/>
                <w:highlight w:val="none"/>
                <w:lang w:val="en-US" w:eastAsia="zh-CN"/>
              </w:rPr>
              <w:t>（</w:t>
            </w:r>
            <w:r>
              <w:rPr>
                <w:rFonts w:hint="eastAsia"/>
                <w:highlight w:val="none"/>
                <w:lang w:val="en-US" w:eastAsia="zh-CN"/>
              </w:rPr>
              <w:t>包含但不限于食品留样管理制度，食品定期检测制度，人员卫生处理方案，清洁（保洁）管理实施方案等</w:t>
            </w:r>
            <w:r>
              <w:rPr>
                <w:rFonts w:hint="eastAsia" w:cs="宋体"/>
                <w:sz w:val="24"/>
                <w:szCs w:val="24"/>
                <w:highlight w:val="none"/>
                <w:lang w:val="en-US" w:eastAsia="zh-CN"/>
              </w:rPr>
              <w:t>）进行综合评审：</w:t>
            </w:r>
          </w:p>
          <w:p w14:paraId="6B1B224E">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1.方案完整、科学、可行性高得5分；</w:t>
            </w:r>
          </w:p>
          <w:p w14:paraId="314660C7">
            <w:pPr>
              <w:keepNext w:val="0"/>
              <w:keepLines w:val="0"/>
              <w:suppressLineNumbers w:val="0"/>
              <w:snapToGrid w:val="0"/>
              <w:spacing w:before="0" w:beforeAutospacing="0" w:after="0" w:afterAutospacing="0" w:line="440" w:lineRule="exact"/>
              <w:ind w:left="0" w:right="0"/>
              <w:jc w:val="both"/>
              <w:rPr>
                <w:rFonts w:hint="default"/>
                <w:sz w:val="24"/>
                <w:szCs w:val="24"/>
                <w:highlight w:val="none"/>
                <w:lang w:val="en-US"/>
              </w:rPr>
            </w:pPr>
            <w:r>
              <w:rPr>
                <w:rFonts w:hint="eastAsia"/>
                <w:sz w:val="24"/>
                <w:szCs w:val="24"/>
                <w:highlight w:val="none"/>
                <w:lang w:val="en-US"/>
              </w:rPr>
              <w:t>2.方案相对完整、可行性</w:t>
            </w:r>
            <w:r>
              <w:rPr>
                <w:rFonts w:hint="eastAsia"/>
                <w:sz w:val="24"/>
                <w:szCs w:val="24"/>
                <w:highlight w:val="none"/>
                <w:lang w:val="en-US" w:eastAsia="zh-CN"/>
              </w:rPr>
              <w:t>较</w:t>
            </w:r>
            <w:r>
              <w:rPr>
                <w:rFonts w:hint="eastAsia"/>
                <w:sz w:val="24"/>
                <w:szCs w:val="24"/>
                <w:highlight w:val="none"/>
                <w:lang w:val="en-US"/>
              </w:rPr>
              <w:t>高得3分；</w:t>
            </w:r>
          </w:p>
          <w:p w14:paraId="7BD7529B">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3.方案基本完整、可行性基本满足要求得1分。</w:t>
            </w:r>
          </w:p>
          <w:p w14:paraId="5ABA1B6A">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4.未提供方案或方案不具备可行性得0分。</w:t>
            </w:r>
          </w:p>
          <w:p w14:paraId="2AAB596C">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en-US" w:eastAsia="zh-CN"/>
              </w:rPr>
            </w:pPr>
            <w:r>
              <w:rPr>
                <w:rFonts w:hint="eastAsia" w:cs="宋体"/>
                <w:sz w:val="24"/>
                <w:highlight w:val="none"/>
                <w:lang w:val="en-US" w:eastAsia="zh-CN"/>
              </w:rPr>
              <w:t>注：</w:t>
            </w:r>
          </w:p>
          <w:p w14:paraId="68A06CB8">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en-US" w:eastAsia="zh-CN"/>
              </w:rPr>
              <w:t>（1）</w:t>
            </w:r>
            <w:r>
              <w:rPr>
                <w:rFonts w:hint="eastAsia" w:cs="宋体"/>
                <w:sz w:val="24"/>
                <w:highlight w:val="none"/>
              </w:rPr>
              <w:t>方案</w:t>
            </w:r>
            <w:r>
              <w:rPr>
                <w:rFonts w:hint="eastAsia" w:cs="宋体"/>
                <w:sz w:val="24"/>
                <w:highlight w:val="none"/>
                <w:lang w:val="en-US"/>
              </w:rPr>
              <w:t>完整、科学、可行性高</w:t>
            </w:r>
            <w:r>
              <w:rPr>
                <w:rFonts w:hint="eastAsia" w:cs="宋体"/>
                <w:sz w:val="24"/>
                <w:highlight w:val="none"/>
                <w:lang w:val="zh-CN"/>
              </w:rPr>
              <w:t>指：</w:t>
            </w:r>
          </w:p>
          <w:p w14:paraId="2C23D06D">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a.提供的方案基于采购需求的全口径，提出具有可行性的现状情况预判；</w:t>
            </w:r>
          </w:p>
          <w:p w14:paraId="71CC6CB7">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b.准确把握方案中的重、难点，分析各类情况可能发生的不可预见性，并尽可能列明多种详细预案；</w:t>
            </w:r>
          </w:p>
          <w:p w14:paraId="7DFF32B1">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c.针对不同的需求，能提供个性化的解决方案，可以举例论证；</w:t>
            </w:r>
          </w:p>
          <w:p w14:paraId="39CBD58A">
            <w:pPr>
              <w:keepNext w:val="0"/>
              <w:keepLines w:val="0"/>
              <w:suppressLineNumbers w:val="0"/>
              <w:snapToGrid w:val="0"/>
              <w:spacing w:before="0" w:beforeAutospacing="0" w:after="0" w:afterAutospacing="0" w:line="450" w:lineRule="exact"/>
              <w:ind w:left="0" w:right="0"/>
              <w:jc w:val="both"/>
              <w:rPr>
                <w:rFonts w:hint="default" w:cs="宋体"/>
                <w:sz w:val="24"/>
                <w:highlight w:val="none"/>
                <w:lang w:val="zh-CN"/>
              </w:rPr>
            </w:pPr>
            <w:r>
              <w:rPr>
                <w:rFonts w:hint="eastAsia" w:cs="宋体"/>
                <w:sz w:val="24"/>
                <w:highlight w:val="none"/>
                <w:lang w:val="zh-CN"/>
              </w:rPr>
              <w:t>d.对于资料、数据等响应方案的支持材料提供详细、具体，具有一定的论证支持性。</w:t>
            </w:r>
          </w:p>
          <w:p w14:paraId="4F078A59">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lang w:val="en-US" w:eastAsia="zh-CN"/>
              </w:rPr>
              <w:t>（2）</w:t>
            </w:r>
            <w:r>
              <w:rPr>
                <w:rFonts w:hint="eastAsia" w:cs="宋体"/>
                <w:sz w:val="24"/>
                <w:highlight w:val="none"/>
                <w:lang w:val="en-US"/>
              </w:rPr>
              <w:t>方案相对完整、可行性</w:t>
            </w:r>
            <w:r>
              <w:rPr>
                <w:rFonts w:hint="eastAsia" w:cs="宋体"/>
                <w:sz w:val="24"/>
                <w:highlight w:val="none"/>
                <w:lang w:val="en-US" w:eastAsia="zh-CN"/>
              </w:rPr>
              <w:t>较</w:t>
            </w:r>
            <w:r>
              <w:rPr>
                <w:rFonts w:hint="eastAsia" w:cs="宋体"/>
                <w:sz w:val="24"/>
                <w:highlight w:val="none"/>
                <w:lang w:val="en-US"/>
              </w:rPr>
              <w:t>高</w:t>
            </w:r>
            <w:r>
              <w:rPr>
                <w:rFonts w:hint="eastAsia" w:cs="宋体"/>
                <w:sz w:val="24"/>
                <w:highlight w:val="none"/>
              </w:rPr>
              <w:t>指：</w:t>
            </w:r>
          </w:p>
          <w:p w14:paraId="33B53F0E">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a.方案内容对采购文件要求的条款已作完整响应；</w:t>
            </w:r>
          </w:p>
          <w:p w14:paraId="0A80BBDB">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b.只对方案作出标题式的简单论证，并未展开分析或列明可行的具体解决方案；</w:t>
            </w:r>
          </w:p>
          <w:p w14:paraId="3812724C">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c.部分资料、数据等响应方案的支撑材料提供过于简单或未提供。</w:t>
            </w:r>
          </w:p>
          <w:p w14:paraId="0739936F">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lang w:val="en-US" w:eastAsia="zh-CN"/>
              </w:rPr>
              <w:t>（3）</w:t>
            </w:r>
            <w:r>
              <w:rPr>
                <w:rFonts w:hint="eastAsia" w:cs="宋体"/>
                <w:sz w:val="24"/>
                <w:highlight w:val="none"/>
                <w:lang w:val="en-US"/>
              </w:rPr>
              <w:t>方案基本完整、可行性基本满足要求</w:t>
            </w:r>
            <w:r>
              <w:rPr>
                <w:rFonts w:hint="eastAsia" w:cs="宋体"/>
                <w:sz w:val="24"/>
                <w:highlight w:val="none"/>
              </w:rPr>
              <w:t>指：</w:t>
            </w:r>
          </w:p>
          <w:p w14:paraId="0774DE58">
            <w:pPr>
              <w:keepNext w:val="0"/>
              <w:keepLines w:val="0"/>
              <w:suppressLineNumbers w:val="0"/>
              <w:snapToGrid w:val="0"/>
              <w:spacing w:before="0" w:beforeAutospacing="0" w:after="0" w:afterAutospacing="0" w:line="450" w:lineRule="exact"/>
              <w:ind w:left="0" w:right="0"/>
              <w:jc w:val="both"/>
              <w:rPr>
                <w:rFonts w:hint="default" w:cs="宋体"/>
                <w:sz w:val="24"/>
                <w:highlight w:val="none"/>
              </w:rPr>
            </w:pPr>
            <w:r>
              <w:rPr>
                <w:rFonts w:hint="eastAsia" w:cs="宋体"/>
                <w:sz w:val="24"/>
                <w:highlight w:val="none"/>
              </w:rPr>
              <w:t>a.方案不完整，与采购需求存在明显的响应缺项；</w:t>
            </w:r>
          </w:p>
          <w:p w14:paraId="0C6CD5CC">
            <w:pPr>
              <w:pStyle w:val="2"/>
              <w:keepNext w:val="0"/>
              <w:keepLines w:val="0"/>
              <w:suppressLineNumbers w:val="0"/>
              <w:snapToGrid w:val="0"/>
              <w:spacing w:before="0" w:beforeAutospacing="0" w:after="0" w:afterAutospacing="0" w:line="440" w:lineRule="exact"/>
              <w:ind w:left="0" w:right="0"/>
              <w:jc w:val="both"/>
              <w:rPr>
                <w:rFonts w:hint="default" w:ascii="宋体" w:hAnsi="宋体" w:eastAsia="宋体" w:cs="宋体"/>
                <w:snapToGrid w:val="0"/>
                <w:sz w:val="24"/>
                <w:szCs w:val="24"/>
                <w:highlight w:val="none"/>
              </w:rPr>
            </w:pPr>
            <w:r>
              <w:rPr>
                <w:rFonts w:hint="eastAsia" w:cs="宋体"/>
                <w:sz w:val="24"/>
                <w:highlight w:val="none"/>
              </w:rPr>
              <w:t>b.方案不切实际，操作困难，与采购需求相违背。</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DFF6619">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5分</w:t>
            </w:r>
          </w:p>
        </w:tc>
      </w:tr>
      <w:tr w14:paraId="3BB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C143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5B80F82">
            <w:pPr>
              <w:pStyle w:val="2"/>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食品质量、服务控制及仓库管理方案</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2915F03B">
            <w:pPr>
              <w:pStyle w:val="2"/>
              <w:keepNext w:val="0"/>
              <w:keepLines w:val="0"/>
              <w:suppressLineNumbers w:val="0"/>
              <w:snapToGrid w:val="0"/>
              <w:spacing w:before="0" w:beforeAutospacing="0" w:after="0" w:afterAutospacing="0" w:line="440" w:lineRule="exact"/>
              <w:ind w:left="0" w:right="0"/>
              <w:jc w:val="both"/>
              <w:rPr>
                <w:rFonts w:hint="default"/>
                <w:color w:val="000000" w:themeColor="text1"/>
                <w:highlight w:val="none"/>
                <w:shd w:val="clear" w:color="auto" w:fill="auto"/>
                <w:lang w:val="en-US"/>
                <w14:textFill>
                  <w14:solidFill>
                    <w14:schemeClr w14:val="tx1"/>
                  </w14:solidFill>
                </w14:textFill>
              </w:rPr>
            </w:pPr>
            <w:r>
              <w:rPr>
                <w:rFonts w:hint="eastAsia"/>
                <w:highlight w:val="none"/>
                <w:lang w:val="en-US" w:eastAsia="zh-CN"/>
              </w:rPr>
              <w:t>评标委员会根据供应商针对本项目采购需求提供的</w:t>
            </w:r>
            <w:r>
              <w:rPr>
                <w:rFonts w:hint="eastAsia" w:ascii="宋体" w:hAnsi="宋体" w:eastAsia="宋体" w:cs="宋体"/>
                <w:sz w:val="24"/>
                <w:szCs w:val="24"/>
                <w:highlight w:val="none"/>
                <w:lang w:val="en-US" w:eastAsia="zh-CN"/>
              </w:rPr>
              <w:t>食品质量、服务控制及仓库管理方案</w:t>
            </w:r>
            <w:r>
              <w:rPr>
                <w:rFonts w:hint="eastAsia" w:cs="宋体"/>
                <w:sz w:val="24"/>
                <w:szCs w:val="24"/>
                <w:highlight w:val="none"/>
                <w:lang w:val="en-US" w:eastAsia="zh-CN"/>
              </w:rPr>
              <w:t>进行综合评审</w:t>
            </w:r>
            <w:r>
              <w:rPr>
                <w:rFonts w:hint="eastAsia"/>
                <w:color w:val="000000" w:themeColor="text1"/>
                <w:highlight w:val="none"/>
                <w:shd w:val="clear" w:color="auto" w:fill="auto"/>
                <w:lang w:val="en-US" w:eastAsia="zh-CN"/>
                <w14:textFill>
                  <w14:solidFill>
                    <w14:schemeClr w14:val="tx1"/>
                  </w14:solidFill>
                </w14:textFill>
              </w:rPr>
              <w:t>：</w:t>
            </w:r>
          </w:p>
          <w:p w14:paraId="5F35756B">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1.方案完整、科学、可行性高得5分；</w:t>
            </w:r>
          </w:p>
          <w:p w14:paraId="06540A92">
            <w:pPr>
              <w:keepNext w:val="0"/>
              <w:keepLines w:val="0"/>
              <w:suppressLineNumbers w:val="0"/>
              <w:snapToGrid w:val="0"/>
              <w:spacing w:before="0" w:beforeAutospacing="0" w:after="0" w:afterAutospacing="0" w:line="440" w:lineRule="exact"/>
              <w:ind w:left="0" w:right="0"/>
              <w:jc w:val="both"/>
              <w:rPr>
                <w:rFonts w:hint="default"/>
                <w:sz w:val="24"/>
                <w:szCs w:val="24"/>
                <w:highlight w:val="none"/>
                <w:lang w:val="en-US"/>
              </w:rPr>
            </w:pPr>
            <w:r>
              <w:rPr>
                <w:rFonts w:hint="eastAsia"/>
                <w:sz w:val="24"/>
                <w:szCs w:val="24"/>
                <w:highlight w:val="none"/>
                <w:lang w:val="en-US"/>
              </w:rPr>
              <w:t>2.方案相对完整、可行性</w:t>
            </w:r>
            <w:r>
              <w:rPr>
                <w:rFonts w:hint="eastAsia"/>
                <w:sz w:val="24"/>
                <w:szCs w:val="24"/>
                <w:highlight w:val="none"/>
                <w:lang w:val="en-US" w:eastAsia="zh-CN"/>
              </w:rPr>
              <w:t>较</w:t>
            </w:r>
            <w:r>
              <w:rPr>
                <w:rFonts w:hint="eastAsia"/>
                <w:sz w:val="24"/>
                <w:szCs w:val="24"/>
                <w:highlight w:val="none"/>
                <w:lang w:val="en-US"/>
              </w:rPr>
              <w:t>高得3分；</w:t>
            </w:r>
          </w:p>
          <w:p w14:paraId="7F19A9F5">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3.方案基本完整、可行性基本满足要求得1分。</w:t>
            </w:r>
          </w:p>
          <w:p w14:paraId="442F8B53">
            <w:pPr>
              <w:pStyle w:val="2"/>
              <w:keepNext w:val="0"/>
              <w:keepLines w:val="0"/>
              <w:suppressLineNumbers w:val="0"/>
              <w:snapToGrid w:val="0"/>
              <w:spacing w:before="0" w:beforeAutospacing="0" w:after="0" w:afterAutospacing="0" w:line="440" w:lineRule="exact"/>
              <w:ind w:left="0" w:right="0"/>
              <w:jc w:val="both"/>
              <w:rPr>
                <w:rFonts w:hint="default"/>
                <w:highlight w:val="none"/>
                <w:lang w:val="en-US"/>
              </w:rPr>
            </w:pPr>
            <w:r>
              <w:rPr>
                <w:rFonts w:hint="eastAsia"/>
                <w:highlight w:val="none"/>
                <w:lang w:val="en-US"/>
              </w:rPr>
              <w:t>4.未提供方案或方案不具备可行性得0分。</w:t>
            </w:r>
          </w:p>
          <w:p w14:paraId="73771E1F">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lang w:val="en-US" w:eastAsia="zh-CN"/>
                <w14:textFill>
                  <w14:solidFill>
                    <w14:schemeClr w14:val="tx1"/>
                  </w14:solidFill>
                </w14:textFill>
              </w:rPr>
            </w:pPr>
            <w:r>
              <w:rPr>
                <w:rFonts w:hint="eastAsia" w:cs="宋体"/>
                <w:color w:val="000000" w:themeColor="text1"/>
                <w:sz w:val="24"/>
                <w:highlight w:val="none"/>
                <w:shd w:val="clear" w:color="auto" w:fill="auto"/>
                <w:lang w:val="en-US" w:eastAsia="zh-CN"/>
                <w14:textFill>
                  <w14:solidFill>
                    <w14:schemeClr w14:val="tx1"/>
                  </w14:solidFill>
                </w14:textFill>
              </w:rPr>
              <w:t>注：</w:t>
            </w:r>
          </w:p>
          <w:p w14:paraId="5539A798">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lang w:val="zh-CN"/>
                <w14:textFill>
                  <w14:solidFill>
                    <w14:schemeClr w14:val="tx1"/>
                  </w14:solidFill>
                </w14:textFill>
              </w:rPr>
            </w:pPr>
            <w:r>
              <w:rPr>
                <w:rFonts w:hint="eastAsia" w:cs="宋体"/>
                <w:color w:val="000000" w:themeColor="text1"/>
                <w:sz w:val="24"/>
                <w:highlight w:val="none"/>
                <w:shd w:val="clear" w:color="auto" w:fill="auto"/>
                <w:lang w:val="en-US" w:eastAsia="zh-CN"/>
                <w14:textFill>
                  <w14:solidFill>
                    <w14:schemeClr w14:val="tx1"/>
                  </w14:solidFill>
                </w14:textFill>
              </w:rPr>
              <w:t>（1）</w:t>
            </w:r>
            <w:r>
              <w:rPr>
                <w:rFonts w:hint="eastAsia" w:cs="宋体"/>
                <w:color w:val="000000" w:themeColor="text1"/>
                <w:sz w:val="24"/>
                <w:highlight w:val="none"/>
                <w:shd w:val="clear" w:color="auto" w:fill="auto"/>
                <w14:textFill>
                  <w14:solidFill>
                    <w14:schemeClr w14:val="tx1"/>
                  </w14:solidFill>
                </w14:textFill>
              </w:rPr>
              <w:t>方案</w:t>
            </w:r>
            <w:r>
              <w:rPr>
                <w:rFonts w:hint="eastAsia" w:cs="宋体"/>
                <w:color w:val="000000" w:themeColor="text1"/>
                <w:sz w:val="24"/>
                <w:highlight w:val="none"/>
                <w:shd w:val="clear" w:color="auto" w:fill="auto"/>
                <w:lang w:val="en-US"/>
                <w14:textFill>
                  <w14:solidFill>
                    <w14:schemeClr w14:val="tx1"/>
                  </w14:solidFill>
                </w14:textFill>
              </w:rPr>
              <w:t>完整、科学、可行性高</w:t>
            </w:r>
            <w:r>
              <w:rPr>
                <w:rFonts w:hint="eastAsia" w:cs="宋体"/>
                <w:color w:val="000000" w:themeColor="text1"/>
                <w:sz w:val="24"/>
                <w:highlight w:val="none"/>
                <w:shd w:val="clear" w:color="auto" w:fill="auto"/>
                <w:lang w:val="zh-CN"/>
                <w14:textFill>
                  <w14:solidFill>
                    <w14:schemeClr w14:val="tx1"/>
                  </w14:solidFill>
                </w14:textFill>
              </w:rPr>
              <w:t>指：</w:t>
            </w:r>
          </w:p>
          <w:p w14:paraId="74F0F35B">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lang w:val="zh-CN"/>
                <w14:textFill>
                  <w14:solidFill>
                    <w14:schemeClr w14:val="tx1"/>
                  </w14:solidFill>
                </w14:textFill>
              </w:rPr>
            </w:pPr>
            <w:r>
              <w:rPr>
                <w:rFonts w:hint="eastAsia" w:cs="宋体"/>
                <w:color w:val="000000" w:themeColor="text1"/>
                <w:sz w:val="24"/>
                <w:highlight w:val="none"/>
                <w:shd w:val="clear" w:color="auto" w:fill="auto"/>
                <w:lang w:val="zh-CN"/>
                <w14:textFill>
                  <w14:solidFill>
                    <w14:schemeClr w14:val="tx1"/>
                  </w14:solidFill>
                </w14:textFill>
              </w:rPr>
              <w:t>a.提供的方案基于采购需求的全口径，提出具有可行性的现状情况预判；</w:t>
            </w:r>
          </w:p>
          <w:p w14:paraId="3FA71AC5">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lang w:val="zh-CN"/>
                <w14:textFill>
                  <w14:solidFill>
                    <w14:schemeClr w14:val="tx1"/>
                  </w14:solidFill>
                </w14:textFill>
              </w:rPr>
            </w:pPr>
            <w:r>
              <w:rPr>
                <w:rFonts w:hint="eastAsia" w:cs="宋体"/>
                <w:color w:val="000000" w:themeColor="text1"/>
                <w:sz w:val="24"/>
                <w:highlight w:val="none"/>
                <w:shd w:val="clear" w:color="auto" w:fill="auto"/>
                <w:lang w:val="zh-CN"/>
                <w14:textFill>
                  <w14:solidFill>
                    <w14:schemeClr w14:val="tx1"/>
                  </w14:solidFill>
                </w14:textFill>
              </w:rPr>
              <w:t>b.准确把握方案中的重、难点，分析各类情况可能发生的不可预见性，并尽可能列明多种详细预案；</w:t>
            </w:r>
          </w:p>
          <w:p w14:paraId="6B2C3012">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lang w:val="zh-CN"/>
                <w14:textFill>
                  <w14:solidFill>
                    <w14:schemeClr w14:val="tx1"/>
                  </w14:solidFill>
                </w14:textFill>
              </w:rPr>
            </w:pPr>
            <w:r>
              <w:rPr>
                <w:rFonts w:hint="eastAsia" w:cs="宋体"/>
                <w:color w:val="000000" w:themeColor="text1"/>
                <w:sz w:val="24"/>
                <w:highlight w:val="none"/>
                <w:shd w:val="clear" w:color="auto" w:fill="auto"/>
                <w:lang w:val="zh-CN"/>
                <w14:textFill>
                  <w14:solidFill>
                    <w14:schemeClr w14:val="tx1"/>
                  </w14:solidFill>
                </w14:textFill>
              </w:rPr>
              <w:t>c.针对不同的需求，能提供个性化的解决方案，可以举例论证；</w:t>
            </w:r>
          </w:p>
          <w:p w14:paraId="6C2EDFFD">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lang w:val="zh-CN"/>
                <w14:textFill>
                  <w14:solidFill>
                    <w14:schemeClr w14:val="tx1"/>
                  </w14:solidFill>
                </w14:textFill>
              </w:rPr>
            </w:pPr>
            <w:r>
              <w:rPr>
                <w:rFonts w:hint="eastAsia" w:cs="宋体"/>
                <w:color w:val="000000" w:themeColor="text1"/>
                <w:sz w:val="24"/>
                <w:highlight w:val="none"/>
                <w:shd w:val="clear" w:color="auto" w:fill="auto"/>
                <w:lang w:val="zh-CN"/>
                <w14:textFill>
                  <w14:solidFill>
                    <w14:schemeClr w14:val="tx1"/>
                  </w14:solidFill>
                </w14:textFill>
              </w:rPr>
              <w:t>d.对于资料、数据等响应方案的支持材料提供详细、具体，具有一定的论证支持性。</w:t>
            </w:r>
          </w:p>
          <w:p w14:paraId="18336236">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lang w:val="en-US" w:eastAsia="zh-CN"/>
                <w14:textFill>
                  <w14:solidFill>
                    <w14:schemeClr w14:val="tx1"/>
                  </w14:solidFill>
                </w14:textFill>
              </w:rPr>
              <w:t>（2）</w:t>
            </w:r>
            <w:r>
              <w:rPr>
                <w:rFonts w:hint="eastAsia" w:cs="宋体"/>
                <w:color w:val="000000" w:themeColor="text1"/>
                <w:sz w:val="24"/>
                <w:highlight w:val="none"/>
                <w:shd w:val="clear" w:color="auto" w:fill="auto"/>
                <w:lang w:val="en-US"/>
                <w14:textFill>
                  <w14:solidFill>
                    <w14:schemeClr w14:val="tx1"/>
                  </w14:solidFill>
                </w14:textFill>
              </w:rPr>
              <w:t>方案相对完整、可行性</w:t>
            </w:r>
            <w:r>
              <w:rPr>
                <w:rFonts w:hint="eastAsia" w:cs="宋体"/>
                <w:color w:val="000000" w:themeColor="text1"/>
                <w:sz w:val="24"/>
                <w:highlight w:val="none"/>
                <w:shd w:val="clear" w:color="auto" w:fill="auto"/>
                <w:lang w:val="en-US" w:eastAsia="zh-CN"/>
                <w14:textFill>
                  <w14:solidFill>
                    <w14:schemeClr w14:val="tx1"/>
                  </w14:solidFill>
                </w14:textFill>
              </w:rPr>
              <w:t>较</w:t>
            </w:r>
            <w:r>
              <w:rPr>
                <w:rFonts w:hint="eastAsia" w:cs="宋体"/>
                <w:color w:val="000000" w:themeColor="text1"/>
                <w:sz w:val="24"/>
                <w:highlight w:val="none"/>
                <w:shd w:val="clear" w:color="auto" w:fill="auto"/>
                <w:lang w:val="en-US"/>
                <w14:textFill>
                  <w14:solidFill>
                    <w14:schemeClr w14:val="tx1"/>
                  </w14:solidFill>
                </w14:textFill>
              </w:rPr>
              <w:t>高</w:t>
            </w:r>
            <w:r>
              <w:rPr>
                <w:rFonts w:hint="eastAsia" w:cs="宋体"/>
                <w:color w:val="000000" w:themeColor="text1"/>
                <w:sz w:val="24"/>
                <w:highlight w:val="none"/>
                <w:shd w:val="clear" w:color="auto" w:fill="auto"/>
                <w14:textFill>
                  <w14:solidFill>
                    <w14:schemeClr w14:val="tx1"/>
                  </w14:solidFill>
                </w14:textFill>
              </w:rPr>
              <w:t>指：</w:t>
            </w:r>
          </w:p>
          <w:p w14:paraId="09DEA456">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14:textFill>
                  <w14:solidFill>
                    <w14:schemeClr w14:val="tx1"/>
                  </w14:solidFill>
                </w14:textFill>
              </w:rPr>
              <w:t>a.方案内容对采购文件要求的条款已作完整响应；</w:t>
            </w:r>
          </w:p>
          <w:p w14:paraId="6D5B61D2">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14:textFill>
                  <w14:solidFill>
                    <w14:schemeClr w14:val="tx1"/>
                  </w14:solidFill>
                </w14:textFill>
              </w:rPr>
              <w:t>b.只对方案作出标题式的简单论证，并未展开分析或列明可行的具体解决方案；</w:t>
            </w:r>
          </w:p>
          <w:p w14:paraId="48E96215">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14:textFill>
                  <w14:solidFill>
                    <w14:schemeClr w14:val="tx1"/>
                  </w14:solidFill>
                </w14:textFill>
              </w:rPr>
              <w:t>c.部分资料、数据等响应方案的支撑材料提供过于简单或未提供。</w:t>
            </w:r>
          </w:p>
          <w:p w14:paraId="5F59F4EC">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lang w:val="en-US" w:eastAsia="zh-CN"/>
                <w14:textFill>
                  <w14:solidFill>
                    <w14:schemeClr w14:val="tx1"/>
                  </w14:solidFill>
                </w14:textFill>
              </w:rPr>
              <w:t>（3）</w:t>
            </w:r>
            <w:r>
              <w:rPr>
                <w:rFonts w:hint="eastAsia" w:cs="宋体"/>
                <w:color w:val="000000" w:themeColor="text1"/>
                <w:sz w:val="24"/>
                <w:highlight w:val="none"/>
                <w:shd w:val="clear" w:color="auto" w:fill="auto"/>
                <w:lang w:val="en-US"/>
                <w14:textFill>
                  <w14:solidFill>
                    <w14:schemeClr w14:val="tx1"/>
                  </w14:solidFill>
                </w14:textFill>
              </w:rPr>
              <w:t>方案基本完整、可行性基本满足要求</w:t>
            </w:r>
            <w:r>
              <w:rPr>
                <w:rFonts w:hint="eastAsia" w:cs="宋体"/>
                <w:color w:val="000000" w:themeColor="text1"/>
                <w:sz w:val="24"/>
                <w:highlight w:val="none"/>
                <w:shd w:val="clear" w:color="auto" w:fill="auto"/>
                <w14:textFill>
                  <w14:solidFill>
                    <w14:schemeClr w14:val="tx1"/>
                  </w14:solidFill>
                </w14:textFill>
              </w:rPr>
              <w:t>指：</w:t>
            </w:r>
          </w:p>
          <w:p w14:paraId="2E58D964">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14:textFill>
                  <w14:solidFill>
                    <w14:schemeClr w14:val="tx1"/>
                  </w14:solidFill>
                </w14:textFill>
              </w:rPr>
              <w:t>a.方案不完整，与采购需求存在明显的响应缺项；</w:t>
            </w:r>
          </w:p>
          <w:p w14:paraId="0590C0A6">
            <w:pPr>
              <w:pStyle w:val="2"/>
              <w:keepNext w:val="0"/>
              <w:keepLines w:val="0"/>
              <w:suppressLineNumbers w:val="0"/>
              <w:snapToGrid w:val="0"/>
              <w:spacing w:before="0" w:beforeAutospacing="0" w:after="0" w:afterAutospacing="0" w:line="440" w:lineRule="exact"/>
              <w:ind w:left="0" w:right="0"/>
              <w:jc w:val="both"/>
              <w:rPr>
                <w:rFonts w:hint="default" w:ascii="宋体" w:hAnsi="宋体" w:eastAsia="宋体" w:cs="宋体"/>
                <w:snapToGrid w:val="0"/>
                <w:color w:val="000000" w:themeColor="text1"/>
                <w:sz w:val="24"/>
                <w:szCs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14:textFill>
                  <w14:solidFill>
                    <w14:schemeClr w14:val="tx1"/>
                  </w14:solidFill>
                </w14:textFill>
              </w:rPr>
              <w:t>b.方案不切实际，操作困难，与采购需求相违背。</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3C74531">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bidi="ar"/>
                <w14:textFill>
                  <w14:solidFill>
                    <w14:schemeClr w14:val="tx1"/>
                  </w14:solidFill>
                </w14:textFill>
              </w:rPr>
              <w:t>5分</w:t>
            </w:r>
          </w:p>
        </w:tc>
      </w:tr>
      <w:tr w14:paraId="70CA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restart"/>
            <w:tcBorders>
              <w:top w:val="single" w:color="auto" w:sz="4" w:space="0"/>
              <w:left w:val="single" w:color="auto" w:sz="4" w:space="0"/>
              <w:right w:val="single" w:color="auto" w:sz="4" w:space="0"/>
            </w:tcBorders>
            <w:shd w:val="clear" w:color="auto" w:fill="auto"/>
            <w:vAlign w:val="center"/>
          </w:tcPr>
          <w:p w14:paraId="547F04D3">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客观分(7</w:t>
            </w:r>
            <w:r>
              <w:rPr>
                <w:rFonts w:hint="eastAsia"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9DC0039">
            <w:pPr>
              <w:pStyle w:val="2"/>
              <w:keepNext w:val="0"/>
              <w:keepLines w:val="0"/>
              <w:suppressLineNumbers w:val="0"/>
              <w:snapToGrid w:val="0"/>
              <w:spacing w:before="0" w:beforeAutospacing="0" w:after="0" w:afterAutospacing="0" w:line="440" w:lineRule="exac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人员配置</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34F2CD57">
            <w:pPr>
              <w:pStyle w:val="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240" w:right="0" w:hanging="240" w:hangingChars="100"/>
              <w:jc w:val="both"/>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1.拟配备的本项目主厨具有</w:t>
            </w:r>
            <w:r>
              <w:rPr>
                <w:rFonts w:hint="eastAsia" w:ascii="宋体" w:hAnsi="宋体" w:eastAsia="宋体" w:cs="宋体"/>
                <w:sz w:val="24"/>
                <w:szCs w:val="24"/>
                <w:highlight w:val="none"/>
                <w:lang w:val="en-US" w:eastAsia="zh-CN" w:bidi="ar"/>
              </w:rPr>
              <w:t>具有中式烹调（饪）师职业资格二级</w:t>
            </w:r>
            <w:r>
              <w:rPr>
                <w:rFonts w:hint="eastAsia" w:cs="宋体"/>
                <w:sz w:val="24"/>
                <w:szCs w:val="24"/>
                <w:highlight w:val="none"/>
                <w:lang w:val="en-US" w:eastAsia="zh-CN" w:bidi="ar"/>
              </w:rPr>
              <w:t>及</w:t>
            </w:r>
            <w:r>
              <w:rPr>
                <w:rFonts w:hint="eastAsia" w:ascii="宋体" w:hAnsi="宋体" w:eastAsia="宋体" w:cs="宋体"/>
                <w:sz w:val="24"/>
                <w:szCs w:val="24"/>
                <w:highlight w:val="none"/>
                <w:lang w:val="en-US" w:eastAsia="zh-CN" w:bidi="ar"/>
              </w:rPr>
              <w:t>以上证书</w:t>
            </w:r>
            <w:r>
              <w:rPr>
                <w:rFonts w:hint="eastAsia" w:ascii="宋体" w:hAnsi="宋体" w:eastAsia="宋体" w:cs="宋体"/>
                <w:kern w:val="0"/>
                <w:sz w:val="24"/>
                <w:szCs w:val="24"/>
                <w:highlight w:val="none"/>
                <w:lang w:val="en-US" w:eastAsia="zh-CN" w:bidi="ar"/>
              </w:rPr>
              <w:t>得5分。(提供</w:t>
            </w:r>
            <w:r>
              <w:rPr>
                <w:rFonts w:hint="eastAsia" w:cs="宋体"/>
                <w:kern w:val="0"/>
                <w:sz w:val="24"/>
                <w:szCs w:val="24"/>
                <w:highlight w:val="none"/>
                <w:lang w:val="en-US" w:eastAsia="zh-CN" w:bidi="ar"/>
              </w:rPr>
              <w:t>有效的</w:t>
            </w:r>
            <w:r>
              <w:rPr>
                <w:rFonts w:hint="eastAsia" w:ascii="宋体" w:hAnsi="宋体" w:eastAsia="宋体" w:cs="宋体"/>
                <w:kern w:val="0"/>
                <w:sz w:val="24"/>
                <w:szCs w:val="24"/>
                <w:highlight w:val="none"/>
                <w:lang w:val="en-US" w:eastAsia="zh-CN" w:bidi="ar"/>
              </w:rPr>
              <w:t>身份证、健康证，中式烹调（饪）师证书</w:t>
            </w:r>
            <w:r>
              <w:rPr>
                <w:rFonts w:hint="eastAsia" w:cs="宋体"/>
                <w:kern w:val="0"/>
                <w:sz w:val="24"/>
                <w:szCs w:val="24"/>
                <w:highlight w:val="none"/>
                <w:lang w:val="en-US" w:eastAsia="zh-CN" w:bidi="ar"/>
              </w:rPr>
              <w:t>、劳动合同</w:t>
            </w:r>
            <w:r>
              <w:rPr>
                <w:rFonts w:hint="eastAsia" w:ascii="宋体" w:hAnsi="宋体" w:eastAsia="宋体" w:cs="宋体"/>
                <w:kern w:val="0"/>
                <w:sz w:val="24"/>
                <w:szCs w:val="24"/>
                <w:highlight w:val="none"/>
                <w:lang w:val="en-US" w:eastAsia="zh-CN" w:bidi="ar"/>
              </w:rPr>
              <w:t>的复印件或扫描件并加盖投标</w:t>
            </w:r>
            <w:r>
              <w:rPr>
                <w:rFonts w:hint="eastAsia" w:cs="宋体"/>
                <w:kern w:val="0"/>
                <w:sz w:val="24"/>
                <w:szCs w:val="24"/>
                <w:highlight w:val="none"/>
                <w:lang w:val="en-US" w:eastAsia="zh-CN" w:bidi="ar"/>
              </w:rPr>
              <w:t>单位</w:t>
            </w:r>
            <w:r>
              <w:rPr>
                <w:rFonts w:hint="eastAsia" w:ascii="宋体" w:hAnsi="宋体" w:eastAsia="宋体" w:cs="宋体"/>
                <w:kern w:val="0"/>
                <w:sz w:val="24"/>
                <w:szCs w:val="24"/>
                <w:highlight w:val="none"/>
                <w:lang w:val="en-US" w:eastAsia="zh-CN" w:bidi="ar"/>
              </w:rPr>
              <w:t>公章。）</w:t>
            </w:r>
          </w:p>
          <w:p w14:paraId="3B750E2F">
            <w:pPr>
              <w:pStyle w:val="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240" w:right="0" w:hanging="240" w:hangingChars="100"/>
              <w:jc w:val="both"/>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2.副厨：拟配备的本项目副厨</w:t>
            </w:r>
            <w:r>
              <w:rPr>
                <w:rFonts w:hint="eastAsia" w:ascii="宋体" w:hAnsi="宋体" w:eastAsia="宋体" w:cs="宋体"/>
                <w:sz w:val="24"/>
                <w:szCs w:val="24"/>
                <w:highlight w:val="none"/>
                <w:lang w:val="en-US" w:eastAsia="zh-CN" w:bidi="ar"/>
              </w:rPr>
              <w:t>具有中式烹调（饪）师职业资格三级</w:t>
            </w:r>
            <w:r>
              <w:rPr>
                <w:rFonts w:hint="eastAsia" w:cs="宋体"/>
                <w:sz w:val="24"/>
                <w:szCs w:val="24"/>
                <w:highlight w:val="none"/>
                <w:lang w:val="en-US" w:eastAsia="zh-CN" w:bidi="ar"/>
              </w:rPr>
              <w:t>及</w:t>
            </w:r>
            <w:r>
              <w:rPr>
                <w:rFonts w:hint="eastAsia" w:ascii="宋体" w:hAnsi="宋体" w:eastAsia="宋体" w:cs="宋体"/>
                <w:sz w:val="24"/>
                <w:szCs w:val="24"/>
                <w:highlight w:val="none"/>
                <w:lang w:val="en-US" w:eastAsia="zh-CN" w:bidi="ar"/>
              </w:rPr>
              <w:t>以上证书</w:t>
            </w:r>
            <w:r>
              <w:rPr>
                <w:rFonts w:hint="eastAsia" w:ascii="宋体" w:hAnsi="宋体" w:eastAsia="宋体" w:cs="宋体"/>
                <w:kern w:val="0"/>
                <w:sz w:val="24"/>
                <w:szCs w:val="24"/>
                <w:highlight w:val="none"/>
                <w:lang w:val="en-US" w:eastAsia="zh-CN" w:bidi="ar"/>
              </w:rPr>
              <w:t>得5分。（提供</w:t>
            </w:r>
            <w:r>
              <w:rPr>
                <w:rFonts w:hint="eastAsia" w:cs="宋体"/>
                <w:kern w:val="0"/>
                <w:sz w:val="24"/>
                <w:szCs w:val="24"/>
                <w:highlight w:val="none"/>
                <w:lang w:val="en-US" w:eastAsia="zh-CN" w:bidi="ar"/>
              </w:rPr>
              <w:t>有效的</w:t>
            </w:r>
            <w:r>
              <w:rPr>
                <w:rFonts w:hint="eastAsia" w:ascii="宋体" w:hAnsi="宋体" w:eastAsia="宋体" w:cs="宋体"/>
                <w:kern w:val="0"/>
                <w:sz w:val="24"/>
                <w:szCs w:val="24"/>
                <w:highlight w:val="none"/>
                <w:lang w:val="en-US" w:eastAsia="zh-CN" w:bidi="ar"/>
              </w:rPr>
              <w:t>身份证、健康证，中式烹调（饪）师证书</w:t>
            </w:r>
            <w:r>
              <w:rPr>
                <w:rFonts w:hint="eastAsia" w:cs="宋体"/>
                <w:kern w:val="0"/>
                <w:sz w:val="24"/>
                <w:szCs w:val="24"/>
                <w:highlight w:val="none"/>
                <w:lang w:val="en-US" w:eastAsia="zh-CN" w:bidi="ar"/>
              </w:rPr>
              <w:t>、劳动合同</w:t>
            </w:r>
            <w:r>
              <w:rPr>
                <w:rFonts w:hint="eastAsia" w:ascii="宋体" w:hAnsi="宋体" w:eastAsia="宋体" w:cs="宋体"/>
                <w:kern w:val="0"/>
                <w:sz w:val="24"/>
                <w:szCs w:val="24"/>
                <w:highlight w:val="none"/>
                <w:lang w:val="en-US" w:eastAsia="zh-CN" w:bidi="ar"/>
              </w:rPr>
              <w:t>的复印件或扫描件并加盖投标</w:t>
            </w:r>
            <w:r>
              <w:rPr>
                <w:rFonts w:hint="eastAsia" w:cs="宋体"/>
                <w:kern w:val="0"/>
                <w:sz w:val="24"/>
                <w:szCs w:val="24"/>
                <w:highlight w:val="none"/>
                <w:lang w:val="en-US" w:eastAsia="zh-CN" w:bidi="ar"/>
              </w:rPr>
              <w:t>单位</w:t>
            </w:r>
            <w:r>
              <w:rPr>
                <w:rFonts w:hint="eastAsia" w:ascii="宋体" w:hAnsi="宋体" w:eastAsia="宋体" w:cs="宋体"/>
                <w:kern w:val="0"/>
                <w:sz w:val="24"/>
                <w:szCs w:val="24"/>
                <w:highlight w:val="none"/>
                <w:lang w:val="en-US" w:eastAsia="zh-CN" w:bidi="ar"/>
              </w:rPr>
              <w:t>公章）</w:t>
            </w:r>
          </w:p>
          <w:p w14:paraId="3E930996">
            <w:pPr>
              <w:pStyle w:val="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240" w:leftChars="0" w:right="0" w:rightChars="0" w:hanging="240" w:hangingChars="100"/>
              <w:jc w:val="both"/>
              <w:textAlignment w:val="auto"/>
              <w:rPr>
                <w:rFonts w:hint="default"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kern w:val="0"/>
                <w:sz w:val="24"/>
                <w:szCs w:val="24"/>
                <w:highlight w:val="none"/>
                <w:lang w:val="en-US" w:eastAsia="zh-CN" w:bidi="ar"/>
              </w:rPr>
              <w:t>3.面点师：拟配备的本项目面点师</w:t>
            </w:r>
            <w:r>
              <w:rPr>
                <w:rFonts w:hint="eastAsia" w:ascii="宋体" w:hAnsi="宋体" w:eastAsia="宋体" w:cs="宋体"/>
                <w:sz w:val="24"/>
                <w:szCs w:val="24"/>
                <w:highlight w:val="none"/>
                <w:lang w:val="en-US" w:eastAsia="zh-CN" w:bidi="ar"/>
              </w:rPr>
              <w:t>具有中式面点师三级</w:t>
            </w:r>
            <w:r>
              <w:rPr>
                <w:rFonts w:hint="eastAsia" w:cs="宋体"/>
                <w:sz w:val="24"/>
                <w:szCs w:val="24"/>
                <w:highlight w:val="none"/>
                <w:lang w:val="en-US" w:eastAsia="zh-CN" w:bidi="ar"/>
              </w:rPr>
              <w:t>及</w:t>
            </w:r>
            <w:r>
              <w:rPr>
                <w:rFonts w:hint="eastAsia" w:ascii="宋体" w:hAnsi="宋体" w:eastAsia="宋体" w:cs="宋体"/>
                <w:sz w:val="24"/>
                <w:szCs w:val="24"/>
                <w:highlight w:val="none"/>
                <w:lang w:val="en-US" w:eastAsia="zh-CN" w:bidi="ar"/>
              </w:rPr>
              <w:t>以上资格</w:t>
            </w:r>
            <w:r>
              <w:rPr>
                <w:rFonts w:hint="eastAsia" w:ascii="宋体" w:hAnsi="宋体" w:eastAsia="宋体" w:cs="宋体"/>
                <w:kern w:val="0"/>
                <w:sz w:val="24"/>
                <w:szCs w:val="24"/>
                <w:highlight w:val="none"/>
                <w:lang w:val="en-US" w:eastAsia="zh-CN" w:bidi="ar"/>
              </w:rPr>
              <w:t>得5分。（提供</w:t>
            </w:r>
            <w:r>
              <w:rPr>
                <w:rFonts w:hint="eastAsia" w:cs="宋体"/>
                <w:kern w:val="0"/>
                <w:sz w:val="24"/>
                <w:szCs w:val="24"/>
                <w:highlight w:val="none"/>
                <w:lang w:val="en-US" w:eastAsia="zh-CN" w:bidi="ar"/>
              </w:rPr>
              <w:t>有效的</w:t>
            </w:r>
            <w:r>
              <w:rPr>
                <w:rFonts w:hint="eastAsia" w:ascii="宋体" w:hAnsi="宋体" w:eastAsia="宋体" w:cs="宋体"/>
                <w:kern w:val="0"/>
                <w:sz w:val="24"/>
                <w:szCs w:val="24"/>
                <w:highlight w:val="none"/>
                <w:lang w:val="en-US" w:eastAsia="zh-CN" w:bidi="ar"/>
              </w:rPr>
              <w:t>身份证、健康证，中式面点师</w:t>
            </w:r>
            <w:r>
              <w:rPr>
                <w:rFonts w:hint="eastAsia" w:cs="宋体"/>
                <w:kern w:val="0"/>
                <w:sz w:val="24"/>
                <w:szCs w:val="24"/>
                <w:highlight w:val="none"/>
                <w:lang w:val="en-US" w:eastAsia="zh-CN" w:bidi="ar"/>
              </w:rPr>
              <w:t>证书、劳动合同</w:t>
            </w:r>
            <w:r>
              <w:rPr>
                <w:rFonts w:hint="eastAsia" w:ascii="宋体" w:hAnsi="宋体" w:eastAsia="宋体" w:cs="宋体"/>
                <w:kern w:val="0"/>
                <w:sz w:val="24"/>
                <w:szCs w:val="24"/>
                <w:highlight w:val="none"/>
                <w:lang w:val="en-US" w:eastAsia="zh-CN" w:bidi="ar"/>
              </w:rPr>
              <w:t>的复印件或扫描件并加盖投标</w:t>
            </w:r>
            <w:r>
              <w:rPr>
                <w:rFonts w:hint="eastAsia" w:cs="宋体"/>
                <w:kern w:val="0"/>
                <w:sz w:val="24"/>
                <w:szCs w:val="24"/>
                <w:highlight w:val="none"/>
                <w:lang w:val="en-US" w:eastAsia="zh-CN" w:bidi="ar"/>
              </w:rPr>
              <w:t>单位</w:t>
            </w:r>
            <w:r>
              <w:rPr>
                <w:rFonts w:hint="eastAsia" w:ascii="宋体" w:hAnsi="宋体" w:eastAsia="宋体" w:cs="宋体"/>
                <w:kern w:val="0"/>
                <w:sz w:val="24"/>
                <w:szCs w:val="24"/>
                <w:highlight w:val="none"/>
                <w:lang w:val="en-US" w:eastAsia="zh-CN" w:bidi="ar"/>
              </w:rPr>
              <w:t>公章。）</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6A5069C">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leftChars="0" w:right="0" w:rightChars="0"/>
              <w:jc w:val="center"/>
              <w:textAlignment w:val="auto"/>
              <w:rPr>
                <w:rFonts w:hint="default" w:cs="宋体"/>
                <w:color w:val="000000" w:themeColor="text1"/>
                <w:sz w:val="24"/>
                <w:szCs w:val="24"/>
                <w:highlight w:val="none"/>
                <w:shd w:val="clear" w:color="auto" w:fill="auto"/>
                <w:lang w:val="en-US" w:eastAsia="zh-CN"/>
                <w14:textFill>
                  <w14:solidFill>
                    <w14:schemeClr w14:val="tx1"/>
                  </w14:solidFill>
                </w14:textFill>
              </w:rPr>
            </w:pPr>
            <w:r>
              <w:rPr>
                <w:rFonts w:hint="eastAsia" w:cs="宋体"/>
                <w:color w:val="auto"/>
                <w:kern w:val="0"/>
                <w:sz w:val="24"/>
                <w:szCs w:val="24"/>
                <w:highlight w:val="none"/>
                <w:lang w:val="en-US" w:eastAsia="zh-CN" w:bidi="ar"/>
              </w:rPr>
              <w:t>15分</w:t>
            </w:r>
          </w:p>
        </w:tc>
      </w:tr>
      <w:tr w14:paraId="7A72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left w:val="single" w:color="auto" w:sz="4" w:space="0"/>
              <w:right w:val="single" w:color="auto" w:sz="4" w:space="0"/>
            </w:tcBorders>
            <w:shd w:val="clear" w:color="auto" w:fill="auto"/>
            <w:vAlign w:val="center"/>
          </w:tcPr>
          <w:p w14:paraId="092C248F">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23DDF85">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业绩</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1F967ECD">
            <w:pPr>
              <w:keepNext w:val="0"/>
              <w:keepLines w:val="0"/>
              <w:suppressLineNumbers w:val="0"/>
              <w:snapToGrid w:val="0"/>
              <w:spacing w:before="0" w:beforeAutospacing="0" w:after="0" w:afterAutospacing="0" w:line="450" w:lineRule="exact"/>
              <w:ind w:left="0" w:right="0"/>
              <w:jc w:val="both"/>
              <w:rPr>
                <w:rFonts w:hint="default" w:ascii="宋体" w:hAnsi="宋体" w:eastAsia="宋体" w:cs="宋体"/>
                <w:color w:val="000000" w:themeColor="text1"/>
                <w:sz w:val="24"/>
                <w:highlight w:val="none"/>
                <w:shd w:val="clear" w:color="auto" w:fill="auto"/>
                <w14:textFill>
                  <w14:solidFill>
                    <w14:schemeClr w14:val="tx1"/>
                  </w14:solidFill>
                </w14:textFill>
              </w:rPr>
            </w:pPr>
            <w:r>
              <w:rPr>
                <w:rFonts w:hint="eastAsia" w:cs="宋体"/>
                <w:color w:val="000000" w:themeColor="text1"/>
                <w:sz w:val="24"/>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4"/>
                <w:highlight w:val="none"/>
                <w:shd w:val="clear" w:color="auto" w:fill="auto"/>
                <w14:textFill>
                  <w14:solidFill>
                    <w14:schemeClr w14:val="tx1"/>
                  </w14:solidFill>
                </w14:textFill>
              </w:rPr>
              <w:t>提供202</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color="auto" w:fill="auto"/>
                <w14:textFill>
                  <w14:solidFill>
                    <w14:schemeClr w14:val="tx1"/>
                  </w14:solidFill>
                </w14:textFill>
              </w:rPr>
              <w:t>年</w:t>
            </w:r>
            <w:r>
              <w:rPr>
                <w:rFonts w:hint="eastAsia" w:ascii="宋体" w:hAnsi="宋体" w:eastAsia="宋体" w:cs="宋体"/>
                <w:color w:val="000000" w:themeColor="text1"/>
                <w:sz w:val="24"/>
                <w:highlight w:val="none"/>
                <w:shd w:val="clear" w:color="auto" w:fill="auto"/>
                <w:lang w:val="en"/>
                <w14:textFill>
                  <w14:solidFill>
                    <w14:schemeClr w14:val="tx1"/>
                  </w14:solidFill>
                </w14:textFill>
              </w:rPr>
              <w:t>1月</w:t>
            </w:r>
            <w:r>
              <w:rPr>
                <w:rFonts w:hint="eastAsia" w:cs="宋体"/>
                <w:color w:val="000000" w:themeColor="text1"/>
                <w:sz w:val="24"/>
                <w:highlight w:val="none"/>
                <w:shd w:val="clear" w:color="auto" w:fill="auto"/>
                <w:lang w:val="en"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日期以合同签订之日为准</w:t>
            </w:r>
            <w:r>
              <w:rPr>
                <w:rFonts w:hint="eastAsia" w:cs="宋体"/>
                <w:color w:val="000000" w:themeColor="text1"/>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至今</w:t>
            </w:r>
            <w:r>
              <w:rPr>
                <w:rFonts w:hint="eastAsia" w:ascii="宋体" w:hAnsi="宋体" w:eastAsia="宋体" w:cs="宋体"/>
                <w:color w:val="000000" w:themeColor="text1"/>
                <w:sz w:val="24"/>
                <w:highlight w:val="none"/>
                <w:shd w:val="clear" w:color="auto" w:fill="auto"/>
                <w14:textFill>
                  <w14:solidFill>
                    <w14:schemeClr w14:val="tx1"/>
                  </w14:solidFill>
                </w14:textFill>
              </w:rPr>
              <w:t>类似</w:t>
            </w:r>
            <w:r>
              <w:rPr>
                <w:rFonts w:hint="eastAsia" w:cs="宋体"/>
                <w:color w:val="000000" w:themeColor="text1"/>
                <w:sz w:val="24"/>
                <w:highlight w:val="none"/>
                <w:shd w:val="clear" w:color="auto" w:fill="auto"/>
                <w:lang w:val="en-US" w:eastAsia="zh-CN"/>
                <w14:textFill>
                  <w14:solidFill>
                    <w14:schemeClr w14:val="tx1"/>
                  </w14:solidFill>
                </w14:textFill>
              </w:rPr>
              <w:t>餐饮服务</w:t>
            </w:r>
            <w:r>
              <w:rPr>
                <w:rFonts w:hint="eastAsia" w:ascii="宋体" w:hAnsi="宋体" w:eastAsia="宋体" w:cs="宋体"/>
                <w:color w:val="000000" w:themeColor="text1"/>
                <w:sz w:val="24"/>
                <w:highlight w:val="none"/>
                <w:shd w:val="clear" w:color="auto" w:fill="auto"/>
                <w14:textFill>
                  <w14:solidFill>
                    <w14:schemeClr w14:val="tx1"/>
                  </w14:solidFill>
                </w14:textFill>
              </w:rPr>
              <w:t>项目业绩，每提供</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highlight w:val="none"/>
                <w:shd w:val="clear" w:color="auto" w:fill="auto"/>
                <w14:textFill>
                  <w14:solidFill>
                    <w14:schemeClr w14:val="tx1"/>
                  </w14:solidFill>
                </w14:textFill>
              </w:rPr>
              <w:t>个得</w:t>
            </w:r>
            <w:r>
              <w:rPr>
                <w:rFonts w:hint="eastAsia" w:cs="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highlight w:val="none"/>
                <w:shd w:val="clear" w:color="auto" w:fill="auto"/>
                <w14:textFill>
                  <w14:solidFill>
                    <w14:schemeClr w14:val="tx1"/>
                  </w14:solidFill>
                </w14:textFill>
              </w:rPr>
              <w:t>分</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满分</w:t>
            </w:r>
            <w:r>
              <w:rPr>
                <w:rFonts w:hint="eastAsia" w:cs="宋体"/>
                <w:color w:val="000000" w:themeColor="text1"/>
                <w:sz w:val="24"/>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sz w:val="24"/>
                <w:highlight w:val="none"/>
                <w:shd w:val="clear" w:color="auto" w:fill="auto"/>
                <w14:textFill>
                  <w14:solidFill>
                    <w14:schemeClr w14:val="tx1"/>
                  </w14:solidFill>
                </w14:textFill>
              </w:rPr>
              <w:t>分。</w:t>
            </w:r>
          </w:p>
          <w:p w14:paraId="06956D29">
            <w:pPr>
              <w:keepNext w:val="0"/>
              <w:keepLines w:val="0"/>
              <w:suppressLineNumbers w:val="0"/>
              <w:snapToGrid w:val="0"/>
              <w:spacing w:before="0" w:beforeAutospacing="0" w:after="0" w:afterAutospacing="0" w:line="450" w:lineRule="exact"/>
              <w:ind w:left="0" w:right="0"/>
              <w:jc w:val="both"/>
              <w:rPr>
                <w:rFonts w:hint="default"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注：提供合同</w:t>
            </w:r>
            <w:r>
              <w:rPr>
                <w:rFonts w:hint="eastAsia" w:cs="宋体"/>
                <w:color w:val="000000" w:themeColor="text1"/>
                <w:sz w:val="24"/>
                <w:highlight w:val="none"/>
                <w:shd w:val="clear" w:color="auto" w:fill="auto"/>
                <w:lang w:val="en-US" w:eastAsia="zh-CN"/>
                <w14:textFill>
                  <w14:solidFill>
                    <w14:schemeClr w14:val="tx1"/>
                  </w14:solidFill>
                </w14:textFill>
              </w:rPr>
              <w:t>扫描件并</w:t>
            </w:r>
            <w:r>
              <w:rPr>
                <w:rFonts w:hint="eastAsia" w:ascii="宋体" w:hAnsi="宋体" w:eastAsia="宋体" w:cs="宋体"/>
                <w:color w:val="000000" w:themeColor="text1"/>
                <w:sz w:val="24"/>
                <w:highlight w:val="none"/>
                <w:shd w:val="clear" w:color="auto" w:fill="auto"/>
                <w14:textFill>
                  <w14:solidFill>
                    <w14:schemeClr w14:val="tx1"/>
                  </w14:solidFill>
                </w14:textFill>
              </w:rPr>
              <w:t>加盖投标单位公章</w:t>
            </w:r>
            <w:r>
              <w:rPr>
                <w:rFonts w:hint="eastAsia" w:cs="宋体"/>
                <w:color w:val="000000" w:themeColor="text1"/>
                <w:sz w:val="24"/>
                <w:highlight w:val="none"/>
                <w:shd w:val="clear" w:color="auto" w:fill="auto"/>
                <w:lang w:val="en-US" w:eastAsia="zh-CN"/>
                <w14:textFill>
                  <w14:solidFill>
                    <w14:schemeClr w14:val="tx1"/>
                  </w14:solidFill>
                </w14:textFill>
              </w:rPr>
              <w:t>佐证</w:t>
            </w:r>
            <w:r>
              <w:rPr>
                <w:rFonts w:hint="eastAsia" w:ascii="宋体" w:hAnsi="宋体" w:eastAsia="宋体" w:cs="宋体"/>
                <w:color w:val="000000" w:themeColor="text1"/>
                <w:sz w:val="24"/>
                <w:highlight w:val="none"/>
                <w:shd w:val="clear" w:color="auto" w:fill="auto"/>
                <w14:textFill>
                  <w14:solidFill>
                    <w14:schemeClr w14:val="tx1"/>
                  </w14:solidFill>
                </w14:textFill>
              </w:rPr>
              <w:t>，未按要求提供</w:t>
            </w:r>
            <w:r>
              <w:rPr>
                <w:rFonts w:hint="eastAsia" w:cs="宋体"/>
                <w:color w:val="000000" w:themeColor="text1"/>
                <w:sz w:val="24"/>
                <w:highlight w:val="none"/>
                <w:shd w:val="clear" w:color="auto" w:fill="auto"/>
                <w:lang w:val="en-US" w:eastAsia="zh-CN"/>
                <w14:textFill>
                  <w14:solidFill>
                    <w14:schemeClr w14:val="tx1"/>
                  </w14:solidFill>
                </w14:textFill>
              </w:rPr>
              <w:t>佐证</w:t>
            </w:r>
            <w:r>
              <w:rPr>
                <w:rFonts w:hint="eastAsia" w:ascii="宋体" w:hAnsi="宋体" w:eastAsia="宋体" w:cs="宋体"/>
                <w:color w:val="000000" w:themeColor="text1"/>
                <w:sz w:val="24"/>
                <w:highlight w:val="none"/>
                <w:shd w:val="clear" w:color="auto" w:fill="auto"/>
                <w14:textFill>
                  <w14:solidFill>
                    <w14:schemeClr w14:val="tx1"/>
                  </w14:solidFill>
                </w14:textFill>
              </w:rPr>
              <w:t>或</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提供材料模糊不清无法辨认</w:t>
            </w:r>
            <w:r>
              <w:rPr>
                <w:rFonts w:hint="eastAsia" w:ascii="宋体" w:hAnsi="宋体" w:eastAsia="宋体" w:cs="宋体"/>
                <w:color w:val="000000" w:themeColor="text1"/>
                <w:sz w:val="24"/>
                <w:highlight w:val="none"/>
                <w:shd w:val="clear" w:color="auto" w:fill="auto"/>
                <w14:textFill>
                  <w14:solidFill>
                    <w14:schemeClr w14:val="tx1"/>
                  </w14:solidFill>
                </w14:textFill>
              </w:rPr>
              <w:t>的，不得分。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2106A22">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cs="宋体"/>
                <w:color w:val="000000" w:themeColor="text1"/>
                <w:sz w:val="24"/>
                <w:szCs w:val="24"/>
                <w:highlight w:val="none"/>
                <w:shd w:val="clear" w:color="auto" w:fill="auto"/>
                <w:lang w:val="en-US" w:eastAsia="zh-CN"/>
                <w14:textFill>
                  <w14:solidFill>
                    <w14:schemeClr w14:val="tx1"/>
                  </w14:solidFill>
                </w14:textFill>
              </w:rPr>
              <w:t>20分</w:t>
            </w:r>
          </w:p>
        </w:tc>
      </w:tr>
      <w:tr w14:paraId="4D55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left w:val="single" w:color="auto" w:sz="4" w:space="0"/>
              <w:right w:val="single" w:color="auto" w:sz="4" w:space="0"/>
            </w:tcBorders>
            <w:shd w:val="clear" w:color="auto" w:fill="auto"/>
            <w:vAlign w:val="center"/>
          </w:tcPr>
          <w:p w14:paraId="1F2D058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B9B4DA7">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rPr>
              <w:t>管理制度及岗位职责</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5A8EC61F">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440" w:right="0" w:hanging="480" w:hangingChars="200"/>
              <w:jc w:val="both"/>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cs="宋体"/>
                <w:color w:val="000000" w:themeColor="text1"/>
                <w:sz w:val="24"/>
                <w:szCs w:val="24"/>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提供健全的管理制度及岗位职责：</w:t>
            </w:r>
          </w:p>
          <w:p w14:paraId="4CE07BB5">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360" w:right="0" w:hanging="360" w:hangingChars="150"/>
              <w:jc w:val="both"/>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①人员管理制度：职工考勤制度、劳动纪律条例、员工守则等；</w:t>
            </w:r>
          </w:p>
          <w:p w14:paraId="2D34048B">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360" w:right="0" w:hanging="360" w:hangingChars="150"/>
              <w:jc w:val="both"/>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②食堂管理制度：主食、生食、肉食、素食等；</w:t>
            </w:r>
          </w:p>
          <w:p w14:paraId="6217BD2E">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360" w:right="0" w:hanging="360" w:hangingChars="150"/>
              <w:jc w:val="both"/>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③卫生管理制度：卫生消毒制度、面点糕点间卫生制度、肉类（水产品）加工间管理制度、操作间卫生制度、食（用）洗涤消毒保管制度、预防食物中毒条例等；</w:t>
            </w:r>
          </w:p>
          <w:p w14:paraId="5E515D98">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360" w:right="0" w:hanging="360" w:hangingChars="150"/>
              <w:jc w:val="both"/>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④岗位职责：行政主厨岗位职责、厨师人员岗位职责、服务人员岗位职责等。</w:t>
            </w:r>
          </w:p>
          <w:p w14:paraId="3490DAA6">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360" w:right="0" w:hanging="360" w:hangingChars="150"/>
              <w:jc w:val="both"/>
              <w:textAlignment w:val="auto"/>
              <w:rPr>
                <w:rFonts w:hint="default" w:ascii="宋体" w:hAnsi="宋体" w:eastAsia="宋体" w:cs="宋体"/>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以上制度每完整提供一项得</w:t>
            </w:r>
            <w:r>
              <w:rPr>
                <w:rFonts w:hint="eastAsia"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分，满分</w:t>
            </w:r>
            <w:r>
              <w:rPr>
                <w:rFonts w:hint="eastAsia" w:cs="宋体"/>
                <w:color w:val="000000" w:themeColor="text1"/>
                <w:sz w:val="24"/>
                <w:szCs w:val="24"/>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shd w:val="clear" w:color="auto" w:fill="auto"/>
                <w:lang w:val="en-US"/>
                <w14:textFill>
                  <w14:solidFill>
                    <w14:schemeClr w14:val="tx1"/>
                  </w14:solidFill>
                </w14:textFill>
              </w:rPr>
              <w:t>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2273782">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cs="宋体"/>
                <w:color w:val="000000" w:themeColor="text1"/>
                <w:sz w:val="24"/>
                <w:szCs w:val="24"/>
                <w:highlight w:val="none"/>
                <w:shd w:val="clear" w:color="auto" w:fill="auto"/>
                <w:lang w:val="en-US" w:eastAsia="zh-CN"/>
                <w14:textFill>
                  <w14:solidFill>
                    <w14:schemeClr w14:val="tx1"/>
                  </w14:solidFill>
                </w14:textFill>
              </w:rPr>
              <w:t>20分</w:t>
            </w:r>
          </w:p>
        </w:tc>
      </w:tr>
      <w:tr w14:paraId="1916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left w:val="single" w:color="auto" w:sz="4" w:space="0"/>
              <w:right w:val="single" w:color="auto" w:sz="4" w:space="0"/>
            </w:tcBorders>
            <w:shd w:val="clear" w:color="auto" w:fill="auto"/>
            <w:vAlign w:val="center"/>
          </w:tcPr>
          <w:p w14:paraId="3FDEF34C">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1BC0E23">
            <w:pPr>
              <w:pStyle w:val="2"/>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培训承诺</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6A9679CF">
            <w:pPr>
              <w:pStyle w:val="2"/>
              <w:keepNext w:val="0"/>
              <w:keepLines w:val="0"/>
              <w:suppressLineNumbers w:val="0"/>
              <w:snapToGrid w:val="0"/>
              <w:spacing w:before="0" w:beforeAutospacing="0" w:after="0" w:afterAutospacing="0" w:line="440" w:lineRule="exact"/>
              <w:ind w:left="0" w:right="0"/>
              <w:jc w:val="both"/>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供应商承诺：定期制定培训计划，对本项目投入服务人员进行岗位培训得</w:t>
            </w:r>
            <w:r>
              <w:rPr>
                <w:rFonts w:hint="eastAsia"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分。</w:t>
            </w:r>
          </w:p>
          <w:p w14:paraId="49D3D2A2">
            <w:pPr>
              <w:pStyle w:val="2"/>
              <w:keepNext w:val="0"/>
              <w:keepLines w:val="0"/>
              <w:suppressLineNumbers w:val="0"/>
              <w:snapToGrid w:val="0"/>
              <w:spacing w:before="0" w:beforeAutospacing="0" w:after="0" w:afterAutospacing="0" w:line="440" w:lineRule="exact"/>
              <w:ind w:left="0" w:right="0"/>
              <w:jc w:val="both"/>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注：提供承诺函</w:t>
            </w:r>
            <w:r>
              <w:rPr>
                <w:rFonts w:hint="eastAsia" w:cs="宋体"/>
                <w:kern w:val="0"/>
                <w:sz w:val="24"/>
                <w:szCs w:val="24"/>
                <w:highlight w:val="none"/>
                <w:lang w:val="en-US" w:eastAsia="zh-CN" w:bidi="ar"/>
              </w:rPr>
              <w:t>并加盖投标单位公章</w:t>
            </w:r>
            <w:r>
              <w:rPr>
                <w:rFonts w:hint="eastAsia" w:ascii="宋体" w:hAnsi="宋体" w:eastAsia="宋体" w:cs="宋体"/>
                <w:kern w:val="0"/>
                <w:sz w:val="24"/>
                <w:szCs w:val="24"/>
                <w:highlight w:val="none"/>
                <w:lang w:val="en-US" w:eastAsia="zh-CN" w:bidi="ar"/>
              </w:rPr>
              <w:t>，未提供承诺函或承诺</w:t>
            </w:r>
            <w:r>
              <w:rPr>
                <w:rFonts w:hint="eastAsia" w:cs="宋体"/>
                <w:kern w:val="0"/>
                <w:sz w:val="24"/>
                <w:szCs w:val="24"/>
                <w:highlight w:val="none"/>
                <w:lang w:val="en-US" w:eastAsia="zh-CN" w:bidi="ar"/>
              </w:rPr>
              <w:t>内容有歧义</w:t>
            </w:r>
            <w:r>
              <w:rPr>
                <w:rFonts w:hint="eastAsia" w:ascii="宋体" w:hAnsi="宋体" w:eastAsia="宋体" w:cs="宋体"/>
                <w:kern w:val="0"/>
                <w:sz w:val="24"/>
                <w:szCs w:val="24"/>
                <w:highlight w:val="none"/>
                <w:lang w:val="en-US" w:eastAsia="zh-CN" w:bidi="ar"/>
              </w:rPr>
              <w:t>的不得分，格式自拟。</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F957B87">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kern w:val="0"/>
                <w:sz w:val="24"/>
                <w:szCs w:val="24"/>
                <w:highlight w:val="none"/>
                <w:lang w:val="en-US" w:eastAsia="zh-CN" w:bidi="ar"/>
              </w:rPr>
            </w:pPr>
            <w:r>
              <w:rPr>
                <w:rFonts w:hint="eastAsia" w:cs="宋体"/>
                <w:kern w:val="0"/>
                <w:sz w:val="24"/>
                <w:szCs w:val="24"/>
                <w:highlight w:val="none"/>
                <w:lang w:val="en-US" w:eastAsia="zh-CN" w:bidi="ar"/>
              </w:rPr>
              <w:t>3分</w:t>
            </w:r>
          </w:p>
        </w:tc>
      </w:tr>
      <w:tr w14:paraId="1B53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left w:val="single" w:color="auto" w:sz="4" w:space="0"/>
              <w:bottom w:val="single" w:color="auto" w:sz="4" w:space="0"/>
              <w:right w:val="single" w:color="auto" w:sz="4" w:space="0"/>
            </w:tcBorders>
            <w:shd w:val="clear" w:color="auto" w:fill="auto"/>
            <w:vAlign w:val="center"/>
          </w:tcPr>
          <w:p w14:paraId="0640E79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440C7F9">
            <w:pPr>
              <w:pStyle w:val="2"/>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其他要求</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61790E48">
            <w:pPr>
              <w:pStyle w:val="2"/>
              <w:keepNext w:val="0"/>
              <w:keepLines w:val="0"/>
              <w:suppressLineNumbers w:val="0"/>
              <w:snapToGrid w:val="0"/>
              <w:spacing w:before="0" w:beforeAutospacing="0" w:after="0" w:afterAutospacing="0" w:line="440" w:lineRule="exact"/>
              <w:ind w:left="0" w:right="0"/>
              <w:jc w:val="both"/>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承诺</w:t>
            </w:r>
            <w:r>
              <w:rPr>
                <w:rFonts w:hint="eastAsia" w:cs="宋体"/>
                <w:sz w:val="24"/>
                <w:szCs w:val="24"/>
                <w:highlight w:val="none"/>
                <w:lang w:val="en-US" w:eastAsia="zh-CN"/>
              </w:rPr>
              <w:t>按国家相关要求</w:t>
            </w:r>
            <w:r>
              <w:rPr>
                <w:rFonts w:hint="eastAsia" w:ascii="宋体" w:hAnsi="宋体" w:eastAsia="宋体" w:cs="宋体"/>
                <w:sz w:val="24"/>
                <w:szCs w:val="24"/>
                <w:highlight w:val="none"/>
                <w:lang w:val="en-US" w:eastAsia="zh-CN"/>
              </w:rPr>
              <w:t>提供潲水处理、环境消杀、油烟清洗（包含油烟管道等的清洗）服务，每提供一个承诺得5分，满分15分。</w:t>
            </w:r>
          </w:p>
          <w:p w14:paraId="5F0F9089">
            <w:pPr>
              <w:pStyle w:val="2"/>
              <w:keepNext w:val="0"/>
              <w:keepLines w:val="0"/>
              <w:suppressLineNumbers w:val="0"/>
              <w:snapToGrid w:val="0"/>
              <w:spacing w:before="0" w:beforeAutospacing="0" w:after="0" w:afterAutospacing="0" w:line="440" w:lineRule="exact"/>
              <w:ind w:left="0" w:right="0"/>
              <w:jc w:val="both"/>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注：提供承诺函</w:t>
            </w:r>
            <w:r>
              <w:rPr>
                <w:rFonts w:hint="eastAsia" w:cs="宋体"/>
                <w:kern w:val="0"/>
                <w:sz w:val="24"/>
                <w:szCs w:val="24"/>
                <w:highlight w:val="none"/>
                <w:lang w:val="en-US" w:eastAsia="zh-CN" w:bidi="ar"/>
              </w:rPr>
              <w:t>并加盖投标单位公章</w:t>
            </w:r>
            <w:r>
              <w:rPr>
                <w:rFonts w:hint="eastAsia" w:ascii="宋体" w:hAnsi="宋体" w:eastAsia="宋体" w:cs="宋体"/>
                <w:kern w:val="0"/>
                <w:sz w:val="24"/>
                <w:szCs w:val="24"/>
                <w:highlight w:val="none"/>
                <w:lang w:val="en-US" w:eastAsia="zh-CN" w:bidi="ar"/>
              </w:rPr>
              <w:t>，未提供承诺函或承诺</w:t>
            </w:r>
            <w:r>
              <w:rPr>
                <w:rFonts w:hint="eastAsia" w:cs="宋体"/>
                <w:kern w:val="0"/>
                <w:sz w:val="24"/>
                <w:szCs w:val="24"/>
                <w:highlight w:val="none"/>
                <w:lang w:val="en-US" w:eastAsia="zh-CN" w:bidi="ar"/>
              </w:rPr>
              <w:t>内容有歧义</w:t>
            </w:r>
            <w:r>
              <w:rPr>
                <w:rFonts w:hint="eastAsia" w:ascii="宋体" w:hAnsi="宋体" w:eastAsia="宋体" w:cs="宋体"/>
                <w:kern w:val="0"/>
                <w:sz w:val="24"/>
                <w:szCs w:val="24"/>
                <w:highlight w:val="none"/>
                <w:lang w:val="en-US" w:eastAsia="zh-CN" w:bidi="ar"/>
              </w:rPr>
              <w:t>的不得分，格式自拟。</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C30DB86">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cs="宋体"/>
                <w:kern w:val="0"/>
                <w:sz w:val="24"/>
                <w:szCs w:val="24"/>
                <w:highlight w:val="none"/>
                <w:lang w:val="en-US" w:eastAsia="zh-CN" w:bidi="ar"/>
              </w:rPr>
            </w:pPr>
            <w:r>
              <w:rPr>
                <w:rFonts w:hint="eastAsia" w:cs="宋体"/>
                <w:kern w:val="0"/>
                <w:sz w:val="24"/>
                <w:szCs w:val="24"/>
                <w:highlight w:val="none"/>
                <w:lang w:val="en-US" w:eastAsia="zh-CN" w:bidi="ar"/>
              </w:rPr>
              <w:t>15分</w:t>
            </w:r>
          </w:p>
        </w:tc>
      </w:tr>
      <w:tr w14:paraId="3E4D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49BFD02">
            <w:pPr>
              <w:pStyle w:val="3"/>
              <w:keepNext w:val="0"/>
              <w:keepLines w:val="0"/>
              <w:suppressLineNumbers w:val="0"/>
              <w:spacing w:before="0" w:beforeAutospacing="0" w:after="0" w:afterAutospacing="0"/>
              <w:ind w:left="0" w:right="0"/>
              <w:jc w:val="both"/>
              <w:rPr>
                <w:rFonts w:hint="default" w:eastAsia="宋体"/>
                <w:b/>
                <w:bCs/>
                <w:highlight w:val="none"/>
                <w:lang w:val="en-US" w:eastAsia="zh-CN"/>
              </w:rPr>
            </w:pPr>
          </w:p>
          <w:p w14:paraId="047FD4AE">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信用分(0分)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797417D">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1B5AF7E1">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2A24430">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w:t>
            </w:r>
          </w:p>
        </w:tc>
      </w:tr>
      <w:tr w14:paraId="4718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AE8F82">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政策性加分</w:t>
            </w:r>
          </w:p>
          <w:p w14:paraId="58FA6E3C">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(5分)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67A918F">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节能、环境标志产品</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75D2286B">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国家市场监管总局确定的认证机构出具的、处于有效期之内的节能产品、环境标志产品认证证书(复印件)。</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F773899">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2分</w:t>
            </w:r>
          </w:p>
        </w:tc>
      </w:tr>
      <w:tr w14:paraId="50EC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3B6A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40" w:lineRule="exact"/>
              <w:ind w:left="0" w:right="0"/>
              <w:jc w:val="both"/>
              <w:textAlignment w:val="auto"/>
              <w:rPr>
                <w:rFonts w:hint="default" w:ascii="宋体" w:hAnsi="宋体" w:eastAsia="宋体" w:cs="宋体"/>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C111942">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原产地少数民族投标主产品</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2CA9DECB">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对原产地在少数民族自治区和享受少数民族自治待遇的省份的投标主产品(不含附带产品)，享受政策性加分和价格扣除，在总得分基础上加3分。投标主产品按照不得低于本采购项目预算金额50%进行确定。</w:t>
            </w:r>
          </w:p>
          <w:p w14:paraId="3CCE8B4D">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①少数民族自治区：内蒙古自治区、新疆维吾尔自治区、宁夏回族自治区、广西壮族自治区、西藏自治区；</w:t>
            </w:r>
          </w:p>
          <w:p w14:paraId="0C173B3F">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both"/>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②享受少数民族自治待遇的省份：青海省、云南省、贵州省。</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91E3868">
            <w:pPr>
              <w:pStyle w:val="4"/>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auto"/>
              <w:rPr>
                <w:rFonts w:hint="default" w:ascii="宋体" w:hAnsi="宋体" w:eastAsia="宋体" w:cs="宋体"/>
                <w:snapToGrid w:val="0"/>
                <w:sz w:val="24"/>
                <w:szCs w:val="24"/>
                <w:highlight w:val="none"/>
              </w:rPr>
            </w:pPr>
            <w:r>
              <w:rPr>
                <w:rFonts w:hint="eastAsia" w:ascii="宋体" w:hAnsi="宋体" w:eastAsia="宋体" w:cs="宋体"/>
                <w:snapToGrid w:val="0"/>
                <w:kern w:val="0"/>
                <w:sz w:val="24"/>
                <w:szCs w:val="24"/>
                <w:highlight w:val="none"/>
                <w:lang w:val="en-US" w:eastAsia="zh-CN" w:bidi="ar"/>
              </w:rPr>
              <w:t>3分</w:t>
            </w:r>
          </w:p>
        </w:tc>
      </w:tr>
    </w:tbl>
    <w:p w14:paraId="22D48DE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F460A"/>
    <w:multiLevelType w:val="singleLevel"/>
    <w:tmpl w:val="FA8F46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430CF"/>
    <w:rsid w:val="1349251A"/>
    <w:rsid w:val="13CC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4"/>
      <w:szCs w:val="24"/>
    </w:rPr>
  </w:style>
  <w:style w:type="paragraph" w:styleId="3">
    <w:name w:val="annotation text"/>
    <w:basedOn w:val="1"/>
    <w:qFormat/>
    <w:uiPriority w:val="0"/>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7810</Words>
  <Characters>8066</Characters>
  <Lines>0</Lines>
  <Paragraphs>0</Paragraphs>
  <TotalTime>0</TotalTime>
  <ScaleCrop>false</ScaleCrop>
  <LinksUpToDate>false</LinksUpToDate>
  <CharactersWithSpaces>8140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2025-07-21T09:06:00Z</dcterms:created>
  <dc:creator>4432342</dc:creator>
  <cp:lastModifiedBy>小六班</cp:lastModifiedBy>
  <dcterms:modified xsi:type="dcterms:W3CDTF">2025-07-21T09:21:44Z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eyJoZGlkIjoiMGFjMDFhYjgzNWFhMmYwMjlkMTNhOGVjZWM0YTE2MjYiLCJ1c2VySWQiOiIzODQ5MjUwODYifQ==</vt:lpwstr>
  </property>
  <property fmtid="{D5CDD505-2E9C-101B-9397-08002B2CF9AE}" pid="4" name="ICV">
    <vt:lpwstr>51F108DDE42C49729B10F66F455B6EA7_12</vt:lpwstr>
  </property>
</Properties>
</file>