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248E4">
      <w:pPr>
        <w:spacing w:beforeLines="50" w:beforeAutospacing="0" w:afterLines="50" w:afterAutospacing="0" w:line="240" w:lineRule="auto"/>
        <w:jc w:val="center"/>
        <w:rPr>
          <w:rFonts w:hint="eastAsia" w:ascii="宋体" w:hAnsi="宋体" w:cs="宋体"/>
          <w:b/>
          <w:bCs w:val="0"/>
          <w:color w:val="auto"/>
          <w:kern w:val="0"/>
          <w:sz w:val="48"/>
          <w:szCs w:val="48"/>
          <w:highlight w:val="none"/>
          <w:u w:val="none"/>
          <w:lang w:val="en-US" w:eastAsia="zh-CN" w:bidi="ar-SA"/>
        </w:rPr>
      </w:pPr>
      <w:r>
        <w:rPr>
          <w:rFonts w:hint="eastAsia" w:ascii="宋体" w:hAnsi="宋体" w:cs="宋体"/>
          <w:b/>
          <w:bCs w:val="0"/>
          <w:color w:val="auto"/>
          <w:kern w:val="0"/>
          <w:sz w:val="48"/>
          <w:szCs w:val="48"/>
          <w:highlight w:val="none"/>
          <w:u w:val="none"/>
          <w:lang w:val="en-US" w:eastAsia="zh-CN" w:bidi="ar-SA"/>
        </w:rPr>
        <w:t>德江县第四中学教育教学设施设备</w:t>
      </w:r>
    </w:p>
    <w:p w14:paraId="137427CE">
      <w:pPr>
        <w:spacing w:beforeLines="50" w:beforeAutospacing="0" w:afterLines="50" w:afterAutospacing="0" w:line="240" w:lineRule="auto"/>
        <w:jc w:val="center"/>
        <w:rPr>
          <w:rFonts w:hint="eastAsia" w:ascii="方正小标宋简体" w:hAnsi="方正小标宋简体" w:eastAsia="方正小标宋简体" w:cs="方正小标宋简体"/>
          <w:color w:val="auto"/>
          <w:spacing w:val="20"/>
          <w:sz w:val="72"/>
          <w:szCs w:val="72"/>
          <w:lang w:eastAsia="zh-CN"/>
        </w:rPr>
      </w:pPr>
      <w:r>
        <w:rPr>
          <w:rFonts w:hint="eastAsia" w:ascii="宋体" w:hAnsi="宋体" w:cs="宋体"/>
          <w:b/>
          <w:bCs w:val="0"/>
          <w:color w:val="auto"/>
          <w:kern w:val="0"/>
          <w:sz w:val="48"/>
          <w:szCs w:val="48"/>
          <w:highlight w:val="none"/>
          <w:u w:val="none"/>
          <w:lang w:val="en-US" w:eastAsia="zh-CN" w:bidi="ar-SA"/>
        </w:rPr>
        <w:t>采购项目</w:t>
      </w:r>
    </w:p>
    <w:p w14:paraId="5ADC55BB">
      <w:pPr>
        <w:spacing w:beforeLines="50" w:beforeAutospacing="0" w:afterLines="50" w:afterAutospacing="0" w:line="240" w:lineRule="auto"/>
        <w:jc w:val="center"/>
        <w:rPr>
          <w:rFonts w:hint="eastAsia" w:ascii="方正小标宋简体" w:hAnsi="方正小标宋简体" w:eastAsia="方正小标宋简体" w:cs="方正小标宋简体"/>
          <w:color w:val="auto"/>
          <w:spacing w:val="20"/>
          <w:sz w:val="72"/>
          <w:szCs w:val="72"/>
          <w:lang w:eastAsia="zh-CN"/>
        </w:rPr>
      </w:pPr>
    </w:p>
    <w:p w14:paraId="236877D8">
      <w:pPr>
        <w:spacing w:beforeLines="50" w:beforeAutospacing="0" w:afterLines="50" w:afterAutospacing="0" w:line="240" w:lineRule="auto"/>
        <w:jc w:val="center"/>
        <w:rPr>
          <w:rFonts w:hint="eastAsia" w:ascii="方正小标宋简体" w:hAnsi="方正小标宋简体" w:eastAsia="方正小标宋简体" w:cs="方正小标宋简体"/>
          <w:color w:val="auto"/>
          <w:spacing w:val="20"/>
          <w:sz w:val="72"/>
          <w:szCs w:val="72"/>
        </w:rPr>
      </w:pPr>
      <w:r>
        <w:rPr>
          <w:rFonts w:hint="eastAsia" w:ascii="方正小标宋简体" w:hAnsi="方正小标宋简体" w:eastAsia="方正小标宋简体" w:cs="方正小标宋简体"/>
          <w:color w:val="auto"/>
          <w:spacing w:val="20"/>
          <w:sz w:val="72"/>
          <w:szCs w:val="72"/>
          <w:lang w:eastAsia="zh-CN"/>
        </w:rPr>
        <w:t>招标</w:t>
      </w:r>
      <w:r>
        <w:rPr>
          <w:rFonts w:hint="eastAsia" w:ascii="方正小标宋简体" w:hAnsi="方正小标宋简体" w:eastAsia="方正小标宋简体" w:cs="方正小标宋简体"/>
          <w:color w:val="auto"/>
          <w:spacing w:val="20"/>
          <w:sz w:val="72"/>
          <w:szCs w:val="72"/>
        </w:rPr>
        <w:t>文件</w:t>
      </w:r>
    </w:p>
    <w:p w14:paraId="4D22F380">
      <w:pPr>
        <w:pStyle w:val="25"/>
        <w:spacing w:line="360" w:lineRule="auto"/>
        <w:jc w:val="both"/>
        <w:rPr>
          <w:rFonts w:hint="eastAsia" w:ascii="黑体" w:hAnsi="黑体" w:eastAsia="黑体"/>
          <w:b/>
          <w:color w:val="auto"/>
          <w:sz w:val="28"/>
          <w:szCs w:val="28"/>
          <w:highlight w:val="none"/>
        </w:rPr>
      </w:pPr>
    </w:p>
    <w:p w14:paraId="368FC9A5">
      <w:pPr>
        <w:pStyle w:val="25"/>
        <w:spacing w:line="360" w:lineRule="auto"/>
        <w:jc w:val="center"/>
        <w:rPr>
          <w:rFonts w:hint="eastAsia" w:ascii="黑体" w:hAnsi="黑体" w:eastAsia="黑体"/>
          <w:b/>
          <w:color w:val="auto"/>
          <w:sz w:val="28"/>
          <w:szCs w:val="28"/>
          <w:highlight w:val="none"/>
        </w:rPr>
      </w:pPr>
    </w:p>
    <w:p w14:paraId="7A27650C">
      <w:pPr>
        <w:pStyle w:val="25"/>
        <w:spacing w:line="360" w:lineRule="auto"/>
        <w:jc w:val="center"/>
        <w:rPr>
          <w:rFonts w:hint="eastAsia" w:ascii="黑体" w:hAnsi="黑体" w:eastAsia="黑体"/>
          <w:b/>
          <w:color w:val="auto"/>
          <w:sz w:val="28"/>
          <w:szCs w:val="28"/>
          <w:highlight w:val="none"/>
        </w:rPr>
      </w:pPr>
    </w:p>
    <w:p w14:paraId="4A7D58CB">
      <w:pPr>
        <w:pStyle w:val="25"/>
        <w:spacing w:line="360" w:lineRule="auto"/>
        <w:jc w:val="center"/>
        <w:rPr>
          <w:rFonts w:hint="eastAsia" w:ascii="黑体" w:hAnsi="黑体" w:eastAsia="黑体"/>
          <w:b/>
          <w:color w:val="auto"/>
          <w:sz w:val="28"/>
          <w:szCs w:val="28"/>
          <w:highlight w:val="none"/>
        </w:rPr>
      </w:pPr>
    </w:p>
    <w:p w14:paraId="4B969CB2">
      <w:pPr>
        <w:pStyle w:val="25"/>
        <w:spacing w:line="360" w:lineRule="auto"/>
        <w:jc w:val="both"/>
        <w:rPr>
          <w:rFonts w:ascii="黑体" w:hAnsi="黑体" w:eastAsia="黑体"/>
          <w:b/>
          <w:color w:val="auto"/>
          <w:sz w:val="28"/>
          <w:szCs w:val="28"/>
          <w:highlight w:val="none"/>
        </w:rPr>
      </w:pPr>
      <w:r>
        <w:rPr>
          <w:rFonts w:hint="eastAsia" w:ascii="黑体" w:hAnsi="黑体" w:eastAsia="黑体"/>
          <w:b/>
          <w:color w:val="auto"/>
          <w:sz w:val="28"/>
          <w:szCs w:val="28"/>
          <w:highlight w:val="none"/>
        </w:rPr>
        <w:t xml:space="preserve">                                   </w:t>
      </w:r>
    </w:p>
    <w:p w14:paraId="5447BD79">
      <w:pPr>
        <w:spacing w:line="480" w:lineRule="auto"/>
        <w:ind w:firstLine="964" w:firstLineChars="300"/>
        <w:jc w:val="both"/>
        <w:rPr>
          <w:rFonts w:hint="eastAsia" w:ascii="宋体" w:hAnsi="宋体" w:cs="宋体"/>
          <w:b w:val="0"/>
          <w:bCs/>
          <w:color w:val="auto"/>
          <w:kern w:val="0"/>
          <w:sz w:val="32"/>
          <w:szCs w:val="32"/>
          <w:highlight w:val="none"/>
          <w:u w:val="single"/>
          <w:lang w:val="en-US" w:eastAsia="zh-CN" w:bidi="ar-SA"/>
        </w:rPr>
      </w:pPr>
      <w:r>
        <w:rPr>
          <w:rFonts w:hint="eastAsia" w:ascii="宋体" w:hAnsi="宋体" w:eastAsia="宋体" w:cs="宋体"/>
          <w:b/>
          <w:color w:val="auto"/>
          <w:sz w:val="32"/>
          <w:szCs w:val="32"/>
          <w:highlight w:val="none"/>
        </w:rPr>
        <w:t>招标项目：</w:t>
      </w:r>
      <w:r>
        <w:rPr>
          <w:rFonts w:hint="eastAsia" w:ascii="宋体" w:hAnsi="宋体" w:cs="宋体"/>
          <w:b w:val="0"/>
          <w:bCs/>
          <w:color w:val="auto"/>
          <w:kern w:val="0"/>
          <w:sz w:val="32"/>
          <w:szCs w:val="32"/>
          <w:highlight w:val="none"/>
          <w:u w:val="single"/>
          <w:lang w:val="en-US" w:eastAsia="zh-CN" w:bidi="ar-SA"/>
        </w:rPr>
        <w:t>德江县第四中学教育教学设施设备采购项目</w:t>
      </w:r>
    </w:p>
    <w:p w14:paraId="486DE03C">
      <w:pPr>
        <w:spacing w:line="480" w:lineRule="auto"/>
        <w:ind w:firstLine="964" w:firstLineChars="300"/>
        <w:jc w:val="both"/>
        <w:rPr>
          <w:rFonts w:hint="default" w:ascii="宋体" w:hAnsi="宋体" w:eastAsia="宋体" w:cs="宋体"/>
          <w:b w:val="0"/>
          <w:bCs/>
          <w:color w:val="auto"/>
          <w:kern w:val="0"/>
          <w:sz w:val="32"/>
          <w:szCs w:val="32"/>
          <w:highlight w:val="none"/>
          <w:u w:val="single"/>
          <w:lang w:val="en-US" w:eastAsia="zh-CN" w:bidi="ar-SA"/>
        </w:rPr>
      </w:pPr>
      <w:r>
        <w:rPr>
          <w:rFonts w:hint="eastAsia" w:ascii="宋体" w:hAnsi="宋体" w:eastAsia="宋体" w:cs="宋体"/>
          <w:b/>
          <w:color w:val="auto"/>
          <w:sz w:val="32"/>
          <w:szCs w:val="32"/>
          <w:highlight w:val="none"/>
        </w:rPr>
        <w:t>招标编号：</w:t>
      </w:r>
      <w:r>
        <w:rPr>
          <w:rFonts w:hint="eastAsia" w:ascii="宋体" w:hAnsi="宋体" w:eastAsia="宋体" w:cs="宋体"/>
          <w:b w:val="0"/>
          <w:bCs/>
          <w:color w:val="auto"/>
          <w:kern w:val="0"/>
          <w:sz w:val="32"/>
          <w:szCs w:val="32"/>
          <w:highlight w:val="none"/>
          <w:u w:val="single"/>
          <w:lang w:val="en-US" w:eastAsia="zh-CN" w:bidi="ar-SA"/>
        </w:rPr>
        <w:t xml:space="preserve">TRHMF-2025-014            </w:t>
      </w:r>
    </w:p>
    <w:p w14:paraId="1B247D2A">
      <w:pPr>
        <w:pStyle w:val="25"/>
        <w:spacing w:line="360" w:lineRule="auto"/>
        <w:ind w:firstLine="964" w:firstLineChars="300"/>
        <w:jc w:val="left"/>
        <w:rPr>
          <w:rFonts w:hint="default" w:ascii="宋体" w:hAnsi="宋体" w:eastAsia="宋体" w:cs="宋体"/>
          <w:b w:val="0"/>
          <w:bCs/>
          <w:color w:val="auto"/>
          <w:sz w:val="32"/>
          <w:szCs w:val="32"/>
          <w:highlight w:val="none"/>
          <w:u w:val="single"/>
          <w:lang w:val="en-US" w:eastAsia="zh-CN"/>
        </w:rPr>
      </w:pPr>
      <w:r>
        <w:rPr>
          <w:rFonts w:hint="eastAsia" w:ascii="宋体" w:hAnsi="宋体" w:eastAsia="宋体" w:cs="宋体"/>
          <w:b/>
          <w:color w:val="auto"/>
          <w:sz w:val="32"/>
          <w:szCs w:val="32"/>
          <w:highlight w:val="none"/>
        </w:rPr>
        <w:t>招标方式：</w:t>
      </w:r>
      <w:r>
        <w:rPr>
          <w:rFonts w:hint="eastAsia" w:hAnsi="宋体" w:eastAsia="宋体" w:cs="宋体"/>
          <w:b w:val="0"/>
          <w:bCs/>
          <w:color w:val="auto"/>
          <w:sz w:val="32"/>
          <w:szCs w:val="32"/>
          <w:highlight w:val="none"/>
          <w:u w:val="single"/>
          <w:lang w:val="en-US" w:eastAsia="zh-CN"/>
        </w:rPr>
        <w:t xml:space="preserve">         公开招标         </w:t>
      </w:r>
    </w:p>
    <w:p w14:paraId="13558C61">
      <w:pPr>
        <w:pStyle w:val="25"/>
        <w:spacing w:line="360" w:lineRule="auto"/>
        <w:ind w:firstLine="964" w:firstLineChars="300"/>
        <w:jc w:val="left"/>
        <w:rPr>
          <w:rFonts w:hint="default" w:ascii="宋体" w:hAnsi="宋体" w:eastAsia="宋体" w:cs="宋体"/>
          <w:b w:val="0"/>
          <w:bCs/>
          <w:color w:val="auto"/>
          <w:sz w:val="32"/>
          <w:szCs w:val="32"/>
          <w:highlight w:val="none"/>
          <w:u w:val="single"/>
          <w:lang w:val="en-US" w:eastAsia="zh-CN"/>
        </w:rPr>
      </w:pPr>
      <w:r>
        <w:rPr>
          <w:rFonts w:hint="eastAsia" w:ascii="宋体" w:hAnsi="宋体" w:eastAsia="宋体" w:cs="宋体"/>
          <w:b/>
          <w:color w:val="auto"/>
          <w:sz w:val="32"/>
          <w:szCs w:val="32"/>
          <w:highlight w:val="none"/>
        </w:rPr>
        <w:t>项目类别：</w:t>
      </w:r>
      <w:r>
        <w:rPr>
          <w:rFonts w:hint="eastAsia" w:ascii="宋体" w:hAnsi="宋体" w:eastAsia="宋体" w:cs="宋体"/>
          <w:b w:val="0"/>
          <w:bCs/>
          <w:color w:val="auto"/>
          <w:sz w:val="32"/>
          <w:szCs w:val="32"/>
          <w:highlight w:val="none"/>
          <w:u w:val="single"/>
          <w:lang w:val="en-US" w:eastAsia="zh-CN"/>
        </w:rPr>
        <w:t xml:space="preserve">          </w:t>
      </w:r>
      <w:r>
        <w:rPr>
          <w:rFonts w:hint="eastAsia" w:ascii="宋体" w:hAnsi="宋体" w:eastAsia="宋体" w:cs="宋体"/>
          <w:b w:val="0"/>
          <w:bCs/>
          <w:color w:val="auto"/>
          <w:sz w:val="32"/>
          <w:szCs w:val="32"/>
          <w:highlight w:val="none"/>
          <w:u w:val="single"/>
          <w:lang w:eastAsia="zh-CN"/>
        </w:rPr>
        <w:t>货物类</w:t>
      </w:r>
      <w:r>
        <w:rPr>
          <w:rFonts w:hint="eastAsia" w:ascii="宋体" w:hAnsi="宋体" w:eastAsia="宋体" w:cs="宋体"/>
          <w:b w:val="0"/>
          <w:bCs/>
          <w:color w:val="auto"/>
          <w:sz w:val="32"/>
          <w:szCs w:val="32"/>
          <w:highlight w:val="none"/>
          <w:u w:val="single"/>
          <w:lang w:val="en-US" w:eastAsia="zh-CN"/>
        </w:rPr>
        <w:t xml:space="preserve">          </w:t>
      </w:r>
    </w:p>
    <w:p w14:paraId="18A2D2D3">
      <w:pPr>
        <w:pStyle w:val="25"/>
        <w:spacing w:line="360" w:lineRule="auto"/>
        <w:ind w:firstLine="964" w:firstLineChars="300"/>
        <w:jc w:val="left"/>
        <w:rPr>
          <w:rFonts w:hint="default" w:ascii="宋体" w:hAnsi="宋体" w:eastAsia="宋体" w:cs="宋体"/>
          <w:b w:val="0"/>
          <w:bCs/>
          <w:color w:val="auto"/>
          <w:sz w:val="32"/>
          <w:szCs w:val="32"/>
          <w:highlight w:val="none"/>
          <w:u w:val="single"/>
          <w:lang w:val="en-US" w:eastAsia="zh-CN"/>
        </w:rPr>
      </w:pPr>
      <w:r>
        <w:rPr>
          <w:rFonts w:hint="eastAsia" w:ascii="宋体" w:hAnsi="宋体" w:eastAsia="宋体" w:cs="宋体"/>
          <w:b/>
          <w:color w:val="auto"/>
          <w:sz w:val="32"/>
          <w:szCs w:val="32"/>
          <w:highlight w:val="none"/>
          <w:lang w:val="en-US" w:eastAsia="zh-CN"/>
        </w:rPr>
        <w:t>采购人</w:t>
      </w:r>
      <w:r>
        <w:rPr>
          <w:rFonts w:hint="eastAsia" w:ascii="宋体" w:hAnsi="宋体" w:eastAsia="宋体" w:cs="宋体"/>
          <w:b/>
          <w:color w:val="auto"/>
          <w:sz w:val="32"/>
          <w:szCs w:val="32"/>
          <w:highlight w:val="none"/>
        </w:rPr>
        <w:t>：</w:t>
      </w:r>
      <w:r>
        <w:rPr>
          <w:rFonts w:hint="eastAsia" w:ascii="宋体" w:hAnsi="宋体" w:eastAsia="宋体" w:cs="宋体"/>
          <w:b w:val="0"/>
          <w:bCs/>
          <w:color w:val="auto"/>
          <w:sz w:val="32"/>
          <w:szCs w:val="32"/>
          <w:highlight w:val="none"/>
          <w:u w:val="single"/>
          <w:lang w:val="en-US" w:eastAsia="zh-CN"/>
        </w:rPr>
        <w:t xml:space="preserve">德江县教育局                </w:t>
      </w:r>
    </w:p>
    <w:p w14:paraId="7F771E38">
      <w:pPr>
        <w:spacing w:line="360" w:lineRule="auto"/>
        <w:jc w:val="center"/>
        <w:rPr>
          <w:rFonts w:hint="eastAsia" w:ascii="宋体" w:hAnsi="宋体"/>
          <w:b/>
          <w:color w:val="auto"/>
          <w:sz w:val="36"/>
          <w:szCs w:val="36"/>
        </w:rPr>
      </w:pPr>
      <w:r>
        <w:rPr>
          <w:rFonts w:hint="eastAsia" w:ascii="宋体" w:hAnsi="宋体" w:eastAsia="宋体" w:cs="宋体"/>
          <w:b/>
          <w:color w:val="auto"/>
          <w:sz w:val="32"/>
          <w:szCs w:val="32"/>
          <w:highlight w:val="none"/>
          <w:lang w:val="en-US" w:eastAsia="zh-CN"/>
        </w:rPr>
        <w:t>采购代理机构</w:t>
      </w:r>
      <w:r>
        <w:rPr>
          <w:rFonts w:hint="eastAsia" w:ascii="宋体" w:hAnsi="宋体" w:eastAsia="宋体" w:cs="宋体"/>
          <w:b/>
          <w:color w:val="auto"/>
          <w:sz w:val="32"/>
          <w:szCs w:val="32"/>
          <w:highlight w:val="none"/>
        </w:rPr>
        <w:t>：</w:t>
      </w:r>
      <w:r>
        <w:rPr>
          <w:rFonts w:hint="eastAsia" w:ascii="宋体" w:hAnsi="宋体" w:eastAsia="宋体" w:cs="宋体"/>
          <w:b w:val="0"/>
          <w:bCs/>
          <w:color w:val="auto"/>
          <w:sz w:val="32"/>
          <w:szCs w:val="32"/>
          <w:highlight w:val="none"/>
          <w:u w:val="single"/>
          <w:lang w:val="en-US" w:eastAsia="zh-CN"/>
        </w:rPr>
        <w:t>铜仁市桓茂丰工程管理有限公司</w:t>
      </w:r>
    </w:p>
    <w:p w14:paraId="406E99C9">
      <w:pPr>
        <w:pStyle w:val="161"/>
        <w:ind w:firstLine="420"/>
        <w:rPr>
          <w:rFonts w:hint="eastAsia"/>
          <w:color w:val="auto"/>
        </w:rPr>
      </w:pPr>
    </w:p>
    <w:p w14:paraId="562CFE75">
      <w:pPr>
        <w:spacing w:line="360" w:lineRule="auto"/>
        <w:jc w:val="both"/>
        <w:rPr>
          <w:rFonts w:hint="eastAsia" w:ascii="方正小标宋简体" w:hAnsi="方正小标宋简体" w:eastAsia="方正小标宋简体" w:cs="方正小标宋简体"/>
          <w:b/>
          <w:color w:val="auto"/>
          <w:sz w:val="44"/>
          <w:szCs w:val="44"/>
        </w:rPr>
      </w:pPr>
    </w:p>
    <w:p w14:paraId="083554D5">
      <w:pPr>
        <w:spacing w:line="360" w:lineRule="auto"/>
        <w:jc w:val="center"/>
        <w:rPr>
          <w:rFonts w:hint="eastAsia" w:ascii="方正小标宋简体" w:hAnsi="方正小标宋简体" w:eastAsia="方正小标宋简体" w:cs="方正小标宋简体"/>
          <w:b/>
          <w:color w:val="auto"/>
          <w:sz w:val="44"/>
          <w:szCs w:val="44"/>
        </w:rPr>
      </w:pPr>
    </w:p>
    <w:p w14:paraId="20AD0A9F">
      <w:pPr>
        <w:spacing w:line="360" w:lineRule="auto"/>
        <w:jc w:val="center"/>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目   录</w:t>
      </w:r>
    </w:p>
    <w:p w14:paraId="3EB68102">
      <w:pPr>
        <w:pStyle w:val="161"/>
        <w:spacing w:line="480" w:lineRule="auto"/>
        <w:ind w:firstLine="0" w:firstLineChars="0"/>
        <w:rPr>
          <w:rFonts w:hint="eastAsia" w:ascii="宋体" w:hAnsi="宋体"/>
          <w:color w:val="auto"/>
          <w:sz w:val="20"/>
        </w:rPr>
      </w:pPr>
    </w:p>
    <w:p w14:paraId="3E40D084">
      <w:pPr>
        <w:numPr>
          <w:ilvl w:val="0"/>
          <w:numId w:val="6"/>
        </w:numPr>
        <w:spacing w:line="480" w:lineRule="auto"/>
        <w:ind w:left="840"/>
        <w:rPr>
          <w:rFonts w:hint="eastAsia" w:ascii="黑体" w:hAnsi="黑体" w:eastAsia="黑体" w:cs="黑体"/>
          <w:bCs/>
          <w:color w:val="auto"/>
          <w:sz w:val="32"/>
          <w:szCs w:val="32"/>
        </w:rPr>
      </w:pPr>
      <w:r>
        <w:rPr>
          <w:rFonts w:hint="eastAsia" w:ascii="黑体" w:hAnsi="黑体" w:eastAsia="黑体" w:cs="黑体"/>
          <w:bCs/>
          <w:color w:val="auto"/>
          <w:sz w:val="32"/>
          <w:szCs w:val="32"/>
        </w:rPr>
        <w:t xml:space="preserve"> 招标公告                       </w:t>
      </w:r>
    </w:p>
    <w:p w14:paraId="11CA4BDA">
      <w:pPr>
        <w:numPr>
          <w:ilvl w:val="0"/>
          <w:numId w:val="6"/>
        </w:numPr>
        <w:spacing w:line="480" w:lineRule="auto"/>
        <w:ind w:left="840"/>
        <w:rPr>
          <w:rFonts w:hint="eastAsia" w:ascii="黑体" w:hAnsi="黑体" w:eastAsia="黑体" w:cs="黑体"/>
          <w:bCs/>
          <w:color w:val="auto"/>
          <w:sz w:val="32"/>
          <w:szCs w:val="32"/>
        </w:rPr>
      </w:pPr>
      <w:r>
        <w:rPr>
          <w:rFonts w:hint="eastAsia" w:ascii="黑体" w:hAnsi="黑体" w:eastAsia="黑体" w:cs="黑体"/>
          <w:bCs/>
          <w:color w:val="auto"/>
          <w:sz w:val="32"/>
          <w:szCs w:val="32"/>
        </w:rPr>
        <w:t xml:space="preserve"> 投标人须知                     </w:t>
      </w:r>
    </w:p>
    <w:p w14:paraId="025D8C3F">
      <w:pPr>
        <w:numPr>
          <w:ilvl w:val="0"/>
          <w:numId w:val="6"/>
        </w:numPr>
        <w:spacing w:line="480" w:lineRule="auto"/>
        <w:ind w:left="840"/>
        <w:rPr>
          <w:rFonts w:hint="eastAsia" w:ascii="黑体" w:hAnsi="黑体" w:eastAsia="黑体" w:cs="黑体"/>
          <w:bCs/>
          <w:color w:val="auto"/>
          <w:sz w:val="32"/>
          <w:szCs w:val="32"/>
        </w:rPr>
      </w:pPr>
      <w:r>
        <w:rPr>
          <w:rFonts w:hint="eastAsia" w:ascii="黑体" w:hAnsi="黑体" w:eastAsia="黑体" w:cs="黑体"/>
          <w:bCs/>
          <w:color w:val="auto"/>
          <w:sz w:val="32"/>
          <w:szCs w:val="32"/>
        </w:rPr>
        <w:t xml:space="preserve"> 采购需求                       </w:t>
      </w:r>
    </w:p>
    <w:p w14:paraId="7E804F1C">
      <w:pPr>
        <w:numPr>
          <w:ilvl w:val="0"/>
          <w:numId w:val="6"/>
        </w:numPr>
        <w:spacing w:line="480" w:lineRule="auto"/>
        <w:ind w:left="840"/>
        <w:rPr>
          <w:rFonts w:hint="eastAsia" w:ascii="黑体" w:hAnsi="黑体" w:eastAsia="黑体" w:cs="黑体"/>
          <w:bCs/>
          <w:color w:val="auto"/>
          <w:sz w:val="32"/>
          <w:szCs w:val="32"/>
        </w:rPr>
      </w:pPr>
      <w:r>
        <w:rPr>
          <w:rFonts w:hint="eastAsia" w:ascii="黑体" w:hAnsi="黑体" w:eastAsia="黑体" w:cs="黑体"/>
          <w:bCs/>
          <w:color w:val="auto"/>
          <w:sz w:val="32"/>
          <w:szCs w:val="32"/>
        </w:rPr>
        <w:t xml:space="preserve"> 铜仁市政府采购合同（参考文本） </w:t>
      </w:r>
    </w:p>
    <w:p w14:paraId="560D8DD0">
      <w:pPr>
        <w:numPr>
          <w:ilvl w:val="0"/>
          <w:numId w:val="6"/>
        </w:numPr>
        <w:spacing w:line="480" w:lineRule="auto"/>
        <w:ind w:left="840"/>
        <w:rPr>
          <w:rFonts w:hint="eastAsia" w:ascii="黑体" w:hAnsi="黑体" w:eastAsia="黑体" w:cs="黑体"/>
          <w:bCs/>
          <w:color w:val="auto"/>
          <w:sz w:val="32"/>
          <w:szCs w:val="32"/>
        </w:rPr>
      </w:pPr>
      <w:r>
        <w:rPr>
          <w:rFonts w:hint="eastAsia" w:ascii="黑体" w:hAnsi="黑体" w:eastAsia="黑体" w:cs="黑体"/>
          <w:bCs/>
          <w:color w:val="auto"/>
          <w:sz w:val="32"/>
          <w:szCs w:val="32"/>
        </w:rPr>
        <w:t xml:space="preserve"> 开标、评标和定标               </w:t>
      </w:r>
    </w:p>
    <w:p w14:paraId="74C7614C">
      <w:pPr>
        <w:numPr>
          <w:ilvl w:val="0"/>
          <w:numId w:val="6"/>
        </w:numPr>
        <w:spacing w:line="480" w:lineRule="auto"/>
        <w:ind w:left="840"/>
        <w:rPr>
          <w:rFonts w:hint="eastAsia" w:ascii="黑体" w:hAnsi="黑体" w:eastAsia="黑体" w:cs="黑体"/>
          <w:bCs/>
          <w:color w:val="auto"/>
          <w:sz w:val="32"/>
          <w:szCs w:val="32"/>
        </w:rPr>
      </w:pPr>
      <w:r>
        <w:rPr>
          <w:rFonts w:hint="eastAsia" w:ascii="黑体" w:hAnsi="黑体" w:eastAsia="黑体" w:cs="黑体"/>
          <w:bCs/>
          <w:color w:val="auto"/>
          <w:sz w:val="32"/>
          <w:szCs w:val="32"/>
        </w:rPr>
        <w:t xml:space="preserve"> 投标文件格式                   </w:t>
      </w:r>
    </w:p>
    <w:p w14:paraId="2E98AEBB">
      <w:pPr>
        <w:spacing w:line="360" w:lineRule="auto"/>
        <w:jc w:val="center"/>
        <w:rPr>
          <w:rFonts w:hint="eastAsia" w:ascii="宋体" w:hAnsi="宋体"/>
          <w:b/>
          <w:color w:val="auto"/>
          <w:sz w:val="36"/>
          <w:szCs w:val="36"/>
        </w:rPr>
      </w:pPr>
    </w:p>
    <w:p w14:paraId="19C71F72">
      <w:pPr>
        <w:spacing w:line="360" w:lineRule="auto"/>
        <w:jc w:val="center"/>
        <w:rPr>
          <w:rFonts w:hint="eastAsia" w:ascii="宋体" w:hAnsi="宋体"/>
          <w:b/>
          <w:color w:val="auto"/>
          <w:sz w:val="36"/>
          <w:szCs w:val="36"/>
        </w:rPr>
      </w:pPr>
    </w:p>
    <w:p w14:paraId="28DC02D4">
      <w:pPr>
        <w:spacing w:line="360" w:lineRule="auto"/>
        <w:jc w:val="center"/>
        <w:rPr>
          <w:rFonts w:hint="eastAsia" w:ascii="宋体" w:hAnsi="宋体"/>
          <w:b/>
          <w:color w:val="auto"/>
          <w:sz w:val="36"/>
          <w:szCs w:val="36"/>
        </w:rPr>
      </w:pPr>
    </w:p>
    <w:p w14:paraId="17EA4BD0">
      <w:pPr>
        <w:spacing w:line="360" w:lineRule="auto"/>
        <w:jc w:val="center"/>
        <w:rPr>
          <w:rFonts w:hint="eastAsia" w:ascii="宋体" w:hAnsi="宋体"/>
          <w:b/>
          <w:color w:val="auto"/>
          <w:sz w:val="36"/>
          <w:szCs w:val="36"/>
        </w:rPr>
      </w:pPr>
    </w:p>
    <w:p w14:paraId="42E17870">
      <w:pPr>
        <w:spacing w:line="360" w:lineRule="auto"/>
        <w:jc w:val="center"/>
        <w:rPr>
          <w:rFonts w:hint="eastAsia" w:ascii="宋体" w:hAnsi="宋体"/>
          <w:b/>
          <w:color w:val="auto"/>
          <w:sz w:val="36"/>
          <w:szCs w:val="36"/>
        </w:rPr>
      </w:pPr>
    </w:p>
    <w:p w14:paraId="1491C948">
      <w:pPr>
        <w:spacing w:line="360" w:lineRule="auto"/>
        <w:jc w:val="center"/>
        <w:rPr>
          <w:rFonts w:hint="eastAsia" w:ascii="宋体" w:hAnsi="宋体"/>
          <w:b/>
          <w:color w:val="auto"/>
          <w:sz w:val="36"/>
          <w:szCs w:val="36"/>
        </w:rPr>
        <w:sectPr>
          <w:headerReference r:id="rId4" w:type="first"/>
          <w:headerReference r:id="rId3" w:type="default"/>
          <w:footerReference r:id="rId5" w:type="default"/>
          <w:pgSz w:w="11907" w:h="16840"/>
          <w:pgMar w:top="2098" w:right="1474" w:bottom="1984" w:left="1587" w:header="851" w:footer="992" w:gutter="0"/>
          <w:pgNumType w:start="1"/>
          <w:cols w:space="720" w:num="1"/>
        </w:sectPr>
      </w:pPr>
    </w:p>
    <w:p w14:paraId="4BF2F9BC">
      <w:pPr>
        <w:spacing w:line="360" w:lineRule="auto"/>
        <w:rPr>
          <w:rFonts w:hint="eastAsia" w:ascii="宋体" w:hAnsi="宋体" w:cs="宋体"/>
          <w:bCs/>
          <w:color w:val="auto"/>
          <w:szCs w:val="21"/>
        </w:rPr>
      </w:pPr>
    </w:p>
    <w:p w14:paraId="652BFDF7">
      <w:pPr>
        <w:spacing w:line="360" w:lineRule="auto"/>
        <w:ind w:firstLine="880" w:firstLineChars="200"/>
        <w:rPr>
          <w:rFonts w:hint="eastAsia" w:ascii="方正小标宋简体" w:hAnsi="方正小标宋简体" w:eastAsia="方正小标宋简体" w:cs="方正小标宋简体"/>
          <w:bCs/>
          <w:color w:val="auto"/>
          <w:sz w:val="44"/>
          <w:szCs w:val="44"/>
        </w:rPr>
      </w:pPr>
      <w:bookmarkStart w:id="0" w:name="_Toc101843108"/>
      <w:bookmarkStart w:id="1" w:name="_Toc42394495"/>
      <w:bookmarkStart w:id="2" w:name="_Toc42394652"/>
      <w:bookmarkStart w:id="3" w:name="_Toc98579590"/>
      <w:bookmarkStart w:id="4" w:name="_Toc41723912"/>
      <w:bookmarkStart w:id="5" w:name="_Toc101771355"/>
      <w:bookmarkStart w:id="6" w:name="_Toc98035084"/>
      <w:bookmarkStart w:id="7" w:name="_Toc101951241"/>
      <w:bookmarkStart w:id="8" w:name="_Toc98579049"/>
      <w:bookmarkStart w:id="9" w:name="_Toc46308523"/>
      <w:bookmarkStart w:id="10" w:name="_Toc403491560"/>
      <w:bookmarkStart w:id="11" w:name="_Toc46308679"/>
      <w:bookmarkStart w:id="12" w:name="_Toc175644385"/>
      <w:bookmarkStart w:id="13" w:name="_Toc41884682"/>
      <w:bookmarkStart w:id="14" w:name="_Toc98580273"/>
      <w:bookmarkStart w:id="15" w:name="_Toc401575138"/>
      <w:bookmarkStart w:id="16" w:name="_Toc101775108"/>
      <w:bookmarkStart w:id="17" w:name="_Toc42313150"/>
      <w:bookmarkStart w:id="18" w:name="_Toc98578991"/>
      <w:r>
        <w:rPr>
          <w:rFonts w:hint="eastAsia" w:ascii="方正小标宋简体" w:hAnsi="方正小标宋简体" w:eastAsia="方正小标宋简体" w:cs="方正小标宋简体"/>
          <w:bCs/>
          <w:color w:val="auto"/>
          <w:sz w:val="44"/>
          <w:szCs w:val="44"/>
        </w:rPr>
        <w:t>温馨提示：供应商投标特别注意事项</w:t>
      </w:r>
    </w:p>
    <w:p w14:paraId="4881368C">
      <w:pPr>
        <w:widowControl/>
        <w:jc w:val="left"/>
        <w:rPr>
          <w:color w:val="auto"/>
        </w:rPr>
      </w:pPr>
      <w:r>
        <w:rPr>
          <w:rFonts w:hint="eastAsia" w:ascii="宋体" w:hAnsi="宋体" w:cs="宋体"/>
          <w:color w:val="auto"/>
          <w:kern w:val="0"/>
          <w:sz w:val="24"/>
          <w:szCs w:val="24"/>
          <w:lang w:bidi="ar"/>
        </w:rPr>
        <w:t xml:space="preserve">一、参加报价之前，供应商应确认企业信用档案是否办理，以免出现企业信用档 </w:t>
      </w:r>
    </w:p>
    <w:p w14:paraId="4F629C38">
      <w:pPr>
        <w:widowControl/>
        <w:jc w:val="left"/>
        <w:rPr>
          <w:color w:val="auto"/>
        </w:rPr>
      </w:pPr>
      <w:r>
        <w:rPr>
          <w:rFonts w:hint="eastAsia" w:ascii="宋体" w:hAnsi="宋体" w:cs="宋体"/>
          <w:color w:val="auto"/>
          <w:kern w:val="0"/>
          <w:sz w:val="24"/>
          <w:szCs w:val="24"/>
          <w:lang w:bidi="ar"/>
        </w:rPr>
        <w:t xml:space="preserve">案不能被使用等问题。上述情况有可能导致报名信息无法录入铜仁市公共资源交易中 </w:t>
      </w:r>
    </w:p>
    <w:p w14:paraId="0FD08380">
      <w:pPr>
        <w:widowControl/>
        <w:jc w:val="left"/>
        <w:rPr>
          <w:color w:val="auto"/>
        </w:rPr>
      </w:pPr>
      <w:r>
        <w:rPr>
          <w:rFonts w:hint="eastAsia" w:ascii="宋体" w:hAnsi="宋体" w:cs="宋体"/>
          <w:color w:val="auto"/>
          <w:kern w:val="0"/>
          <w:sz w:val="24"/>
          <w:szCs w:val="24"/>
          <w:lang w:bidi="ar"/>
        </w:rPr>
        <w:t xml:space="preserve">心（以下简称交易中心）政府采购交易系统。 </w:t>
      </w:r>
    </w:p>
    <w:p w14:paraId="39988DC7">
      <w:pPr>
        <w:widowControl/>
        <w:jc w:val="left"/>
        <w:rPr>
          <w:color w:val="auto"/>
        </w:rPr>
      </w:pPr>
      <w:r>
        <w:rPr>
          <w:rFonts w:hint="eastAsia" w:ascii="宋体" w:hAnsi="宋体" w:cs="宋体"/>
          <w:color w:val="auto"/>
          <w:kern w:val="0"/>
          <w:sz w:val="24"/>
          <w:szCs w:val="24"/>
          <w:lang w:bidi="ar"/>
        </w:rPr>
        <w:t>二、</w:t>
      </w:r>
      <w:r>
        <w:rPr>
          <w:rFonts w:hint="eastAsia" w:ascii="宋体" w:hAnsi="宋体" w:cs="宋体"/>
          <w:b/>
          <w:bCs/>
          <w:color w:val="auto"/>
          <w:kern w:val="0"/>
          <w:sz w:val="24"/>
          <w:szCs w:val="24"/>
          <w:lang w:bidi="ar"/>
        </w:rPr>
        <w:t>本项目一律不接受纸质文件</w:t>
      </w:r>
      <w:r>
        <w:rPr>
          <w:rFonts w:hint="eastAsia" w:ascii="宋体" w:hAnsi="宋体" w:cs="宋体"/>
          <w:color w:val="auto"/>
          <w:kern w:val="0"/>
          <w:sz w:val="24"/>
          <w:szCs w:val="24"/>
          <w:lang w:bidi="ar"/>
        </w:rPr>
        <w:t xml:space="preserve">，只接受具备法律效力的电子响应文件。供应商 </w:t>
      </w:r>
    </w:p>
    <w:p w14:paraId="238C45E6">
      <w:pPr>
        <w:widowControl/>
        <w:jc w:val="left"/>
        <w:rPr>
          <w:color w:val="auto"/>
        </w:rPr>
      </w:pPr>
      <w:r>
        <w:rPr>
          <w:rFonts w:hint="eastAsia" w:ascii="宋体" w:hAnsi="宋体" w:cs="宋体"/>
          <w:color w:val="auto"/>
          <w:kern w:val="0"/>
          <w:sz w:val="24"/>
          <w:szCs w:val="24"/>
          <w:lang w:bidi="ar"/>
        </w:rPr>
        <w:t xml:space="preserve">应当到依法设立的电子认证服务机构（交易中心办理点），办理 CA 数字证书和电子 </w:t>
      </w:r>
    </w:p>
    <w:p w14:paraId="6919F79A">
      <w:pPr>
        <w:widowControl/>
        <w:jc w:val="left"/>
        <w:rPr>
          <w:color w:val="auto"/>
        </w:rPr>
      </w:pPr>
      <w:r>
        <w:rPr>
          <w:rFonts w:hint="eastAsia" w:ascii="宋体" w:hAnsi="宋体" w:cs="宋体"/>
          <w:color w:val="auto"/>
          <w:kern w:val="0"/>
          <w:sz w:val="24"/>
          <w:szCs w:val="24"/>
          <w:lang w:bidi="ar"/>
        </w:rPr>
        <w:t xml:space="preserve">签章。【上传的电子投标文件不能超过 25MB】 </w:t>
      </w:r>
    </w:p>
    <w:p w14:paraId="5207692E">
      <w:pPr>
        <w:widowControl/>
        <w:jc w:val="left"/>
        <w:rPr>
          <w:color w:val="auto"/>
        </w:rPr>
      </w:pPr>
      <w:r>
        <w:rPr>
          <w:rFonts w:hint="eastAsia" w:ascii="宋体" w:hAnsi="宋体" w:cs="宋体"/>
          <w:b/>
          <w:bCs/>
          <w:color w:val="auto"/>
          <w:kern w:val="0"/>
          <w:sz w:val="24"/>
          <w:szCs w:val="24"/>
          <w:lang w:bidi="ar"/>
        </w:rPr>
        <w:t xml:space="preserve">投标文件份数及电子版要求： </w:t>
      </w:r>
    </w:p>
    <w:p w14:paraId="5001D079">
      <w:pPr>
        <w:widowControl/>
        <w:jc w:val="left"/>
        <w:rPr>
          <w:color w:val="auto"/>
        </w:rPr>
      </w:pPr>
      <w:r>
        <w:rPr>
          <w:rFonts w:hint="eastAsia" w:ascii="宋体" w:hAnsi="宋体" w:cs="宋体"/>
          <w:color w:val="auto"/>
          <w:kern w:val="0"/>
          <w:sz w:val="24"/>
          <w:szCs w:val="24"/>
          <w:lang w:bidi="ar"/>
        </w:rPr>
        <w:t xml:space="preserve">（一）加密的电子投标文件壹份（.TRTF 格式，在全国公共资源交易平台（贵州 </w:t>
      </w:r>
    </w:p>
    <w:p w14:paraId="35629D94">
      <w:pPr>
        <w:widowControl/>
        <w:jc w:val="left"/>
        <w:rPr>
          <w:color w:val="auto"/>
        </w:rPr>
      </w:pPr>
      <w:r>
        <w:rPr>
          <w:rFonts w:hint="eastAsia" w:ascii="宋体" w:hAnsi="宋体" w:cs="宋体"/>
          <w:color w:val="auto"/>
          <w:kern w:val="0"/>
          <w:sz w:val="24"/>
          <w:szCs w:val="24"/>
          <w:lang w:bidi="ar"/>
        </w:rPr>
        <w:t xml:space="preserve">省·铜仁市）网指定位置上传）。 </w:t>
      </w:r>
    </w:p>
    <w:p w14:paraId="17B0F029">
      <w:pPr>
        <w:widowControl/>
        <w:jc w:val="left"/>
        <w:rPr>
          <w:color w:val="auto"/>
        </w:rPr>
      </w:pPr>
      <w:r>
        <w:rPr>
          <w:rFonts w:hint="eastAsia" w:ascii="宋体" w:hAnsi="宋体" w:cs="宋体"/>
          <w:color w:val="auto"/>
          <w:kern w:val="0"/>
          <w:sz w:val="24"/>
          <w:szCs w:val="24"/>
          <w:lang w:bidi="ar"/>
        </w:rPr>
        <w:t xml:space="preserve">（二）非加密的电子投标文件（.nTRTF 格式）壹份（针对投标人在全国公共资源 </w:t>
      </w:r>
    </w:p>
    <w:p w14:paraId="65B19C62">
      <w:pPr>
        <w:widowControl/>
        <w:jc w:val="left"/>
        <w:rPr>
          <w:color w:val="auto"/>
        </w:rPr>
      </w:pPr>
      <w:r>
        <w:rPr>
          <w:rFonts w:hint="eastAsia" w:ascii="宋体" w:hAnsi="宋体" w:cs="宋体"/>
          <w:color w:val="auto"/>
          <w:kern w:val="0"/>
          <w:sz w:val="24"/>
          <w:szCs w:val="24"/>
          <w:lang w:bidi="ar"/>
        </w:rPr>
        <w:t xml:space="preserve">交易平台（贵州省·铜仁市）网上传了投标文件后，但在开标时其投标文件因系统原 </w:t>
      </w:r>
    </w:p>
    <w:p w14:paraId="53D24F43">
      <w:pPr>
        <w:widowControl/>
        <w:jc w:val="left"/>
        <w:rPr>
          <w:color w:val="auto"/>
        </w:rPr>
      </w:pPr>
      <w:r>
        <w:rPr>
          <w:rFonts w:hint="eastAsia" w:ascii="宋体" w:hAnsi="宋体" w:cs="宋体"/>
          <w:color w:val="auto"/>
          <w:kern w:val="0"/>
          <w:sz w:val="24"/>
          <w:szCs w:val="24"/>
          <w:lang w:bidi="ar"/>
        </w:rPr>
        <w:t xml:space="preserve">因解密失败的情况下使用）。备注：若投标人未按照本项目标招标文件要求提供非加 </w:t>
      </w:r>
    </w:p>
    <w:p w14:paraId="4A44DDFF">
      <w:pPr>
        <w:widowControl/>
        <w:jc w:val="left"/>
        <w:rPr>
          <w:color w:val="auto"/>
        </w:rPr>
      </w:pPr>
      <w:r>
        <w:rPr>
          <w:rFonts w:hint="eastAsia" w:ascii="宋体" w:hAnsi="宋体" w:cs="宋体"/>
          <w:color w:val="auto"/>
          <w:kern w:val="0"/>
          <w:sz w:val="24"/>
          <w:szCs w:val="24"/>
          <w:lang w:bidi="ar"/>
        </w:rPr>
        <w:t xml:space="preserve">密的电子投标文件（.nTRTF 格式），或者格式不正确的，一切后果均由投标人自行承担。 </w:t>
      </w:r>
    </w:p>
    <w:p w14:paraId="7A625DEA">
      <w:pPr>
        <w:widowControl/>
        <w:jc w:val="left"/>
        <w:rPr>
          <w:color w:val="auto"/>
        </w:rPr>
      </w:pPr>
      <w:r>
        <w:rPr>
          <w:rFonts w:hint="eastAsia" w:ascii="宋体" w:hAnsi="宋体" w:cs="宋体"/>
          <w:color w:val="auto"/>
          <w:kern w:val="0"/>
          <w:sz w:val="24"/>
          <w:szCs w:val="24"/>
          <w:lang w:bidi="ar"/>
        </w:rPr>
        <w:t xml:space="preserve">（三）如果开标现场因系统原因解密失败，则采用非加密方式进行，要求非加密 </w:t>
      </w:r>
    </w:p>
    <w:p w14:paraId="6C11F264">
      <w:pPr>
        <w:widowControl/>
        <w:jc w:val="left"/>
        <w:rPr>
          <w:color w:val="auto"/>
        </w:rPr>
      </w:pPr>
      <w:r>
        <w:rPr>
          <w:rFonts w:hint="eastAsia" w:ascii="宋体" w:hAnsi="宋体" w:cs="宋体"/>
          <w:color w:val="auto"/>
          <w:kern w:val="0"/>
          <w:sz w:val="24"/>
          <w:szCs w:val="24"/>
          <w:lang w:bidi="ar"/>
        </w:rPr>
        <w:t xml:space="preserve">电子投标文件的内容、数据与上传的加密电子投标文件必须一致，否则该投标文件被 </w:t>
      </w:r>
    </w:p>
    <w:p w14:paraId="228C66C1">
      <w:pPr>
        <w:widowControl/>
        <w:jc w:val="left"/>
        <w:rPr>
          <w:color w:val="auto"/>
        </w:rPr>
      </w:pPr>
      <w:r>
        <w:rPr>
          <w:rFonts w:hint="eastAsia" w:ascii="宋体" w:hAnsi="宋体" w:cs="宋体"/>
          <w:color w:val="auto"/>
          <w:kern w:val="0"/>
          <w:sz w:val="24"/>
          <w:szCs w:val="24"/>
          <w:lang w:bidi="ar"/>
        </w:rPr>
        <w:t xml:space="preserve">否决。 </w:t>
      </w:r>
    </w:p>
    <w:p w14:paraId="0E9255C2">
      <w:pPr>
        <w:widowControl/>
        <w:jc w:val="left"/>
        <w:rPr>
          <w:color w:val="auto"/>
        </w:rPr>
      </w:pPr>
      <w:r>
        <w:rPr>
          <w:rFonts w:hint="eastAsia" w:ascii="宋体" w:hAnsi="宋体" w:cs="宋体"/>
          <w:b/>
          <w:bCs/>
          <w:color w:val="auto"/>
          <w:kern w:val="0"/>
          <w:sz w:val="24"/>
          <w:szCs w:val="24"/>
          <w:lang w:bidi="ar"/>
        </w:rPr>
        <w:t xml:space="preserve">（四）本项目支持远程不见面开标，如选择远程开标的投标人，只需上传加密的 </w:t>
      </w:r>
    </w:p>
    <w:p w14:paraId="02A9E41B">
      <w:pPr>
        <w:widowControl/>
        <w:jc w:val="left"/>
        <w:rPr>
          <w:color w:val="auto"/>
        </w:rPr>
      </w:pPr>
      <w:r>
        <w:rPr>
          <w:rFonts w:hint="eastAsia" w:ascii="宋体" w:hAnsi="宋体" w:cs="宋体"/>
          <w:b/>
          <w:bCs/>
          <w:color w:val="auto"/>
          <w:kern w:val="0"/>
          <w:sz w:val="24"/>
          <w:szCs w:val="24"/>
          <w:lang w:bidi="ar"/>
        </w:rPr>
        <w:t>电子投标文件 1 份。</w:t>
      </w:r>
      <w:r>
        <w:rPr>
          <w:rFonts w:hint="eastAsia" w:ascii="宋体" w:hAnsi="宋体" w:cs="宋体"/>
          <w:color w:val="auto"/>
          <w:kern w:val="0"/>
          <w:sz w:val="24"/>
          <w:szCs w:val="24"/>
          <w:lang w:bidi="ar"/>
        </w:rPr>
        <w:t>投标人须使用工具制作电子投标文件同时生成两个文件，一个是加密投标文件（格式为 TRTF），用于上传到网上</w:t>
      </w:r>
      <w:r>
        <w:rPr>
          <w:rFonts w:hint="eastAsia" w:ascii="宋体" w:hAnsi="宋体" w:cs="宋体"/>
          <w:b/>
          <w:bCs/>
          <w:color w:val="auto"/>
          <w:kern w:val="0"/>
          <w:sz w:val="24"/>
          <w:szCs w:val="24"/>
          <w:lang w:bidi="ar"/>
        </w:rPr>
        <w:t>（.TRTF 格式，在铜仁市公共资源电子交易系统“上传投标文件”模块上传）</w:t>
      </w:r>
      <w:r>
        <w:rPr>
          <w:rFonts w:hint="eastAsia" w:ascii="宋体" w:hAnsi="宋体" w:cs="宋体"/>
          <w:color w:val="auto"/>
          <w:kern w:val="0"/>
          <w:sz w:val="24"/>
          <w:szCs w:val="24"/>
          <w:lang w:bidi="ar"/>
        </w:rPr>
        <w:t>；另一个即为不加密.nTRTF 格式文件，此文件请投标单位自行妥善保管，</w:t>
      </w:r>
      <w:r>
        <w:rPr>
          <w:rFonts w:hint="eastAsia" w:ascii="宋体" w:hAnsi="宋体" w:cs="宋体"/>
          <w:b/>
          <w:bCs/>
          <w:color w:val="auto"/>
          <w:kern w:val="0"/>
          <w:sz w:val="24"/>
          <w:szCs w:val="24"/>
          <w:lang w:bidi="ar"/>
        </w:rPr>
        <w:t>作为开标过程中投标单位的应急备用投标文件</w:t>
      </w:r>
      <w:r>
        <w:rPr>
          <w:rFonts w:hint="eastAsia" w:ascii="宋体" w:hAnsi="宋体" w:cs="宋体"/>
          <w:color w:val="auto"/>
          <w:kern w:val="0"/>
          <w:sz w:val="24"/>
          <w:szCs w:val="24"/>
          <w:lang w:bidi="ar"/>
        </w:rPr>
        <w:t>。（</w:t>
      </w:r>
      <w:r>
        <w:rPr>
          <w:rFonts w:hint="eastAsia" w:ascii="宋体" w:hAnsi="宋体" w:cs="宋体"/>
          <w:b/>
          <w:bCs/>
          <w:color w:val="auto"/>
          <w:kern w:val="0"/>
          <w:sz w:val="24"/>
          <w:szCs w:val="24"/>
          <w:lang w:bidi="ar"/>
        </w:rPr>
        <w:t>此非加密投标文件仅在开标过程中技术人员确认为非投标人原因导致远程解密失败时使用。</w:t>
      </w:r>
      <w:r>
        <w:rPr>
          <w:rFonts w:hint="eastAsia" w:ascii="宋体" w:hAnsi="宋体" w:cs="宋体"/>
          <w:color w:val="auto"/>
          <w:kern w:val="0"/>
          <w:sz w:val="24"/>
          <w:szCs w:val="24"/>
          <w:lang w:bidi="ar"/>
        </w:rPr>
        <w:t>当开标会现场招标代理要求提供时，由投标单位在 30 分钟内将此非加密投标文件通过邮箱发送至代理邮箱。</w:t>
      </w:r>
      <w:r>
        <w:rPr>
          <w:rFonts w:hint="eastAsia" w:ascii="宋体" w:hAnsi="宋体" w:cs="宋体"/>
          <w:b/>
          <w:bCs/>
          <w:color w:val="auto"/>
          <w:kern w:val="0"/>
          <w:sz w:val="24"/>
          <w:szCs w:val="24"/>
          <w:lang w:bidi="ar"/>
        </w:rPr>
        <w:t>如投标单位提供的非加密投标投标文件与上传的加密投标文件不一致或无法提供与加密投标文件一致的非加密投标文件时，投标单位自行承担此后果</w:t>
      </w:r>
      <w:r>
        <w:rPr>
          <w:rFonts w:hint="eastAsia" w:ascii="宋体" w:hAnsi="宋体" w:cs="宋体"/>
          <w:color w:val="auto"/>
          <w:kern w:val="0"/>
          <w:sz w:val="24"/>
          <w:szCs w:val="24"/>
          <w:lang w:bidi="ar"/>
        </w:rPr>
        <w:t>）</w:t>
      </w:r>
      <w:r>
        <w:rPr>
          <w:rFonts w:hint="eastAsia" w:ascii="宋体" w:hAnsi="宋体" w:cs="宋体"/>
          <w:b/>
          <w:bCs/>
          <w:color w:val="auto"/>
          <w:kern w:val="0"/>
          <w:sz w:val="24"/>
          <w:szCs w:val="24"/>
          <w:lang w:bidi="ar"/>
        </w:rPr>
        <w:t xml:space="preserve">。 </w:t>
      </w:r>
    </w:p>
    <w:p w14:paraId="440DD953">
      <w:pPr>
        <w:widowControl/>
        <w:jc w:val="left"/>
        <w:rPr>
          <w:color w:val="auto"/>
        </w:rPr>
      </w:pPr>
      <w:r>
        <w:rPr>
          <w:rFonts w:hint="eastAsia" w:ascii="宋体" w:hAnsi="宋体" w:cs="宋体"/>
          <w:color w:val="auto"/>
          <w:kern w:val="0"/>
          <w:sz w:val="24"/>
          <w:szCs w:val="24"/>
          <w:lang w:bidi="ar"/>
        </w:rPr>
        <w:t>（五）</w:t>
      </w:r>
      <w:r>
        <w:rPr>
          <w:rFonts w:hint="eastAsia" w:ascii="宋体" w:hAnsi="宋体" w:cs="宋体"/>
          <w:b/>
          <w:bCs/>
          <w:color w:val="auto"/>
          <w:kern w:val="0"/>
          <w:sz w:val="24"/>
          <w:szCs w:val="24"/>
          <w:lang w:bidi="ar"/>
        </w:rPr>
        <w:t>特别提醒：</w:t>
      </w:r>
      <w:r>
        <w:rPr>
          <w:rFonts w:hint="eastAsia" w:ascii="宋体" w:hAnsi="宋体" w:cs="宋体"/>
          <w:color w:val="auto"/>
          <w:kern w:val="0"/>
          <w:sz w:val="24"/>
          <w:szCs w:val="24"/>
          <w:lang w:bidi="ar"/>
        </w:rPr>
        <w:t xml:space="preserve">1.投标单位应注意签到截至时间；2.开标设备、软件、CA 应 </w:t>
      </w:r>
    </w:p>
    <w:p w14:paraId="0FF8B1EA">
      <w:pPr>
        <w:widowControl/>
        <w:jc w:val="left"/>
        <w:rPr>
          <w:color w:val="auto"/>
        </w:rPr>
      </w:pPr>
      <w:r>
        <w:rPr>
          <w:rFonts w:hint="eastAsia" w:ascii="宋体" w:hAnsi="宋体" w:cs="宋体"/>
          <w:color w:val="auto"/>
          <w:kern w:val="0"/>
          <w:sz w:val="24"/>
          <w:szCs w:val="24"/>
          <w:lang w:bidi="ar"/>
        </w:rPr>
        <w:t xml:space="preserve">满足本次远程开标会议要求（若投标人设备不满足要求，也可到本项目交易中心现 </w:t>
      </w:r>
    </w:p>
    <w:p w14:paraId="512E0157">
      <w:pPr>
        <w:widowControl/>
        <w:jc w:val="left"/>
        <w:rPr>
          <w:color w:val="auto"/>
        </w:rPr>
      </w:pPr>
      <w:r>
        <w:rPr>
          <w:rFonts w:hint="eastAsia" w:ascii="宋体" w:hAnsi="宋体" w:cs="宋体"/>
          <w:color w:val="auto"/>
          <w:kern w:val="0"/>
          <w:sz w:val="24"/>
          <w:szCs w:val="24"/>
          <w:lang w:bidi="ar"/>
        </w:rPr>
        <w:t xml:space="preserve">；3.投标人应保证使 用编制投标文件的 CA 解密时，网络稳定；4.投标人在开 </w:t>
      </w:r>
    </w:p>
    <w:p w14:paraId="16AC50AE">
      <w:pPr>
        <w:widowControl/>
        <w:jc w:val="left"/>
        <w:rPr>
          <w:color w:val="auto"/>
        </w:rPr>
      </w:pPr>
      <w:r>
        <w:rPr>
          <w:rFonts w:hint="eastAsia" w:ascii="宋体" w:hAnsi="宋体" w:cs="宋体"/>
          <w:color w:val="auto"/>
          <w:kern w:val="0"/>
          <w:sz w:val="24"/>
          <w:szCs w:val="24"/>
          <w:lang w:bidi="ar"/>
        </w:rPr>
        <w:t xml:space="preserve">标、唱标期间（主持人未宣布开标结束前），保持在开标设备旁。 其余远程开标注 </w:t>
      </w:r>
    </w:p>
    <w:p w14:paraId="52C33364">
      <w:pPr>
        <w:widowControl/>
        <w:jc w:val="left"/>
        <w:rPr>
          <w:color w:val="auto"/>
        </w:rPr>
      </w:pPr>
      <w:r>
        <w:rPr>
          <w:rFonts w:hint="eastAsia" w:ascii="宋体" w:hAnsi="宋体" w:cs="宋体"/>
          <w:color w:val="auto"/>
          <w:kern w:val="0"/>
          <w:sz w:val="24"/>
          <w:szCs w:val="24"/>
          <w:lang w:bidi="ar"/>
        </w:rPr>
        <w:t xml:space="preserve">意事项，详见中心发布的操作手册。5.投标人对开标过程有异议的，须在开标过程中 </w:t>
      </w:r>
    </w:p>
    <w:p w14:paraId="4A69133D">
      <w:pPr>
        <w:widowControl/>
        <w:jc w:val="left"/>
        <w:rPr>
          <w:color w:val="auto"/>
        </w:rPr>
      </w:pPr>
      <w:r>
        <w:rPr>
          <w:rFonts w:hint="eastAsia" w:ascii="宋体" w:hAnsi="宋体" w:cs="宋体"/>
          <w:color w:val="auto"/>
          <w:kern w:val="0"/>
          <w:sz w:val="24"/>
          <w:szCs w:val="24"/>
          <w:lang w:bidi="ar"/>
        </w:rPr>
        <w:t xml:space="preserve">一次性提出；6.开、唱标结束后须点击开标结果确认。7.加★号的条款均被视为重要 </w:t>
      </w:r>
    </w:p>
    <w:p w14:paraId="0424FCB9">
      <w:pPr>
        <w:widowControl/>
        <w:jc w:val="left"/>
        <w:rPr>
          <w:color w:val="auto"/>
        </w:rPr>
      </w:pPr>
      <w:r>
        <w:rPr>
          <w:rFonts w:hint="eastAsia" w:ascii="宋体" w:hAnsi="宋体" w:cs="宋体"/>
          <w:color w:val="auto"/>
          <w:kern w:val="0"/>
          <w:sz w:val="24"/>
          <w:szCs w:val="24"/>
          <w:lang w:bidi="ar"/>
        </w:rPr>
        <w:t xml:space="preserve">的指标要求。8.投标人在开标过程中操作遇到问题时，请及时向软件公司咨询，咨询 </w:t>
      </w:r>
    </w:p>
    <w:p w14:paraId="372874E9">
      <w:pPr>
        <w:widowControl/>
        <w:jc w:val="left"/>
        <w:rPr>
          <w:rFonts w:hint="eastAsia" w:ascii="宋体" w:hAnsi="宋体" w:cs="宋体"/>
          <w:color w:val="auto"/>
          <w:kern w:val="0"/>
          <w:sz w:val="24"/>
          <w:szCs w:val="24"/>
          <w:lang w:bidi="ar"/>
        </w:rPr>
      </w:pPr>
      <w:r>
        <w:rPr>
          <w:rFonts w:hint="eastAsia" w:ascii="宋体" w:hAnsi="宋体" w:cs="宋体"/>
          <w:color w:val="auto"/>
          <w:kern w:val="0"/>
          <w:sz w:val="24"/>
          <w:szCs w:val="24"/>
          <w:lang w:bidi="ar"/>
        </w:rPr>
        <w:t>联系方式为座机：400998000 或 0856-3960513。</w:t>
      </w:r>
    </w:p>
    <w:p w14:paraId="6A77B0A9">
      <w:pPr>
        <w:widowControl/>
        <w:jc w:val="left"/>
        <w:rPr>
          <w:color w:val="auto"/>
        </w:rPr>
      </w:pPr>
      <w:r>
        <w:rPr>
          <w:rFonts w:hint="eastAsia" w:ascii="宋体" w:hAnsi="宋体" w:cs="宋体"/>
          <w:color w:val="auto"/>
          <w:kern w:val="0"/>
          <w:sz w:val="24"/>
          <w:szCs w:val="24"/>
          <w:lang w:bidi="ar"/>
        </w:rPr>
        <w:t xml:space="preserve">8.上传的电子投标文件不能超过 25MB。 </w:t>
      </w:r>
    </w:p>
    <w:p w14:paraId="483A4F1C">
      <w:pPr>
        <w:widowControl/>
        <w:jc w:val="left"/>
        <w:rPr>
          <w:color w:val="auto"/>
        </w:rPr>
      </w:pPr>
      <w:r>
        <w:rPr>
          <w:rFonts w:hint="eastAsia" w:ascii="宋体" w:hAnsi="宋体" w:cs="宋体"/>
          <w:color w:val="auto"/>
          <w:kern w:val="0"/>
          <w:sz w:val="24"/>
          <w:szCs w:val="24"/>
          <w:lang w:bidi="ar"/>
        </w:rPr>
        <w:t xml:space="preserve">三、本项目支持远程不见面开标，其流程及注意事项如下： </w:t>
      </w:r>
    </w:p>
    <w:p w14:paraId="67097388">
      <w:pPr>
        <w:widowControl/>
        <w:jc w:val="left"/>
        <w:rPr>
          <w:color w:val="auto"/>
        </w:rPr>
      </w:pPr>
      <w:r>
        <w:rPr>
          <w:rFonts w:hint="eastAsia" w:ascii="宋体" w:hAnsi="宋体" w:cs="宋体"/>
          <w:color w:val="auto"/>
          <w:kern w:val="0"/>
          <w:sz w:val="24"/>
          <w:szCs w:val="24"/>
          <w:lang w:bidi="ar"/>
        </w:rPr>
        <w:t xml:space="preserve">（一）不见面开标前期准备 </w:t>
      </w:r>
    </w:p>
    <w:p w14:paraId="03B8FEBC">
      <w:pPr>
        <w:widowControl/>
        <w:jc w:val="left"/>
        <w:rPr>
          <w:color w:val="auto"/>
        </w:rPr>
      </w:pPr>
      <w:r>
        <w:rPr>
          <w:rFonts w:hint="eastAsia" w:ascii="宋体" w:hAnsi="宋体" w:cs="宋体"/>
          <w:color w:val="auto"/>
          <w:kern w:val="0"/>
          <w:sz w:val="24"/>
          <w:szCs w:val="24"/>
          <w:lang w:bidi="ar"/>
        </w:rPr>
        <w:t xml:space="preserve">投标单位应提前检查电力供应、网络环境和远程开标会议有关设施、设备的稳定 </w:t>
      </w:r>
    </w:p>
    <w:p w14:paraId="2D5E9001">
      <w:pPr>
        <w:widowControl/>
        <w:jc w:val="left"/>
        <w:rPr>
          <w:color w:val="auto"/>
        </w:rPr>
      </w:pPr>
      <w:r>
        <w:rPr>
          <w:rFonts w:hint="eastAsia" w:ascii="宋体" w:hAnsi="宋体" w:cs="宋体"/>
          <w:color w:val="auto"/>
          <w:kern w:val="0"/>
          <w:sz w:val="24"/>
          <w:szCs w:val="24"/>
          <w:lang w:bidi="ar"/>
        </w:rPr>
        <w:t xml:space="preserve">性和安全性。因投标单位原因导致无法完成投标或者不能进行现场实时交互的，由投 </w:t>
      </w:r>
    </w:p>
    <w:p w14:paraId="0DF14973">
      <w:pPr>
        <w:widowControl/>
        <w:jc w:val="left"/>
        <w:rPr>
          <w:color w:val="auto"/>
        </w:rPr>
      </w:pPr>
      <w:r>
        <w:rPr>
          <w:rFonts w:hint="eastAsia" w:ascii="宋体" w:hAnsi="宋体" w:cs="宋体"/>
          <w:color w:val="auto"/>
          <w:kern w:val="0"/>
          <w:sz w:val="24"/>
          <w:szCs w:val="24"/>
          <w:lang w:bidi="ar"/>
        </w:rPr>
        <w:t xml:space="preserve">标单位自行承担一切后果。（建议配置的硬件设施有：高配置电脑、高速稳定的网络、 </w:t>
      </w:r>
    </w:p>
    <w:p w14:paraId="7AC5BBD8">
      <w:pPr>
        <w:widowControl/>
        <w:jc w:val="left"/>
        <w:rPr>
          <w:color w:val="auto"/>
        </w:rPr>
      </w:pPr>
      <w:r>
        <w:rPr>
          <w:rFonts w:hint="eastAsia" w:ascii="宋体" w:hAnsi="宋体" w:cs="宋体"/>
          <w:color w:val="auto"/>
          <w:kern w:val="0"/>
          <w:sz w:val="24"/>
          <w:szCs w:val="24"/>
          <w:lang w:bidi="ar"/>
        </w:rPr>
        <w:t xml:space="preserve">不间断电源、CA锁、音视频设备（话筒、耳麦、高清摄像头、音响）、扫描仪、打印 </w:t>
      </w:r>
    </w:p>
    <w:p w14:paraId="4719AC6D">
      <w:pPr>
        <w:widowControl/>
        <w:jc w:val="left"/>
        <w:rPr>
          <w:color w:val="auto"/>
        </w:rPr>
      </w:pPr>
      <w:r>
        <w:rPr>
          <w:rFonts w:hint="eastAsia" w:ascii="宋体" w:hAnsi="宋体" w:cs="宋体"/>
          <w:color w:val="auto"/>
          <w:kern w:val="0"/>
          <w:sz w:val="24"/>
          <w:szCs w:val="24"/>
          <w:lang w:bidi="ar"/>
        </w:rPr>
        <w:t xml:space="preserve">机、传真机、高清视频监控等；建议具备的软件设施有：IE浏览器，版本必须为11及11以上，贵州互联互通通用驱动包。） </w:t>
      </w:r>
    </w:p>
    <w:p w14:paraId="4F5C0D78">
      <w:pPr>
        <w:widowControl/>
        <w:jc w:val="left"/>
        <w:rPr>
          <w:color w:val="auto"/>
        </w:rPr>
      </w:pPr>
      <w:r>
        <w:rPr>
          <w:rFonts w:hint="eastAsia" w:ascii="宋体" w:hAnsi="宋体" w:cs="宋体"/>
          <w:color w:val="auto"/>
          <w:kern w:val="0"/>
          <w:sz w:val="24"/>
          <w:szCs w:val="24"/>
          <w:lang w:bidi="ar"/>
        </w:rPr>
        <w:t xml:space="preserve">（二）不见面开标流程 </w:t>
      </w:r>
    </w:p>
    <w:p w14:paraId="59D1C893">
      <w:pPr>
        <w:widowControl/>
        <w:jc w:val="left"/>
        <w:rPr>
          <w:color w:val="auto"/>
        </w:rPr>
      </w:pPr>
      <w:r>
        <w:rPr>
          <w:rFonts w:hint="eastAsia" w:ascii="宋体" w:hAnsi="宋体" w:cs="宋体"/>
          <w:color w:val="auto"/>
          <w:kern w:val="0"/>
          <w:sz w:val="24"/>
          <w:szCs w:val="24"/>
          <w:lang w:bidi="ar"/>
        </w:rPr>
        <w:t xml:space="preserve">1.远程开标会议时间地点。以国家授时中心发布的时间为准。开标时间：同投标 </w:t>
      </w:r>
    </w:p>
    <w:p w14:paraId="7134F66E">
      <w:pPr>
        <w:widowControl/>
        <w:jc w:val="left"/>
        <w:rPr>
          <w:color w:val="auto"/>
        </w:rPr>
      </w:pPr>
      <w:r>
        <w:rPr>
          <w:rFonts w:hint="eastAsia" w:ascii="宋体" w:hAnsi="宋体" w:cs="宋体"/>
          <w:color w:val="auto"/>
          <w:kern w:val="0"/>
          <w:sz w:val="24"/>
          <w:szCs w:val="24"/>
          <w:lang w:bidi="ar"/>
        </w:rPr>
        <w:t xml:space="preserve">截止时间；开标地点：投标人自行选择任意地点参加远程开标会。 </w:t>
      </w:r>
    </w:p>
    <w:p w14:paraId="0992F665">
      <w:pPr>
        <w:widowControl/>
        <w:jc w:val="left"/>
        <w:rPr>
          <w:color w:val="auto"/>
        </w:rPr>
      </w:pPr>
      <w:r>
        <w:rPr>
          <w:rFonts w:hint="eastAsia" w:ascii="宋体" w:hAnsi="宋体" w:cs="宋体"/>
          <w:color w:val="auto"/>
          <w:kern w:val="0"/>
          <w:sz w:val="24"/>
          <w:szCs w:val="24"/>
          <w:lang w:bidi="ar"/>
        </w:rPr>
        <w:t xml:space="preserve">2.远程开标会议签到。投标文件递交截止时间前，招标人将提前进入远程不见面 </w:t>
      </w:r>
    </w:p>
    <w:p w14:paraId="15C78DCA">
      <w:pPr>
        <w:widowControl/>
        <w:jc w:val="left"/>
        <w:rPr>
          <w:color w:val="auto"/>
        </w:rPr>
      </w:pPr>
      <w:r>
        <w:rPr>
          <w:rFonts w:hint="eastAsia" w:ascii="宋体" w:hAnsi="宋体" w:cs="宋体"/>
          <w:color w:val="auto"/>
          <w:kern w:val="0"/>
          <w:sz w:val="24"/>
          <w:szCs w:val="24"/>
          <w:lang w:bidi="ar"/>
        </w:rPr>
        <w:t xml:space="preserve">开标系统，播放测试音频，各投标人的授权委托人或法人代表提前（建议提前30分钟）进入远程不见面开标系统进行签到操作（登录不见面开标系统选择投标人身份登录，根据操作手册进入相应标段的开标会议区并签到。如开标时间截至投标单位未签到成功，则视为投标单位未按文件要求开标时间参与此次项目开标，视为投标人撤回其投标文件，投标文件将会被退回）。 </w:t>
      </w:r>
    </w:p>
    <w:p w14:paraId="2AC63DE1">
      <w:pPr>
        <w:widowControl/>
        <w:jc w:val="left"/>
        <w:rPr>
          <w:color w:val="auto"/>
        </w:rPr>
      </w:pPr>
      <w:r>
        <w:rPr>
          <w:rFonts w:hint="eastAsia" w:ascii="宋体" w:hAnsi="宋体" w:cs="宋体"/>
          <w:color w:val="auto"/>
          <w:kern w:val="0"/>
          <w:sz w:val="24"/>
          <w:szCs w:val="24"/>
          <w:lang w:bidi="ar"/>
        </w:rPr>
        <w:t xml:space="preserve">3.远程开标会议参与。各投标人应在开标、唱标期间（主持人未宣布开标结束前）， </w:t>
      </w:r>
    </w:p>
    <w:p w14:paraId="71979FBE">
      <w:pPr>
        <w:widowControl/>
        <w:jc w:val="left"/>
        <w:rPr>
          <w:color w:val="auto"/>
        </w:rPr>
      </w:pPr>
      <w:r>
        <w:rPr>
          <w:rFonts w:hint="eastAsia" w:ascii="宋体" w:hAnsi="宋体" w:cs="宋体"/>
          <w:color w:val="auto"/>
          <w:kern w:val="0"/>
          <w:sz w:val="24"/>
          <w:szCs w:val="24"/>
          <w:lang w:bidi="ar"/>
        </w:rPr>
        <w:t xml:space="preserve">保持在开标设备旁，通过开标大厅收听观看实时音视频交互效果并及时在讨论组中反 </w:t>
      </w:r>
    </w:p>
    <w:p w14:paraId="0DBCB7E0">
      <w:pPr>
        <w:widowControl/>
        <w:jc w:val="left"/>
        <w:rPr>
          <w:color w:val="auto"/>
        </w:rPr>
      </w:pPr>
      <w:r>
        <w:rPr>
          <w:rFonts w:hint="eastAsia" w:ascii="宋体" w:hAnsi="宋体" w:cs="宋体"/>
          <w:color w:val="auto"/>
          <w:kern w:val="0"/>
          <w:sz w:val="24"/>
          <w:szCs w:val="24"/>
          <w:lang w:bidi="ar"/>
        </w:rPr>
        <w:t xml:space="preserve">馈，以便对开唱标过程的异议提出及数据确认等工作。在此，招标人申明：若投标人 </w:t>
      </w:r>
    </w:p>
    <w:p w14:paraId="2C238F46">
      <w:pPr>
        <w:widowControl/>
        <w:jc w:val="left"/>
        <w:rPr>
          <w:color w:val="auto"/>
        </w:rPr>
      </w:pPr>
      <w:r>
        <w:rPr>
          <w:rFonts w:hint="eastAsia" w:ascii="宋体" w:hAnsi="宋体" w:cs="宋体"/>
          <w:color w:val="auto"/>
          <w:kern w:val="0"/>
          <w:sz w:val="24"/>
          <w:szCs w:val="24"/>
          <w:lang w:bidi="ar"/>
        </w:rPr>
        <w:t xml:space="preserve">未在开标过程提出异议或进行数据确认等工作，视为投标人无异议且对开标数据确 </w:t>
      </w:r>
    </w:p>
    <w:p w14:paraId="79AEFDA4">
      <w:pPr>
        <w:widowControl/>
        <w:jc w:val="left"/>
        <w:rPr>
          <w:color w:val="auto"/>
        </w:rPr>
      </w:pPr>
      <w:r>
        <w:rPr>
          <w:rFonts w:hint="eastAsia" w:ascii="宋体" w:hAnsi="宋体" w:cs="宋体"/>
          <w:color w:val="auto"/>
          <w:kern w:val="0"/>
          <w:sz w:val="24"/>
          <w:szCs w:val="24"/>
          <w:lang w:bidi="ar"/>
        </w:rPr>
        <w:t xml:space="preserve">认。 </w:t>
      </w:r>
    </w:p>
    <w:p w14:paraId="0524D11D">
      <w:pPr>
        <w:widowControl/>
        <w:jc w:val="left"/>
        <w:rPr>
          <w:color w:val="auto"/>
        </w:rPr>
      </w:pPr>
      <w:r>
        <w:rPr>
          <w:rFonts w:hint="eastAsia" w:ascii="宋体" w:hAnsi="宋体" w:cs="宋体"/>
          <w:color w:val="auto"/>
          <w:kern w:val="0"/>
          <w:sz w:val="24"/>
          <w:szCs w:val="24"/>
          <w:lang w:bidi="ar"/>
        </w:rPr>
        <w:t xml:space="preserve">4.投标文件解密。投标文件递交截止时间后，招标人将在系统内公布投标人名单 </w:t>
      </w:r>
    </w:p>
    <w:p w14:paraId="25C9FACC">
      <w:pPr>
        <w:widowControl/>
        <w:jc w:val="left"/>
        <w:rPr>
          <w:color w:val="auto"/>
        </w:rPr>
      </w:pPr>
      <w:r>
        <w:rPr>
          <w:rFonts w:hint="eastAsia" w:ascii="宋体" w:hAnsi="宋体" w:cs="宋体"/>
          <w:color w:val="auto"/>
          <w:kern w:val="0"/>
          <w:sz w:val="24"/>
          <w:szCs w:val="24"/>
          <w:lang w:bidi="ar"/>
        </w:rPr>
        <w:t xml:space="preserve">并核验投标保证金递交情况，然后通过开标会议区发出投标文件解密的指令，投标人 </w:t>
      </w:r>
    </w:p>
    <w:p w14:paraId="5926D699">
      <w:pPr>
        <w:widowControl/>
        <w:jc w:val="left"/>
        <w:rPr>
          <w:color w:val="auto"/>
        </w:rPr>
      </w:pPr>
      <w:r>
        <w:rPr>
          <w:rFonts w:hint="eastAsia" w:ascii="宋体" w:hAnsi="宋体" w:cs="宋体"/>
          <w:color w:val="auto"/>
          <w:kern w:val="0"/>
          <w:sz w:val="24"/>
          <w:szCs w:val="24"/>
          <w:lang w:bidi="ar"/>
        </w:rPr>
        <w:t xml:space="preserve">在各自地点按规定时间自行实施远程解密，投标人解密在主持人发出解密指令后30分钟内完成。 </w:t>
      </w:r>
    </w:p>
    <w:p w14:paraId="75C7164F">
      <w:pPr>
        <w:widowControl/>
        <w:jc w:val="left"/>
        <w:rPr>
          <w:color w:val="auto"/>
        </w:rPr>
      </w:pPr>
      <w:r>
        <w:rPr>
          <w:rFonts w:hint="eastAsia" w:ascii="宋体" w:hAnsi="宋体" w:cs="宋体"/>
          <w:color w:val="auto"/>
          <w:kern w:val="0"/>
          <w:sz w:val="24"/>
          <w:szCs w:val="24"/>
          <w:lang w:bidi="ar"/>
        </w:rPr>
        <w:t xml:space="preserve">（三）不见面开标注意事项 </w:t>
      </w:r>
    </w:p>
    <w:p w14:paraId="286AF16F">
      <w:pPr>
        <w:widowControl/>
        <w:jc w:val="left"/>
        <w:rPr>
          <w:color w:val="auto"/>
        </w:rPr>
      </w:pPr>
      <w:r>
        <w:rPr>
          <w:rFonts w:hint="eastAsia" w:ascii="宋体" w:hAnsi="宋体" w:cs="宋体"/>
          <w:color w:val="auto"/>
          <w:kern w:val="0"/>
          <w:sz w:val="24"/>
          <w:szCs w:val="24"/>
          <w:lang w:bidi="ar"/>
        </w:rPr>
        <w:t xml:space="preserve">1.遵守指令、不擅离职守。投标单位全程参加开标会议，积极响应招标人（代理 </w:t>
      </w:r>
    </w:p>
    <w:p w14:paraId="317DA4CA">
      <w:pPr>
        <w:widowControl/>
        <w:jc w:val="left"/>
        <w:rPr>
          <w:color w:val="auto"/>
        </w:rPr>
      </w:pPr>
      <w:r>
        <w:rPr>
          <w:rFonts w:hint="eastAsia" w:ascii="宋体" w:hAnsi="宋体" w:cs="宋体"/>
          <w:color w:val="auto"/>
          <w:kern w:val="0"/>
          <w:sz w:val="24"/>
          <w:szCs w:val="24"/>
          <w:lang w:bidi="ar"/>
        </w:rPr>
        <w:t xml:space="preserve">机构）的指令和操作要求，不擅离职守，始终保持通讯顺畅。各投标人参与远程交互 </w:t>
      </w:r>
    </w:p>
    <w:p w14:paraId="0800E402">
      <w:pPr>
        <w:widowControl/>
        <w:jc w:val="left"/>
        <w:rPr>
          <w:color w:val="auto"/>
        </w:rPr>
      </w:pPr>
      <w:r>
        <w:rPr>
          <w:rFonts w:hint="eastAsia" w:ascii="宋体" w:hAnsi="宋体" w:cs="宋体"/>
          <w:color w:val="auto"/>
          <w:kern w:val="0"/>
          <w:sz w:val="24"/>
          <w:szCs w:val="24"/>
          <w:lang w:bidi="ar"/>
        </w:rPr>
        <w:t xml:space="preserve">的授权委托人或法人代表应始终为同一个人，中途不得更换，在废标、澄清、提疑、 </w:t>
      </w:r>
    </w:p>
    <w:p w14:paraId="7AF280D7">
      <w:pPr>
        <w:widowControl/>
        <w:jc w:val="left"/>
        <w:rPr>
          <w:color w:val="auto"/>
        </w:rPr>
      </w:pPr>
      <w:r>
        <w:rPr>
          <w:rFonts w:hint="eastAsia" w:ascii="宋体" w:hAnsi="宋体" w:cs="宋体"/>
          <w:color w:val="auto"/>
          <w:kern w:val="0"/>
          <w:sz w:val="24"/>
          <w:szCs w:val="24"/>
          <w:lang w:bidi="ar"/>
        </w:rPr>
        <w:t xml:space="preserve">传送文件等特殊情况下需要交互时，投标人一端参与交互的人员将均被视为是投标人 </w:t>
      </w:r>
    </w:p>
    <w:p w14:paraId="021F052A">
      <w:pPr>
        <w:widowControl/>
        <w:jc w:val="left"/>
        <w:rPr>
          <w:color w:val="auto"/>
        </w:rPr>
      </w:pPr>
      <w:r>
        <w:rPr>
          <w:rFonts w:hint="eastAsia" w:ascii="宋体" w:hAnsi="宋体" w:cs="宋体"/>
          <w:color w:val="auto"/>
          <w:kern w:val="0"/>
          <w:sz w:val="24"/>
          <w:szCs w:val="24"/>
          <w:lang w:bidi="ar"/>
        </w:rPr>
        <w:t xml:space="preserve">的授权委托人或法人代表，投标人不得以不承认交互人员的资格或身份等为借口抵赖 </w:t>
      </w:r>
    </w:p>
    <w:p w14:paraId="21E00C45">
      <w:pPr>
        <w:widowControl/>
        <w:jc w:val="left"/>
        <w:rPr>
          <w:color w:val="auto"/>
        </w:rPr>
      </w:pPr>
      <w:r>
        <w:rPr>
          <w:rFonts w:hint="eastAsia" w:ascii="宋体" w:hAnsi="宋体" w:cs="宋体"/>
          <w:color w:val="auto"/>
          <w:kern w:val="0"/>
          <w:sz w:val="24"/>
          <w:szCs w:val="24"/>
          <w:lang w:bidi="ar"/>
        </w:rPr>
        <w:t xml:space="preserve">推脱，投标人自行承担随意更换人员所导致的一切后果。 </w:t>
      </w:r>
    </w:p>
    <w:p w14:paraId="05BB6A80">
      <w:pPr>
        <w:widowControl/>
        <w:jc w:val="left"/>
        <w:rPr>
          <w:color w:val="auto"/>
        </w:rPr>
      </w:pPr>
      <w:r>
        <w:rPr>
          <w:rFonts w:hint="eastAsia" w:ascii="宋体" w:hAnsi="宋体" w:cs="宋体"/>
          <w:color w:val="auto"/>
          <w:kern w:val="0"/>
          <w:sz w:val="24"/>
          <w:szCs w:val="24"/>
          <w:lang w:bidi="ar"/>
        </w:rPr>
        <w:t xml:space="preserve">2.确保设施、设备工况良好。因投标人网络与电源不稳定、未按操作手册要求配 </w:t>
      </w:r>
    </w:p>
    <w:p w14:paraId="66893B98">
      <w:pPr>
        <w:widowControl/>
        <w:jc w:val="left"/>
        <w:rPr>
          <w:color w:val="auto"/>
        </w:rPr>
      </w:pPr>
      <w:r>
        <w:rPr>
          <w:rFonts w:hint="eastAsia" w:ascii="宋体" w:hAnsi="宋体" w:cs="宋体"/>
          <w:color w:val="auto"/>
          <w:kern w:val="0"/>
          <w:sz w:val="24"/>
          <w:szCs w:val="24"/>
          <w:lang w:bidi="ar"/>
        </w:rPr>
        <w:t xml:space="preserve">置软硬件、解密锁发生故障或用错、未在要求时限内完成解密等自身原因，导致投标 </w:t>
      </w:r>
    </w:p>
    <w:p w14:paraId="21F110B7">
      <w:pPr>
        <w:widowControl/>
        <w:jc w:val="left"/>
        <w:rPr>
          <w:color w:val="auto"/>
        </w:rPr>
      </w:pPr>
      <w:r>
        <w:rPr>
          <w:rFonts w:hint="eastAsia" w:ascii="宋体" w:hAnsi="宋体" w:cs="宋体"/>
          <w:color w:val="auto"/>
          <w:kern w:val="0"/>
          <w:sz w:val="24"/>
          <w:szCs w:val="24"/>
          <w:lang w:bidi="ar"/>
        </w:rPr>
        <w:t xml:space="preserve">文件在规定时间内未能解密、解密失败或解密超时，视为投标人撤回其投标文件，投 </w:t>
      </w:r>
    </w:p>
    <w:p w14:paraId="3703CBAD">
      <w:pPr>
        <w:widowControl/>
        <w:jc w:val="left"/>
        <w:rPr>
          <w:color w:val="auto"/>
        </w:rPr>
      </w:pPr>
      <w:r>
        <w:rPr>
          <w:rFonts w:hint="eastAsia" w:ascii="宋体" w:hAnsi="宋体" w:cs="宋体"/>
          <w:color w:val="auto"/>
          <w:kern w:val="0"/>
          <w:sz w:val="24"/>
          <w:szCs w:val="24"/>
          <w:lang w:bidi="ar"/>
        </w:rPr>
        <w:t xml:space="preserve">标文件将会被退回，不能参与后续评标；因招标人原因或网上招投标平台发生故障， </w:t>
      </w:r>
    </w:p>
    <w:p w14:paraId="39853595">
      <w:pPr>
        <w:widowControl/>
        <w:jc w:val="left"/>
        <w:rPr>
          <w:color w:val="auto"/>
        </w:rPr>
      </w:pPr>
      <w:r>
        <w:rPr>
          <w:rFonts w:hint="eastAsia" w:ascii="宋体" w:hAnsi="宋体" w:cs="宋体"/>
          <w:color w:val="auto"/>
          <w:kern w:val="0"/>
          <w:sz w:val="24"/>
          <w:szCs w:val="24"/>
          <w:lang w:bidi="ar"/>
        </w:rPr>
        <w:t xml:space="preserve">导致无法按时完成投标文件解密或开、评标工作无法进行的，可根据实际情况相应延 </w:t>
      </w:r>
    </w:p>
    <w:p w14:paraId="6EEFDA57">
      <w:pPr>
        <w:widowControl/>
        <w:jc w:val="left"/>
        <w:rPr>
          <w:color w:val="auto"/>
        </w:rPr>
      </w:pPr>
      <w:r>
        <w:rPr>
          <w:rFonts w:hint="eastAsia" w:ascii="宋体" w:hAnsi="宋体" w:cs="宋体"/>
          <w:color w:val="auto"/>
          <w:kern w:val="0"/>
          <w:sz w:val="24"/>
          <w:szCs w:val="24"/>
          <w:lang w:bidi="ar"/>
        </w:rPr>
        <w:t xml:space="preserve">迟解密时间（提示：若投标人已领取副锁，请注意正副锁的使用差别）。 </w:t>
      </w:r>
    </w:p>
    <w:p w14:paraId="60087C1F">
      <w:pPr>
        <w:widowControl/>
        <w:jc w:val="left"/>
        <w:rPr>
          <w:color w:val="auto"/>
        </w:rPr>
      </w:pPr>
      <w:r>
        <w:rPr>
          <w:rFonts w:hint="eastAsia" w:ascii="宋体" w:hAnsi="宋体" w:cs="宋体"/>
          <w:color w:val="auto"/>
          <w:kern w:val="0"/>
          <w:sz w:val="24"/>
          <w:szCs w:val="24"/>
          <w:lang w:bidi="ar"/>
        </w:rPr>
        <w:t xml:space="preserve">3.正确编制投标文件。投标人使用工具制作电子投标文件时生成两个文件，一个 </w:t>
      </w:r>
    </w:p>
    <w:p w14:paraId="7A409E20">
      <w:pPr>
        <w:widowControl/>
        <w:jc w:val="left"/>
        <w:rPr>
          <w:color w:val="auto"/>
        </w:rPr>
      </w:pPr>
      <w:r>
        <w:rPr>
          <w:rFonts w:hint="eastAsia" w:ascii="宋体" w:hAnsi="宋体" w:cs="宋体"/>
          <w:color w:val="auto"/>
          <w:kern w:val="0"/>
          <w:sz w:val="24"/>
          <w:szCs w:val="24"/>
          <w:lang w:bidi="ar"/>
        </w:rPr>
        <w:t xml:space="preserve">是加密投标文件（格式为TRTF），用于上传到网上；另一个即为不加密.nTRTF格式文件，此文件请投标单位自行妥善保管，作为开标过程中投标单位的应急备用投标文件。（非加密投标文件仅在开标过程中技术人员确认为非投标人原因导致远程解密失败 时使用。当开标会现场招标代理要求提供时，由投标单位在30分钟内将非加密投标文件通过邮箱发送至代理机构邮箱）。投标人投标文件的编制和递交，应依照招标文件的规定进行。投标人如对正确使用招投标专用工具软件有疑问的，请提前和软件公司的服务人员联系。 </w:t>
      </w:r>
    </w:p>
    <w:p w14:paraId="1EA7E801">
      <w:pPr>
        <w:widowControl/>
        <w:jc w:val="left"/>
        <w:rPr>
          <w:color w:val="auto"/>
        </w:rPr>
      </w:pPr>
      <w:r>
        <w:rPr>
          <w:rFonts w:hint="eastAsia" w:ascii="宋体" w:hAnsi="宋体" w:cs="宋体"/>
          <w:color w:val="auto"/>
          <w:kern w:val="0"/>
          <w:sz w:val="24"/>
          <w:szCs w:val="24"/>
          <w:lang w:bidi="ar"/>
        </w:rPr>
        <w:t xml:space="preserve">4.及时反馈异常情况。如投标人在开标过程中遇到操作问题，请及时向软件公司 </w:t>
      </w:r>
    </w:p>
    <w:p w14:paraId="49A0B12A">
      <w:pPr>
        <w:widowControl/>
        <w:jc w:val="left"/>
        <w:rPr>
          <w:color w:val="auto"/>
        </w:rPr>
      </w:pPr>
      <w:r>
        <w:rPr>
          <w:rFonts w:hint="eastAsia" w:ascii="宋体" w:hAnsi="宋体" w:cs="宋体"/>
          <w:color w:val="auto"/>
          <w:kern w:val="0"/>
          <w:sz w:val="24"/>
          <w:szCs w:val="24"/>
          <w:lang w:bidi="ar"/>
        </w:rPr>
        <w:t xml:space="preserve">咨询反馈，联系电话：400998000或0856-3960513。 </w:t>
      </w:r>
    </w:p>
    <w:p w14:paraId="0E297F57">
      <w:pPr>
        <w:widowControl/>
        <w:jc w:val="left"/>
        <w:rPr>
          <w:color w:val="auto"/>
        </w:rPr>
      </w:pPr>
      <w:r>
        <w:rPr>
          <w:rFonts w:hint="eastAsia" w:ascii="宋体" w:hAnsi="宋体" w:cs="宋体"/>
          <w:color w:val="auto"/>
          <w:kern w:val="0"/>
          <w:sz w:val="24"/>
          <w:szCs w:val="24"/>
          <w:lang w:bidi="ar"/>
        </w:rPr>
        <w:t xml:space="preserve">四、投标单位可通过登录界面或铜仁市公共资源交易平台首页“资料下载”模块 </w:t>
      </w:r>
    </w:p>
    <w:p w14:paraId="32407CA1">
      <w:pPr>
        <w:widowControl/>
        <w:jc w:val="left"/>
        <w:rPr>
          <w:color w:val="auto"/>
        </w:rPr>
      </w:pPr>
      <w:r>
        <w:rPr>
          <w:rFonts w:hint="eastAsia" w:ascii="宋体" w:hAnsi="宋体" w:cs="宋体"/>
          <w:color w:val="auto"/>
          <w:kern w:val="0"/>
          <w:sz w:val="24"/>
          <w:szCs w:val="24"/>
          <w:lang w:bidi="ar"/>
        </w:rPr>
        <w:t xml:space="preserve">进行下载、办理新点标证通（移动 CA 数字证书）参与本项目投标，使用新点标证通 </w:t>
      </w:r>
    </w:p>
    <w:p w14:paraId="4DEF870C">
      <w:pPr>
        <w:widowControl/>
        <w:jc w:val="left"/>
        <w:rPr>
          <w:color w:val="auto"/>
        </w:rPr>
      </w:pPr>
      <w:r>
        <w:rPr>
          <w:rFonts w:hint="eastAsia" w:ascii="宋体" w:hAnsi="宋体" w:cs="宋体"/>
          <w:color w:val="auto"/>
          <w:kern w:val="0"/>
          <w:sz w:val="24"/>
          <w:szCs w:val="24"/>
          <w:lang w:bidi="ar"/>
        </w:rPr>
        <w:t xml:space="preserve">（移动 CA 数字证书）可完成系统登录、加解密、签章等操作。（需注意使用新点标 </w:t>
      </w:r>
    </w:p>
    <w:p w14:paraId="41560018">
      <w:pPr>
        <w:widowControl/>
        <w:jc w:val="left"/>
        <w:rPr>
          <w:color w:val="auto"/>
        </w:rPr>
      </w:pPr>
      <w:r>
        <w:rPr>
          <w:rFonts w:hint="eastAsia" w:ascii="宋体" w:hAnsi="宋体" w:cs="宋体"/>
          <w:color w:val="auto"/>
          <w:kern w:val="0"/>
          <w:sz w:val="24"/>
          <w:szCs w:val="24"/>
          <w:lang w:bidi="ar"/>
        </w:rPr>
        <w:t xml:space="preserve">证通加密的投标文件，需用新点标证通（移动 CA 数字证书）进行解密。） </w:t>
      </w:r>
    </w:p>
    <w:p w14:paraId="5D2D571B">
      <w:pPr>
        <w:widowControl/>
        <w:jc w:val="left"/>
        <w:rPr>
          <w:color w:val="auto"/>
        </w:rPr>
      </w:pPr>
      <w:r>
        <w:rPr>
          <w:rFonts w:hint="eastAsia" w:ascii="宋体" w:hAnsi="宋体" w:cs="宋体"/>
          <w:color w:val="auto"/>
          <w:kern w:val="0"/>
          <w:sz w:val="24"/>
          <w:szCs w:val="24"/>
          <w:lang w:bidi="ar"/>
        </w:rPr>
        <w:t xml:space="preserve">五、如更正公告有重新发布电子谈判文件的，供应商需使用更正公告后最新发布 </w:t>
      </w:r>
    </w:p>
    <w:p w14:paraId="04333966">
      <w:pPr>
        <w:widowControl/>
        <w:jc w:val="left"/>
        <w:rPr>
          <w:color w:val="auto"/>
        </w:rPr>
      </w:pPr>
      <w:r>
        <w:rPr>
          <w:rFonts w:hint="eastAsia" w:ascii="宋体" w:hAnsi="宋体" w:cs="宋体"/>
          <w:color w:val="auto"/>
          <w:kern w:val="0"/>
          <w:sz w:val="24"/>
          <w:szCs w:val="24"/>
          <w:lang w:bidi="ar"/>
        </w:rPr>
        <w:t xml:space="preserve">的电子谈判文件来制作电子响应文件，否则将无法正常提交电子响应文件。 </w:t>
      </w:r>
    </w:p>
    <w:p w14:paraId="3B194940">
      <w:pPr>
        <w:widowControl/>
        <w:jc w:val="left"/>
        <w:rPr>
          <w:color w:val="auto"/>
        </w:rPr>
      </w:pPr>
      <w:r>
        <w:rPr>
          <w:rFonts w:hint="eastAsia" w:ascii="宋体" w:hAnsi="宋体" w:cs="宋体"/>
          <w:color w:val="auto"/>
          <w:kern w:val="0"/>
          <w:sz w:val="24"/>
          <w:szCs w:val="24"/>
          <w:lang w:bidi="ar"/>
        </w:rPr>
        <w:t xml:space="preserve">六、供应商需在提交首次响应文件截止时间前完整上传电子响应文件并保存在交 </w:t>
      </w:r>
    </w:p>
    <w:p w14:paraId="7B179DBD">
      <w:pPr>
        <w:widowControl/>
        <w:jc w:val="left"/>
        <w:rPr>
          <w:color w:val="auto"/>
        </w:rPr>
      </w:pPr>
      <w:r>
        <w:rPr>
          <w:rFonts w:hint="eastAsia" w:ascii="宋体" w:hAnsi="宋体" w:cs="宋体"/>
          <w:color w:val="auto"/>
          <w:kern w:val="0"/>
          <w:sz w:val="24"/>
          <w:szCs w:val="24"/>
          <w:lang w:bidi="ar"/>
        </w:rPr>
        <w:t xml:space="preserve">易中心政府采购交易系统，且取得回执。采购代理机构恕不接收逾期送达或错误投递 </w:t>
      </w:r>
    </w:p>
    <w:p w14:paraId="160D6919">
      <w:pPr>
        <w:widowControl/>
        <w:jc w:val="left"/>
        <w:rPr>
          <w:color w:val="auto"/>
        </w:rPr>
      </w:pPr>
      <w:r>
        <w:rPr>
          <w:rFonts w:hint="eastAsia" w:ascii="宋体" w:hAnsi="宋体" w:cs="宋体"/>
          <w:color w:val="auto"/>
          <w:kern w:val="0"/>
          <w:sz w:val="24"/>
          <w:szCs w:val="24"/>
          <w:lang w:bidi="ar"/>
        </w:rPr>
        <w:t xml:space="preserve">方式送达的响应文件。 </w:t>
      </w:r>
    </w:p>
    <w:p w14:paraId="7322EB01">
      <w:pPr>
        <w:widowControl/>
        <w:jc w:val="left"/>
        <w:rPr>
          <w:color w:val="auto"/>
        </w:rPr>
      </w:pPr>
      <w:r>
        <w:rPr>
          <w:rFonts w:hint="eastAsia" w:ascii="宋体" w:hAnsi="宋体" w:cs="宋体"/>
          <w:color w:val="auto"/>
          <w:kern w:val="0"/>
          <w:sz w:val="24"/>
          <w:szCs w:val="24"/>
          <w:lang w:bidi="ar"/>
        </w:rPr>
        <w:t xml:space="preserve">七、项目评审时，对供应商部分信息直接取自供应商在交易中心企业诚信库登记 </w:t>
      </w:r>
    </w:p>
    <w:p w14:paraId="63253306">
      <w:pPr>
        <w:widowControl/>
        <w:jc w:val="left"/>
        <w:rPr>
          <w:color w:val="auto"/>
        </w:rPr>
      </w:pPr>
      <w:r>
        <w:rPr>
          <w:rFonts w:hint="eastAsia" w:ascii="宋体" w:hAnsi="宋体" w:cs="宋体"/>
          <w:color w:val="auto"/>
          <w:kern w:val="0"/>
          <w:sz w:val="24"/>
          <w:szCs w:val="24"/>
          <w:lang w:bidi="ar"/>
        </w:rPr>
        <w:t xml:space="preserve">的信息，请供应商及时维护、更新企业诚信库的信息，确保其时效性。 </w:t>
      </w:r>
    </w:p>
    <w:p w14:paraId="5C1EF39C">
      <w:pPr>
        <w:widowControl/>
        <w:jc w:val="left"/>
        <w:rPr>
          <w:color w:val="auto"/>
        </w:rPr>
      </w:pPr>
      <w:r>
        <w:rPr>
          <w:rFonts w:hint="eastAsia" w:ascii="宋体" w:hAnsi="宋体" w:cs="宋体"/>
          <w:color w:val="auto"/>
          <w:kern w:val="0"/>
          <w:sz w:val="24"/>
          <w:szCs w:val="24"/>
          <w:lang w:bidi="ar"/>
        </w:rPr>
        <w:t xml:space="preserve">八、供应商一旦依法被确认为成交供应商，其响应文件中的相关内容（主要成交 </w:t>
      </w:r>
    </w:p>
    <w:p w14:paraId="14167A69">
      <w:pPr>
        <w:widowControl/>
        <w:jc w:val="left"/>
        <w:rPr>
          <w:color w:val="auto"/>
        </w:rPr>
      </w:pPr>
      <w:r>
        <w:rPr>
          <w:rFonts w:hint="eastAsia" w:ascii="宋体" w:hAnsi="宋体" w:cs="宋体"/>
          <w:color w:val="auto"/>
          <w:kern w:val="0"/>
          <w:sz w:val="24"/>
          <w:szCs w:val="24"/>
          <w:lang w:bidi="ar"/>
        </w:rPr>
        <w:t xml:space="preserve">标的的名称、规格型号、数量、单价、服务要求等），将会随成交结果公告一并发布 </w:t>
      </w:r>
    </w:p>
    <w:p w14:paraId="41933AC9">
      <w:pPr>
        <w:widowControl/>
        <w:jc w:val="left"/>
        <w:rPr>
          <w:color w:val="auto"/>
        </w:rPr>
      </w:pPr>
      <w:r>
        <w:rPr>
          <w:rFonts w:hint="eastAsia" w:ascii="宋体" w:hAnsi="宋体" w:cs="宋体"/>
          <w:color w:val="auto"/>
          <w:kern w:val="0"/>
          <w:sz w:val="24"/>
          <w:szCs w:val="24"/>
          <w:lang w:bidi="ar"/>
        </w:rPr>
        <w:t xml:space="preserve">在采购信息发布网上，接受社会监督。 </w:t>
      </w:r>
    </w:p>
    <w:p w14:paraId="31C8057D">
      <w:pPr>
        <w:widowControl/>
        <w:jc w:val="left"/>
        <w:rPr>
          <w:color w:val="auto"/>
        </w:rPr>
      </w:pPr>
      <w:r>
        <w:rPr>
          <w:rFonts w:hint="eastAsia" w:ascii="宋体" w:hAnsi="宋体" w:cs="宋体"/>
          <w:color w:val="auto"/>
          <w:kern w:val="0"/>
          <w:sz w:val="24"/>
          <w:szCs w:val="24"/>
          <w:lang w:bidi="ar"/>
        </w:rPr>
        <w:t xml:space="preserve">九、采购代理机构不对供应商报名时提交的相关资料的真实性负责，如供应商发 </w:t>
      </w:r>
    </w:p>
    <w:p w14:paraId="5EED0518">
      <w:pPr>
        <w:widowControl/>
        <w:jc w:val="left"/>
        <w:rPr>
          <w:color w:val="auto"/>
        </w:rPr>
      </w:pPr>
      <w:r>
        <w:rPr>
          <w:rFonts w:hint="eastAsia" w:ascii="宋体" w:hAnsi="宋体" w:cs="宋体"/>
          <w:color w:val="auto"/>
          <w:kern w:val="0"/>
          <w:sz w:val="24"/>
          <w:szCs w:val="24"/>
          <w:lang w:bidi="ar"/>
        </w:rPr>
        <w:t xml:space="preserve">现相关资料被盗用或复制，应遵循法律途径解决，追究侵权者责任。 </w:t>
      </w:r>
    </w:p>
    <w:p w14:paraId="0CBFC082">
      <w:pPr>
        <w:widowControl/>
        <w:jc w:val="left"/>
        <w:rPr>
          <w:color w:val="auto"/>
        </w:rPr>
      </w:pPr>
      <w:r>
        <w:rPr>
          <w:rFonts w:hint="eastAsia" w:ascii="宋体" w:hAnsi="宋体" w:cs="宋体"/>
          <w:b/>
          <w:bCs/>
          <w:color w:val="auto"/>
          <w:kern w:val="0"/>
          <w:sz w:val="20"/>
          <w:szCs w:val="20"/>
          <w:lang w:bidi="ar"/>
        </w:rPr>
        <w:t>（本提示内容非采购文件的组成部分，仅为善意提醒。如有不一致，以采购文件为准。）</w:t>
      </w:r>
    </w:p>
    <w:p w14:paraId="08CE0AAE">
      <w:pPr>
        <w:autoSpaceDE w:val="0"/>
        <w:autoSpaceDN w:val="0"/>
        <w:adjustRightInd w:val="0"/>
        <w:spacing w:line="360" w:lineRule="auto"/>
        <w:jc w:val="center"/>
        <w:rPr>
          <w:rStyle w:val="72"/>
          <w:rFonts w:hint="eastAsia" w:ascii="方正小标宋简体" w:hAnsi="方正小标宋简体" w:eastAsia="方正小标宋简体" w:cs="方正小标宋简体"/>
          <w:color w:val="auto"/>
          <w:sz w:val="44"/>
          <w:szCs w:val="44"/>
        </w:rPr>
      </w:pPr>
      <w:bookmarkStart w:id="19" w:name="EB841e90202f4b44238c0154d46d4a87d9"/>
      <w:bookmarkEnd w:id="19"/>
    </w:p>
    <w:p w14:paraId="3D4F684A">
      <w:pPr>
        <w:autoSpaceDE w:val="0"/>
        <w:autoSpaceDN w:val="0"/>
        <w:adjustRightInd w:val="0"/>
        <w:spacing w:line="360" w:lineRule="auto"/>
        <w:jc w:val="center"/>
        <w:rPr>
          <w:rStyle w:val="72"/>
          <w:rFonts w:hint="eastAsia" w:ascii="方正小标宋简体" w:hAnsi="方正小标宋简体" w:eastAsia="方正小标宋简体" w:cs="方正小标宋简体"/>
          <w:color w:val="auto"/>
          <w:sz w:val="44"/>
          <w:szCs w:val="44"/>
        </w:rPr>
      </w:pPr>
    </w:p>
    <w:p w14:paraId="2C6EF357">
      <w:pPr>
        <w:autoSpaceDE w:val="0"/>
        <w:autoSpaceDN w:val="0"/>
        <w:adjustRightInd w:val="0"/>
        <w:spacing w:line="360" w:lineRule="auto"/>
        <w:jc w:val="center"/>
        <w:rPr>
          <w:rStyle w:val="72"/>
          <w:rFonts w:hint="eastAsia" w:ascii="方正小标宋简体" w:hAnsi="方正小标宋简体" w:eastAsia="方正小标宋简体" w:cs="方正小标宋简体"/>
          <w:color w:val="auto"/>
          <w:sz w:val="44"/>
          <w:szCs w:val="44"/>
        </w:rPr>
      </w:pPr>
    </w:p>
    <w:p w14:paraId="684F5FC6">
      <w:pPr>
        <w:autoSpaceDE w:val="0"/>
        <w:autoSpaceDN w:val="0"/>
        <w:adjustRightInd w:val="0"/>
        <w:spacing w:line="360" w:lineRule="auto"/>
        <w:jc w:val="center"/>
        <w:rPr>
          <w:rStyle w:val="72"/>
          <w:rFonts w:hint="eastAsia" w:ascii="方正小标宋简体" w:hAnsi="方正小标宋简体" w:eastAsia="方正小标宋简体" w:cs="方正小标宋简体"/>
          <w:color w:val="auto"/>
          <w:sz w:val="44"/>
          <w:szCs w:val="44"/>
        </w:rPr>
      </w:pPr>
    </w:p>
    <w:p w14:paraId="6CAEDD9B">
      <w:pPr>
        <w:autoSpaceDE w:val="0"/>
        <w:autoSpaceDN w:val="0"/>
        <w:adjustRightInd w:val="0"/>
        <w:spacing w:line="360" w:lineRule="auto"/>
        <w:jc w:val="both"/>
        <w:rPr>
          <w:rStyle w:val="72"/>
          <w:rFonts w:hint="eastAsia" w:ascii="方正小标宋简体" w:hAnsi="方正小标宋简体" w:eastAsia="方正小标宋简体" w:cs="方正小标宋简体"/>
          <w:color w:val="auto"/>
          <w:sz w:val="44"/>
          <w:szCs w:val="44"/>
          <w:lang w:val="en-US" w:eastAsia="zh-CN"/>
        </w:rPr>
      </w:pPr>
    </w:p>
    <w:p w14:paraId="00779B09">
      <w:pPr>
        <w:autoSpaceDE w:val="0"/>
        <w:autoSpaceDN w:val="0"/>
        <w:adjustRightInd w:val="0"/>
        <w:spacing w:line="360" w:lineRule="auto"/>
        <w:jc w:val="center"/>
        <w:rPr>
          <w:rStyle w:val="72"/>
          <w:rFonts w:hint="default" w:ascii="方正小标宋简体" w:hAnsi="方正小标宋简体" w:eastAsia="方正小标宋简体" w:cs="方正小标宋简体"/>
          <w:color w:val="000000"/>
          <w:sz w:val="36"/>
          <w:szCs w:val="36"/>
          <w:lang w:val="en-US" w:eastAsia="zh-CN"/>
        </w:rPr>
      </w:pPr>
      <w:r>
        <w:rPr>
          <w:rStyle w:val="72"/>
          <w:rFonts w:hint="eastAsia" w:ascii="方正小标宋简体" w:hAnsi="方正小标宋简体" w:eastAsia="方正小标宋简体" w:cs="方正小标宋简体"/>
          <w:color w:val="000000"/>
          <w:sz w:val="36"/>
          <w:szCs w:val="36"/>
          <w:lang w:val="en-US" w:eastAsia="zh-CN"/>
        </w:rPr>
        <w:t>第一章 招标公告</w:t>
      </w:r>
    </w:p>
    <w:p w14:paraId="4EA7074F">
      <w:pPr>
        <w:pBdr>
          <w:top w:val="single" w:color="auto" w:sz="4" w:space="1"/>
          <w:left w:val="single" w:color="auto" w:sz="4" w:space="4"/>
          <w:bottom w:val="single" w:color="auto" w:sz="4" w:space="1"/>
          <w:right w:val="single" w:color="auto" w:sz="4" w:space="4"/>
        </w:pBdr>
        <w:ind w:firstLine="480" w:firstLineChars="200"/>
        <w:rPr>
          <w:rFonts w:hint="eastAsia" w:ascii="黑体" w:hAnsi="黑体" w:eastAsia="黑体" w:cs="黑体"/>
          <w:color w:val="000000"/>
          <w:sz w:val="24"/>
          <w:szCs w:val="24"/>
        </w:rPr>
      </w:pPr>
      <w:bookmarkStart w:id="20" w:name="_Toc35393622"/>
      <w:bookmarkStart w:id="21" w:name="_Toc28359003"/>
      <w:bookmarkStart w:id="22" w:name="_Toc28359080"/>
      <w:bookmarkStart w:id="23" w:name="_Toc35393791"/>
      <w:r>
        <w:rPr>
          <w:rFonts w:hint="eastAsia" w:ascii="黑体" w:hAnsi="黑体" w:eastAsia="黑体" w:cs="黑体"/>
          <w:color w:val="000000"/>
          <w:sz w:val="24"/>
          <w:szCs w:val="24"/>
        </w:rPr>
        <w:t>项目概况</w:t>
      </w:r>
    </w:p>
    <w:p w14:paraId="14326D3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bCs/>
          <w:color w:val="000000"/>
          <w:kern w:val="0"/>
          <w:sz w:val="24"/>
          <w:szCs w:val="24"/>
          <w:u w:val="none"/>
          <w:lang w:val="en-US" w:eastAsia="zh-CN" w:bidi="ar-SA"/>
        </w:rPr>
      </w:pPr>
      <w:r>
        <w:rPr>
          <w:rFonts w:hint="eastAsia" w:ascii="宋体" w:hAnsi="宋体" w:eastAsia="宋体" w:cs="宋体"/>
          <w:bCs/>
          <w:color w:val="000000"/>
          <w:kern w:val="0"/>
          <w:sz w:val="24"/>
          <w:szCs w:val="24"/>
          <w:u w:val="single"/>
          <w:lang w:val="en-US" w:eastAsia="zh-CN" w:bidi="ar-SA"/>
        </w:rPr>
        <w:t>德江县第四中学教育教学设施设备采购项目</w:t>
      </w:r>
      <w:r>
        <w:rPr>
          <w:rFonts w:hint="eastAsia" w:ascii="宋体" w:hAnsi="宋体" w:eastAsia="宋体" w:cs="宋体"/>
          <w:bCs/>
          <w:color w:val="000000"/>
          <w:kern w:val="0"/>
          <w:sz w:val="24"/>
          <w:szCs w:val="24"/>
          <w:u w:val="none"/>
          <w:lang w:val="en-US" w:eastAsia="zh-CN" w:bidi="ar-SA"/>
        </w:rPr>
        <w:t xml:space="preserve">招标项目的潜在投标人应在全国公共资源交易平台（贵州省•铜仁市）获取招标文件，并于 </w:t>
      </w:r>
      <w:r>
        <w:rPr>
          <w:rFonts w:hint="eastAsia" w:ascii="宋体" w:hAnsi="宋体" w:eastAsia="宋体" w:cs="宋体"/>
          <w:bCs/>
          <w:color w:val="000000"/>
          <w:kern w:val="0"/>
          <w:sz w:val="24"/>
          <w:szCs w:val="24"/>
          <w:u w:val="single"/>
          <w:lang w:val="en-US" w:eastAsia="zh-CN" w:bidi="ar-SA"/>
        </w:rPr>
        <w:t>2025年   月   日 09 点 30 分</w:t>
      </w:r>
      <w:r>
        <w:rPr>
          <w:rFonts w:hint="eastAsia" w:ascii="宋体" w:hAnsi="宋体" w:eastAsia="宋体" w:cs="宋体"/>
          <w:bCs/>
          <w:color w:val="000000"/>
          <w:kern w:val="0"/>
          <w:sz w:val="24"/>
          <w:szCs w:val="24"/>
          <w:u w:val="none"/>
          <w:lang w:val="en-US" w:eastAsia="zh-CN" w:bidi="ar-SA"/>
        </w:rPr>
        <w:t>（北京时间）前递交投标文件。</w:t>
      </w:r>
    </w:p>
    <w:p w14:paraId="2B467B63">
      <w:pPr>
        <w:keepNext/>
        <w:keepLines/>
        <w:spacing w:before="260" w:line="360" w:lineRule="auto"/>
        <w:ind w:firstLine="480" w:firstLineChars="200"/>
        <w:outlineLvl w:val="1"/>
        <w:rPr>
          <w:rFonts w:hint="eastAsia" w:ascii="黑体" w:hAnsi="黑体" w:eastAsia="黑体" w:cs="黑体"/>
          <w:bCs/>
          <w:color w:val="000000"/>
          <w:sz w:val="24"/>
          <w:szCs w:val="24"/>
        </w:rPr>
      </w:pPr>
      <w:bookmarkStart w:id="24" w:name="_Toc35393621"/>
      <w:bookmarkStart w:id="25" w:name="_Toc28359002"/>
      <w:bookmarkStart w:id="26" w:name="_Toc35393790"/>
      <w:bookmarkStart w:id="27" w:name="_Toc28359079"/>
      <w:bookmarkStart w:id="28" w:name="_Hlk24379207"/>
      <w:r>
        <w:rPr>
          <w:rFonts w:hint="eastAsia" w:ascii="黑体" w:hAnsi="黑体" w:eastAsia="黑体" w:cs="黑体"/>
          <w:bCs/>
          <w:color w:val="000000"/>
          <w:sz w:val="24"/>
          <w:szCs w:val="24"/>
        </w:rPr>
        <w:t>一、项目基本情况</w:t>
      </w:r>
      <w:bookmarkEnd w:id="24"/>
      <w:bookmarkEnd w:id="25"/>
      <w:bookmarkEnd w:id="26"/>
      <w:bookmarkEnd w:id="27"/>
    </w:p>
    <w:p w14:paraId="6869F2B9">
      <w:pPr>
        <w:spacing w:line="360" w:lineRule="auto"/>
        <w:rPr>
          <w:rFonts w:hint="default" w:ascii="宋体" w:hAnsi="宋体" w:eastAsia="宋体" w:cs="宋体"/>
          <w:color w:val="000000"/>
          <w:sz w:val="24"/>
          <w:szCs w:val="24"/>
          <w:u w:val="none"/>
          <w:lang w:val="en-US" w:eastAsia="zh-CN"/>
        </w:rPr>
      </w:pPr>
      <w:r>
        <w:rPr>
          <w:rFonts w:hint="eastAsia" w:ascii="宋体" w:hAnsi="宋体" w:cs="宋体"/>
          <w:b/>
          <w:bCs/>
          <w:color w:val="000000"/>
          <w:sz w:val="24"/>
          <w:szCs w:val="24"/>
          <w:u w:val="none"/>
        </w:rPr>
        <w:t>项目编号：</w:t>
      </w:r>
      <w:r>
        <w:rPr>
          <w:rFonts w:hint="eastAsia" w:ascii="宋体" w:hAnsi="宋体" w:cs="宋体"/>
          <w:color w:val="000000"/>
          <w:sz w:val="24"/>
          <w:szCs w:val="24"/>
          <w:u w:val="none"/>
        </w:rPr>
        <w:t>TRHMF-202</w:t>
      </w:r>
      <w:r>
        <w:rPr>
          <w:rFonts w:hint="eastAsia" w:ascii="宋体" w:hAnsi="宋体" w:cs="宋体"/>
          <w:color w:val="000000"/>
          <w:sz w:val="24"/>
          <w:szCs w:val="24"/>
          <w:u w:val="none"/>
          <w:lang w:val="en-US" w:eastAsia="zh-CN"/>
        </w:rPr>
        <w:t>5</w:t>
      </w:r>
      <w:r>
        <w:rPr>
          <w:rFonts w:hint="eastAsia" w:ascii="宋体" w:hAnsi="宋体" w:cs="宋体"/>
          <w:color w:val="000000"/>
          <w:sz w:val="24"/>
          <w:szCs w:val="24"/>
          <w:u w:val="none"/>
        </w:rPr>
        <w:t>-0</w:t>
      </w:r>
      <w:r>
        <w:rPr>
          <w:rFonts w:hint="eastAsia" w:ascii="宋体" w:hAnsi="宋体" w:cs="宋体"/>
          <w:color w:val="000000"/>
          <w:sz w:val="24"/>
          <w:szCs w:val="24"/>
          <w:u w:val="none"/>
          <w:lang w:val="en-US" w:eastAsia="zh-CN"/>
        </w:rPr>
        <w:t>14</w:t>
      </w:r>
    </w:p>
    <w:p w14:paraId="7E628355">
      <w:pPr>
        <w:spacing w:line="360" w:lineRule="auto"/>
        <w:rPr>
          <w:rFonts w:hint="eastAsia" w:ascii="宋体" w:hAnsi="宋体" w:cs="宋体"/>
          <w:color w:val="000000"/>
          <w:sz w:val="24"/>
          <w:szCs w:val="24"/>
          <w:u w:val="none"/>
          <w:lang w:val="en-US" w:eastAsia="zh-CN"/>
        </w:rPr>
      </w:pPr>
      <w:r>
        <w:rPr>
          <w:rFonts w:hint="eastAsia" w:ascii="宋体" w:hAnsi="宋体" w:cs="宋体"/>
          <w:b/>
          <w:bCs/>
          <w:color w:val="000000"/>
          <w:sz w:val="24"/>
          <w:szCs w:val="24"/>
          <w:u w:val="none"/>
        </w:rPr>
        <w:t>项目名称</w:t>
      </w:r>
      <w:r>
        <w:rPr>
          <w:rFonts w:hint="eastAsia" w:ascii="宋体" w:hAnsi="宋体" w:eastAsia="宋体" w:cs="宋体"/>
          <w:color w:val="000000"/>
          <w:sz w:val="24"/>
          <w:szCs w:val="24"/>
          <w:u w:val="none"/>
        </w:rPr>
        <w:t>：</w:t>
      </w:r>
      <w:bookmarkEnd w:id="28"/>
      <w:r>
        <w:rPr>
          <w:rFonts w:hint="eastAsia" w:ascii="宋体" w:hAnsi="宋体" w:cs="宋体"/>
          <w:color w:val="000000"/>
          <w:sz w:val="24"/>
          <w:szCs w:val="24"/>
          <w:u w:val="none"/>
          <w:lang w:val="en-US" w:eastAsia="zh-CN"/>
        </w:rPr>
        <w:t>德江县第四中学教育教学设施设备采购项目</w:t>
      </w:r>
    </w:p>
    <w:p w14:paraId="16367862">
      <w:pPr>
        <w:spacing w:line="360" w:lineRule="auto"/>
        <w:rPr>
          <w:rFonts w:hint="eastAsia" w:ascii="宋体" w:hAnsi="宋体" w:cs="宋体"/>
          <w:color w:val="000000"/>
          <w:sz w:val="24"/>
          <w:szCs w:val="24"/>
          <w:u w:val="none"/>
        </w:rPr>
      </w:pPr>
      <w:r>
        <w:rPr>
          <w:rFonts w:hint="eastAsia" w:ascii="宋体" w:hAnsi="宋体" w:cs="宋体"/>
          <w:b/>
          <w:bCs/>
          <w:color w:val="000000"/>
          <w:sz w:val="24"/>
          <w:szCs w:val="24"/>
          <w:u w:val="none"/>
        </w:rPr>
        <w:t>采购方式：</w:t>
      </w:r>
      <w:r>
        <w:rPr>
          <w:rFonts w:hint="eastAsia" w:ascii="宋体" w:hAnsi="宋体" w:cs="宋体"/>
          <w:color w:val="000000"/>
          <w:sz w:val="24"/>
          <w:szCs w:val="24"/>
          <w:u w:val="none"/>
        </w:rPr>
        <w:t xml:space="preserve"> 公开招标  </w:t>
      </w:r>
    </w:p>
    <w:p w14:paraId="6D67246F">
      <w:pPr>
        <w:spacing w:line="360" w:lineRule="auto"/>
        <w:jc w:val="both"/>
        <w:rPr>
          <w:rFonts w:hint="eastAsia" w:ascii="宋体" w:hAnsi="宋体" w:eastAsia="宋体" w:cs="宋体"/>
          <w:color w:val="000000"/>
          <w:sz w:val="24"/>
          <w:szCs w:val="24"/>
          <w:u w:val="none"/>
          <w:lang w:val="en-US" w:eastAsia="zh-CN"/>
        </w:rPr>
      </w:pPr>
      <w:r>
        <w:rPr>
          <w:rFonts w:hint="eastAsia" w:ascii="宋体" w:hAnsi="宋体" w:cs="宋体"/>
          <w:b/>
          <w:bCs/>
          <w:color w:val="000000"/>
          <w:sz w:val="24"/>
          <w:szCs w:val="24"/>
          <w:u w:val="none"/>
        </w:rPr>
        <w:t>预算金额：</w:t>
      </w:r>
      <w:r>
        <w:rPr>
          <w:rFonts w:hint="eastAsia" w:ascii="宋体" w:hAnsi="宋体" w:eastAsia="宋体" w:cs="宋体"/>
          <w:color w:val="000000"/>
          <w:sz w:val="24"/>
          <w:szCs w:val="24"/>
          <w:u w:val="none"/>
          <w:lang w:val="en-US" w:eastAsia="zh-CN"/>
        </w:rPr>
        <w:t>13500000.00元</w:t>
      </w:r>
    </w:p>
    <w:p w14:paraId="357316AB">
      <w:pPr>
        <w:spacing w:line="360" w:lineRule="auto"/>
        <w:jc w:val="both"/>
        <w:rPr>
          <w:rFonts w:hint="eastAsia" w:ascii="宋体" w:hAnsi="宋体" w:eastAsia="宋体" w:cs="宋体"/>
          <w:color w:val="000000"/>
          <w:sz w:val="24"/>
          <w:szCs w:val="24"/>
          <w:u w:val="none"/>
          <w:lang w:val="en-US" w:eastAsia="zh-CN"/>
        </w:rPr>
      </w:pPr>
      <w:r>
        <w:rPr>
          <w:rFonts w:hint="eastAsia" w:ascii="宋体" w:hAnsi="宋体" w:eastAsia="宋体" w:cs="宋体"/>
          <w:b/>
          <w:bCs/>
          <w:color w:val="000000"/>
          <w:sz w:val="24"/>
          <w:szCs w:val="24"/>
          <w:u w:val="none"/>
          <w:lang w:val="en-US" w:eastAsia="zh-CN"/>
        </w:rPr>
        <w:t>最高限价：</w:t>
      </w:r>
      <w:r>
        <w:rPr>
          <w:rFonts w:hint="eastAsia" w:ascii="宋体" w:hAnsi="宋体" w:eastAsia="宋体" w:cs="宋体"/>
          <w:color w:val="000000"/>
          <w:sz w:val="24"/>
          <w:szCs w:val="24"/>
          <w:u w:val="none"/>
          <w:lang w:val="en-US" w:eastAsia="zh-CN"/>
        </w:rPr>
        <w:t>11799000.00元</w:t>
      </w:r>
    </w:p>
    <w:p w14:paraId="30B08EA1">
      <w:pPr>
        <w:spacing w:line="360" w:lineRule="auto"/>
        <w:rPr>
          <w:rFonts w:hint="eastAsia" w:ascii="宋体" w:hAnsi="宋体" w:cs="宋体"/>
          <w:color w:val="000000"/>
          <w:sz w:val="24"/>
          <w:szCs w:val="24"/>
          <w:u w:val="none"/>
        </w:rPr>
      </w:pPr>
      <w:r>
        <w:rPr>
          <w:rFonts w:hint="eastAsia" w:ascii="宋体" w:hAnsi="宋体" w:cs="宋体"/>
          <w:b/>
          <w:bCs/>
          <w:color w:val="000000"/>
          <w:sz w:val="24"/>
          <w:szCs w:val="24"/>
          <w:u w:val="none"/>
        </w:rPr>
        <w:t>采购需求：</w:t>
      </w:r>
      <w:r>
        <w:rPr>
          <w:rFonts w:hint="eastAsia" w:ascii="宋体" w:hAnsi="宋体" w:cs="宋体"/>
          <w:color w:val="000000"/>
          <w:sz w:val="24"/>
          <w:szCs w:val="24"/>
          <w:u w:val="none"/>
        </w:rPr>
        <w:t>详见采购文件</w:t>
      </w:r>
    </w:p>
    <w:p w14:paraId="40783DF9">
      <w:pPr>
        <w:spacing w:line="360" w:lineRule="auto"/>
        <w:rPr>
          <w:rFonts w:hint="eastAsia" w:ascii="宋体" w:hAnsi="宋体" w:cs="宋体"/>
          <w:color w:val="000000"/>
          <w:sz w:val="24"/>
          <w:szCs w:val="24"/>
          <w:u w:val="none"/>
        </w:rPr>
      </w:pPr>
      <w:r>
        <w:rPr>
          <w:rFonts w:hint="eastAsia" w:ascii="宋体" w:hAnsi="宋体" w:cs="宋体"/>
          <w:b/>
          <w:bCs/>
          <w:color w:val="000000"/>
          <w:sz w:val="24"/>
          <w:szCs w:val="24"/>
          <w:u w:val="none"/>
        </w:rPr>
        <w:t>合同履行期限：</w:t>
      </w:r>
      <w:r>
        <w:rPr>
          <w:rFonts w:hint="eastAsia" w:ascii="宋体" w:hAnsi="宋体" w:cs="宋体"/>
          <w:color w:val="000000"/>
          <w:sz w:val="24"/>
          <w:szCs w:val="24"/>
          <w:u w:val="none"/>
        </w:rPr>
        <w:t>详见采购文件</w:t>
      </w:r>
    </w:p>
    <w:p w14:paraId="32DA9121">
      <w:pPr>
        <w:spacing w:line="360" w:lineRule="auto"/>
        <w:rPr>
          <w:rFonts w:hint="eastAsia" w:ascii="黑体" w:hAnsi="黑体" w:eastAsia="黑体" w:cs="黑体"/>
          <w:bCs/>
          <w:color w:val="000000"/>
          <w:sz w:val="24"/>
          <w:szCs w:val="24"/>
        </w:rPr>
      </w:pPr>
      <w:r>
        <w:rPr>
          <w:rFonts w:hint="eastAsia" w:ascii="宋体" w:hAnsi="宋体" w:cs="宋体"/>
          <w:b/>
          <w:bCs/>
          <w:color w:val="000000"/>
          <w:sz w:val="22"/>
          <w:szCs w:val="22"/>
        </w:rPr>
        <w:t>本项目（□是/ ☑否）接受联合体投标。</w:t>
      </w:r>
    </w:p>
    <w:bookmarkEnd w:id="20"/>
    <w:bookmarkEnd w:id="21"/>
    <w:bookmarkEnd w:id="22"/>
    <w:bookmarkEnd w:id="23"/>
    <w:p w14:paraId="15EB04F8">
      <w:pPr>
        <w:spacing w:line="360" w:lineRule="auto"/>
        <w:rPr>
          <w:rFonts w:hint="eastAsia" w:ascii="黑体" w:hAnsi="黑体" w:eastAsia="黑体" w:cs="宋体"/>
          <w:bCs/>
          <w:color w:val="000000"/>
          <w:sz w:val="24"/>
          <w:szCs w:val="24"/>
        </w:rPr>
      </w:pPr>
      <w:r>
        <w:rPr>
          <w:rFonts w:hint="eastAsia" w:ascii="黑体" w:hAnsi="黑体" w:eastAsia="黑体" w:cs="宋体"/>
          <w:bCs/>
          <w:color w:val="000000"/>
          <w:sz w:val="24"/>
          <w:szCs w:val="24"/>
        </w:rPr>
        <w:t>二、申请人的资格要求：</w:t>
      </w:r>
    </w:p>
    <w:p w14:paraId="1F95719C">
      <w:pPr>
        <w:spacing w:line="360" w:lineRule="auto"/>
        <w:jc w:val="both"/>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（一）满足《中华人民共和国政府采购法》第二十二条规定；</w:t>
      </w:r>
    </w:p>
    <w:p w14:paraId="6A625282">
      <w:pPr>
        <w:spacing w:line="360" w:lineRule="auto"/>
        <w:jc w:val="both"/>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（二）落实政府采购政策需满足的资格要求：按财库〔2022〕19号、财库〔2020〕46号、财库〔2017〕141号、财库〔2014〕68号和财政部印发“关于印发节能产品、环境标志产品政府采购品名清单的通知”执行。</w:t>
      </w:r>
    </w:p>
    <w:p w14:paraId="4F357369">
      <w:pPr>
        <w:spacing w:line="360" w:lineRule="auto"/>
        <w:jc w:val="both"/>
        <w:rPr>
          <w:rFonts w:hint="default"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 xml:space="preserve">（三）本项目的特定资格要求：  无  </w:t>
      </w:r>
    </w:p>
    <w:p w14:paraId="568836A9">
      <w:pPr>
        <w:spacing w:line="360" w:lineRule="auto"/>
        <w:jc w:val="both"/>
        <w:rPr>
          <w:rFonts w:hint="eastAsia" w:ascii="宋体" w:hAnsi="宋体" w:eastAsia="宋体" w:cs="宋体"/>
          <w:color w:val="000000"/>
          <w:sz w:val="24"/>
          <w:szCs w:val="24"/>
          <w:u w:val="none"/>
          <w:lang w:val="en-US" w:eastAsia="zh-CN"/>
        </w:rPr>
      </w:pP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四</w:t>
      </w:r>
      <w:r>
        <w:rPr>
          <w:rFonts w:hint="eastAsia" w:ascii="宋体" w:hAnsi="宋体" w:eastAsia="宋体" w:cs="宋体"/>
          <w:b w:val="0"/>
          <w:bCs w:val="0"/>
          <w:color w:val="000000"/>
          <w:sz w:val="24"/>
          <w:szCs w:val="24"/>
          <w:lang w:eastAsia="zh-CN"/>
        </w:rPr>
        <w:t>）</w:t>
      </w:r>
      <w:r>
        <w:rPr>
          <w:rFonts w:ascii="宋体" w:hAnsi="宋体" w:eastAsia="宋体" w:cs="宋体"/>
          <w:b/>
          <w:bCs/>
          <w:color w:val="000000"/>
          <w:sz w:val="24"/>
          <w:szCs w:val="24"/>
        </w:rPr>
        <w:t>本项目不是专门面向中小企业采购，若货物的制造商是中小企业，请供应商按 照《政府采购促进中小企业发展管理办法》（财库〔2020〕46 号）出具规定的《中 小企业声明函》。声明函内容不实的，属于提供虚假材料谋取中标、成交，依照《中 华人民共和国政府采购法》等国家有关规定追究相应责任。本项目所属行业为工业行 业。根据（财库〔2020〕46 号）第八条预留份额措施，本项目要求供应商以联合体形式参加采购活动，且联合体中中小企业承担的部分达到预算总额的 30%及以上（联</w:t>
      </w:r>
      <w:r>
        <w:rPr>
          <w:rFonts w:ascii="TimesNewRomanPSMT" w:hAnsi="TimesNewRomanPSMT" w:eastAsia="TimesNewRomanPSMT" w:cs="TimesNewRomanPSMT"/>
          <w:b w:val="0"/>
          <w:bCs w:val="0"/>
          <w:color w:val="000000"/>
          <w:sz w:val="18"/>
          <w:szCs w:val="18"/>
        </w:rPr>
        <w:t xml:space="preserve">6 </w:t>
      </w:r>
      <w:r>
        <w:rPr>
          <w:rFonts w:ascii="宋体" w:hAnsi="宋体" w:eastAsia="宋体" w:cs="宋体"/>
          <w:b/>
          <w:bCs/>
          <w:color w:val="000000"/>
          <w:sz w:val="24"/>
          <w:szCs w:val="24"/>
        </w:rPr>
        <w:t xml:space="preserve">合体协议中明确中小企业合同金额比例），即所投产品由中小企业制造的报价不低于 </w:t>
      </w:r>
      <w:r>
        <w:rPr>
          <w:rFonts w:hint="eastAsia" w:ascii="宋体" w:hAnsi="宋体" w:eastAsia="宋体" w:cs="宋体"/>
          <w:b/>
          <w:bCs/>
          <w:color w:val="000000"/>
          <w:sz w:val="24"/>
          <w:szCs w:val="24"/>
          <w:lang w:val="en-US" w:eastAsia="zh-CN"/>
        </w:rPr>
        <w:t>405</w:t>
      </w:r>
      <w:r>
        <w:rPr>
          <w:rFonts w:ascii="宋体" w:hAnsi="宋体" w:eastAsia="宋体" w:cs="宋体"/>
          <w:b/>
          <w:bCs/>
          <w:color w:val="000000"/>
          <w:sz w:val="24"/>
          <w:szCs w:val="24"/>
        </w:rPr>
        <w:t xml:space="preserve">万元，其中所投产品由小微企业制造的报价不低于 </w:t>
      </w:r>
      <w:r>
        <w:rPr>
          <w:rFonts w:hint="eastAsia" w:ascii="宋体" w:hAnsi="宋体" w:eastAsia="宋体" w:cs="宋体"/>
          <w:b/>
          <w:bCs/>
          <w:color w:val="000000"/>
          <w:sz w:val="24"/>
          <w:szCs w:val="24"/>
          <w:lang w:val="en-US" w:eastAsia="zh-CN"/>
        </w:rPr>
        <w:t>243</w:t>
      </w:r>
      <w:r>
        <w:rPr>
          <w:rFonts w:ascii="宋体" w:hAnsi="宋体" w:eastAsia="宋体" w:cs="宋体"/>
          <w:b/>
          <w:bCs/>
          <w:color w:val="000000"/>
          <w:sz w:val="24"/>
          <w:szCs w:val="24"/>
        </w:rPr>
        <w:t xml:space="preserve"> 万元。</w:t>
      </w:r>
    </w:p>
    <w:p w14:paraId="72797379">
      <w:pPr>
        <w:spacing w:line="360" w:lineRule="auto"/>
        <w:jc w:val="both"/>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注：1.本项目是电子开评标，请各位投标人携带CA前往交易中心投标。</w:t>
      </w:r>
    </w:p>
    <w:p w14:paraId="0107DDD2">
      <w:pPr>
        <w:spacing w:line="360" w:lineRule="auto"/>
        <w:jc w:val="both"/>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开标时，解密电子文件前，投标供应商需提供法人代表身份证或委托代理人持法人授权委托书及代理人身份证件原件(或电子身份证）。</w:t>
      </w:r>
    </w:p>
    <w:p w14:paraId="4C497B64">
      <w:pPr>
        <w:spacing w:line="360" w:lineRule="auto"/>
        <w:jc w:val="both"/>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如选择不见面开标，不审查此项资料。</w:t>
      </w:r>
    </w:p>
    <w:p w14:paraId="59E4117E">
      <w:pPr>
        <w:spacing w:line="360" w:lineRule="auto"/>
        <w:rPr>
          <w:rFonts w:hint="eastAsia" w:ascii="黑体" w:hAnsi="黑体" w:eastAsia="黑体" w:cs="黑体"/>
          <w:bCs/>
          <w:color w:val="000000"/>
          <w:sz w:val="24"/>
          <w:szCs w:val="24"/>
        </w:rPr>
      </w:pPr>
      <w:r>
        <w:rPr>
          <w:rFonts w:hint="eastAsia" w:ascii="黑体" w:hAnsi="黑体" w:eastAsia="黑体" w:cs="黑体"/>
          <w:bCs/>
          <w:color w:val="000000"/>
          <w:sz w:val="24"/>
          <w:szCs w:val="24"/>
        </w:rPr>
        <w:t>三、获取招标文件</w:t>
      </w:r>
    </w:p>
    <w:p w14:paraId="6B7775DC">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（一）时间：</w:t>
      </w:r>
      <w:r>
        <w:rPr>
          <w:rFonts w:hint="eastAsia" w:ascii="宋体" w:hAnsi="宋体" w:cs="宋体"/>
          <w:color w:val="000000"/>
          <w:sz w:val="24"/>
          <w:szCs w:val="24"/>
          <w:u w:val="single"/>
          <w:lang w:val="en-US" w:eastAsia="zh-CN"/>
        </w:rPr>
        <w:t>2025</w:t>
      </w:r>
      <w:r>
        <w:rPr>
          <w:rFonts w:hint="eastAsia" w:ascii="宋体" w:hAnsi="宋体" w:cs="宋体"/>
          <w:color w:val="000000"/>
          <w:sz w:val="24"/>
          <w:szCs w:val="24"/>
        </w:rPr>
        <w:t>年</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rPr>
        <w:t>月</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r>
        <w:rPr>
          <w:rFonts w:hint="eastAsia" w:ascii="宋体" w:hAnsi="宋体" w:cs="宋体"/>
          <w:color w:val="000000"/>
          <w:sz w:val="24"/>
          <w:szCs w:val="24"/>
          <w:u w:val="single"/>
        </w:rPr>
        <w:t xml:space="preserve"> 17:00  </w:t>
      </w:r>
      <w:r>
        <w:rPr>
          <w:rFonts w:hint="eastAsia" w:ascii="宋体" w:hAnsi="宋体" w:cs="宋体"/>
          <w:color w:val="000000"/>
          <w:sz w:val="24"/>
          <w:szCs w:val="24"/>
        </w:rPr>
        <w:t>至</w:t>
      </w:r>
      <w:r>
        <w:rPr>
          <w:rFonts w:hint="eastAsia" w:ascii="宋体" w:hAnsi="宋体" w:cs="宋体"/>
          <w:color w:val="000000"/>
          <w:sz w:val="24"/>
          <w:szCs w:val="24"/>
          <w:u w:val="single"/>
          <w:lang w:val="en-US" w:eastAsia="zh-CN"/>
        </w:rPr>
        <w:t>2025</w:t>
      </w:r>
      <w:r>
        <w:rPr>
          <w:rFonts w:hint="eastAsia" w:ascii="宋体" w:hAnsi="宋体" w:cs="宋体"/>
          <w:color w:val="000000"/>
          <w:sz w:val="24"/>
          <w:szCs w:val="24"/>
        </w:rPr>
        <w:t>年</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rPr>
        <w:t>日</w:t>
      </w:r>
      <w:r>
        <w:rPr>
          <w:rFonts w:hint="eastAsia" w:ascii="宋体" w:hAnsi="宋体" w:cs="宋体"/>
          <w:color w:val="000000"/>
          <w:sz w:val="24"/>
          <w:szCs w:val="24"/>
          <w:u w:val="single"/>
        </w:rPr>
        <w:t xml:space="preserve"> 17:00</w:t>
      </w:r>
      <w:r>
        <w:rPr>
          <w:rFonts w:hint="eastAsia" w:ascii="宋体" w:hAnsi="宋体" w:cs="宋体"/>
          <w:color w:val="000000"/>
          <w:sz w:val="24"/>
          <w:szCs w:val="24"/>
        </w:rPr>
        <w:t>（北京时间，法定节假日除外）</w:t>
      </w:r>
    </w:p>
    <w:p w14:paraId="5C4B6DD0">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（二）地点：全国公共资源交易平台（贵州省•铜仁市）</w:t>
      </w:r>
    </w:p>
    <w:p w14:paraId="17BB86F7">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（三）方式：网上免费获取</w:t>
      </w:r>
    </w:p>
    <w:p w14:paraId="4356AFD2">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（四）售价：人民币0元/套</w:t>
      </w:r>
    </w:p>
    <w:p w14:paraId="02F0BDA6">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注：投标人应随时登录贵州省政府采购网或全国公共资源交易平台（贵州省•铜仁市）（交易平台）查看、处理采购人发出的文件澄清、补充、更正等通知内容，如因投标人未及时上网查询导致的后果，由投标人自己承担。</w:t>
      </w:r>
    </w:p>
    <w:p w14:paraId="611795DF">
      <w:pPr>
        <w:spacing w:line="360" w:lineRule="auto"/>
        <w:ind w:firstLine="480" w:firstLineChars="200"/>
        <w:rPr>
          <w:rFonts w:hint="eastAsia" w:ascii="黑体" w:hAnsi="黑体" w:eastAsia="黑体" w:cs="黑体"/>
          <w:bCs/>
          <w:color w:val="000000"/>
          <w:sz w:val="24"/>
          <w:szCs w:val="24"/>
        </w:rPr>
      </w:pPr>
      <w:r>
        <w:rPr>
          <w:rFonts w:hint="eastAsia" w:ascii="黑体" w:hAnsi="黑体" w:eastAsia="黑体" w:cs="黑体"/>
          <w:bCs/>
          <w:color w:val="000000"/>
          <w:sz w:val="24"/>
          <w:szCs w:val="24"/>
        </w:rPr>
        <w:t>四、提交投标文件截止时间、开标时间和地点</w:t>
      </w:r>
    </w:p>
    <w:p w14:paraId="6ABE02EB">
      <w:pPr>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（一）时间：</w:t>
      </w:r>
      <w:r>
        <w:rPr>
          <w:rFonts w:hint="eastAsia" w:ascii="宋体" w:hAnsi="宋体" w:cs="宋体"/>
          <w:color w:val="000000"/>
          <w:sz w:val="24"/>
          <w:szCs w:val="24"/>
          <w:u w:val="single"/>
          <w:lang w:val="en-US" w:eastAsia="zh-CN"/>
        </w:rPr>
        <w:t>2025</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bCs/>
          <w:color w:val="000000"/>
          <w:sz w:val="24"/>
          <w:szCs w:val="24"/>
        </w:rPr>
        <w:t>点</w:t>
      </w:r>
      <w:r>
        <w:rPr>
          <w:rFonts w:hint="eastAsia" w:ascii="宋体" w:hAnsi="宋体" w:cs="宋体"/>
          <w:bCs/>
          <w:color w:val="000000"/>
          <w:sz w:val="24"/>
          <w:szCs w:val="24"/>
          <w:u w:val="single"/>
          <w:lang w:val="en-US" w:eastAsia="zh-CN"/>
        </w:rPr>
        <w:t xml:space="preserve">   </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分（北京时间）</w:t>
      </w:r>
    </w:p>
    <w:p w14:paraId="1DF0D1FC">
      <w:pPr>
        <w:pStyle w:val="41"/>
        <w:widowControl/>
        <w:shd w:val="clear" w:color="auto" w:fill="FFFFFF"/>
        <w:spacing w:beforeAutospacing="0" w:after="150" w:afterAutospacing="0" w:line="360" w:lineRule="auto"/>
        <w:ind w:firstLine="480" w:firstLineChars="200"/>
        <w:rPr>
          <w:rFonts w:hint="default" w:ascii="宋体" w:hAnsi="宋体" w:eastAsia="宋体" w:cs="宋体"/>
          <w:color w:val="000000"/>
          <w:kern w:val="0"/>
          <w:sz w:val="24"/>
          <w:szCs w:val="24"/>
          <w:lang w:val="en-US"/>
        </w:rPr>
      </w:pPr>
      <w:r>
        <w:rPr>
          <w:rFonts w:hint="eastAsia"/>
          <w:color w:val="000000"/>
          <w:sz w:val="24"/>
          <w:szCs w:val="24"/>
        </w:rPr>
        <w:t>（二）地</w:t>
      </w:r>
      <w:r>
        <w:rPr>
          <w:rFonts w:hint="eastAsia"/>
          <w:color w:val="000000"/>
          <w:kern w:val="0"/>
          <w:sz w:val="24"/>
          <w:szCs w:val="24"/>
        </w:rPr>
        <w:t>点：铜仁市公</w:t>
      </w:r>
      <w:r>
        <w:rPr>
          <w:rFonts w:hint="eastAsia" w:ascii="宋体" w:hAnsi="宋体" w:eastAsia="宋体" w:cs="宋体"/>
          <w:color w:val="000000"/>
          <w:kern w:val="0"/>
          <w:sz w:val="24"/>
          <w:szCs w:val="24"/>
        </w:rPr>
        <w:t>共资源交易中心德江县</w:t>
      </w:r>
      <w:r>
        <w:rPr>
          <w:rFonts w:hint="eastAsia" w:ascii="宋体" w:hAnsi="宋体" w:eastAsia="宋体" w:cs="宋体"/>
          <w:color w:val="000000"/>
          <w:kern w:val="0"/>
          <w:sz w:val="24"/>
          <w:szCs w:val="24"/>
          <w:lang w:val="en-US" w:eastAsia="zh-CN"/>
        </w:rPr>
        <w:t xml:space="preserve">分中心 </w:t>
      </w:r>
    </w:p>
    <w:p w14:paraId="2D520364">
      <w:pPr>
        <w:spacing w:line="360" w:lineRule="auto"/>
        <w:ind w:firstLine="480" w:firstLineChars="200"/>
        <w:rPr>
          <w:rFonts w:hint="eastAsia" w:ascii="黑体" w:hAnsi="黑体" w:eastAsia="黑体" w:cs="黑体"/>
          <w:bCs/>
          <w:color w:val="000000"/>
          <w:sz w:val="24"/>
          <w:szCs w:val="24"/>
        </w:rPr>
      </w:pPr>
      <w:r>
        <w:rPr>
          <w:rFonts w:hint="eastAsia" w:ascii="黑体" w:hAnsi="黑体" w:eastAsia="黑体" w:cs="黑体"/>
          <w:bCs/>
          <w:color w:val="000000"/>
          <w:sz w:val="24"/>
          <w:szCs w:val="24"/>
        </w:rPr>
        <w:t>五、公告期限</w:t>
      </w:r>
    </w:p>
    <w:p w14:paraId="2C9ED31A">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自本公告发布之日起5个工作日。</w:t>
      </w:r>
    </w:p>
    <w:p w14:paraId="78BC495F">
      <w:pPr>
        <w:spacing w:line="360" w:lineRule="auto"/>
        <w:ind w:firstLine="480" w:firstLineChars="200"/>
        <w:rPr>
          <w:rFonts w:hint="eastAsia" w:ascii="黑体" w:hAnsi="黑体" w:eastAsia="黑体" w:cs="黑体"/>
          <w:bCs/>
          <w:color w:val="000000"/>
          <w:sz w:val="24"/>
          <w:szCs w:val="24"/>
        </w:rPr>
      </w:pPr>
      <w:r>
        <w:rPr>
          <w:rFonts w:hint="eastAsia" w:ascii="黑体" w:hAnsi="黑体" w:eastAsia="黑体" w:cs="黑体"/>
          <w:bCs/>
          <w:color w:val="000000"/>
          <w:sz w:val="24"/>
          <w:szCs w:val="24"/>
        </w:rPr>
        <w:t>六、其他补充事宜</w:t>
      </w:r>
    </w:p>
    <w:p w14:paraId="7A8785F2">
      <w:pPr>
        <w:spacing w:line="360" w:lineRule="auto"/>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投标保证金情况：</w:t>
      </w:r>
    </w:p>
    <w:p w14:paraId="448F54DD">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1.投标保证金额：人民币</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2</w:t>
      </w:r>
      <w:r>
        <w:rPr>
          <w:rFonts w:hint="eastAsia" w:ascii="宋体" w:hAnsi="宋体" w:cs="宋体"/>
          <w:color w:val="000000"/>
          <w:sz w:val="24"/>
          <w:szCs w:val="24"/>
          <w:u w:val="single"/>
        </w:rPr>
        <w:t xml:space="preserve">0000.00 </w:t>
      </w:r>
      <w:r>
        <w:rPr>
          <w:rFonts w:hint="eastAsia" w:ascii="宋体" w:hAnsi="宋体" w:cs="宋体"/>
          <w:color w:val="000000"/>
          <w:sz w:val="24"/>
          <w:szCs w:val="24"/>
        </w:rPr>
        <w:t>元；</w:t>
      </w:r>
    </w:p>
    <w:p w14:paraId="193DFEAF">
      <w:pPr>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cs="宋体"/>
          <w:color w:val="000000"/>
          <w:sz w:val="24"/>
          <w:szCs w:val="24"/>
        </w:rPr>
        <w:t>2.投标保证金交纳时间:</w:t>
      </w:r>
      <w:r>
        <w:rPr>
          <w:rFonts w:hint="eastAsia" w:ascii="宋体" w:hAnsi="宋体" w:cs="宋体"/>
          <w:color w:val="000000"/>
          <w:sz w:val="24"/>
          <w:szCs w:val="24"/>
          <w:u w:val="single"/>
          <w:lang w:val="en-US" w:eastAsia="zh-CN"/>
        </w:rPr>
        <w:t>2025</w:t>
      </w:r>
      <w:r>
        <w:rPr>
          <w:rFonts w:hint="eastAsia" w:ascii="宋体" w:hAnsi="宋体" w:cs="宋体"/>
          <w:color w:val="000000"/>
          <w:sz w:val="24"/>
          <w:szCs w:val="24"/>
        </w:rPr>
        <w:t>年</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rPr>
        <w:t>月</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rPr>
        <w:t>日</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bCs/>
          <w:color w:val="000000"/>
          <w:sz w:val="24"/>
          <w:szCs w:val="24"/>
        </w:rPr>
        <w:t>点</w:t>
      </w:r>
      <w:r>
        <w:rPr>
          <w:rFonts w:hint="eastAsia" w:ascii="宋体" w:hAnsi="宋体" w:cs="宋体"/>
          <w:bCs/>
          <w:color w:val="000000"/>
          <w:sz w:val="24"/>
          <w:szCs w:val="24"/>
          <w:u w:val="single"/>
        </w:rPr>
        <w:t xml:space="preserve"> </w:t>
      </w:r>
      <w:r>
        <w:rPr>
          <w:rFonts w:hint="eastAsia" w:ascii="宋体" w:hAnsi="宋体" w:cs="宋体"/>
          <w:bCs/>
          <w:color w:val="000000"/>
          <w:sz w:val="24"/>
          <w:szCs w:val="24"/>
          <w:u w:val="single"/>
          <w:lang w:val="en-US" w:eastAsia="zh-CN"/>
        </w:rPr>
        <w:t xml:space="preserve">  </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分</w:t>
      </w:r>
      <w:r>
        <w:rPr>
          <w:rFonts w:hint="eastAsia" w:ascii="宋体" w:hAnsi="宋体" w:cs="宋体"/>
          <w:bCs/>
          <w:color w:val="000000"/>
          <w:sz w:val="24"/>
          <w:szCs w:val="24"/>
          <w:lang w:val="en-US" w:eastAsia="zh-CN"/>
        </w:rPr>
        <w:t>前</w:t>
      </w:r>
    </w:p>
    <w:p w14:paraId="46BDBB95">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3.开户银行及账号：德江县产权交易中心</w:t>
      </w:r>
    </w:p>
    <w:p w14:paraId="222BE57F">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开户银行:贵州银行股份有限公司德江支行</w:t>
      </w:r>
    </w:p>
    <w:p w14:paraId="1ACC27A0">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账  号: 0602  0011  0000  0274</w:t>
      </w:r>
    </w:p>
    <w:p w14:paraId="27FB990B">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投标保证金交纳方式:采用银行转账、电汇形式提交具体缴退流程见全国公共资源交易平台（贵州省•铜仁市）网站，点击首页-办事指南-保证金缴退，自行交纳保证金；或者采用《投标保证金保函》（电子保函）提交（具体操作方式见铜仁市公共资源交易中心首页——办事指南——政府采购——常见问题解答——《投标电子保函申请操作步骤》）</w:t>
      </w:r>
    </w:p>
    <w:p w14:paraId="7E0C8FC4">
      <w:pPr>
        <w:spacing w:line="360" w:lineRule="auto"/>
        <w:ind w:firstLine="480" w:firstLineChars="200"/>
        <w:rPr>
          <w:rFonts w:hint="eastAsia" w:ascii="黑体" w:hAnsi="黑体" w:eastAsia="黑体" w:cs="黑体"/>
          <w:bCs/>
          <w:color w:val="000000"/>
          <w:sz w:val="24"/>
          <w:szCs w:val="24"/>
        </w:rPr>
      </w:pPr>
      <w:r>
        <w:rPr>
          <w:rFonts w:hint="eastAsia" w:ascii="黑体" w:hAnsi="黑体" w:eastAsia="黑体" w:cs="黑体"/>
          <w:bCs/>
          <w:color w:val="000000"/>
          <w:sz w:val="24"/>
          <w:szCs w:val="24"/>
        </w:rPr>
        <w:t>七、对本次招标提出询问，请按以下方式联系：</w:t>
      </w:r>
    </w:p>
    <w:p w14:paraId="5D015890">
      <w:pPr>
        <w:widowControl/>
        <w:spacing w:line="360" w:lineRule="auto"/>
        <w:ind w:firstLine="482" w:firstLineChars="200"/>
        <w:jc w:val="left"/>
        <w:rPr>
          <w:rFonts w:hint="eastAsia" w:ascii="宋体" w:hAnsi="宋体" w:cs="宋体"/>
          <w:b/>
          <w:bCs/>
          <w:color w:val="000000"/>
          <w:sz w:val="24"/>
          <w:szCs w:val="24"/>
        </w:rPr>
      </w:pPr>
      <w:r>
        <w:rPr>
          <w:rFonts w:hint="eastAsia" w:ascii="宋体" w:hAnsi="宋体" w:cs="宋体"/>
          <w:b/>
          <w:bCs/>
          <w:color w:val="000000"/>
          <w:sz w:val="24"/>
          <w:szCs w:val="24"/>
        </w:rPr>
        <w:t>1.采购人信息：</w:t>
      </w:r>
    </w:p>
    <w:p w14:paraId="3B24F4DC">
      <w:pPr>
        <w:pStyle w:val="5"/>
        <w:widowControl/>
        <w:shd w:val="clear" w:color="auto" w:fill="FFFFFF"/>
        <w:spacing w:after="150" w:line="360" w:lineRule="auto"/>
        <w:ind w:left="1438" w:leftChars="342" w:right="1500" w:hanging="720" w:hangingChars="300"/>
        <w:jc w:val="left"/>
        <w:rPr>
          <w:rFonts w:hint="eastAsia" w:hAnsi="宋体"/>
          <w:color w:val="000000"/>
          <w:sz w:val="24"/>
          <w:szCs w:val="24"/>
        </w:rPr>
      </w:pPr>
      <w:r>
        <w:rPr>
          <w:rFonts w:hAnsi="宋体"/>
          <w:color w:val="000000"/>
          <w:sz w:val="24"/>
          <w:szCs w:val="24"/>
        </w:rPr>
        <w:t>招 标 人：</w:t>
      </w:r>
      <w:r>
        <w:rPr>
          <w:rFonts w:hint="eastAsia" w:hAnsi="宋体"/>
          <w:color w:val="000000"/>
          <w:sz w:val="24"/>
          <w:szCs w:val="24"/>
        </w:rPr>
        <w:t>德江县教育局</w:t>
      </w:r>
    </w:p>
    <w:p w14:paraId="057BDA19">
      <w:pPr>
        <w:wordWrap w:val="0"/>
        <w:topLinePunct/>
        <w:spacing w:line="360" w:lineRule="auto"/>
        <w:ind w:firstLine="720" w:firstLineChars="300"/>
        <w:jc w:val="left"/>
        <w:rPr>
          <w:rFonts w:hint="eastAsia" w:ascii="宋体" w:hAnsi="宋体" w:cs="宋体"/>
          <w:color w:val="000000"/>
          <w:sz w:val="24"/>
          <w:szCs w:val="24"/>
        </w:rPr>
      </w:pPr>
      <w:r>
        <w:rPr>
          <w:rFonts w:hint="eastAsia" w:ascii="宋体" w:hAnsi="宋体" w:cs="宋体"/>
          <w:color w:val="000000"/>
          <w:sz w:val="24"/>
          <w:szCs w:val="24"/>
        </w:rPr>
        <w:t>地    址 ：德江县青龙街道迎宾大道</w:t>
      </w:r>
    </w:p>
    <w:p w14:paraId="120D3F5F">
      <w:pPr>
        <w:wordWrap w:val="0"/>
        <w:topLinePunct/>
        <w:spacing w:line="360" w:lineRule="auto"/>
        <w:ind w:firstLine="720" w:firstLineChars="300"/>
        <w:jc w:val="left"/>
        <w:rPr>
          <w:rFonts w:hint="eastAsia" w:ascii="宋体" w:hAnsi="宋体" w:cs="宋体"/>
          <w:color w:val="000000"/>
          <w:sz w:val="24"/>
          <w:szCs w:val="24"/>
        </w:rPr>
      </w:pPr>
      <w:r>
        <w:rPr>
          <w:rFonts w:hint="eastAsia" w:ascii="宋体" w:hAnsi="宋体" w:cs="宋体"/>
          <w:color w:val="000000"/>
          <w:sz w:val="24"/>
          <w:szCs w:val="24"/>
        </w:rPr>
        <w:t xml:space="preserve">联 系 人： </w:t>
      </w:r>
      <w:r>
        <w:rPr>
          <w:rFonts w:hint="eastAsia" w:ascii="宋体" w:hAnsi="宋体" w:cs="宋体"/>
          <w:color w:val="000000"/>
          <w:sz w:val="24"/>
          <w:szCs w:val="24"/>
          <w:lang w:val="en-US" w:eastAsia="zh-CN"/>
        </w:rPr>
        <w:t>黎</w:t>
      </w:r>
      <w:r>
        <w:rPr>
          <w:rFonts w:hint="eastAsia" w:ascii="宋体" w:hAnsi="宋体" w:cs="宋体"/>
          <w:color w:val="000000"/>
          <w:sz w:val="24"/>
          <w:szCs w:val="24"/>
        </w:rPr>
        <w:t>老师</w:t>
      </w:r>
    </w:p>
    <w:p w14:paraId="59366587">
      <w:pPr>
        <w:wordWrap w:val="0"/>
        <w:topLinePunct/>
        <w:spacing w:line="360" w:lineRule="auto"/>
        <w:ind w:firstLine="720" w:firstLineChars="300"/>
        <w:jc w:val="left"/>
        <w:rPr>
          <w:rFonts w:hint="eastAsia" w:ascii="宋体" w:hAnsi="宋体" w:cs="宋体"/>
          <w:color w:val="000000"/>
          <w:sz w:val="24"/>
          <w:szCs w:val="24"/>
        </w:rPr>
      </w:pPr>
      <w:r>
        <w:rPr>
          <w:rFonts w:hint="eastAsia" w:ascii="宋体" w:hAnsi="宋体" w:cs="宋体"/>
          <w:color w:val="000000"/>
          <w:sz w:val="24"/>
          <w:szCs w:val="24"/>
        </w:rPr>
        <w:t>电    话 ：0856-8530920</w:t>
      </w:r>
    </w:p>
    <w:p w14:paraId="2AC5E01A">
      <w:pPr>
        <w:spacing w:line="360" w:lineRule="auto"/>
        <w:ind w:firstLine="482" w:firstLineChars="200"/>
        <w:jc w:val="left"/>
        <w:rPr>
          <w:rFonts w:hint="eastAsia" w:ascii="宋体" w:hAnsi="宋体" w:cs="宋体"/>
          <w:b/>
          <w:bCs/>
          <w:color w:val="000000"/>
          <w:sz w:val="24"/>
          <w:szCs w:val="24"/>
        </w:rPr>
      </w:pPr>
      <w:r>
        <w:rPr>
          <w:rFonts w:hint="eastAsia" w:ascii="宋体" w:hAnsi="宋体" w:cs="宋体"/>
          <w:b/>
          <w:bCs/>
          <w:color w:val="000000"/>
          <w:sz w:val="24"/>
          <w:szCs w:val="24"/>
        </w:rPr>
        <w:t>2.采购代理机构信息：</w:t>
      </w:r>
    </w:p>
    <w:p w14:paraId="5ACFD994">
      <w:pPr>
        <w:pStyle w:val="41"/>
        <w:widowControl/>
        <w:shd w:val="clear" w:color="auto" w:fill="FFFFFF"/>
        <w:spacing w:beforeAutospacing="0" w:after="150" w:afterAutospacing="0" w:line="240" w:lineRule="auto"/>
        <w:ind w:left="720"/>
        <w:rPr>
          <w:rFonts w:hint="eastAsia"/>
          <w:color w:val="000000"/>
          <w:sz w:val="24"/>
          <w:szCs w:val="24"/>
        </w:rPr>
      </w:pPr>
      <w:r>
        <w:rPr>
          <w:rFonts w:hint="eastAsia"/>
          <w:color w:val="000000"/>
          <w:sz w:val="24"/>
          <w:szCs w:val="24"/>
        </w:rPr>
        <w:t>名  称：铜仁市桓茂丰工程管理有限公司</w:t>
      </w:r>
      <w:r>
        <w:rPr>
          <w:color w:val="000000"/>
          <w:sz w:val="24"/>
          <w:szCs w:val="24"/>
        </w:rPr>
        <w:t xml:space="preserve"> </w:t>
      </w:r>
    </w:p>
    <w:p w14:paraId="360022F1">
      <w:pPr>
        <w:pStyle w:val="41"/>
        <w:widowControl/>
        <w:shd w:val="clear" w:color="auto" w:fill="FFFFFF"/>
        <w:spacing w:beforeAutospacing="0" w:after="150" w:afterAutospacing="0" w:line="240" w:lineRule="auto"/>
        <w:ind w:left="720"/>
        <w:rPr>
          <w:rFonts w:hint="eastAsia"/>
          <w:color w:val="000000"/>
          <w:sz w:val="24"/>
          <w:szCs w:val="24"/>
        </w:rPr>
      </w:pPr>
      <w:r>
        <w:rPr>
          <w:rFonts w:hint="eastAsia"/>
          <w:color w:val="000000"/>
          <w:sz w:val="24"/>
          <w:szCs w:val="24"/>
        </w:rPr>
        <w:t>地  址：铜仁市江华明都3号楼27层</w:t>
      </w:r>
      <w:r>
        <w:rPr>
          <w:color w:val="000000"/>
          <w:sz w:val="24"/>
          <w:szCs w:val="24"/>
        </w:rPr>
        <w:t xml:space="preserve"> </w:t>
      </w:r>
    </w:p>
    <w:p w14:paraId="7F6CF65C">
      <w:pPr>
        <w:pStyle w:val="41"/>
        <w:widowControl/>
        <w:shd w:val="clear" w:color="auto" w:fill="FFFFFF"/>
        <w:spacing w:beforeAutospacing="0" w:after="150" w:afterAutospacing="0" w:line="240" w:lineRule="auto"/>
        <w:ind w:left="720"/>
        <w:rPr>
          <w:rFonts w:hint="eastAsia" w:eastAsia="宋体"/>
          <w:color w:val="000000"/>
          <w:sz w:val="24"/>
          <w:szCs w:val="24"/>
          <w:lang w:val="en-US" w:eastAsia="zh-CN"/>
        </w:rPr>
      </w:pPr>
      <w:r>
        <w:rPr>
          <w:rFonts w:hint="eastAsia"/>
          <w:color w:val="000000"/>
          <w:sz w:val="24"/>
          <w:szCs w:val="24"/>
        </w:rPr>
        <w:t>联系方式：</w:t>
      </w:r>
      <w:r>
        <w:rPr>
          <w:rFonts w:hint="eastAsia"/>
          <w:color w:val="000000"/>
          <w:sz w:val="24"/>
          <w:szCs w:val="24"/>
          <w:lang w:val="en-US" w:eastAsia="zh-CN"/>
        </w:rPr>
        <w:t>张静</w:t>
      </w:r>
    </w:p>
    <w:p w14:paraId="18897CF3">
      <w:pPr>
        <w:spacing w:line="360" w:lineRule="auto"/>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3.项目联系方式：</w:t>
      </w:r>
    </w:p>
    <w:p w14:paraId="279AF0BB">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项目联系人：   </w:t>
      </w:r>
      <w:r>
        <w:rPr>
          <w:rFonts w:hint="eastAsia" w:ascii="宋体" w:hAnsi="宋体" w:cs="宋体"/>
          <w:color w:val="000000"/>
          <w:sz w:val="24"/>
          <w:szCs w:val="24"/>
          <w:lang w:val="en-US" w:eastAsia="zh-CN"/>
        </w:rPr>
        <w:t>张静</w:t>
      </w:r>
      <w:r>
        <w:rPr>
          <w:rFonts w:hint="eastAsia" w:ascii="宋体" w:hAnsi="宋体" w:cs="宋体"/>
          <w:color w:val="000000"/>
          <w:sz w:val="24"/>
          <w:szCs w:val="24"/>
        </w:rPr>
        <w:t xml:space="preserve">         </w:t>
      </w:r>
    </w:p>
    <w:p w14:paraId="3A34ACE8">
      <w:pPr>
        <w:spacing w:line="360" w:lineRule="auto"/>
        <w:ind w:firstLine="480" w:firstLineChars="200"/>
        <w:rPr>
          <w:rFonts w:hint="eastAsia" w:ascii="宋体" w:hAnsi="宋体" w:cs="宋体"/>
          <w:color w:val="auto"/>
          <w:sz w:val="24"/>
          <w:szCs w:val="24"/>
        </w:rPr>
      </w:pPr>
      <w:r>
        <w:rPr>
          <w:rFonts w:hint="eastAsia" w:ascii="宋体" w:hAnsi="宋体" w:cs="宋体"/>
          <w:color w:val="000000"/>
          <w:sz w:val="24"/>
          <w:szCs w:val="24"/>
        </w:rPr>
        <w:t xml:space="preserve">电　话：       0856-5289039      </w:t>
      </w:r>
      <w:r>
        <w:rPr>
          <w:rFonts w:hint="eastAsia" w:ascii="宋体" w:hAnsi="宋体" w:cs="宋体"/>
          <w:color w:val="auto"/>
          <w:sz w:val="24"/>
          <w:szCs w:val="24"/>
        </w:rPr>
        <w:t xml:space="preserve">  </w:t>
      </w:r>
    </w:p>
    <w:p w14:paraId="3A84FE0D">
      <w:pPr>
        <w:pStyle w:val="2"/>
        <w:spacing w:before="200" w:after="200" w:line="360" w:lineRule="auto"/>
        <w:jc w:val="both"/>
        <w:rPr>
          <w:rFonts w:hint="eastAsia" w:ascii="方正小标宋简体" w:hAnsi="方正小标宋简体" w:eastAsia="方正小标宋简体" w:cs="方正小标宋简体"/>
          <w:b w:val="0"/>
          <w:color w:val="auto"/>
        </w:rPr>
        <w:sectPr>
          <w:headerReference r:id="rId6" w:type="default"/>
          <w:footerReference r:id="rId7" w:type="default"/>
          <w:pgSz w:w="11907" w:h="16840"/>
          <w:pgMar w:top="2098" w:right="1474" w:bottom="1984" w:left="1587" w:header="851" w:footer="992" w:gutter="0"/>
          <w:cols w:space="720" w:num="1"/>
        </w:sectPr>
      </w:pPr>
    </w:p>
    <w:p w14:paraId="7F542AF4">
      <w:pPr>
        <w:pStyle w:val="2"/>
        <w:spacing w:before="200" w:after="200" w:line="700" w:lineRule="exact"/>
        <w:jc w:val="center"/>
        <w:rPr>
          <w:rFonts w:hint="eastAsia" w:ascii="宋体" w:hAnsi="宋体"/>
          <w:b w:val="0"/>
          <w:color w:val="auto"/>
        </w:rPr>
      </w:pPr>
      <w:r>
        <w:rPr>
          <w:rFonts w:hint="eastAsia" w:ascii="方正小标宋简体" w:hAnsi="方正小标宋简体" w:eastAsia="方正小标宋简体" w:cs="方正小标宋简体"/>
          <w:b w:val="0"/>
          <w:color w:val="auto"/>
        </w:rPr>
        <w:t>第</w:t>
      </w:r>
      <w:r>
        <w:rPr>
          <w:rFonts w:hint="eastAsia" w:ascii="方正小标宋简体" w:hAnsi="方正小标宋简体" w:eastAsia="方正小标宋简体" w:cs="方正小标宋简体"/>
          <w:b w:val="0"/>
          <w:color w:val="auto"/>
          <w:lang w:eastAsia="zh-CN"/>
        </w:rPr>
        <w:t>二</w:t>
      </w:r>
      <w:r>
        <w:rPr>
          <w:rFonts w:hint="eastAsia" w:ascii="方正小标宋简体" w:hAnsi="方正小标宋简体" w:eastAsia="方正小标宋简体" w:cs="方正小标宋简体"/>
          <w:b w:val="0"/>
          <w:color w:val="auto"/>
        </w:rPr>
        <w:t>章 投标人须知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A13017B">
      <w:pPr>
        <w:spacing w:line="400" w:lineRule="exact"/>
        <w:ind w:firstLine="424" w:firstLineChars="177"/>
        <w:rPr>
          <w:rFonts w:hint="eastAsia" w:ascii="宋体" w:hAnsi="宋体" w:cs="宋体"/>
          <w:color w:val="auto"/>
          <w:sz w:val="24"/>
          <w:szCs w:val="24"/>
        </w:rPr>
      </w:pPr>
      <w:bookmarkStart w:id="29" w:name="_Toc50276145"/>
      <w:bookmarkStart w:id="30" w:name="_Toc46308525"/>
      <w:bookmarkStart w:id="31" w:name="_Toc42394661"/>
      <w:bookmarkStart w:id="32" w:name="_Toc46308681"/>
      <w:bookmarkStart w:id="33" w:name="_Toc98579598"/>
      <w:bookmarkStart w:id="34" w:name="_Toc101843116"/>
      <w:bookmarkStart w:id="35" w:name="_Toc175644387"/>
      <w:bookmarkStart w:id="36" w:name="_Toc98579057"/>
      <w:bookmarkStart w:id="37" w:name="_Toc101771363"/>
      <w:bookmarkStart w:id="38" w:name="_Toc403491564"/>
      <w:bookmarkStart w:id="39" w:name="_Toc98035086"/>
      <w:bookmarkStart w:id="40" w:name="_Toc41884693"/>
      <w:bookmarkStart w:id="41" w:name="_Toc42313159"/>
      <w:bookmarkStart w:id="42" w:name="_Toc50276193"/>
      <w:bookmarkStart w:id="43" w:name="_Toc42394504"/>
      <w:bookmarkStart w:id="44" w:name="_Toc98578999"/>
      <w:bookmarkStart w:id="45" w:name="_Toc98580281"/>
      <w:bookmarkStart w:id="46" w:name="_Toc101775116"/>
      <w:bookmarkStart w:id="47" w:name="_Toc101951249"/>
      <w:bookmarkStart w:id="48" w:name="_Toc401575142"/>
      <w:bookmarkStart w:id="49" w:name="_Toc41723923"/>
      <w:r>
        <w:rPr>
          <w:rFonts w:hint="eastAsia" w:ascii="宋体" w:hAnsi="宋体" w:cs="宋体"/>
          <w:color w:val="auto"/>
          <w:sz w:val="24"/>
          <w:szCs w:val="24"/>
        </w:rPr>
        <w:t>投标人必须认真阅读招标文件中所有的事项、格式、条款和采购需求等。投标人没有按照招标文件要求提交全部资料，或者投标文件没有对招标文件在各方面都做出实质性响应是投标人的风险，并可能导致其投标无效或被拒绝。</w:t>
      </w:r>
    </w:p>
    <w:p w14:paraId="4E80DF70">
      <w:pPr>
        <w:pStyle w:val="3"/>
        <w:spacing w:line="400" w:lineRule="exact"/>
        <w:ind w:firstLine="560" w:firstLineChars="200"/>
        <w:jc w:val="both"/>
        <w:rPr>
          <w:rFonts w:hint="eastAsia" w:ascii="黑体" w:hAnsi="黑体" w:eastAsia="黑体" w:cs="黑体"/>
          <w:bCs/>
          <w:color w:val="auto"/>
          <w:sz w:val="28"/>
          <w:szCs w:val="28"/>
        </w:rPr>
      </w:pPr>
      <w:bookmarkStart w:id="50" w:name="_Toc401575139"/>
      <w:bookmarkStart w:id="51" w:name="_Toc136662913"/>
      <w:bookmarkStart w:id="52" w:name="_Toc324867172"/>
      <w:bookmarkStart w:id="53" w:name="_Toc403491561"/>
      <w:bookmarkStart w:id="54" w:name="_Toc390699896"/>
      <w:bookmarkStart w:id="55" w:name="_Toc273255343"/>
      <w:bookmarkStart w:id="56" w:name="_Toc119321124"/>
      <w:bookmarkStart w:id="57" w:name="_Toc159385048"/>
      <w:bookmarkStart w:id="58" w:name="_Toc136682889"/>
      <w:r>
        <w:rPr>
          <w:rFonts w:hint="eastAsia" w:ascii="黑体" w:hAnsi="黑体" w:eastAsia="黑体" w:cs="黑体"/>
          <w:bCs/>
          <w:color w:val="auto"/>
          <w:sz w:val="28"/>
          <w:szCs w:val="28"/>
        </w:rPr>
        <w:t>一、名词解释</w:t>
      </w:r>
      <w:bookmarkEnd w:id="50"/>
      <w:bookmarkEnd w:id="51"/>
      <w:bookmarkEnd w:id="52"/>
      <w:bookmarkEnd w:id="53"/>
      <w:bookmarkEnd w:id="54"/>
      <w:bookmarkEnd w:id="55"/>
      <w:bookmarkEnd w:id="56"/>
      <w:bookmarkEnd w:id="57"/>
      <w:bookmarkEnd w:id="58"/>
    </w:p>
    <w:p w14:paraId="3FB18A6F">
      <w:pPr>
        <w:pStyle w:val="41"/>
        <w:widowControl/>
        <w:shd w:val="clear" w:color="auto" w:fill="FFFFFF"/>
        <w:spacing w:beforeAutospacing="0" w:after="150" w:afterAutospacing="0" w:line="240" w:lineRule="auto"/>
        <w:ind w:firstLine="480" w:firstLineChars="200"/>
        <w:rPr>
          <w:rFonts w:hint="eastAsia" w:ascii="宋体" w:hAnsi="宋体" w:eastAsia="宋体" w:cs="宋体"/>
          <w:color w:val="auto"/>
        </w:rPr>
      </w:pPr>
      <w:r>
        <w:rPr>
          <w:rFonts w:hint="eastAsia" w:ascii="宋体" w:hAnsi="宋体" w:eastAsia="宋体" w:cs="宋体"/>
          <w:color w:val="auto"/>
          <w:lang w:val="en-US" w:eastAsia="zh-CN"/>
        </w:rPr>
        <w:t>采购代理机构：是指</w:t>
      </w:r>
      <w:r>
        <w:rPr>
          <w:rFonts w:hint="eastAsia" w:ascii="宋体" w:hAnsi="宋体" w:eastAsia="宋体" w:cs="宋体"/>
          <w:color w:val="auto"/>
          <w:u w:val="single"/>
          <w:lang w:val="en-US" w:eastAsia="zh-CN"/>
        </w:rPr>
        <w:t>铜仁市桓茂丰工程管理有限公司</w:t>
      </w:r>
      <w:r>
        <w:rPr>
          <w:rFonts w:hint="eastAsia" w:ascii="宋体" w:hAnsi="宋体" w:eastAsia="宋体" w:cs="宋体"/>
          <w:color w:val="auto"/>
          <w:lang w:val="en-US" w:eastAsia="zh-CN"/>
        </w:rPr>
        <w:t xml:space="preserve"> 。是整个采购活动的组织者，依法负责编制和发布招标文件，对招标文件拥有最终的解释权。铜仁市桓茂丰工程管理有限公司</w:t>
      </w:r>
      <w:r>
        <w:rPr>
          <w:rFonts w:hint="eastAsia" w:ascii="宋体" w:hAnsi="宋体" w:eastAsia="宋体" w:cs="宋体"/>
          <w:color w:val="auto"/>
        </w:rPr>
        <w:t>不以任何身份出任评标委员会成员。</w:t>
      </w:r>
    </w:p>
    <w:p w14:paraId="413F5D3B">
      <w:pPr>
        <w:pStyle w:val="5"/>
        <w:numPr>
          <w:ilvl w:val="0"/>
          <w:numId w:val="7"/>
        </w:numPr>
        <w:tabs>
          <w:tab w:val="left" w:pos="0"/>
        </w:tabs>
        <w:spacing w:line="400" w:lineRule="exact"/>
        <w:rPr>
          <w:rFonts w:hint="eastAsia" w:hAnsi="宋体"/>
          <w:color w:val="auto"/>
          <w:sz w:val="24"/>
          <w:szCs w:val="24"/>
        </w:rPr>
      </w:pPr>
      <w:r>
        <w:rPr>
          <w:rFonts w:hint="eastAsia" w:hAnsi="宋体"/>
          <w:color w:val="auto"/>
          <w:sz w:val="24"/>
          <w:szCs w:val="24"/>
        </w:rPr>
        <w:t>采购人：是指</w:t>
      </w:r>
      <w:r>
        <w:rPr>
          <w:rFonts w:hint="eastAsia" w:hAnsi="宋体"/>
          <w:color w:val="auto"/>
          <w:sz w:val="24"/>
          <w:szCs w:val="24"/>
          <w:u w:val="single"/>
        </w:rPr>
        <w:t>德江县教育局</w:t>
      </w:r>
      <w:r>
        <w:rPr>
          <w:rFonts w:hint="eastAsia" w:hAnsi="宋体"/>
          <w:color w:val="auto"/>
          <w:sz w:val="24"/>
          <w:szCs w:val="24"/>
        </w:rPr>
        <w:t>，是采购活动当事人之一，负责项目的整体规划、技术方案可行性设计论证与实施，作为合同采购方(用户)的主体承担质疑回复、履行合同、验收与评价等义务。</w:t>
      </w:r>
    </w:p>
    <w:p w14:paraId="2891B5B2">
      <w:pPr>
        <w:pStyle w:val="5"/>
        <w:numPr>
          <w:ilvl w:val="0"/>
          <w:numId w:val="7"/>
        </w:numPr>
        <w:tabs>
          <w:tab w:val="left" w:pos="0"/>
          <w:tab w:val="left" w:pos="728"/>
        </w:tabs>
        <w:spacing w:line="400" w:lineRule="exact"/>
        <w:rPr>
          <w:rFonts w:hint="eastAsia" w:hAnsi="宋体"/>
          <w:color w:val="auto"/>
          <w:sz w:val="24"/>
          <w:szCs w:val="24"/>
        </w:rPr>
      </w:pPr>
      <w:r>
        <w:rPr>
          <w:rFonts w:hint="eastAsia" w:hAnsi="宋体"/>
          <w:color w:val="auto"/>
          <w:sz w:val="24"/>
          <w:szCs w:val="24"/>
        </w:rPr>
        <w:t>投标人：是指在交易平台项目采购系统完成本项目投标登记并提交电子投标文件的供应商。</w:t>
      </w:r>
    </w:p>
    <w:p w14:paraId="3B72375F">
      <w:pPr>
        <w:pStyle w:val="5"/>
        <w:numPr>
          <w:ilvl w:val="0"/>
          <w:numId w:val="7"/>
        </w:numPr>
        <w:tabs>
          <w:tab w:val="left" w:pos="0"/>
        </w:tabs>
        <w:spacing w:line="400" w:lineRule="exact"/>
        <w:rPr>
          <w:rFonts w:hint="eastAsia" w:hAnsi="宋体"/>
          <w:color w:val="auto"/>
          <w:sz w:val="24"/>
          <w:szCs w:val="24"/>
        </w:rPr>
      </w:pPr>
      <w:r>
        <w:rPr>
          <w:rFonts w:hint="eastAsia" w:hAnsi="宋体"/>
          <w:color w:val="auto"/>
          <w:sz w:val="24"/>
          <w:szCs w:val="24"/>
        </w:rPr>
        <w:t>招标文件：是指包括招标公告和招标文件及其补充、变更和澄清等一系列文件。</w:t>
      </w:r>
    </w:p>
    <w:p w14:paraId="6B941A4C">
      <w:pPr>
        <w:pStyle w:val="5"/>
        <w:numPr>
          <w:ilvl w:val="0"/>
          <w:numId w:val="7"/>
        </w:numPr>
        <w:tabs>
          <w:tab w:val="left" w:pos="0"/>
        </w:tabs>
        <w:spacing w:line="400" w:lineRule="exact"/>
        <w:rPr>
          <w:rFonts w:hint="eastAsia" w:hAnsi="宋体"/>
          <w:color w:val="auto"/>
          <w:sz w:val="24"/>
          <w:szCs w:val="24"/>
        </w:rPr>
      </w:pPr>
      <w:r>
        <w:rPr>
          <w:rFonts w:hint="eastAsia" w:hAnsi="宋体"/>
          <w:color w:val="auto"/>
          <w:sz w:val="24"/>
          <w:szCs w:val="24"/>
        </w:rPr>
        <w:t>电子投标文件：是指使用铜仁市公共资源交易中心提供的投标文件管理软件制作的投标文件。（投标客户端制作投标文件时，生成的后缀为“.标书”的文件）</w:t>
      </w:r>
    </w:p>
    <w:p w14:paraId="6147587E">
      <w:pPr>
        <w:pStyle w:val="5"/>
        <w:numPr>
          <w:ilvl w:val="0"/>
          <w:numId w:val="7"/>
        </w:numPr>
        <w:tabs>
          <w:tab w:val="left" w:pos="0"/>
        </w:tabs>
        <w:spacing w:line="400" w:lineRule="exact"/>
        <w:rPr>
          <w:rFonts w:hint="eastAsia" w:hAnsi="宋体"/>
          <w:color w:val="auto"/>
          <w:sz w:val="24"/>
          <w:szCs w:val="24"/>
        </w:rPr>
      </w:pPr>
      <w:r>
        <w:rPr>
          <w:rFonts w:hint="eastAsia" w:hAnsi="宋体"/>
          <w:color w:val="auto"/>
          <w:sz w:val="24"/>
          <w:szCs w:val="24"/>
        </w:rPr>
        <w:t>备用电子投标文件：是指使用交易平台提供的投标客户端制作电子投标文件时，同时生成的同一版本的备用投标文件。（投标客户端制作投标文件时，生成的后缀为“.备用标书”的文件）</w:t>
      </w:r>
    </w:p>
    <w:p w14:paraId="6AC46B3B">
      <w:pPr>
        <w:pStyle w:val="5"/>
        <w:numPr>
          <w:ilvl w:val="0"/>
          <w:numId w:val="7"/>
        </w:numPr>
        <w:tabs>
          <w:tab w:val="left" w:pos="0"/>
        </w:tabs>
        <w:spacing w:line="400" w:lineRule="exact"/>
        <w:rPr>
          <w:rFonts w:hint="eastAsia" w:hAnsi="宋体"/>
          <w:color w:val="auto"/>
          <w:sz w:val="24"/>
          <w:szCs w:val="24"/>
        </w:rPr>
      </w:pPr>
      <w:r>
        <w:rPr>
          <w:rFonts w:hint="eastAsia" w:hAnsi="宋体"/>
          <w:color w:val="auto"/>
          <w:sz w:val="24"/>
          <w:szCs w:val="24"/>
        </w:rPr>
        <w:t>电子签名和电子印章：是指获得国家工业和信息化部颁发的《电子认证服务许可证》、国家密码管理局颁发的《电子认证服务使用密码许可证》的资质，具备承担因数字证书原因产生纠纷的相关责任的能力，且在贵州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14:paraId="41949305">
      <w:pPr>
        <w:pStyle w:val="5"/>
        <w:numPr>
          <w:ilvl w:val="0"/>
          <w:numId w:val="7"/>
        </w:numPr>
        <w:tabs>
          <w:tab w:val="left" w:pos="0"/>
        </w:tabs>
        <w:spacing w:line="400" w:lineRule="exact"/>
        <w:rPr>
          <w:rFonts w:hint="eastAsia" w:hAnsi="宋体"/>
          <w:color w:val="auto"/>
          <w:sz w:val="24"/>
          <w:szCs w:val="24"/>
        </w:rPr>
      </w:pPr>
      <w:r>
        <w:rPr>
          <w:rFonts w:hint="eastAsia" w:hAnsi="宋体"/>
          <w:color w:val="auto"/>
          <w:sz w:val="24"/>
          <w:szCs w:val="24"/>
        </w:rPr>
        <w:t>日期、天数、时间：未有特别说明时，均为公历日（天）及北京时间。</w:t>
      </w:r>
    </w:p>
    <w:p w14:paraId="296BA778">
      <w:pPr>
        <w:pStyle w:val="5"/>
        <w:numPr>
          <w:ilvl w:val="0"/>
          <w:numId w:val="7"/>
        </w:numPr>
        <w:tabs>
          <w:tab w:val="left" w:pos="0"/>
        </w:tabs>
        <w:spacing w:line="400" w:lineRule="exact"/>
        <w:rPr>
          <w:rFonts w:hint="eastAsia" w:hAnsi="宋体"/>
          <w:color w:val="auto"/>
          <w:sz w:val="24"/>
          <w:szCs w:val="24"/>
        </w:rPr>
      </w:pPr>
      <w:bookmarkStart w:id="59" w:name="_Toc175644386"/>
      <w:bookmarkStart w:id="60" w:name="_Toc403491562"/>
      <w:bookmarkStart w:id="61" w:name="_Toc401575140"/>
      <w:r>
        <w:rPr>
          <w:rFonts w:hint="eastAsia" w:hAnsi="宋体"/>
          <w:color w:val="auto"/>
          <w:sz w:val="24"/>
          <w:szCs w:val="24"/>
        </w:rPr>
        <w:t>采购信息发布网站：贵州省政府采购网、和全国公共资源交易平台（贵州省•铜仁市）。</w:t>
      </w:r>
    </w:p>
    <w:p w14:paraId="6E726C4C">
      <w:pPr>
        <w:pStyle w:val="3"/>
        <w:spacing w:line="400" w:lineRule="exact"/>
        <w:ind w:firstLine="560" w:firstLineChars="200"/>
        <w:jc w:val="both"/>
        <w:rPr>
          <w:rFonts w:hint="eastAsia" w:ascii="黑体" w:hAnsi="黑体" w:eastAsia="黑体" w:cs="黑体"/>
          <w:bCs/>
          <w:color w:val="auto"/>
          <w:sz w:val="28"/>
          <w:szCs w:val="28"/>
        </w:rPr>
      </w:pPr>
      <w:r>
        <w:rPr>
          <w:rFonts w:hint="eastAsia" w:ascii="黑体" w:hAnsi="黑体" w:eastAsia="黑体" w:cs="黑体"/>
          <w:bCs/>
          <w:color w:val="auto"/>
          <w:sz w:val="28"/>
          <w:szCs w:val="28"/>
        </w:rPr>
        <w:t>二、一般要求</w:t>
      </w:r>
      <w:bookmarkEnd w:id="59"/>
      <w:bookmarkEnd w:id="60"/>
      <w:bookmarkEnd w:id="61"/>
    </w:p>
    <w:p w14:paraId="11A7A980">
      <w:pPr>
        <w:pStyle w:val="5"/>
        <w:numPr>
          <w:ilvl w:val="1"/>
          <w:numId w:val="3"/>
        </w:numPr>
        <w:tabs>
          <w:tab w:val="clear" w:pos="851"/>
        </w:tabs>
        <w:spacing w:line="400" w:lineRule="exact"/>
        <w:ind w:left="1134" w:hanging="709"/>
        <w:rPr>
          <w:rFonts w:hint="eastAsia" w:hAnsi="宋体"/>
          <w:b/>
          <w:color w:val="auto"/>
          <w:sz w:val="24"/>
          <w:szCs w:val="24"/>
        </w:rPr>
      </w:pPr>
      <w:bookmarkStart w:id="62" w:name="_Toc98579053"/>
      <w:bookmarkStart w:id="63" w:name="_Toc41884687"/>
      <w:bookmarkStart w:id="64" w:name="_Toc101951245"/>
      <w:bookmarkStart w:id="65" w:name="_Toc101771359"/>
      <w:bookmarkStart w:id="66" w:name="_Toc42313155"/>
      <w:bookmarkStart w:id="67" w:name="_Toc98579594"/>
      <w:bookmarkStart w:id="68" w:name="_Toc50276141"/>
      <w:bookmarkStart w:id="69" w:name="_Toc41723917"/>
      <w:bookmarkStart w:id="70" w:name="_Toc101843112"/>
      <w:bookmarkStart w:id="71" w:name="_Toc101775112"/>
      <w:bookmarkStart w:id="72" w:name="_Toc42394500"/>
      <w:bookmarkStart w:id="73" w:name="_Toc98580277"/>
      <w:bookmarkStart w:id="74" w:name="_Toc134956119"/>
      <w:bookmarkStart w:id="75" w:name="_Toc42394657"/>
      <w:bookmarkStart w:id="76" w:name="_Toc98578995"/>
      <w:bookmarkStart w:id="77" w:name="_Toc98580279"/>
      <w:bookmarkStart w:id="78" w:name="_Toc98579055"/>
      <w:bookmarkStart w:id="79" w:name="_Toc50276143"/>
      <w:bookmarkStart w:id="80" w:name="_Toc101951246"/>
      <w:bookmarkStart w:id="81" w:name="_Toc101843113"/>
      <w:bookmarkStart w:id="82" w:name="_Toc42394659"/>
      <w:bookmarkStart w:id="83" w:name="_Toc98578997"/>
      <w:bookmarkStart w:id="84" w:name="_Toc134956120"/>
      <w:bookmarkStart w:id="85" w:name="_Toc42394502"/>
      <w:bookmarkStart w:id="86" w:name="_Toc98579596"/>
      <w:bookmarkStart w:id="87" w:name="_Toc101775113"/>
      <w:bookmarkStart w:id="88" w:name="_Toc42313157"/>
      <w:bookmarkStart w:id="89" w:name="_Toc101771360"/>
      <w:r>
        <w:rPr>
          <w:rFonts w:hint="eastAsia" w:hAnsi="宋体"/>
          <w:b/>
          <w:color w:val="auto"/>
          <w:sz w:val="24"/>
          <w:szCs w:val="24"/>
        </w:rPr>
        <w:t>投标的费用</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227B5892">
      <w:pPr>
        <w:pStyle w:val="5"/>
        <w:tabs>
          <w:tab w:val="left" w:pos="0"/>
        </w:tabs>
        <w:spacing w:line="400" w:lineRule="exact"/>
        <w:ind w:firstLine="480" w:firstLineChars="200"/>
        <w:rPr>
          <w:rFonts w:hint="eastAsia" w:hAnsi="宋体"/>
          <w:color w:val="auto"/>
          <w:sz w:val="24"/>
          <w:szCs w:val="24"/>
        </w:rPr>
      </w:pPr>
      <w:r>
        <w:rPr>
          <w:rFonts w:hint="eastAsia" w:hAnsi="宋体"/>
          <w:color w:val="auto"/>
          <w:sz w:val="24"/>
          <w:szCs w:val="24"/>
        </w:rPr>
        <w:t>不论投标结果如何，投标人应承担所有与准备和参加投标有关的费用。采购代理机构和采购人均无义务和责任承担相关费用。</w:t>
      </w:r>
    </w:p>
    <w:p w14:paraId="42152CA2">
      <w:pPr>
        <w:pStyle w:val="5"/>
        <w:numPr>
          <w:ilvl w:val="1"/>
          <w:numId w:val="3"/>
        </w:numPr>
        <w:tabs>
          <w:tab w:val="clear" w:pos="851"/>
        </w:tabs>
        <w:spacing w:line="400" w:lineRule="exact"/>
        <w:ind w:left="1134" w:hanging="709"/>
        <w:rPr>
          <w:rFonts w:hint="eastAsia" w:hAnsi="宋体"/>
          <w:b/>
          <w:color w:val="auto"/>
          <w:sz w:val="24"/>
          <w:szCs w:val="24"/>
        </w:rPr>
      </w:pPr>
      <w:r>
        <w:rPr>
          <w:rFonts w:hint="eastAsia" w:hAnsi="宋体"/>
          <w:b/>
          <w:color w:val="auto"/>
          <w:sz w:val="24"/>
          <w:szCs w:val="24"/>
        </w:rPr>
        <w:t>招标文件的澄清和修改</w:t>
      </w:r>
      <w:bookmarkEnd w:id="77"/>
      <w:bookmarkEnd w:id="78"/>
      <w:bookmarkEnd w:id="79"/>
      <w:bookmarkEnd w:id="80"/>
      <w:bookmarkEnd w:id="81"/>
      <w:bookmarkEnd w:id="82"/>
      <w:bookmarkEnd w:id="83"/>
      <w:bookmarkEnd w:id="84"/>
      <w:bookmarkEnd w:id="85"/>
      <w:bookmarkEnd w:id="86"/>
      <w:bookmarkEnd w:id="87"/>
      <w:bookmarkEnd w:id="88"/>
      <w:bookmarkEnd w:id="89"/>
    </w:p>
    <w:p w14:paraId="418B13C9">
      <w:pPr>
        <w:pStyle w:val="5"/>
        <w:numPr>
          <w:ilvl w:val="2"/>
          <w:numId w:val="3"/>
        </w:numPr>
        <w:tabs>
          <w:tab w:val="clear" w:pos="840"/>
        </w:tabs>
        <w:spacing w:line="400" w:lineRule="exact"/>
        <w:ind w:left="0" w:firstLine="540"/>
        <w:rPr>
          <w:rFonts w:hint="eastAsia" w:hAnsi="宋体"/>
          <w:color w:val="auto"/>
          <w:sz w:val="24"/>
          <w:szCs w:val="24"/>
        </w:rPr>
      </w:pPr>
      <w:r>
        <w:rPr>
          <w:rFonts w:hint="eastAsia" w:hAnsi="宋体"/>
          <w:color w:val="auto"/>
          <w:sz w:val="24"/>
          <w:szCs w:val="24"/>
        </w:rPr>
        <w:t>采购人或者采购代理机构对招标文件进行必要的澄清或者修改的，在采购信息发布网站上发布更正公告。澄清或者修改的内容可能影响投标文件编制的，更正公告在投标截止时间至少15日前发出；不足15日的，采购人或者采购代理机构应当顺延提交投标文件截止时间。</w:t>
      </w:r>
    </w:p>
    <w:p w14:paraId="490AEDBE">
      <w:pPr>
        <w:pStyle w:val="5"/>
        <w:numPr>
          <w:ilvl w:val="2"/>
          <w:numId w:val="3"/>
        </w:numPr>
        <w:tabs>
          <w:tab w:val="clear" w:pos="840"/>
        </w:tabs>
        <w:spacing w:line="400" w:lineRule="exact"/>
        <w:ind w:left="0" w:firstLine="540"/>
        <w:rPr>
          <w:rFonts w:hint="eastAsia" w:hAnsi="宋体"/>
          <w:color w:val="auto"/>
          <w:sz w:val="24"/>
          <w:szCs w:val="24"/>
        </w:rPr>
      </w:pPr>
      <w:r>
        <w:rPr>
          <w:rFonts w:hint="eastAsia" w:hAnsi="宋体"/>
          <w:color w:val="auto"/>
          <w:sz w:val="24"/>
          <w:szCs w:val="24"/>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投标人应随时登录贵州省政府采购或全国公共资源交易平台（贵州省•铜仁市）查看、处理采购人发出的文件澄清、补充、更正等通知内容，如因投标人未及时上网查询导致的后果，由投标人自己承担。如更正公告有重新发布电子招标文件的，供应商应下载最新发布的电子招标文件制作投标文件。</w:t>
      </w:r>
    </w:p>
    <w:p w14:paraId="15A1BDBE">
      <w:pPr>
        <w:pStyle w:val="5"/>
        <w:numPr>
          <w:ilvl w:val="2"/>
          <w:numId w:val="3"/>
        </w:numPr>
        <w:tabs>
          <w:tab w:val="clear" w:pos="840"/>
        </w:tabs>
        <w:spacing w:line="400" w:lineRule="exact"/>
        <w:ind w:left="0" w:firstLine="540"/>
        <w:rPr>
          <w:rFonts w:hint="eastAsia" w:hAnsi="宋体"/>
          <w:color w:val="auto"/>
          <w:sz w:val="24"/>
          <w:szCs w:val="24"/>
        </w:rPr>
      </w:pPr>
      <w:r>
        <w:rPr>
          <w:rFonts w:hint="eastAsia" w:hAnsi="宋体"/>
          <w:color w:val="auto"/>
          <w:sz w:val="24"/>
          <w:szCs w:val="24"/>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0ECEE656">
      <w:pPr>
        <w:pStyle w:val="5"/>
        <w:numPr>
          <w:ilvl w:val="1"/>
          <w:numId w:val="3"/>
        </w:numPr>
        <w:tabs>
          <w:tab w:val="clear" w:pos="851"/>
        </w:tabs>
        <w:spacing w:line="400" w:lineRule="exact"/>
        <w:ind w:left="1134" w:hanging="709"/>
        <w:rPr>
          <w:rFonts w:hint="eastAsia" w:hAnsi="宋体"/>
          <w:b/>
          <w:color w:val="auto"/>
          <w:sz w:val="24"/>
          <w:szCs w:val="24"/>
        </w:rPr>
      </w:pPr>
      <w:bookmarkStart w:id="90" w:name="_Toc134956123"/>
      <w:bookmarkStart w:id="91" w:name="_Toc101775115"/>
      <w:bookmarkStart w:id="92" w:name="_Toc101951248"/>
      <w:bookmarkStart w:id="93" w:name="_Toc101771362"/>
      <w:bookmarkStart w:id="94" w:name="_Toc101843115"/>
      <w:r>
        <w:rPr>
          <w:rFonts w:hint="eastAsia" w:hAnsi="宋体"/>
          <w:b/>
          <w:color w:val="auto"/>
          <w:sz w:val="24"/>
          <w:szCs w:val="24"/>
        </w:rPr>
        <w:t>关于联合体投标</w:t>
      </w:r>
      <w:bookmarkEnd w:id="90"/>
    </w:p>
    <w:p w14:paraId="0740DDA3">
      <w:pPr>
        <w:pStyle w:val="5"/>
        <w:tabs>
          <w:tab w:val="clear" w:pos="851"/>
        </w:tabs>
        <w:spacing w:line="400" w:lineRule="exact"/>
        <w:rPr>
          <w:rFonts w:hint="eastAsia" w:hAnsi="宋体"/>
          <w:bCs/>
          <w:color w:val="auto"/>
          <w:sz w:val="24"/>
          <w:szCs w:val="24"/>
        </w:rPr>
      </w:pPr>
      <w:r>
        <w:rPr>
          <w:rFonts w:hint="eastAsia" w:hAnsi="宋体"/>
          <w:bCs/>
          <w:color w:val="auto"/>
          <w:sz w:val="24"/>
          <w:szCs w:val="24"/>
        </w:rPr>
        <w:t xml:space="preserve">     对接受联合体投标的项目：</w:t>
      </w:r>
    </w:p>
    <w:p w14:paraId="323D9CCF">
      <w:pPr>
        <w:pStyle w:val="5"/>
        <w:numPr>
          <w:ilvl w:val="2"/>
          <w:numId w:val="3"/>
        </w:numPr>
        <w:tabs>
          <w:tab w:val="clear" w:pos="840"/>
        </w:tabs>
        <w:spacing w:line="400" w:lineRule="exact"/>
        <w:ind w:left="0" w:firstLine="540"/>
        <w:rPr>
          <w:rFonts w:hint="eastAsia" w:hAnsi="宋体"/>
          <w:color w:val="auto"/>
          <w:sz w:val="24"/>
          <w:szCs w:val="24"/>
        </w:rPr>
      </w:pPr>
      <w:r>
        <w:rPr>
          <w:rFonts w:hint="eastAsia" w:hAnsi="宋体"/>
          <w:color w:val="auto"/>
          <w:sz w:val="24"/>
          <w:szCs w:val="24"/>
        </w:rPr>
        <w:t>两个以上的自然人、法人或者其他组织可以组成一个联合体，以一个投标人的身份共同参加政府采购。</w:t>
      </w:r>
    </w:p>
    <w:p w14:paraId="225F495F">
      <w:pPr>
        <w:pStyle w:val="5"/>
        <w:numPr>
          <w:ilvl w:val="2"/>
          <w:numId w:val="3"/>
        </w:numPr>
        <w:tabs>
          <w:tab w:val="clear" w:pos="840"/>
        </w:tabs>
        <w:spacing w:line="400" w:lineRule="exact"/>
        <w:ind w:left="0" w:firstLine="540"/>
        <w:rPr>
          <w:rFonts w:hint="eastAsia" w:hAnsi="宋体"/>
          <w:color w:val="auto"/>
          <w:sz w:val="24"/>
          <w:szCs w:val="24"/>
        </w:rPr>
      </w:pPr>
      <w:r>
        <w:rPr>
          <w:rFonts w:hint="eastAsia" w:hAnsi="宋体"/>
          <w:color w:val="auto"/>
          <w:sz w:val="24"/>
          <w:szCs w:val="24"/>
        </w:rPr>
        <w:t>联合体各方均应当符合《政府采购法》第二十二条规定的条件。</w:t>
      </w:r>
    </w:p>
    <w:p w14:paraId="1FCB611F">
      <w:pPr>
        <w:pStyle w:val="5"/>
        <w:numPr>
          <w:ilvl w:val="2"/>
          <w:numId w:val="3"/>
        </w:numPr>
        <w:tabs>
          <w:tab w:val="clear" w:pos="840"/>
        </w:tabs>
        <w:spacing w:line="400" w:lineRule="exact"/>
        <w:ind w:left="0" w:firstLine="540"/>
        <w:rPr>
          <w:rFonts w:hint="eastAsia" w:hAnsi="宋体"/>
          <w:color w:val="auto"/>
          <w:sz w:val="24"/>
          <w:szCs w:val="24"/>
        </w:rPr>
      </w:pPr>
      <w:r>
        <w:rPr>
          <w:rFonts w:hint="eastAsia" w:hAnsi="宋体"/>
          <w:bCs/>
          <w:color w:val="auto"/>
          <w:sz w:val="24"/>
          <w:szCs w:val="24"/>
        </w:rPr>
        <w:t>联合体各方之间应当签订共同投标协议并在投标文件内提交</w:t>
      </w:r>
      <w:r>
        <w:rPr>
          <w:rFonts w:hint="eastAsia" w:hAnsi="宋体"/>
          <w:color w:val="auto"/>
          <w:sz w:val="24"/>
          <w:szCs w:val="24"/>
        </w:rPr>
        <w:t>，明确约定联合体各方承担的工作和相应的责任。联合体各方签订共同投标协议后，不得再以自己名义单独在同一项目中投标，也不得组成新的联合体参加同一项目投标。</w:t>
      </w:r>
    </w:p>
    <w:p w14:paraId="46DD5F8C">
      <w:pPr>
        <w:pStyle w:val="5"/>
        <w:numPr>
          <w:ilvl w:val="2"/>
          <w:numId w:val="3"/>
        </w:numPr>
        <w:tabs>
          <w:tab w:val="clear" w:pos="840"/>
        </w:tabs>
        <w:spacing w:line="400" w:lineRule="exact"/>
        <w:ind w:left="0" w:firstLine="540"/>
        <w:rPr>
          <w:rStyle w:val="72"/>
          <w:rFonts w:hint="eastAsia" w:hAnsi="宋体"/>
          <w:color w:val="auto"/>
          <w:sz w:val="24"/>
          <w:szCs w:val="24"/>
        </w:rPr>
      </w:pPr>
      <w:r>
        <w:rPr>
          <w:rStyle w:val="72"/>
          <w:rFonts w:hint="eastAsia" w:hAnsi="宋体"/>
          <w:color w:val="auto"/>
          <w:sz w:val="24"/>
          <w:szCs w:val="24"/>
        </w:rPr>
        <w:t>投标报名时，应以主体方名义报名，并</w:t>
      </w:r>
      <w:r>
        <w:rPr>
          <w:rFonts w:hint="eastAsia" w:hAnsi="宋体"/>
          <w:color w:val="auto"/>
          <w:sz w:val="24"/>
          <w:szCs w:val="24"/>
        </w:rPr>
        <w:t>须</w:t>
      </w:r>
      <w:r>
        <w:rPr>
          <w:rStyle w:val="72"/>
          <w:rFonts w:hint="eastAsia" w:hAnsi="宋体"/>
          <w:color w:val="auto"/>
          <w:sz w:val="24"/>
          <w:szCs w:val="24"/>
        </w:rPr>
        <w:t>将联合体所有成员单位的全称录入铜仁市公共资源交易中心政府采购交易系统，联合体名称需与共同投标协议签署方一致。</w:t>
      </w:r>
    </w:p>
    <w:p w14:paraId="194713A4">
      <w:pPr>
        <w:pStyle w:val="5"/>
        <w:numPr>
          <w:ilvl w:val="2"/>
          <w:numId w:val="3"/>
        </w:numPr>
        <w:tabs>
          <w:tab w:val="clear" w:pos="840"/>
        </w:tabs>
        <w:spacing w:line="400" w:lineRule="exact"/>
        <w:ind w:left="0" w:firstLine="540"/>
        <w:rPr>
          <w:rStyle w:val="72"/>
          <w:rFonts w:hint="eastAsia" w:hAnsi="宋体"/>
          <w:color w:val="auto"/>
          <w:sz w:val="24"/>
          <w:szCs w:val="24"/>
        </w:rPr>
      </w:pPr>
      <w:r>
        <w:rPr>
          <w:rStyle w:val="72"/>
          <w:rFonts w:hint="eastAsia" w:hAnsi="宋体"/>
          <w:color w:val="auto"/>
          <w:sz w:val="24"/>
          <w:szCs w:val="24"/>
        </w:rPr>
        <w:t>联合体投标的，应以主体方名义提交投标保证金（如有），对联合体各方均具有约束力。</w:t>
      </w:r>
    </w:p>
    <w:p w14:paraId="7D371C64">
      <w:pPr>
        <w:pStyle w:val="5"/>
        <w:numPr>
          <w:ilvl w:val="2"/>
          <w:numId w:val="3"/>
        </w:numPr>
        <w:tabs>
          <w:tab w:val="clear" w:pos="840"/>
        </w:tabs>
        <w:spacing w:line="400" w:lineRule="exact"/>
        <w:ind w:left="0" w:firstLine="540"/>
        <w:rPr>
          <w:rFonts w:hint="eastAsia" w:hAnsi="宋体"/>
          <w:color w:val="auto"/>
          <w:sz w:val="24"/>
          <w:szCs w:val="24"/>
        </w:rPr>
      </w:pPr>
      <w:r>
        <w:rPr>
          <w:rFonts w:hint="eastAsia" w:hAnsi="宋体"/>
          <w:color w:val="auto"/>
          <w:sz w:val="24"/>
          <w:szCs w:val="24"/>
        </w:rPr>
        <w:t>由同一专业的单位组成的联合体，按照同一项资质等级较低的单位确定资质等级。</w:t>
      </w:r>
    </w:p>
    <w:p w14:paraId="5B9B4DA7">
      <w:pPr>
        <w:pStyle w:val="5"/>
        <w:numPr>
          <w:ilvl w:val="2"/>
          <w:numId w:val="3"/>
        </w:numPr>
        <w:tabs>
          <w:tab w:val="clear" w:pos="840"/>
        </w:tabs>
        <w:spacing w:line="400" w:lineRule="exact"/>
        <w:ind w:left="0" w:firstLine="540"/>
        <w:rPr>
          <w:rFonts w:hint="eastAsia" w:hAnsi="宋体"/>
          <w:color w:val="auto"/>
          <w:sz w:val="24"/>
          <w:szCs w:val="24"/>
        </w:rPr>
      </w:pPr>
      <w:r>
        <w:rPr>
          <w:rFonts w:hint="eastAsia" w:hAnsi="宋体"/>
          <w:color w:val="auto"/>
          <w:sz w:val="24"/>
          <w:szCs w:val="24"/>
        </w:rPr>
        <w:t>业绩、奖项等的认定和评分根据共同投标协议约定的各方承担的工作和相应责任，确定一方打分，不累加打分；评审标准不明确或难以明确以哪一方计算评分情况时，则按主体方情况评分。</w:t>
      </w:r>
    </w:p>
    <w:p w14:paraId="074A2FAA">
      <w:pPr>
        <w:pStyle w:val="5"/>
        <w:numPr>
          <w:ilvl w:val="2"/>
          <w:numId w:val="3"/>
        </w:numPr>
        <w:tabs>
          <w:tab w:val="clear" w:pos="840"/>
        </w:tabs>
        <w:spacing w:line="400" w:lineRule="exact"/>
        <w:ind w:left="0" w:firstLine="540"/>
        <w:rPr>
          <w:rFonts w:hint="eastAsia" w:hAnsi="宋体"/>
          <w:color w:val="auto"/>
          <w:sz w:val="24"/>
          <w:szCs w:val="24"/>
        </w:rPr>
      </w:pPr>
      <w:r>
        <w:rPr>
          <w:rFonts w:hint="eastAsia" w:hAnsi="宋体"/>
          <w:bCs/>
          <w:color w:val="auto"/>
          <w:sz w:val="24"/>
          <w:szCs w:val="24"/>
        </w:rPr>
        <w:t>联合体各方均为小型、微型企业的，</w:t>
      </w:r>
      <w:r>
        <w:rPr>
          <w:rFonts w:hint="eastAsia" w:hAnsi="宋体"/>
          <w:color w:val="auto"/>
          <w:sz w:val="24"/>
          <w:szCs w:val="24"/>
        </w:rPr>
        <w:t>各方均应提供《中小企业声明函》</w:t>
      </w:r>
      <w:r>
        <w:rPr>
          <w:rFonts w:hint="eastAsia" w:hAnsi="宋体"/>
          <w:bCs/>
          <w:color w:val="auto"/>
          <w:sz w:val="24"/>
          <w:szCs w:val="24"/>
        </w:rPr>
        <w:t>；中小微企业作为联合体一方参与政府采购活动，且《共同投标协议书》中约定，小型、微型企业的协议合同金额占到联合体协议合同总金额30%以上的，</w:t>
      </w:r>
      <w:r>
        <w:rPr>
          <w:rFonts w:hint="eastAsia" w:hAnsi="宋体"/>
          <w:color w:val="auto"/>
          <w:sz w:val="24"/>
          <w:szCs w:val="24"/>
        </w:rPr>
        <w:t>应附中小微企业的《中小企业声明函》。</w:t>
      </w:r>
    </w:p>
    <w:p w14:paraId="145AE792">
      <w:pPr>
        <w:pStyle w:val="5"/>
        <w:numPr>
          <w:ilvl w:val="1"/>
          <w:numId w:val="3"/>
        </w:numPr>
        <w:tabs>
          <w:tab w:val="clear" w:pos="851"/>
        </w:tabs>
        <w:spacing w:line="400" w:lineRule="exact"/>
        <w:ind w:left="1134" w:hanging="709"/>
        <w:rPr>
          <w:rFonts w:hint="eastAsia" w:hAnsi="宋体"/>
          <w:b/>
          <w:bCs/>
          <w:color w:val="auto"/>
          <w:sz w:val="24"/>
          <w:szCs w:val="24"/>
        </w:rPr>
      </w:pPr>
      <w:r>
        <w:rPr>
          <w:rFonts w:hint="eastAsia" w:hAnsi="宋体"/>
          <w:b/>
          <w:color w:val="auto"/>
          <w:sz w:val="24"/>
          <w:szCs w:val="24"/>
        </w:rPr>
        <w:t>关于关联企业</w:t>
      </w:r>
    </w:p>
    <w:p w14:paraId="6BF0EAA7">
      <w:pPr>
        <w:pStyle w:val="5"/>
        <w:spacing w:line="400" w:lineRule="exact"/>
        <w:ind w:firstLine="480" w:firstLineChars="200"/>
        <w:rPr>
          <w:rFonts w:hint="eastAsia" w:hAnsi="宋体"/>
          <w:bCs/>
          <w:color w:val="auto"/>
          <w:sz w:val="24"/>
          <w:szCs w:val="24"/>
        </w:rPr>
      </w:pPr>
      <w:r>
        <w:rPr>
          <w:rFonts w:hint="eastAsia" w:hAnsi="宋体"/>
          <w:bCs/>
          <w:color w:val="auto"/>
          <w:sz w:val="24"/>
          <w:szCs w:val="24"/>
        </w:rPr>
        <w:t>对于不接受联合体投标的采购项目（采购包）：法定代表人或单位负责人为同一个人或者存在直接控股、管理关系的不同供应商，不得同时参加同一项目或同一采购包的投标。如同时参加，则其投标将被拒绝。</w:t>
      </w:r>
    </w:p>
    <w:p w14:paraId="775F9D52">
      <w:pPr>
        <w:pStyle w:val="5"/>
        <w:spacing w:line="400" w:lineRule="exact"/>
        <w:ind w:firstLine="480" w:firstLineChars="200"/>
        <w:rPr>
          <w:rFonts w:hint="eastAsia" w:hAnsi="宋体"/>
          <w:bCs/>
          <w:color w:val="auto"/>
          <w:sz w:val="24"/>
          <w:szCs w:val="24"/>
        </w:rPr>
      </w:pPr>
      <w:r>
        <w:rPr>
          <w:rFonts w:hint="eastAsia" w:hAnsi="宋体"/>
          <w:bCs/>
          <w:color w:val="auto"/>
          <w:sz w:val="24"/>
          <w:szCs w:val="24"/>
        </w:rPr>
        <w:t>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14:paraId="01656544">
      <w:pPr>
        <w:pStyle w:val="5"/>
        <w:numPr>
          <w:ilvl w:val="1"/>
          <w:numId w:val="3"/>
        </w:numPr>
        <w:tabs>
          <w:tab w:val="clear" w:pos="851"/>
        </w:tabs>
        <w:spacing w:line="400" w:lineRule="exact"/>
        <w:ind w:left="1134" w:hanging="709"/>
        <w:rPr>
          <w:rFonts w:hint="eastAsia" w:hAnsi="宋体"/>
          <w:b/>
          <w:bCs/>
          <w:color w:val="auto"/>
          <w:sz w:val="24"/>
          <w:szCs w:val="24"/>
        </w:rPr>
      </w:pPr>
      <w:bookmarkStart w:id="95" w:name="EB389f116341dd4693875bc7987e7327f3"/>
      <w:r>
        <w:rPr>
          <w:rFonts w:hint="eastAsia" w:hAnsi="宋体"/>
          <w:b/>
          <w:bCs/>
          <w:color w:val="auto"/>
          <w:sz w:val="24"/>
          <w:szCs w:val="24"/>
        </w:rPr>
        <w:t>关于分支机构投标</w:t>
      </w:r>
    </w:p>
    <w:bookmarkEnd w:id="95"/>
    <w:p w14:paraId="2CA59424">
      <w:pPr>
        <w:pStyle w:val="5"/>
        <w:spacing w:line="400" w:lineRule="exact"/>
        <w:ind w:firstLine="480" w:firstLineChars="200"/>
        <w:rPr>
          <w:rFonts w:hint="eastAsia" w:hAnsi="宋体"/>
          <w:bCs/>
          <w:color w:val="auto"/>
          <w:sz w:val="24"/>
          <w:szCs w:val="24"/>
        </w:rPr>
      </w:pPr>
      <w:r>
        <w:rPr>
          <w:rFonts w:hint="eastAsia" w:hAnsi="宋体"/>
          <w:bCs/>
          <w:color w:val="auto"/>
          <w:sz w:val="24"/>
          <w:szCs w:val="24"/>
        </w:rPr>
        <w:t>对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保险类项目则为：本项目只接受保险分公司或中心支公司以上的保险机构投标；分公司或中心支公司的保险机构投标的，还须提供分公司或中心支公司的保险机构的营业执照。依法设立登记的分支机构以自己的名义参加政府采购活动，产生的民事责任由法人承担。 ）（对于银行、保险、电信、邮政、铁路等行业以及获得总公司投标授权的分公司，可以提供投标分支机构负责人授权书）</w:t>
      </w:r>
    </w:p>
    <w:p w14:paraId="5E1B5CE6">
      <w:pPr>
        <w:pStyle w:val="5"/>
        <w:numPr>
          <w:ilvl w:val="1"/>
          <w:numId w:val="3"/>
        </w:numPr>
        <w:tabs>
          <w:tab w:val="clear" w:pos="851"/>
        </w:tabs>
        <w:spacing w:line="400" w:lineRule="exact"/>
        <w:ind w:left="1134" w:hanging="709"/>
        <w:rPr>
          <w:rFonts w:hint="eastAsia" w:hAnsi="宋体"/>
          <w:b/>
          <w:color w:val="auto"/>
          <w:sz w:val="24"/>
          <w:szCs w:val="24"/>
        </w:rPr>
      </w:pPr>
      <w:r>
        <w:rPr>
          <w:rFonts w:hint="eastAsia" w:hAnsi="宋体"/>
          <w:b/>
          <w:color w:val="auto"/>
          <w:sz w:val="24"/>
          <w:szCs w:val="24"/>
        </w:rPr>
        <w:t>关于中小企业投标</w:t>
      </w:r>
    </w:p>
    <w:p w14:paraId="73AF1574">
      <w:pPr>
        <w:pStyle w:val="5"/>
        <w:tabs>
          <w:tab w:val="clear" w:pos="851"/>
        </w:tabs>
        <w:spacing w:line="400" w:lineRule="exact"/>
        <w:ind w:firstLine="540" w:firstLineChars="225"/>
        <w:rPr>
          <w:rFonts w:hint="eastAsia" w:hAnsi="宋体"/>
          <w:bCs/>
          <w:color w:val="auto"/>
          <w:sz w:val="24"/>
          <w:szCs w:val="24"/>
        </w:rPr>
      </w:pPr>
      <w:r>
        <w:rPr>
          <w:rFonts w:hint="eastAsia" w:hAnsi="宋体"/>
          <w:bCs/>
          <w:color w:val="auto"/>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14:paraId="4DEC9070">
      <w:pPr>
        <w:spacing w:line="400" w:lineRule="exact"/>
        <w:ind w:firstLine="480" w:firstLineChars="200"/>
        <w:rPr>
          <w:rFonts w:hint="eastAsia" w:ascii="宋体" w:hAnsi="宋体" w:cs="宋体"/>
          <w:bCs/>
          <w:color w:val="auto"/>
          <w:sz w:val="24"/>
          <w:szCs w:val="24"/>
        </w:rPr>
      </w:pPr>
      <w:r>
        <w:rPr>
          <w:rFonts w:hint="eastAsia" w:ascii="宋体" w:hAnsi="宋体" w:cs="宋体"/>
          <w:bCs/>
          <w:color w:val="auto"/>
          <w:sz w:val="24"/>
          <w:szCs w:val="24"/>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5C1EE0A7">
      <w:pPr>
        <w:spacing w:line="400" w:lineRule="exact"/>
        <w:ind w:firstLine="480" w:firstLineChars="200"/>
        <w:rPr>
          <w:rFonts w:hint="eastAsia" w:ascii="宋体" w:hAnsi="宋体" w:cs="宋体"/>
          <w:bCs/>
          <w:color w:val="auto"/>
          <w:sz w:val="24"/>
          <w:szCs w:val="24"/>
        </w:rPr>
      </w:pPr>
      <w:r>
        <w:rPr>
          <w:rFonts w:hint="eastAsia" w:ascii="宋体" w:hAnsi="宋体" w:cs="宋体"/>
          <w:bCs/>
          <w:color w:val="auto"/>
          <w:sz w:val="24"/>
          <w:szCs w:val="24"/>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3824106B">
      <w:pPr>
        <w:pStyle w:val="5"/>
        <w:numPr>
          <w:ilvl w:val="1"/>
          <w:numId w:val="3"/>
        </w:numPr>
        <w:tabs>
          <w:tab w:val="clear" w:pos="851"/>
        </w:tabs>
        <w:spacing w:line="400" w:lineRule="exact"/>
        <w:ind w:left="1134" w:hanging="709"/>
        <w:rPr>
          <w:rFonts w:hint="eastAsia" w:hAnsi="宋体"/>
          <w:b/>
          <w:color w:val="auto"/>
          <w:sz w:val="24"/>
          <w:szCs w:val="24"/>
        </w:rPr>
      </w:pPr>
      <w:r>
        <w:rPr>
          <w:rFonts w:hint="eastAsia" w:hAnsi="宋体"/>
          <w:b/>
          <w:color w:val="auto"/>
          <w:sz w:val="24"/>
          <w:szCs w:val="24"/>
        </w:rPr>
        <w:t>知识产权</w:t>
      </w:r>
    </w:p>
    <w:p w14:paraId="518AF42D">
      <w:pPr>
        <w:pStyle w:val="5"/>
        <w:numPr>
          <w:ilvl w:val="2"/>
          <w:numId w:val="3"/>
        </w:numPr>
        <w:tabs>
          <w:tab w:val="clear" w:pos="840"/>
        </w:tabs>
        <w:spacing w:line="400" w:lineRule="exact"/>
        <w:ind w:left="0" w:firstLine="540"/>
        <w:rPr>
          <w:rFonts w:hint="eastAsia" w:hAnsi="宋体"/>
          <w:color w:val="auto"/>
          <w:sz w:val="24"/>
          <w:szCs w:val="24"/>
          <w:lang w:val="en-GB"/>
        </w:rPr>
      </w:pPr>
      <w:r>
        <w:rPr>
          <w:rFonts w:hint="eastAsia" w:hAnsi="宋体"/>
          <w:color w:val="auto"/>
          <w:sz w:val="24"/>
          <w:szCs w:val="24"/>
        </w:rPr>
        <w:t>投标人必须保证</w:t>
      </w:r>
      <w:r>
        <w:rPr>
          <w:rFonts w:hint="eastAsia" w:hAnsi="宋体"/>
          <w:color w:val="auto"/>
          <w:sz w:val="24"/>
          <w:szCs w:val="24"/>
          <w:lang w:val="en-US" w:eastAsia="zh-CN"/>
        </w:rPr>
        <w:t>并承诺</w:t>
      </w:r>
      <w:r>
        <w:rPr>
          <w:rFonts w:hint="eastAsia" w:hAnsi="宋体"/>
          <w:color w:val="auto"/>
          <w:sz w:val="24"/>
          <w:szCs w:val="24"/>
        </w:rPr>
        <w:t>，采购人在中华人民共和国境内使用投标货物、资料、技术、服务或其任何一部分时，享有不受限制的无偿使用权，如有第三方向采购人提出侵犯其专利权、商标权或其它知识产权的主张，该责任应由投标人承担。</w:t>
      </w:r>
      <w:r>
        <w:rPr>
          <w:rFonts w:hint="eastAsia" w:hAnsi="宋体"/>
          <w:color w:val="auto"/>
          <w:sz w:val="24"/>
          <w:szCs w:val="24"/>
          <w:lang w:val="en-US" w:eastAsia="zh-CN"/>
        </w:rPr>
        <w:t>未承诺的作无效标处理。</w:t>
      </w:r>
    </w:p>
    <w:p w14:paraId="35AC9319">
      <w:pPr>
        <w:pStyle w:val="5"/>
        <w:numPr>
          <w:ilvl w:val="2"/>
          <w:numId w:val="3"/>
        </w:numPr>
        <w:tabs>
          <w:tab w:val="clear" w:pos="840"/>
        </w:tabs>
        <w:spacing w:line="400" w:lineRule="exact"/>
        <w:ind w:left="0" w:firstLine="540"/>
        <w:rPr>
          <w:rFonts w:hint="eastAsia" w:hAnsi="宋体"/>
          <w:color w:val="auto"/>
          <w:sz w:val="24"/>
          <w:szCs w:val="24"/>
        </w:rPr>
      </w:pPr>
      <w:r>
        <w:rPr>
          <w:rFonts w:hint="eastAsia" w:hAnsi="宋体"/>
          <w:color w:val="auto"/>
          <w:sz w:val="24"/>
          <w:szCs w:val="24"/>
        </w:rPr>
        <w:t>投标报价应包含所有应向所有权人支付的专利权、商标权或其它知识产权的一切相关费用。</w:t>
      </w:r>
    </w:p>
    <w:p w14:paraId="472782DD">
      <w:pPr>
        <w:pStyle w:val="5"/>
        <w:numPr>
          <w:ilvl w:val="2"/>
          <w:numId w:val="3"/>
        </w:numPr>
        <w:tabs>
          <w:tab w:val="clear" w:pos="840"/>
        </w:tabs>
        <w:spacing w:line="400" w:lineRule="exact"/>
        <w:ind w:left="0" w:firstLine="540"/>
        <w:rPr>
          <w:rFonts w:hint="eastAsia" w:hAnsi="宋体"/>
          <w:color w:val="auto"/>
          <w:sz w:val="24"/>
          <w:szCs w:val="24"/>
        </w:rPr>
      </w:pPr>
      <w:r>
        <w:rPr>
          <w:rFonts w:hint="eastAsia" w:hAnsi="宋体"/>
          <w:color w:val="auto"/>
          <w:sz w:val="24"/>
          <w:szCs w:val="24"/>
        </w:rPr>
        <w:t>系统软件、通用软件必须是具有在中国境内的合法使用权或版权的正版软件，涉及到第三方提出侵权或知识产权的起诉及支付版税等费用由投标人承担所有责任及费用。</w:t>
      </w:r>
    </w:p>
    <w:p w14:paraId="10BBCCC3">
      <w:pPr>
        <w:pStyle w:val="5"/>
        <w:numPr>
          <w:ilvl w:val="1"/>
          <w:numId w:val="3"/>
        </w:numPr>
        <w:tabs>
          <w:tab w:val="clear" w:pos="851"/>
        </w:tabs>
        <w:spacing w:line="400" w:lineRule="exact"/>
        <w:ind w:left="1134" w:hanging="709"/>
        <w:rPr>
          <w:rFonts w:hint="eastAsia" w:hAnsi="宋体"/>
          <w:b/>
          <w:bCs/>
          <w:color w:val="auto"/>
          <w:sz w:val="24"/>
          <w:szCs w:val="24"/>
        </w:rPr>
      </w:pPr>
      <w:r>
        <w:rPr>
          <w:rFonts w:hint="eastAsia" w:hAnsi="宋体"/>
          <w:b/>
          <w:color w:val="auto"/>
          <w:sz w:val="24"/>
          <w:szCs w:val="24"/>
        </w:rPr>
        <w:t>纪律与保密事项</w:t>
      </w:r>
    </w:p>
    <w:p w14:paraId="67527C7B">
      <w:pPr>
        <w:pStyle w:val="5"/>
        <w:numPr>
          <w:ilvl w:val="2"/>
          <w:numId w:val="3"/>
        </w:numPr>
        <w:tabs>
          <w:tab w:val="clear" w:pos="840"/>
        </w:tabs>
        <w:spacing w:line="400" w:lineRule="exact"/>
        <w:ind w:left="0" w:firstLine="540"/>
        <w:rPr>
          <w:rFonts w:hint="eastAsia" w:hAnsi="宋体"/>
          <w:color w:val="auto"/>
          <w:sz w:val="24"/>
          <w:szCs w:val="24"/>
        </w:rPr>
      </w:pPr>
      <w:r>
        <w:rPr>
          <w:rFonts w:hint="eastAsia" w:hAnsi="宋体"/>
          <w:color w:val="auto"/>
          <w:sz w:val="24"/>
          <w:szCs w:val="24"/>
        </w:rPr>
        <w:t>投标人不得相互串通投标报价，不得妨碍其他投标人的公平竞争，不得损害采购人或其他投标人的合法权益，投标人不得以向采购人、评标委员会成员行贿或者采取其他不正当手段谋取中标。</w:t>
      </w:r>
    </w:p>
    <w:p w14:paraId="2BD45AC3">
      <w:pPr>
        <w:pStyle w:val="5"/>
        <w:numPr>
          <w:ilvl w:val="2"/>
          <w:numId w:val="3"/>
        </w:numPr>
        <w:tabs>
          <w:tab w:val="clear" w:pos="840"/>
        </w:tabs>
        <w:spacing w:line="400" w:lineRule="exact"/>
        <w:ind w:left="0" w:firstLine="540"/>
        <w:rPr>
          <w:rFonts w:hint="eastAsia" w:hAnsi="宋体"/>
          <w:color w:val="auto"/>
          <w:sz w:val="24"/>
          <w:szCs w:val="24"/>
        </w:rPr>
      </w:pPr>
      <w:r>
        <w:rPr>
          <w:rFonts w:hint="eastAsia" w:hAnsi="宋体"/>
          <w:color w:val="auto"/>
          <w:sz w:val="24"/>
          <w:szCs w:val="24"/>
        </w:rPr>
        <w:t>在确定中标人之前，投标人不得与采购人就投标价格、投标方案等实质性内容进行谈判，也不得私下接触评标委员会成员。</w:t>
      </w:r>
    </w:p>
    <w:p w14:paraId="6B7095EB">
      <w:pPr>
        <w:pStyle w:val="5"/>
        <w:numPr>
          <w:ilvl w:val="2"/>
          <w:numId w:val="3"/>
        </w:numPr>
        <w:tabs>
          <w:tab w:val="clear" w:pos="840"/>
        </w:tabs>
        <w:spacing w:line="400" w:lineRule="exact"/>
        <w:ind w:left="0" w:firstLine="540"/>
        <w:rPr>
          <w:rFonts w:hint="eastAsia" w:hAnsi="宋体"/>
          <w:color w:val="auto"/>
          <w:sz w:val="24"/>
          <w:szCs w:val="24"/>
        </w:rPr>
      </w:pPr>
      <w:r>
        <w:rPr>
          <w:rFonts w:hint="eastAsia" w:hAnsi="宋体"/>
          <w:color w:val="auto"/>
          <w:sz w:val="24"/>
          <w:szCs w:val="24"/>
        </w:rPr>
        <w:t>在确定中标人之前，投标人试图在投标文件审查、澄清、比较和评价时对评标委员会、采购人和代理机构施加任何影响都可能导致其投标无效。</w:t>
      </w:r>
    </w:p>
    <w:p w14:paraId="1143A739">
      <w:pPr>
        <w:pStyle w:val="5"/>
        <w:numPr>
          <w:ilvl w:val="2"/>
          <w:numId w:val="3"/>
        </w:numPr>
        <w:tabs>
          <w:tab w:val="clear" w:pos="840"/>
        </w:tabs>
        <w:spacing w:line="400" w:lineRule="exact"/>
        <w:ind w:left="0" w:firstLine="540"/>
        <w:rPr>
          <w:rFonts w:hint="eastAsia" w:hAnsi="宋体"/>
          <w:color w:val="auto"/>
          <w:sz w:val="24"/>
          <w:szCs w:val="24"/>
        </w:rPr>
      </w:pPr>
      <w:r>
        <w:rPr>
          <w:rFonts w:hint="eastAsia" w:hAnsi="宋体"/>
          <w:color w:val="auto"/>
          <w:sz w:val="24"/>
          <w:szCs w:val="24"/>
        </w:rPr>
        <w:t>获得本招标文件者，不得将招标文件用作本次投标以外的任何用途。若有要求，开标后，投标人应归还招标文件中的保密文件和资料。</w:t>
      </w:r>
    </w:p>
    <w:p w14:paraId="69FA9D23">
      <w:pPr>
        <w:pStyle w:val="5"/>
        <w:numPr>
          <w:ilvl w:val="2"/>
          <w:numId w:val="3"/>
        </w:numPr>
        <w:tabs>
          <w:tab w:val="clear" w:pos="840"/>
        </w:tabs>
        <w:spacing w:line="400" w:lineRule="exact"/>
        <w:ind w:left="0" w:firstLine="540"/>
        <w:rPr>
          <w:rFonts w:hint="eastAsia" w:hAnsi="宋体"/>
          <w:color w:val="auto"/>
          <w:sz w:val="24"/>
          <w:szCs w:val="24"/>
        </w:rPr>
      </w:pPr>
      <w:r>
        <w:rPr>
          <w:rFonts w:hint="eastAsia" w:hAnsi="宋体"/>
          <w:color w:val="auto"/>
          <w:sz w:val="24"/>
          <w:szCs w:val="24"/>
        </w:rPr>
        <w:t>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14:paraId="774634F2">
      <w:pPr>
        <w:pStyle w:val="5"/>
        <w:numPr>
          <w:ilvl w:val="2"/>
          <w:numId w:val="3"/>
        </w:numPr>
        <w:tabs>
          <w:tab w:val="clear" w:pos="840"/>
        </w:tabs>
        <w:spacing w:line="400" w:lineRule="exact"/>
        <w:ind w:left="0" w:firstLine="540"/>
        <w:rPr>
          <w:rFonts w:hint="eastAsia" w:hAnsi="宋体"/>
          <w:color w:val="auto"/>
          <w:sz w:val="24"/>
          <w:szCs w:val="24"/>
        </w:rPr>
      </w:pPr>
      <w:r>
        <w:rPr>
          <w:rFonts w:hint="eastAsia" w:hAnsi="宋体"/>
          <w:color w:val="auto"/>
          <w:sz w:val="24"/>
          <w:szCs w:val="24"/>
        </w:rPr>
        <w:t>采购人或采购代理机构有权将供应商提供的所有资料向有关政府部门或评审小组披露。</w:t>
      </w:r>
    </w:p>
    <w:p w14:paraId="21CA3D84">
      <w:pPr>
        <w:pStyle w:val="5"/>
        <w:numPr>
          <w:ilvl w:val="2"/>
          <w:numId w:val="3"/>
        </w:numPr>
        <w:tabs>
          <w:tab w:val="clear" w:pos="840"/>
        </w:tabs>
        <w:spacing w:line="400" w:lineRule="exact"/>
        <w:ind w:left="0" w:firstLine="540"/>
        <w:rPr>
          <w:rFonts w:hint="eastAsia" w:hAnsi="宋体"/>
          <w:color w:val="auto"/>
          <w:sz w:val="24"/>
          <w:szCs w:val="24"/>
        </w:rPr>
      </w:pPr>
      <w:r>
        <w:rPr>
          <w:rFonts w:hint="eastAsia" w:hAnsi="宋体"/>
          <w:color w:val="auto"/>
          <w:sz w:val="24"/>
          <w:szCs w:val="24"/>
        </w:rPr>
        <w:t>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0D9968F8">
      <w:pPr>
        <w:pStyle w:val="5"/>
        <w:numPr>
          <w:ilvl w:val="1"/>
          <w:numId w:val="3"/>
        </w:numPr>
        <w:tabs>
          <w:tab w:val="clear" w:pos="851"/>
        </w:tabs>
        <w:spacing w:line="400" w:lineRule="exact"/>
        <w:ind w:left="1134" w:hanging="709"/>
        <w:rPr>
          <w:rFonts w:hint="eastAsia" w:hAnsi="宋体"/>
          <w:color w:val="auto"/>
          <w:sz w:val="24"/>
          <w:szCs w:val="24"/>
        </w:rPr>
      </w:pPr>
      <w:r>
        <w:rPr>
          <w:rFonts w:hint="eastAsia" w:hAnsi="宋体"/>
          <w:b/>
          <w:bCs/>
          <w:color w:val="auto"/>
          <w:sz w:val="24"/>
          <w:szCs w:val="24"/>
        </w:rPr>
        <w:t>现场踏勘（如有）</w:t>
      </w:r>
    </w:p>
    <w:p w14:paraId="1B1F7E2A">
      <w:pPr>
        <w:pStyle w:val="5"/>
        <w:numPr>
          <w:ilvl w:val="2"/>
          <w:numId w:val="3"/>
        </w:numPr>
        <w:tabs>
          <w:tab w:val="clear" w:pos="840"/>
        </w:tabs>
        <w:spacing w:line="400" w:lineRule="exact"/>
        <w:ind w:left="0" w:firstLine="540"/>
        <w:rPr>
          <w:rFonts w:hint="eastAsia" w:hAnsi="宋体"/>
          <w:color w:val="auto"/>
          <w:sz w:val="24"/>
          <w:szCs w:val="24"/>
        </w:rPr>
      </w:pPr>
      <w:r>
        <w:rPr>
          <w:rFonts w:hint="eastAsia" w:hAnsi="宋体"/>
          <w:color w:val="auto"/>
          <w:sz w:val="24"/>
          <w:szCs w:val="24"/>
        </w:rPr>
        <w:t>招标文件规定组织踏勘现场的，采购人按招标文件规定的时间、地点组织投标人踏勘项目现场。</w:t>
      </w:r>
    </w:p>
    <w:p w14:paraId="42E88ACF">
      <w:pPr>
        <w:pStyle w:val="5"/>
        <w:numPr>
          <w:ilvl w:val="2"/>
          <w:numId w:val="3"/>
        </w:numPr>
        <w:tabs>
          <w:tab w:val="clear" w:pos="840"/>
        </w:tabs>
        <w:spacing w:line="400" w:lineRule="exact"/>
        <w:ind w:left="0" w:firstLine="540"/>
        <w:rPr>
          <w:rFonts w:hint="eastAsia" w:hAnsi="宋体"/>
          <w:color w:val="auto"/>
          <w:sz w:val="24"/>
          <w:szCs w:val="24"/>
        </w:rPr>
      </w:pPr>
      <w:r>
        <w:rPr>
          <w:rFonts w:hint="eastAsia" w:hAnsi="宋体"/>
          <w:color w:val="auto"/>
          <w:sz w:val="24"/>
          <w:szCs w:val="24"/>
        </w:rPr>
        <w:t>投标人自行承担踏勘现场发生的责任、风险和自身费用。</w:t>
      </w:r>
    </w:p>
    <w:p w14:paraId="0F815834">
      <w:pPr>
        <w:pStyle w:val="5"/>
        <w:numPr>
          <w:ilvl w:val="2"/>
          <w:numId w:val="3"/>
        </w:numPr>
        <w:tabs>
          <w:tab w:val="clear" w:pos="840"/>
        </w:tabs>
        <w:spacing w:line="400" w:lineRule="exact"/>
        <w:ind w:left="0" w:firstLine="540"/>
        <w:rPr>
          <w:rFonts w:hint="eastAsia" w:hAnsi="宋体"/>
          <w:color w:val="auto"/>
          <w:sz w:val="24"/>
          <w:szCs w:val="24"/>
        </w:rPr>
      </w:pPr>
      <w:r>
        <w:rPr>
          <w:rFonts w:hint="eastAsia" w:hAnsi="宋体"/>
          <w:color w:val="auto"/>
          <w:sz w:val="24"/>
          <w:szCs w:val="24"/>
        </w:rPr>
        <w:t>采购人在踏勘现场中介绍的资料和数据等，只是为了使投标人能够利用招标人现有的资料。招标人对投标人由此而作出的推论、解释和结论概不负责。</w:t>
      </w:r>
    </w:p>
    <w:p w14:paraId="07D6D04D">
      <w:pPr>
        <w:pStyle w:val="3"/>
        <w:spacing w:line="400" w:lineRule="exact"/>
        <w:ind w:firstLine="560" w:firstLineChars="200"/>
        <w:jc w:val="both"/>
        <w:rPr>
          <w:rFonts w:hint="eastAsia" w:ascii="黑体" w:hAnsi="黑体" w:eastAsia="黑体" w:cs="黑体"/>
          <w:bCs/>
          <w:color w:val="auto"/>
          <w:sz w:val="28"/>
          <w:szCs w:val="28"/>
        </w:rPr>
      </w:pPr>
      <w:bookmarkStart w:id="96" w:name="_Toc403491563"/>
      <w:bookmarkStart w:id="97" w:name="_Toc134956124"/>
      <w:bookmarkStart w:id="98" w:name="_Toc401575141"/>
      <w:r>
        <w:rPr>
          <w:rFonts w:hint="eastAsia" w:ascii="黑体" w:hAnsi="黑体" w:eastAsia="黑体" w:cs="黑体"/>
          <w:bCs/>
          <w:color w:val="auto"/>
          <w:sz w:val="28"/>
          <w:szCs w:val="28"/>
        </w:rPr>
        <w:t>三、质疑与投诉</w:t>
      </w:r>
      <w:bookmarkEnd w:id="96"/>
      <w:bookmarkEnd w:id="97"/>
      <w:bookmarkEnd w:id="98"/>
    </w:p>
    <w:p w14:paraId="4BAF48FC">
      <w:pPr>
        <w:pStyle w:val="5"/>
        <w:tabs>
          <w:tab w:val="left" w:pos="420"/>
        </w:tabs>
        <w:spacing w:line="400" w:lineRule="exact"/>
        <w:ind w:firstLine="480" w:firstLineChars="200"/>
        <w:rPr>
          <w:rFonts w:hint="eastAsia" w:hAnsi="宋体"/>
          <w:color w:val="auto"/>
          <w:sz w:val="24"/>
          <w:szCs w:val="24"/>
        </w:rPr>
      </w:pPr>
      <w:bookmarkStart w:id="99" w:name="_Toc134955411"/>
      <w:r>
        <w:rPr>
          <w:rFonts w:hint="eastAsia" w:hAnsi="宋体"/>
          <w:color w:val="auto"/>
          <w:sz w:val="24"/>
          <w:szCs w:val="24"/>
        </w:rPr>
        <w:t>（一）供应商认为招标文件、采购过程和中标结果使自己的权益受到损害的，可以在知道或者应知其权益受到损害之日起七个工作日内，以书面原件形式向采购人或</w:t>
      </w:r>
      <w:r>
        <w:rPr>
          <w:rFonts w:hint="eastAsia" w:hAnsi="宋体"/>
          <w:color w:val="auto"/>
          <w:sz w:val="24"/>
          <w:szCs w:val="24"/>
          <w:u w:val="single"/>
        </w:rPr>
        <w:t>代理机构</w:t>
      </w:r>
      <w:r>
        <w:rPr>
          <w:rFonts w:hint="eastAsia" w:hAnsi="宋体"/>
          <w:color w:val="auto"/>
          <w:sz w:val="24"/>
          <w:szCs w:val="24"/>
        </w:rPr>
        <w:t>一次性提出针对同一采购程序环节的质疑，逾期质疑无效。供应商应知其权益受到损害之日是指：</w:t>
      </w:r>
    </w:p>
    <w:p w14:paraId="6BEC5554">
      <w:pPr>
        <w:pStyle w:val="4"/>
        <w:widowControl/>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1.对招标文件提出质疑的，为获取招标文件之日或者招标文件公告期限届满之日；</w:t>
      </w:r>
    </w:p>
    <w:p w14:paraId="339D259D">
      <w:pPr>
        <w:pStyle w:val="4"/>
        <w:widowControl/>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2.对采购过程提出质疑的，为各采购程序环节结束之日；</w:t>
      </w:r>
    </w:p>
    <w:p w14:paraId="7EF0ECE7">
      <w:pPr>
        <w:pStyle w:val="4"/>
        <w:widowControl/>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3.对中标结果提出质疑的，为中标结果公告期限届满之日。</w:t>
      </w:r>
    </w:p>
    <w:bookmarkEnd w:id="99"/>
    <w:p w14:paraId="352E5725">
      <w:pPr>
        <w:pStyle w:val="5"/>
        <w:tabs>
          <w:tab w:val="left" w:pos="420"/>
        </w:tabs>
        <w:spacing w:line="400" w:lineRule="exact"/>
        <w:ind w:firstLine="480" w:firstLineChars="200"/>
        <w:rPr>
          <w:rFonts w:hint="eastAsia" w:hAnsi="宋体"/>
          <w:color w:val="auto"/>
          <w:sz w:val="24"/>
          <w:szCs w:val="24"/>
        </w:rPr>
      </w:pPr>
      <w:r>
        <w:rPr>
          <w:rFonts w:hint="eastAsia" w:hAnsi="宋体"/>
          <w:color w:val="auto"/>
          <w:sz w:val="24"/>
          <w:szCs w:val="24"/>
        </w:rPr>
        <w:t>（二）质疑函应当包括下列主要内容：</w:t>
      </w:r>
    </w:p>
    <w:p w14:paraId="003A8D5F">
      <w:pPr>
        <w:pStyle w:val="4"/>
        <w:widowControl/>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1.质疑供应商和相关供应商的名称、地址、邮编、联系人及联系电话等；</w:t>
      </w:r>
    </w:p>
    <w:p w14:paraId="634F68FE">
      <w:pPr>
        <w:pStyle w:val="4"/>
        <w:widowControl/>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2.质疑项目名称及编号、具体、明确的质疑事项和与质疑事项相关的请求；</w:t>
      </w:r>
    </w:p>
    <w:p w14:paraId="247E27C8">
      <w:pPr>
        <w:pStyle w:val="4"/>
        <w:widowControl/>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3.认为采购文件、采购过程、中标和成交结果使自己的合法权益受到损害的法律依据、事实依据、相关证明材料及证据来源；</w:t>
      </w:r>
    </w:p>
    <w:p w14:paraId="4EBB0E18">
      <w:pPr>
        <w:pStyle w:val="4"/>
        <w:widowControl/>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4.提出质疑的日期。</w:t>
      </w:r>
    </w:p>
    <w:bookmarkEnd w:id="91"/>
    <w:bookmarkEnd w:id="92"/>
    <w:bookmarkEnd w:id="93"/>
    <w:bookmarkEnd w:id="94"/>
    <w:p w14:paraId="37126668">
      <w:pPr>
        <w:pStyle w:val="5"/>
        <w:tabs>
          <w:tab w:val="left" w:pos="420"/>
        </w:tabs>
        <w:spacing w:line="400" w:lineRule="exact"/>
        <w:ind w:firstLine="480" w:firstLineChars="200"/>
        <w:rPr>
          <w:rFonts w:hint="eastAsia" w:hAnsi="宋体"/>
          <w:color w:val="auto"/>
          <w:sz w:val="24"/>
          <w:szCs w:val="24"/>
        </w:rPr>
      </w:pPr>
      <w:r>
        <w:rPr>
          <w:rFonts w:hint="eastAsia" w:hAnsi="宋体"/>
          <w:color w:val="auto"/>
          <w:sz w:val="24"/>
          <w:szCs w:val="24"/>
        </w:rPr>
        <w:t>（三）质疑函应当署名。质疑供应商为自然人的，应当由本人签字；质疑供应商为法人或者其他组织的，应当由法定代表人、主要负责人，或者其授权代表签字或者盖章，并加盖公章。</w:t>
      </w:r>
    </w:p>
    <w:p w14:paraId="2DEB1588">
      <w:pPr>
        <w:pStyle w:val="5"/>
        <w:tabs>
          <w:tab w:val="left" w:pos="420"/>
        </w:tabs>
        <w:spacing w:line="400" w:lineRule="exact"/>
        <w:ind w:firstLine="480" w:firstLineChars="200"/>
        <w:rPr>
          <w:rFonts w:hint="eastAsia" w:hAnsi="宋体"/>
          <w:color w:val="auto"/>
          <w:sz w:val="24"/>
          <w:szCs w:val="24"/>
        </w:rPr>
      </w:pPr>
      <w:r>
        <w:rPr>
          <w:rFonts w:hint="eastAsia" w:hAnsi="宋体"/>
          <w:color w:val="auto"/>
          <w:sz w:val="24"/>
          <w:szCs w:val="24"/>
        </w:rPr>
        <w:t>（四）以联合体形式参加政府采购活动的，其质疑应当由组成联合体的所有供应商共同提出。</w:t>
      </w:r>
    </w:p>
    <w:p w14:paraId="72A34399">
      <w:pPr>
        <w:pStyle w:val="5"/>
        <w:tabs>
          <w:tab w:val="left" w:pos="420"/>
        </w:tabs>
        <w:spacing w:line="400" w:lineRule="exact"/>
        <w:ind w:firstLine="480" w:firstLineChars="200"/>
        <w:rPr>
          <w:rFonts w:hint="eastAsia" w:hAnsi="宋体"/>
          <w:color w:val="auto"/>
          <w:sz w:val="24"/>
          <w:szCs w:val="24"/>
        </w:rPr>
      </w:pPr>
      <w:r>
        <w:rPr>
          <w:rFonts w:hint="eastAsia" w:hAnsi="宋体"/>
          <w:color w:val="auto"/>
          <w:sz w:val="24"/>
          <w:szCs w:val="24"/>
        </w:rPr>
        <w:t>（五）供应商质疑应当有明确的请求和必要的证明材料。质疑内容不得含有虚假、恶意成份。依照谁主张谁举证的原则，提出质疑者必须同时提交相关确凿的证据材料和注明证据的确切来源，证据来源必须合法，代理机构有权将质疑函转发质疑事项各关联方，请其作出解释说明。对捏造事实、滥用维权扰乱采购秩序的恶意质疑者，将上报政府采购监督管理部门依法处理，同时交易中心将在企业信用档案中予以记录，对综合信用评价得分予以扣除。</w:t>
      </w:r>
    </w:p>
    <w:p w14:paraId="28A338E8">
      <w:pPr>
        <w:pStyle w:val="5"/>
        <w:tabs>
          <w:tab w:val="left" w:pos="420"/>
        </w:tabs>
        <w:spacing w:line="400" w:lineRule="exact"/>
        <w:ind w:firstLine="480" w:firstLineChars="200"/>
        <w:rPr>
          <w:rFonts w:hint="eastAsia" w:hAnsi="宋体"/>
          <w:color w:val="auto"/>
          <w:sz w:val="24"/>
          <w:szCs w:val="24"/>
        </w:rPr>
      </w:pPr>
      <w:r>
        <w:rPr>
          <w:rFonts w:hint="eastAsia" w:hAnsi="宋体"/>
          <w:color w:val="auto"/>
          <w:sz w:val="24"/>
          <w:szCs w:val="24"/>
        </w:rPr>
        <w:t>（六）质疑供应商对采购人、</w:t>
      </w:r>
      <w:r>
        <w:rPr>
          <w:rFonts w:hint="eastAsia" w:hAnsi="宋体"/>
          <w:color w:val="auto"/>
          <w:sz w:val="24"/>
          <w:szCs w:val="24"/>
          <w:u w:val="single"/>
        </w:rPr>
        <w:t>代理机构</w:t>
      </w:r>
      <w:r>
        <w:rPr>
          <w:rFonts w:hint="eastAsia" w:hAnsi="宋体"/>
          <w:color w:val="auto"/>
          <w:sz w:val="24"/>
          <w:szCs w:val="24"/>
        </w:rPr>
        <w:t>的质疑答复不满意，或者采购人、</w:t>
      </w:r>
      <w:r>
        <w:rPr>
          <w:rFonts w:hint="eastAsia" w:hAnsi="宋体"/>
          <w:color w:val="auto"/>
          <w:sz w:val="24"/>
          <w:szCs w:val="24"/>
          <w:u w:val="single"/>
        </w:rPr>
        <w:t>代理机构</w:t>
      </w:r>
      <w:r>
        <w:rPr>
          <w:rFonts w:hint="eastAsia" w:hAnsi="宋体"/>
          <w:color w:val="auto"/>
          <w:sz w:val="24"/>
          <w:szCs w:val="24"/>
        </w:rPr>
        <w:t>未在规定期限内作出答复的，可以在答复期满后15个工作日内向采购人的同级政府采购监督管理部门提起投诉。</w:t>
      </w:r>
    </w:p>
    <w:p w14:paraId="2D35E1F6">
      <w:pPr>
        <w:pStyle w:val="25"/>
        <w:spacing w:line="400" w:lineRule="exact"/>
        <w:ind w:firstLine="480" w:firstLineChars="200"/>
        <w:rPr>
          <w:rFonts w:hint="eastAsia" w:hAnsi="宋体" w:cs="宋体"/>
          <w:b/>
          <w:bCs/>
          <w:color w:val="auto"/>
          <w:sz w:val="24"/>
          <w:szCs w:val="24"/>
          <w:lang w:eastAsia="zh-CN"/>
        </w:rPr>
      </w:pPr>
      <w:r>
        <w:rPr>
          <w:rFonts w:hint="eastAsia" w:hAnsi="宋体" w:cs="宋体"/>
          <w:color w:val="auto"/>
          <w:sz w:val="24"/>
          <w:szCs w:val="24"/>
          <w:lang w:eastAsia="zh-CN"/>
        </w:rPr>
        <w:t>（七）</w:t>
      </w:r>
      <w:r>
        <w:rPr>
          <w:rFonts w:hint="eastAsia" w:hAnsi="宋体" w:cs="宋体"/>
          <w:color w:val="auto"/>
          <w:sz w:val="24"/>
          <w:szCs w:val="24"/>
        </w:rPr>
        <w:t>质疑受理部门：</w:t>
      </w:r>
      <w:r>
        <w:rPr>
          <w:rFonts w:hint="eastAsia" w:hAnsi="宋体" w:cs="宋体"/>
          <w:color w:val="auto"/>
          <w:sz w:val="24"/>
          <w:szCs w:val="24"/>
          <w:lang w:eastAsia="zh-CN"/>
        </w:rPr>
        <w:t>采购人或</w:t>
      </w:r>
      <w:r>
        <w:rPr>
          <w:rFonts w:hint="eastAsia" w:hAnsi="宋体" w:cs="宋体"/>
          <w:color w:val="auto"/>
          <w:sz w:val="24"/>
          <w:szCs w:val="24"/>
        </w:rPr>
        <w:t>采购代理机构</w:t>
      </w:r>
      <w:r>
        <w:rPr>
          <w:rFonts w:hint="eastAsia" w:hAnsi="宋体" w:cs="宋体"/>
          <w:color w:val="auto"/>
          <w:sz w:val="24"/>
          <w:szCs w:val="24"/>
          <w:lang w:eastAsia="zh-CN"/>
        </w:rPr>
        <w:t>。</w:t>
      </w:r>
      <w:r>
        <w:rPr>
          <w:rFonts w:hint="eastAsia" w:hAnsi="宋体" w:cs="宋体"/>
          <w:color w:val="auto"/>
          <w:sz w:val="24"/>
          <w:szCs w:val="24"/>
        </w:rPr>
        <w:t xml:space="preserve"> </w:t>
      </w:r>
    </w:p>
    <w:p w14:paraId="78015AFA">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（八）提交质疑函地点：采购人或采购代理机构（交易电子交易平台或代理机构）。投标人应仔细阅读和检查招标文件的全部内容。</w:t>
      </w:r>
    </w:p>
    <w:p w14:paraId="1AAEFAC8">
      <w:pPr>
        <w:pStyle w:val="25"/>
        <w:spacing w:line="400" w:lineRule="exact"/>
        <w:ind w:firstLine="482" w:firstLineChars="200"/>
        <w:rPr>
          <w:rFonts w:hint="eastAsia" w:hAnsi="宋体" w:cs="宋体"/>
          <w:b/>
          <w:bCs/>
          <w:color w:val="auto"/>
          <w:sz w:val="24"/>
          <w:szCs w:val="24"/>
        </w:rPr>
      </w:pPr>
      <w:r>
        <w:rPr>
          <w:rFonts w:hint="eastAsia" w:hAnsi="宋体" w:cs="宋体"/>
          <w:b/>
          <w:bCs/>
          <w:color w:val="auto"/>
          <w:sz w:val="24"/>
          <w:szCs w:val="24"/>
        </w:rPr>
        <w:t>1</w:t>
      </w:r>
      <w:r>
        <w:rPr>
          <w:rFonts w:hint="eastAsia" w:hAnsi="宋体" w:cs="宋体"/>
          <w:b/>
          <w:bCs/>
          <w:color w:val="auto"/>
          <w:sz w:val="24"/>
          <w:szCs w:val="24"/>
          <w:lang w:val="en-US" w:eastAsia="zh-CN"/>
        </w:rPr>
        <w:t>.</w:t>
      </w:r>
      <w:r>
        <w:rPr>
          <w:rFonts w:hint="eastAsia" w:hAnsi="宋体" w:cs="宋体"/>
          <w:b/>
          <w:bCs/>
          <w:color w:val="auto"/>
          <w:sz w:val="24"/>
          <w:szCs w:val="24"/>
        </w:rPr>
        <w:t>纸质质疑函范本请自行在“交易中心主页-办事指南-政府采购—常见问题解答”下载。（提出质疑时须同时提交授权委托书）</w:t>
      </w:r>
    </w:p>
    <w:p w14:paraId="620D4259">
      <w:pPr>
        <w:pStyle w:val="25"/>
        <w:spacing w:line="400" w:lineRule="exact"/>
        <w:ind w:firstLine="482" w:firstLineChars="200"/>
        <w:rPr>
          <w:rFonts w:hint="eastAsia" w:hAnsi="宋体" w:cs="宋体"/>
          <w:b/>
          <w:bCs/>
          <w:color w:val="auto"/>
          <w:sz w:val="24"/>
          <w:szCs w:val="24"/>
        </w:rPr>
      </w:pPr>
      <w:r>
        <w:rPr>
          <w:rFonts w:hint="eastAsia" w:hAnsi="宋体" w:cs="宋体"/>
          <w:b/>
          <w:bCs/>
          <w:color w:val="auto"/>
          <w:sz w:val="24"/>
          <w:szCs w:val="24"/>
        </w:rPr>
        <w:t>2</w:t>
      </w:r>
      <w:r>
        <w:rPr>
          <w:rFonts w:hint="eastAsia" w:hAnsi="宋体" w:cs="宋体"/>
          <w:b/>
          <w:bCs/>
          <w:color w:val="auto"/>
          <w:sz w:val="24"/>
          <w:szCs w:val="24"/>
          <w:lang w:val="en-US" w:eastAsia="zh-CN"/>
        </w:rPr>
        <w:t>.</w:t>
      </w:r>
      <w:r>
        <w:rPr>
          <w:rFonts w:hint="eastAsia" w:hAnsi="宋体" w:cs="宋体"/>
          <w:b/>
          <w:bCs/>
          <w:color w:val="auto"/>
          <w:sz w:val="24"/>
          <w:szCs w:val="24"/>
        </w:rPr>
        <w:t>网上质疑，</w:t>
      </w:r>
      <w:r>
        <w:rPr>
          <w:rFonts w:hint="eastAsia" w:hAnsi="宋体" w:cs="宋体"/>
          <w:b/>
          <w:bCs/>
          <w:color w:val="auto"/>
          <w:sz w:val="24"/>
          <w:szCs w:val="24"/>
          <w:lang w:eastAsia="zh-CN"/>
        </w:rPr>
        <w:t>供应商</w:t>
      </w:r>
      <w:r>
        <w:rPr>
          <w:rFonts w:hint="eastAsia" w:hAnsi="宋体" w:cs="宋体"/>
          <w:b/>
          <w:bCs/>
          <w:color w:val="auto"/>
          <w:sz w:val="24"/>
          <w:szCs w:val="24"/>
        </w:rPr>
        <w:t>可以在知道或者应知其权益受到损害之日起七个工作日内，凭本单位 CA 电子锁登录全国公共资源交易平台（贵州省.铜仁市）电子招投标服务平台，向采购人、招标代理机构提出质疑</w:t>
      </w:r>
      <w:r>
        <w:rPr>
          <w:rFonts w:hint="eastAsia" w:hAnsi="宋体" w:cs="宋体"/>
          <w:b/>
          <w:bCs/>
          <w:color w:val="auto"/>
          <w:sz w:val="24"/>
          <w:szCs w:val="24"/>
          <w:lang w:eastAsia="zh-CN"/>
        </w:rPr>
        <w:t>，提交的质疑函必须按照财政部公布的质疑函模板制作</w:t>
      </w:r>
      <w:r>
        <w:rPr>
          <w:rFonts w:hint="eastAsia" w:hAnsi="宋体" w:cs="宋体"/>
          <w:b/>
          <w:bCs/>
          <w:color w:val="auto"/>
          <w:sz w:val="24"/>
          <w:szCs w:val="24"/>
        </w:rPr>
        <w:t>。</w:t>
      </w:r>
      <w:r>
        <w:rPr>
          <w:rFonts w:hint="eastAsia" w:hAnsi="宋体" w:cs="宋体"/>
          <w:b/>
          <w:bCs/>
          <w:color w:val="auto"/>
          <w:sz w:val="24"/>
          <w:szCs w:val="24"/>
          <w:lang w:eastAsia="zh-CN"/>
        </w:rPr>
        <w:t>代理机构或招标人</w:t>
      </w:r>
      <w:r>
        <w:rPr>
          <w:rFonts w:hint="eastAsia" w:hAnsi="宋体" w:cs="宋体"/>
          <w:b/>
          <w:bCs/>
          <w:color w:val="auto"/>
          <w:sz w:val="24"/>
          <w:szCs w:val="24"/>
        </w:rPr>
        <w:t>收到</w:t>
      </w:r>
      <w:r>
        <w:rPr>
          <w:rFonts w:hint="eastAsia" w:hAnsi="宋体" w:cs="宋体"/>
          <w:b/>
          <w:bCs/>
          <w:color w:val="auto"/>
          <w:sz w:val="24"/>
          <w:szCs w:val="24"/>
          <w:lang w:eastAsia="zh-CN"/>
        </w:rPr>
        <w:t>质疑</w:t>
      </w:r>
      <w:r>
        <w:rPr>
          <w:rFonts w:hint="eastAsia" w:hAnsi="宋体" w:cs="宋体"/>
          <w:b/>
          <w:bCs/>
          <w:color w:val="auto"/>
          <w:sz w:val="24"/>
          <w:szCs w:val="24"/>
        </w:rPr>
        <w:t>起7个工作日内作出答复，作出答复前应当暂停招标投标活动。</w:t>
      </w:r>
    </w:p>
    <w:p w14:paraId="46F5BE00">
      <w:pPr>
        <w:pStyle w:val="25"/>
        <w:spacing w:line="400" w:lineRule="exact"/>
        <w:ind w:firstLine="482" w:firstLineChars="200"/>
        <w:rPr>
          <w:rFonts w:hint="eastAsia" w:hAnsi="宋体" w:cs="宋体"/>
          <w:color w:val="auto"/>
          <w:sz w:val="24"/>
          <w:szCs w:val="24"/>
          <w:lang w:eastAsia="zh-CN"/>
        </w:rPr>
      </w:pPr>
      <w:r>
        <w:rPr>
          <w:rFonts w:hint="eastAsia" w:hAnsi="宋体" w:cs="宋体"/>
          <w:b/>
          <w:bCs/>
          <w:color w:val="auto"/>
          <w:sz w:val="24"/>
          <w:szCs w:val="24"/>
        </w:rPr>
        <w:t>3</w:t>
      </w:r>
      <w:r>
        <w:rPr>
          <w:rFonts w:hint="eastAsia" w:hAnsi="宋体" w:cs="宋体"/>
          <w:b/>
          <w:bCs/>
          <w:color w:val="auto"/>
          <w:sz w:val="24"/>
          <w:szCs w:val="24"/>
          <w:lang w:val="en-US" w:eastAsia="zh-CN"/>
        </w:rPr>
        <w:t>.</w:t>
      </w:r>
      <w:r>
        <w:rPr>
          <w:rFonts w:hint="eastAsia" w:hAnsi="宋体" w:cs="宋体"/>
          <w:b/>
          <w:bCs/>
          <w:color w:val="auto"/>
          <w:sz w:val="24"/>
          <w:szCs w:val="24"/>
        </w:rPr>
        <w:t>本次采购活动中，</w:t>
      </w:r>
      <w:r>
        <w:rPr>
          <w:rFonts w:hint="eastAsia" w:hAnsi="宋体" w:cs="宋体"/>
          <w:b/>
          <w:bCs/>
          <w:color w:val="auto"/>
          <w:sz w:val="24"/>
          <w:szCs w:val="24"/>
          <w:lang w:eastAsia="zh-CN"/>
        </w:rPr>
        <w:t>代理机构或招标人</w:t>
      </w:r>
      <w:r>
        <w:rPr>
          <w:rFonts w:hint="eastAsia" w:hAnsi="宋体" w:cs="宋体"/>
          <w:b/>
          <w:bCs/>
          <w:color w:val="auto"/>
          <w:sz w:val="24"/>
          <w:szCs w:val="24"/>
        </w:rPr>
        <w:t>对质疑回复等文件的送达方式为网上答复或现场取件、邮寄（到付方式）</w:t>
      </w:r>
      <w:r>
        <w:rPr>
          <w:rFonts w:hint="eastAsia" w:hAnsi="宋体" w:cs="宋体"/>
          <w:b/>
          <w:bCs/>
          <w:color w:val="auto"/>
          <w:sz w:val="24"/>
          <w:szCs w:val="24"/>
          <w:lang w:eastAsia="zh-CN"/>
        </w:rPr>
        <w:t>或电子邮件。</w:t>
      </w:r>
    </w:p>
    <w:p w14:paraId="63274928">
      <w:pPr>
        <w:pStyle w:val="3"/>
        <w:spacing w:line="400" w:lineRule="exact"/>
        <w:ind w:firstLine="560" w:firstLineChars="200"/>
        <w:jc w:val="both"/>
        <w:rPr>
          <w:rFonts w:hint="eastAsia" w:ascii="黑体" w:hAnsi="黑体" w:eastAsia="黑体" w:cs="黑体"/>
          <w:bCs/>
          <w:color w:val="auto"/>
          <w:sz w:val="28"/>
          <w:szCs w:val="28"/>
        </w:rPr>
      </w:pPr>
      <w:r>
        <w:rPr>
          <w:rFonts w:hint="eastAsia" w:ascii="黑体" w:hAnsi="黑体" w:eastAsia="黑体" w:cs="黑体"/>
          <w:bCs/>
          <w:color w:val="auto"/>
          <w:sz w:val="28"/>
          <w:szCs w:val="28"/>
        </w:rPr>
        <w:t>四、合同签订和履行</w:t>
      </w:r>
    </w:p>
    <w:p w14:paraId="72445028">
      <w:pPr>
        <w:pStyle w:val="25"/>
        <w:spacing w:line="400" w:lineRule="exact"/>
        <w:ind w:firstLine="482" w:firstLineChars="200"/>
        <w:rPr>
          <w:rFonts w:hint="eastAsia" w:hAnsi="宋体" w:cs="宋体"/>
          <w:b/>
          <w:bCs/>
          <w:color w:val="auto"/>
          <w:sz w:val="24"/>
          <w:szCs w:val="24"/>
        </w:rPr>
      </w:pPr>
      <w:r>
        <w:rPr>
          <w:rFonts w:hint="eastAsia" w:hAnsi="宋体" w:cs="宋体"/>
          <w:b/>
          <w:bCs/>
          <w:color w:val="auto"/>
          <w:sz w:val="24"/>
          <w:szCs w:val="24"/>
          <w:lang w:eastAsia="zh-CN"/>
        </w:rPr>
        <w:t>（一）</w:t>
      </w:r>
      <w:r>
        <w:rPr>
          <w:rFonts w:hint="eastAsia" w:hAnsi="宋体" w:cs="宋体"/>
          <w:b/>
          <w:bCs/>
          <w:color w:val="auto"/>
          <w:sz w:val="24"/>
          <w:szCs w:val="24"/>
        </w:rPr>
        <w:t>合同签订</w:t>
      </w:r>
    </w:p>
    <w:p w14:paraId="69DA8040">
      <w:pPr>
        <w:pStyle w:val="25"/>
        <w:spacing w:line="400" w:lineRule="exact"/>
        <w:ind w:firstLine="480" w:firstLineChars="200"/>
        <w:rPr>
          <w:rFonts w:hint="eastAsia" w:hAnsi="宋体" w:cs="宋体"/>
          <w:color w:val="auto"/>
          <w:sz w:val="24"/>
          <w:szCs w:val="24"/>
        </w:rPr>
      </w:pPr>
      <w:r>
        <w:rPr>
          <w:rFonts w:hint="eastAsia" w:hAnsi="宋体" w:cs="宋体"/>
          <w:color w:val="auto"/>
          <w:sz w:val="24"/>
          <w:szCs w:val="24"/>
        </w:rPr>
        <w:t>1.采购人应当自《中标通知书》发出之日起</w:t>
      </w:r>
      <w:r>
        <w:rPr>
          <w:rFonts w:hint="eastAsia" w:hAnsi="宋体" w:cs="宋体"/>
          <w:color w:val="auto"/>
          <w:sz w:val="24"/>
          <w:szCs w:val="24"/>
          <w:lang w:eastAsia="zh-CN"/>
        </w:rPr>
        <w:t>三</w:t>
      </w:r>
      <w:r>
        <w:rPr>
          <w:rFonts w:hint="eastAsia" w:hAnsi="宋体" w:cs="宋体"/>
          <w:color w:val="auto"/>
          <w:sz w:val="24"/>
          <w:szCs w:val="24"/>
        </w:rPr>
        <w:t>十日内，按照招标文件和中标供应商投标文件的约定，与中标供应商签订合同。所签订的合同不得对招标文件和中标供应商投标文件作实质性修改。超过30天尚未完成政府采购合同签订的政府采购项目，采购人应当登录</w:t>
      </w:r>
      <w:r>
        <w:rPr>
          <w:rFonts w:hint="eastAsia" w:hAnsi="宋体" w:cs="宋体"/>
          <w:color w:val="auto"/>
          <w:sz w:val="24"/>
          <w:szCs w:val="24"/>
          <w:lang w:eastAsia="zh-CN"/>
        </w:rPr>
        <w:t>贵州</w:t>
      </w:r>
      <w:r>
        <w:rPr>
          <w:rFonts w:hint="eastAsia" w:hAnsi="宋体" w:cs="宋体"/>
          <w:color w:val="auto"/>
          <w:sz w:val="24"/>
          <w:szCs w:val="24"/>
        </w:rPr>
        <w:t>省政府采购网，填报未能依法签订政府采购合同的具体原因、整改措施和预计签订合同时间等信息。</w:t>
      </w:r>
    </w:p>
    <w:p w14:paraId="3C99A0CB">
      <w:pPr>
        <w:pStyle w:val="25"/>
        <w:spacing w:line="400" w:lineRule="exact"/>
        <w:ind w:firstLine="480" w:firstLineChars="200"/>
        <w:rPr>
          <w:rFonts w:hint="eastAsia" w:hAnsi="宋体" w:cs="宋体"/>
          <w:color w:val="auto"/>
          <w:sz w:val="24"/>
          <w:szCs w:val="24"/>
        </w:rPr>
      </w:pPr>
      <w:r>
        <w:rPr>
          <w:rFonts w:hint="eastAsia" w:hAnsi="宋体" w:cs="宋体"/>
          <w:color w:val="auto"/>
          <w:sz w:val="24"/>
          <w:szCs w:val="24"/>
          <w:lang w:val="en-US" w:eastAsia="zh-CN"/>
        </w:rPr>
        <w:t>2</w:t>
      </w:r>
      <w:r>
        <w:rPr>
          <w:rFonts w:hint="eastAsia" w:hAnsi="宋体" w:cs="宋体"/>
          <w:color w:val="auto"/>
          <w:sz w:val="24"/>
          <w:szCs w:val="24"/>
        </w:rPr>
        <w:t>.采购人不得提出试用合格等任何不合理的要求作为签订合同的条件，且不得与中标供应商私下订立背离合同实质性内容的协议。</w:t>
      </w:r>
    </w:p>
    <w:p w14:paraId="194F06FC">
      <w:pPr>
        <w:pStyle w:val="25"/>
        <w:spacing w:line="400" w:lineRule="exact"/>
        <w:ind w:firstLine="480" w:firstLineChars="200"/>
        <w:rPr>
          <w:rFonts w:hint="eastAsia" w:hAnsi="宋体" w:cs="宋体"/>
          <w:color w:val="auto"/>
          <w:sz w:val="24"/>
          <w:szCs w:val="24"/>
        </w:rPr>
      </w:pPr>
      <w:r>
        <w:rPr>
          <w:rFonts w:hint="eastAsia" w:hAnsi="宋体" w:cs="宋体"/>
          <w:color w:val="auto"/>
          <w:sz w:val="24"/>
          <w:szCs w:val="24"/>
          <w:lang w:val="en-US" w:eastAsia="zh-CN"/>
        </w:rPr>
        <w:t>3</w:t>
      </w:r>
      <w:r>
        <w:rPr>
          <w:rFonts w:hint="eastAsia" w:hAnsi="宋体" w:cs="宋体"/>
          <w:color w:val="auto"/>
          <w:sz w:val="24"/>
          <w:szCs w:val="24"/>
        </w:rPr>
        <w:t>.采购人应当自政府采购合同签订之日起2个工作日内，将政府采购合同在省级以上人民政府财政部门指定的媒体上公告，但政府采购合同中涉及国家秘密、商业秘密的内容除外。</w:t>
      </w:r>
    </w:p>
    <w:p w14:paraId="59D30E52">
      <w:pPr>
        <w:pStyle w:val="25"/>
        <w:spacing w:line="400" w:lineRule="exact"/>
        <w:ind w:firstLine="480" w:firstLineChars="200"/>
        <w:rPr>
          <w:rFonts w:hint="eastAsia" w:hAnsi="宋体" w:cs="宋体"/>
          <w:color w:val="auto"/>
          <w:sz w:val="24"/>
          <w:szCs w:val="24"/>
        </w:rPr>
      </w:pPr>
      <w:r>
        <w:rPr>
          <w:rFonts w:hint="eastAsia" w:hAnsi="宋体" w:cs="宋体"/>
          <w:color w:val="auto"/>
          <w:sz w:val="24"/>
          <w:szCs w:val="24"/>
          <w:lang w:val="en-US" w:eastAsia="zh-CN"/>
        </w:rPr>
        <w:t>4</w:t>
      </w:r>
      <w:r>
        <w:rPr>
          <w:rFonts w:hint="eastAsia" w:hAnsi="宋体" w:cs="宋体"/>
          <w:color w:val="auto"/>
          <w:sz w:val="24"/>
          <w:szCs w:val="24"/>
        </w:rPr>
        <w:t>.采购人应当自政府采购合同签订之日起2个工作日内，登录</w:t>
      </w:r>
      <w:r>
        <w:rPr>
          <w:rFonts w:hint="eastAsia" w:hAnsi="宋体" w:cs="宋体"/>
          <w:color w:val="auto"/>
          <w:sz w:val="24"/>
          <w:szCs w:val="24"/>
          <w:lang w:eastAsia="zh-CN"/>
        </w:rPr>
        <w:t>贵州</w:t>
      </w:r>
      <w:r>
        <w:rPr>
          <w:rFonts w:hint="eastAsia" w:hAnsi="宋体" w:cs="宋体"/>
          <w:color w:val="auto"/>
          <w:sz w:val="24"/>
          <w:szCs w:val="24"/>
        </w:rPr>
        <w:t>省政府采购网上传政府采购合同扫描版，如实填报政府采购合同的签订时间。依法签订的补充合同，也应在补充合同签订之日起2个工作日内公开并备案采购合同。</w:t>
      </w:r>
    </w:p>
    <w:p w14:paraId="386E308A">
      <w:pPr>
        <w:pStyle w:val="25"/>
        <w:spacing w:line="400" w:lineRule="exact"/>
        <w:ind w:firstLine="482" w:firstLineChars="200"/>
        <w:rPr>
          <w:rFonts w:hint="eastAsia" w:hAnsi="宋体" w:cs="宋体"/>
          <w:b/>
          <w:bCs/>
          <w:color w:val="auto"/>
          <w:sz w:val="24"/>
          <w:szCs w:val="24"/>
        </w:rPr>
      </w:pPr>
      <w:r>
        <w:rPr>
          <w:rFonts w:hint="eastAsia" w:hAnsi="宋体" w:cs="宋体"/>
          <w:b/>
          <w:bCs/>
          <w:color w:val="auto"/>
          <w:sz w:val="24"/>
          <w:szCs w:val="24"/>
          <w:lang w:eastAsia="zh-CN"/>
        </w:rPr>
        <w:t>（二）</w:t>
      </w:r>
      <w:r>
        <w:rPr>
          <w:rFonts w:hint="eastAsia" w:hAnsi="宋体" w:cs="宋体"/>
          <w:b/>
          <w:bCs/>
          <w:color w:val="auto"/>
          <w:sz w:val="24"/>
          <w:szCs w:val="24"/>
        </w:rPr>
        <w:t>合同的履行</w:t>
      </w:r>
    </w:p>
    <w:p w14:paraId="7E6A4559">
      <w:pPr>
        <w:pStyle w:val="25"/>
        <w:spacing w:line="400" w:lineRule="exact"/>
        <w:ind w:firstLine="480" w:firstLineChars="200"/>
        <w:rPr>
          <w:rFonts w:hint="eastAsia" w:hAnsi="宋体" w:cs="宋体"/>
          <w:color w:val="auto"/>
          <w:sz w:val="24"/>
          <w:szCs w:val="24"/>
        </w:rPr>
      </w:pPr>
      <w:r>
        <w:rPr>
          <w:rFonts w:hint="eastAsia" w:hAnsi="宋体" w:cs="宋体"/>
          <w:color w:val="auto"/>
          <w:sz w:val="24"/>
          <w:szCs w:val="24"/>
          <w:lang w:val="en-US" w:eastAsia="zh-CN"/>
        </w:rPr>
        <w:t>1.</w:t>
      </w:r>
      <w:r>
        <w:rPr>
          <w:rFonts w:hint="eastAsia" w:hAnsi="宋体" w:cs="宋体"/>
          <w:color w:val="auto"/>
          <w:sz w:val="24"/>
          <w:szCs w:val="24"/>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3B5D5221">
      <w:pPr>
        <w:pStyle w:val="25"/>
        <w:spacing w:line="400" w:lineRule="exact"/>
        <w:ind w:firstLine="480" w:firstLineChars="200"/>
        <w:rPr>
          <w:rFonts w:hint="eastAsia" w:hAnsi="宋体" w:cs="宋体"/>
          <w:color w:val="auto"/>
          <w:sz w:val="24"/>
          <w:szCs w:val="24"/>
        </w:rPr>
      </w:pPr>
      <w:r>
        <w:rPr>
          <w:rFonts w:hint="eastAsia" w:hAnsi="宋体" w:cs="宋体"/>
          <w:color w:val="auto"/>
          <w:sz w:val="24"/>
          <w:szCs w:val="24"/>
        </w:rPr>
        <w:t>2.政府采购合同履行中，采购人需追加与合同标的相同的货物、工程或者服务的，在不改变合同其他条款的前提下，可以与中标供应商签订补充合同，但所补充合同的采购金额不得超过原采购金额的10%。依法签订的补充合同，以书面形式报政府采购监督管理机关备案。</w:t>
      </w:r>
    </w:p>
    <w:p w14:paraId="7B2C8438">
      <w:pPr>
        <w:pStyle w:val="3"/>
        <w:spacing w:line="400" w:lineRule="exact"/>
        <w:ind w:firstLine="560" w:firstLineChars="200"/>
        <w:jc w:val="both"/>
        <w:rPr>
          <w:rFonts w:hint="eastAsia" w:ascii="黑体" w:hAnsi="黑体" w:eastAsia="黑体" w:cs="黑体"/>
          <w:bCs/>
          <w:color w:val="auto"/>
          <w:sz w:val="28"/>
          <w:szCs w:val="28"/>
        </w:rPr>
      </w:pPr>
      <w:r>
        <w:rPr>
          <w:rFonts w:hint="eastAsia" w:ascii="黑体" w:hAnsi="黑体" w:eastAsia="黑体" w:cs="黑体"/>
          <w:bCs/>
          <w:color w:val="auto"/>
          <w:sz w:val="28"/>
          <w:szCs w:val="28"/>
        </w:rPr>
        <w:t>五、投标要求</w:t>
      </w:r>
    </w:p>
    <w:p w14:paraId="2A8CE276">
      <w:pPr>
        <w:pStyle w:val="5"/>
        <w:tabs>
          <w:tab w:val="clear" w:pos="851"/>
        </w:tabs>
        <w:spacing w:line="400" w:lineRule="exact"/>
        <w:ind w:firstLine="482" w:firstLineChars="200"/>
        <w:rPr>
          <w:rFonts w:hint="eastAsia" w:hAnsi="宋体"/>
          <w:b/>
          <w:color w:val="auto"/>
          <w:sz w:val="24"/>
          <w:szCs w:val="24"/>
        </w:rPr>
      </w:pPr>
      <w:r>
        <w:rPr>
          <w:rFonts w:hint="eastAsia" w:hAnsi="宋体"/>
          <w:b/>
          <w:color w:val="auto"/>
          <w:sz w:val="24"/>
          <w:szCs w:val="24"/>
        </w:rPr>
        <w:t>（一）投标文件的制作</w:t>
      </w:r>
    </w:p>
    <w:p w14:paraId="22C07359">
      <w:pPr>
        <w:pStyle w:val="5"/>
        <w:tabs>
          <w:tab w:val="left" w:pos="900"/>
        </w:tabs>
        <w:spacing w:line="400" w:lineRule="exact"/>
        <w:ind w:firstLine="480" w:firstLineChars="200"/>
        <w:rPr>
          <w:rFonts w:hint="eastAsia" w:hAnsi="宋体"/>
          <w:color w:val="auto"/>
          <w:sz w:val="24"/>
          <w:szCs w:val="24"/>
        </w:rPr>
      </w:pPr>
      <w:r>
        <w:rPr>
          <w:rFonts w:hint="eastAsia" w:hAnsi="宋体"/>
          <w:color w:val="auto"/>
          <w:sz w:val="24"/>
          <w:szCs w:val="24"/>
        </w:rPr>
        <w:t>1.投标文件中，除规定采用交易中心企业信息库中登记的信息外，其他内容均以电子文件编制，其格式要求详见第五章说明。如因不按要求编制而所引起系统无法检索、读取相关信息时，其后果由投标人承担。</w:t>
      </w:r>
    </w:p>
    <w:p w14:paraId="1E7B0552">
      <w:pPr>
        <w:pStyle w:val="5"/>
        <w:tabs>
          <w:tab w:val="left" w:pos="900"/>
        </w:tabs>
        <w:spacing w:line="400" w:lineRule="exact"/>
        <w:ind w:firstLine="480" w:firstLineChars="200"/>
        <w:rPr>
          <w:rFonts w:hint="eastAsia" w:hAnsi="宋体"/>
          <w:color w:val="auto"/>
          <w:sz w:val="24"/>
          <w:szCs w:val="24"/>
        </w:rPr>
      </w:pPr>
      <w:r>
        <w:rPr>
          <w:rFonts w:hint="eastAsia" w:hAnsi="宋体"/>
          <w:color w:val="auto"/>
          <w:sz w:val="24"/>
          <w:szCs w:val="24"/>
        </w:rPr>
        <w:t>2.投标人应使用交易中心提供的投标文件管理软件对投标文件进行合成、电子签名、电子签章及加密打包。所有投标文件不能进行压缩处理。关于电子投标报价（如有报价）说明如下：</w:t>
      </w:r>
    </w:p>
    <w:p w14:paraId="3CA91341">
      <w:pPr>
        <w:pStyle w:val="5"/>
        <w:tabs>
          <w:tab w:val="left" w:pos="900"/>
        </w:tabs>
        <w:spacing w:line="400" w:lineRule="exact"/>
        <w:ind w:firstLine="480" w:firstLineChars="200"/>
        <w:jc w:val="left"/>
        <w:rPr>
          <w:rFonts w:hint="eastAsia" w:hAnsi="宋体"/>
          <w:color w:val="auto"/>
          <w:sz w:val="24"/>
          <w:szCs w:val="24"/>
        </w:rPr>
      </w:pPr>
      <w:r>
        <w:rPr>
          <w:rFonts w:hint="eastAsia" w:hAnsi="宋体"/>
          <w:color w:val="auto"/>
          <w:sz w:val="24"/>
          <w:szCs w:val="24"/>
        </w:rPr>
        <w:t>(1)投标人应按照“第三章采购需求”的需求内容、责任范围以及合同条款进行报价。并按“开标一览表”和“分项报价表”规定的格式报出总价和分项价格。投标总价中不得包含招标文件要求以外的内容，否则，在评审时不予核减。</w:t>
      </w:r>
    </w:p>
    <w:p w14:paraId="014056B4">
      <w:pPr>
        <w:pStyle w:val="5"/>
        <w:tabs>
          <w:tab w:val="left" w:pos="900"/>
        </w:tabs>
        <w:spacing w:line="400" w:lineRule="exact"/>
        <w:ind w:firstLine="480" w:firstLineChars="200"/>
        <w:jc w:val="left"/>
        <w:rPr>
          <w:rFonts w:hint="eastAsia" w:hAnsi="宋体"/>
          <w:color w:val="auto"/>
          <w:sz w:val="24"/>
          <w:szCs w:val="24"/>
        </w:rPr>
      </w:pPr>
      <w:r>
        <w:rPr>
          <w:rFonts w:hint="eastAsia" w:hAnsi="宋体"/>
          <w:color w:val="auto"/>
          <w:sz w:val="24"/>
          <w:szCs w:val="24"/>
        </w:rPr>
        <w:t>(2)投标报价包括本项目采购需求和投入使用的所有费用，包括但不限于主件、标准附件、备品备件、施工、服务、专用工具、安装、调试、检验、培训、运输、保险、税款等。</w:t>
      </w:r>
    </w:p>
    <w:p w14:paraId="19A95DAF">
      <w:pPr>
        <w:pStyle w:val="5"/>
        <w:tabs>
          <w:tab w:val="left" w:pos="900"/>
        </w:tabs>
        <w:spacing w:line="400" w:lineRule="exact"/>
        <w:ind w:firstLine="480" w:firstLineChars="200"/>
        <w:rPr>
          <w:rFonts w:hint="eastAsia" w:hAnsi="宋体"/>
          <w:color w:val="auto"/>
          <w:sz w:val="24"/>
          <w:szCs w:val="24"/>
        </w:rPr>
      </w:pPr>
      <w:r>
        <w:rPr>
          <w:rFonts w:hint="eastAsia" w:hAnsi="宋体"/>
          <w:color w:val="auto"/>
          <w:sz w:val="24"/>
          <w:szCs w:val="24"/>
        </w:rPr>
        <w:t>3.如有对多个子项目投标的，要对每个子项目独立制作电子投标文件。</w:t>
      </w:r>
    </w:p>
    <w:p w14:paraId="7D346460">
      <w:pPr>
        <w:pStyle w:val="5"/>
        <w:tabs>
          <w:tab w:val="left" w:pos="900"/>
        </w:tabs>
        <w:spacing w:line="400" w:lineRule="exact"/>
        <w:ind w:firstLine="480" w:firstLineChars="200"/>
        <w:rPr>
          <w:rFonts w:hint="eastAsia" w:hAnsi="宋体"/>
          <w:color w:val="auto"/>
          <w:sz w:val="24"/>
          <w:szCs w:val="24"/>
        </w:rPr>
      </w:pPr>
      <w:r>
        <w:rPr>
          <w:rFonts w:hint="eastAsia" w:hAnsi="宋体"/>
          <w:color w:val="auto"/>
          <w:sz w:val="24"/>
          <w:szCs w:val="24"/>
        </w:rPr>
        <w:t>4.投标人不得将同一个项目或同一个子项目的内容拆开投标，否则其报价将被视为非实质性响应。</w:t>
      </w:r>
    </w:p>
    <w:p w14:paraId="04B0A27A">
      <w:pPr>
        <w:pStyle w:val="5"/>
        <w:tabs>
          <w:tab w:val="left" w:pos="900"/>
        </w:tabs>
        <w:spacing w:line="400" w:lineRule="exact"/>
        <w:ind w:firstLine="480" w:firstLineChars="200"/>
        <w:rPr>
          <w:rFonts w:hint="eastAsia" w:hAnsi="宋体"/>
          <w:color w:val="auto"/>
          <w:sz w:val="24"/>
          <w:szCs w:val="24"/>
        </w:rPr>
      </w:pPr>
      <w:r>
        <w:rPr>
          <w:rFonts w:hint="eastAsia" w:hAnsi="宋体"/>
          <w:color w:val="auto"/>
          <w:sz w:val="24"/>
          <w:szCs w:val="24"/>
        </w:rPr>
        <w:t>5.投标人须对招标文件的对应要求给予唯一的实质性响应。</w:t>
      </w:r>
    </w:p>
    <w:p w14:paraId="05648A5A">
      <w:pPr>
        <w:pStyle w:val="5"/>
        <w:tabs>
          <w:tab w:val="left" w:pos="900"/>
        </w:tabs>
        <w:spacing w:line="400" w:lineRule="exact"/>
        <w:ind w:firstLine="480" w:firstLineChars="200"/>
        <w:rPr>
          <w:rFonts w:hint="eastAsia" w:hAnsi="宋体"/>
          <w:color w:val="auto"/>
          <w:sz w:val="24"/>
          <w:szCs w:val="24"/>
        </w:rPr>
      </w:pPr>
      <w:r>
        <w:rPr>
          <w:rFonts w:hint="eastAsia" w:hAnsi="宋体"/>
          <w:color w:val="auto"/>
          <w:sz w:val="24"/>
          <w:szCs w:val="24"/>
        </w:rPr>
        <w:t>6.投标人必须按招标文件指定的格式填写各种报价，各报价应计算正确。除在招标文件另有规定外，计量单位应使用中华人民共和国法定计量单位，以人民币填报所有报价。</w:t>
      </w:r>
    </w:p>
    <w:p w14:paraId="3E2C8BEA">
      <w:pPr>
        <w:pStyle w:val="5"/>
        <w:tabs>
          <w:tab w:val="left" w:pos="900"/>
        </w:tabs>
        <w:spacing w:line="400" w:lineRule="exact"/>
        <w:ind w:firstLine="480" w:firstLineChars="200"/>
        <w:rPr>
          <w:rFonts w:hint="eastAsia" w:hAnsi="宋体"/>
          <w:color w:val="auto"/>
          <w:sz w:val="24"/>
          <w:szCs w:val="24"/>
        </w:rPr>
      </w:pPr>
      <w:r>
        <w:rPr>
          <w:rFonts w:hint="eastAsia" w:hAnsi="宋体"/>
          <w:color w:val="auto"/>
          <w:sz w:val="24"/>
          <w:szCs w:val="24"/>
        </w:rPr>
        <w:t>7.投标文件以及投标人与采购人、代理机构就有关投标的往来函电均应使用中文。投标人提交的支持性文件和印制的文件可以用另一种语言，但相应内容应翻译成中文，在解释投标文件时以中文文本为准。</w:t>
      </w:r>
    </w:p>
    <w:p w14:paraId="4C415A1F">
      <w:pPr>
        <w:pStyle w:val="5"/>
        <w:spacing w:line="400" w:lineRule="exact"/>
        <w:ind w:firstLine="480" w:firstLineChars="200"/>
        <w:rPr>
          <w:rStyle w:val="72"/>
          <w:rFonts w:hint="eastAsia" w:hAnsi="宋体"/>
          <w:color w:val="auto"/>
          <w:sz w:val="24"/>
          <w:szCs w:val="24"/>
        </w:rPr>
      </w:pPr>
      <w:r>
        <w:rPr>
          <w:rFonts w:hint="eastAsia" w:hAnsi="宋体"/>
          <w:color w:val="auto"/>
          <w:sz w:val="24"/>
          <w:szCs w:val="24"/>
        </w:rPr>
        <w:t>8.投标人应按招标文件的规定及附件要求的内容和格式完整地填写和提供资料。</w:t>
      </w:r>
      <w:r>
        <w:rPr>
          <w:rStyle w:val="72"/>
          <w:rFonts w:hint="eastAsia" w:hAnsi="宋体"/>
          <w:color w:val="auto"/>
          <w:sz w:val="24"/>
          <w:szCs w:val="24"/>
        </w:rPr>
        <w:t>投标人必须对投标文件所提供的全部资料的真实性承担法律责任，并无条件接受采购人和政府采购监督管理部门对其中任何资料进行核实（核对原件）的要求</w:t>
      </w:r>
      <w:r>
        <w:rPr>
          <w:rFonts w:hint="eastAsia" w:hAnsi="宋体"/>
          <w:color w:val="auto"/>
          <w:sz w:val="24"/>
          <w:szCs w:val="24"/>
        </w:rPr>
        <w:t>。</w:t>
      </w:r>
      <w:r>
        <w:rPr>
          <w:rStyle w:val="72"/>
          <w:rFonts w:hint="eastAsia" w:hAnsi="宋体"/>
          <w:color w:val="auto"/>
          <w:sz w:val="24"/>
          <w:szCs w:val="24"/>
        </w:rPr>
        <w:t>采购人核对发现有不一致或供应商无正当理由不按时提供原件的，应当书面知会代理机构，并书面报告本级人民政府财政部门。</w:t>
      </w:r>
    </w:p>
    <w:p w14:paraId="185F176C">
      <w:pPr>
        <w:pStyle w:val="5"/>
        <w:tabs>
          <w:tab w:val="clear" w:pos="851"/>
        </w:tabs>
        <w:spacing w:line="400" w:lineRule="exact"/>
        <w:ind w:firstLine="482" w:firstLineChars="200"/>
        <w:rPr>
          <w:rFonts w:hint="eastAsia" w:hAnsi="宋体"/>
          <w:b/>
          <w:color w:val="auto"/>
          <w:sz w:val="24"/>
          <w:szCs w:val="24"/>
        </w:rPr>
      </w:pPr>
      <w:r>
        <w:rPr>
          <w:rFonts w:hint="eastAsia" w:hAnsi="宋体"/>
          <w:b/>
          <w:color w:val="auto"/>
          <w:sz w:val="24"/>
          <w:szCs w:val="24"/>
        </w:rPr>
        <w:t>（二）投标文件的提交</w:t>
      </w:r>
    </w:p>
    <w:p w14:paraId="26DEC5F7">
      <w:pPr>
        <w:pStyle w:val="5"/>
        <w:spacing w:line="400" w:lineRule="exact"/>
        <w:ind w:firstLine="480" w:firstLineChars="200"/>
        <w:rPr>
          <w:rFonts w:hint="eastAsia" w:hAnsi="宋体"/>
          <w:color w:val="auto"/>
          <w:sz w:val="24"/>
          <w:szCs w:val="24"/>
        </w:rPr>
      </w:pPr>
      <w:r>
        <w:rPr>
          <w:rFonts w:hint="eastAsia" w:hAnsi="宋体"/>
          <w:color w:val="auto"/>
          <w:sz w:val="24"/>
          <w:szCs w:val="24"/>
        </w:rPr>
        <w:t>1.投标人应在上传电子投标文件前，在交易中心政府采购交易系统中完成投标报名。</w:t>
      </w:r>
    </w:p>
    <w:p w14:paraId="74E0E530">
      <w:pPr>
        <w:pStyle w:val="5"/>
        <w:spacing w:line="400" w:lineRule="exact"/>
        <w:ind w:firstLine="480" w:firstLineChars="200"/>
        <w:rPr>
          <w:rFonts w:hint="eastAsia" w:hAnsi="宋体"/>
          <w:color w:val="auto"/>
          <w:sz w:val="24"/>
          <w:szCs w:val="24"/>
        </w:rPr>
      </w:pPr>
      <w:r>
        <w:rPr>
          <w:rFonts w:hint="eastAsia" w:hAnsi="宋体"/>
          <w:color w:val="auto"/>
          <w:sz w:val="24"/>
          <w:szCs w:val="24"/>
        </w:rPr>
        <w:t>2.代理机构不接受现场纸质、邮寄纸质、电报、电话、传真方式投标。</w:t>
      </w:r>
    </w:p>
    <w:p w14:paraId="3D989A1C">
      <w:pPr>
        <w:pStyle w:val="5"/>
        <w:spacing w:line="400" w:lineRule="exact"/>
        <w:ind w:firstLine="480" w:firstLineChars="200"/>
        <w:rPr>
          <w:rFonts w:hint="eastAsia" w:hAnsi="宋体"/>
          <w:color w:val="auto"/>
          <w:sz w:val="24"/>
          <w:szCs w:val="24"/>
        </w:rPr>
      </w:pPr>
      <w:r>
        <w:rPr>
          <w:rFonts w:hint="eastAsia" w:hAnsi="宋体"/>
          <w:color w:val="auto"/>
          <w:sz w:val="24"/>
          <w:szCs w:val="24"/>
        </w:rPr>
        <w:t>3.于提交投标文件截止时间前，投标人将投标文件完整上传并保存在铜仁市公共资源交易中心政府采购交易系统，</w:t>
      </w:r>
      <w:r>
        <w:rPr>
          <w:rStyle w:val="72"/>
          <w:rFonts w:hint="eastAsia" w:hAnsi="宋体"/>
          <w:color w:val="auto"/>
          <w:sz w:val="24"/>
          <w:szCs w:val="24"/>
        </w:rPr>
        <w:t>且取得成功提示</w:t>
      </w:r>
      <w:r>
        <w:rPr>
          <w:rFonts w:hint="eastAsia" w:hAnsi="宋体"/>
          <w:color w:val="auto"/>
          <w:sz w:val="24"/>
          <w:szCs w:val="24"/>
        </w:rPr>
        <w:t>。时间以交易中心政府采购交易系统服务器从中国科学院国家授时中心取得的北京时间为准，投标截止时间结束后，系统将不允许投标人上传投标文件。如遇网络上传速度较慢情况，投标人也可选择到铜仁市公共服务中心四楼自助服务区完成上传。</w:t>
      </w:r>
    </w:p>
    <w:p w14:paraId="7F83823E">
      <w:pPr>
        <w:pStyle w:val="5"/>
        <w:spacing w:line="400" w:lineRule="exact"/>
        <w:ind w:firstLine="480" w:firstLineChars="200"/>
        <w:rPr>
          <w:rFonts w:hint="eastAsia" w:hAnsi="宋体"/>
          <w:color w:val="auto"/>
          <w:sz w:val="24"/>
          <w:szCs w:val="24"/>
        </w:rPr>
      </w:pPr>
      <w:r>
        <w:rPr>
          <w:rFonts w:hint="eastAsia" w:hAnsi="宋体"/>
          <w:color w:val="auto"/>
          <w:sz w:val="24"/>
          <w:szCs w:val="24"/>
        </w:rPr>
        <w:t>3.上传投标文件时，投标人须使用制作该投标文件的同一业务数字证书进行上传操作。</w:t>
      </w:r>
    </w:p>
    <w:p w14:paraId="34B61A7F">
      <w:pPr>
        <w:pStyle w:val="5"/>
        <w:spacing w:line="400" w:lineRule="exact"/>
        <w:ind w:firstLine="480" w:firstLineChars="200"/>
        <w:rPr>
          <w:rFonts w:hint="eastAsia" w:hAnsi="宋体"/>
          <w:color w:val="auto"/>
          <w:sz w:val="24"/>
          <w:szCs w:val="24"/>
        </w:rPr>
      </w:pPr>
      <w:r>
        <w:rPr>
          <w:rFonts w:hint="eastAsia" w:hAnsi="宋体"/>
          <w:color w:val="auto"/>
          <w:sz w:val="24"/>
          <w:szCs w:val="24"/>
        </w:rPr>
        <w:t>4.对因不可抗力事件造成的投标文件的损坏、丢失的，不承担责任。</w:t>
      </w:r>
    </w:p>
    <w:p w14:paraId="4B1CE6AB">
      <w:pPr>
        <w:pStyle w:val="5"/>
        <w:spacing w:line="400" w:lineRule="exact"/>
        <w:ind w:firstLine="480" w:firstLineChars="200"/>
        <w:rPr>
          <w:rFonts w:hint="eastAsia" w:hAnsi="宋体"/>
          <w:color w:val="auto"/>
          <w:sz w:val="24"/>
          <w:szCs w:val="24"/>
        </w:rPr>
      </w:pPr>
      <w:r>
        <w:rPr>
          <w:rFonts w:hint="eastAsia" w:hAnsi="宋体"/>
          <w:color w:val="auto"/>
          <w:sz w:val="24"/>
          <w:szCs w:val="24"/>
        </w:rPr>
        <w:t>5.出现下述情形之一，属于未成功提交投标文件：</w:t>
      </w:r>
    </w:p>
    <w:p w14:paraId="57326EF4">
      <w:pPr>
        <w:pStyle w:val="4"/>
        <w:numPr>
          <w:ilvl w:val="0"/>
          <w:numId w:val="8"/>
        </w:numPr>
        <w:tabs>
          <w:tab w:val="left" w:pos="0"/>
        </w:tabs>
        <w:spacing w:line="400" w:lineRule="exact"/>
        <w:ind w:left="0" w:firstLine="525"/>
        <w:rPr>
          <w:rFonts w:hint="eastAsia" w:ascii="宋体" w:hAnsi="宋体" w:cs="宋体"/>
          <w:color w:val="auto"/>
          <w:sz w:val="24"/>
          <w:szCs w:val="24"/>
        </w:rPr>
      </w:pPr>
      <w:r>
        <w:rPr>
          <w:rFonts w:hint="eastAsia" w:ascii="宋体" w:hAnsi="宋体" w:cs="宋体"/>
          <w:color w:val="auto"/>
          <w:sz w:val="24"/>
          <w:szCs w:val="24"/>
        </w:rPr>
        <w:t>至提交投标文件截止时，投标文件未完整上传并保存的；</w:t>
      </w:r>
    </w:p>
    <w:p w14:paraId="0CABFCB1">
      <w:pPr>
        <w:pStyle w:val="4"/>
        <w:numPr>
          <w:ilvl w:val="0"/>
          <w:numId w:val="8"/>
        </w:numPr>
        <w:tabs>
          <w:tab w:val="left" w:pos="0"/>
        </w:tabs>
        <w:spacing w:line="400" w:lineRule="exact"/>
        <w:ind w:left="0" w:firstLine="525"/>
        <w:rPr>
          <w:rFonts w:hint="eastAsia" w:ascii="宋体" w:hAnsi="宋体" w:cs="宋体"/>
          <w:color w:val="auto"/>
          <w:sz w:val="24"/>
          <w:szCs w:val="24"/>
        </w:rPr>
      </w:pPr>
      <w:r>
        <w:rPr>
          <w:rFonts w:hint="eastAsia" w:ascii="宋体" w:hAnsi="宋体" w:cs="宋体"/>
          <w:color w:val="auto"/>
          <w:sz w:val="24"/>
          <w:szCs w:val="24"/>
        </w:rPr>
        <w:t>投标文件未按要求进行电子签名和电子签章，或电子签名或电子签章不完整的；</w:t>
      </w:r>
    </w:p>
    <w:p w14:paraId="054A8866">
      <w:pPr>
        <w:pStyle w:val="4"/>
        <w:numPr>
          <w:ilvl w:val="0"/>
          <w:numId w:val="8"/>
        </w:numPr>
        <w:tabs>
          <w:tab w:val="left" w:pos="0"/>
        </w:tabs>
        <w:spacing w:line="400" w:lineRule="exact"/>
        <w:ind w:left="0" w:firstLine="525"/>
        <w:rPr>
          <w:rFonts w:hint="eastAsia" w:ascii="宋体" w:hAnsi="宋体" w:cs="宋体"/>
          <w:color w:val="auto"/>
          <w:sz w:val="24"/>
          <w:szCs w:val="24"/>
        </w:rPr>
      </w:pPr>
      <w:r>
        <w:rPr>
          <w:rFonts w:hint="eastAsia" w:ascii="宋体" w:hAnsi="宋体" w:cs="宋体"/>
          <w:color w:val="auto"/>
          <w:sz w:val="24"/>
          <w:szCs w:val="24"/>
        </w:rPr>
        <w:t>投标文件损坏或格式不正确的；</w:t>
      </w:r>
    </w:p>
    <w:p w14:paraId="27F19F1D">
      <w:pPr>
        <w:pStyle w:val="4"/>
        <w:numPr>
          <w:ilvl w:val="0"/>
          <w:numId w:val="8"/>
        </w:numPr>
        <w:tabs>
          <w:tab w:val="left" w:pos="0"/>
        </w:tabs>
        <w:spacing w:line="400" w:lineRule="exact"/>
        <w:ind w:left="0" w:firstLine="525"/>
        <w:rPr>
          <w:rFonts w:hint="eastAsia" w:ascii="宋体" w:hAnsi="宋体" w:cs="宋体"/>
          <w:color w:val="auto"/>
          <w:sz w:val="24"/>
          <w:szCs w:val="24"/>
        </w:rPr>
      </w:pPr>
      <w:r>
        <w:rPr>
          <w:rFonts w:hint="eastAsia" w:ascii="宋体" w:hAnsi="宋体" w:cs="宋体"/>
          <w:color w:val="auto"/>
          <w:sz w:val="24"/>
          <w:szCs w:val="24"/>
        </w:rPr>
        <w:t xml:space="preserve">未使用最新发布的招标文件制作投标文件的。 </w:t>
      </w:r>
    </w:p>
    <w:p w14:paraId="3B107B12">
      <w:pPr>
        <w:pStyle w:val="5"/>
        <w:tabs>
          <w:tab w:val="clear" w:pos="851"/>
        </w:tabs>
        <w:spacing w:line="400" w:lineRule="exact"/>
        <w:ind w:firstLine="482" w:firstLineChars="200"/>
        <w:rPr>
          <w:rFonts w:hint="eastAsia" w:hAnsi="宋体"/>
          <w:b/>
          <w:color w:val="auto"/>
          <w:sz w:val="24"/>
          <w:szCs w:val="24"/>
        </w:rPr>
      </w:pPr>
      <w:r>
        <w:rPr>
          <w:rFonts w:hint="eastAsia" w:hAnsi="宋体"/>
          <w:b/>
          <w:color w:val="auto"/>
          <w:sz w:val="24"/>
          <w:szCs w:val="24"/>
        </w:rPr>
        <w:t>（三）投标文件的修改与撤回</w:t>
      </w:r>
    </w:p>
    <w:p w14:paraId="163517D7">
      <w:pPr>
        <w:pStyle w:val="5"/>
        <w:numPr>
          <w:ilvl w:val="2"/>
          <w:numId w:val="3"/>
        </w:numPr>
        <w:tabs>
          <w:tab w:val="clear" w:pos="840"/>
        </w:tabs>
        <w:spacing w:line="400" w:lineRule="exact"/>
        <w:ind w:left="0" w:firstLine="540"/>
        <w:rPr>
          <w:rFonts w:hint="eastAsia" w:hAnsi="宋体"/>
          <w:color w:val="auto"/>
          <w:sz w:val="24"/>
          <w:szCs w:val="24"/>
        </w:rPr>
      </w:pPr>
      <w:r>
        <w:rPr>
          <w:rFonts w:hint="eastAsia" w:hAnsi="宋体"/>
          <w:color w:val="auto"/>
          <w:sz w:val="24"/>
          <w:szCs w:val="24"/>
        </w:rPr>
        <w:t>在提交投标文件截止时间前，投标人可以修改或撤回未解密的投标文件，投标文件一经解密，将不允许修改或撤回。</w:t>
      </w:r>
    </w:p>
    <w:p w14:paraId="5D6EBFE0">
      <w:pPr>
        <w:pStyle w:val="5"/>
        <w:numPr>
          <w:ilvl w:val="2"/>
          <w:numId w:val="3"/>
        </w:numPr>
        <w:tabs>
          <w:tab w:val="clear" w:pos="840"/>
        </w:tabs>
        <w:spacing w:line="400" w:lineRule="exact"/>
        <w:ind w:left="0" w:firstLine="540"/>
        <w:rPr>
          <w:rFonts w:hint="eastAsia" w:hAnsi="宋体"/>
          <w:color w:val="auto"/>
          <w:sz w:val="24"/>
          <w:szCs w:val="24"/>
        </w:rPr>
      </w:pPr>
      <w:r>
        <w:rPr>
          <w:rFonts w:hint="eastAsia" w:hAnsi="宋体"/>
          <w:color w:val="auto"/>
          <w:sz w:val="24"/>
          <w:szCs w:val="24"/>
        </w:rPr>
        <w:t>在提交投标文件截止时间后，投标人不得补充、修改和更换投标文件。</w:t>
      </w:r>
    </w:p>
    <w:p w14:paraId="52734FD3">
      <w:pPr>
        <w:pStyle w:val="5"/>
        <w:numPr>
          <w:ilvl w:val="2"/>
          <w:numId w:val="3"/>
        </w:numPr>
        <w:tabs>
          <w:tab w:val="clear" w:pos="840"/>
        </w:tabs>
        <w:spacing w:line="400" w:lineRule="exact"/>
        <w:ind w:left="0" w:firstLine="540"/>
        <w:rPr>
          <w:rFonts w:hint="eastAsia" w:hAnsi="宋体"/>
          <w:color w:val="auto"/>
          <w:sz w:val="24"/>
          <w:szCs w:val="24"/>
        </w:rPr>
      </w:pPr>
      <w:r>
        <w:rPr>
          <w:rFonts w:hint="eastAsia" w:hAnsi="宋体"/>
          <w:color w:val="auto"/>
          <w:sz w:val="24"/>
          <w:szCs w:val="24"/>
        </w:rPr>
        <w:t>在提交投标文件截止时间起至投标有效期终止日前，投标人不能撤销投标文件，否则其投标保证金（如有）将不予退还，且交易中心有权将其撤销行为载入不良信用记录。</w:t>
      </w:r>
    </w:p>
    <w:p w14:paraId="07427D54">
      <w:pPr>
        <w:pStyle w:val="5"/>
        <w:tabs>
          <w:tab w:val="clear" w:pos="851"/>
        </w:tabs>
        <w:spacing w:line="400" w:lineRule="exact"/>
        <w:ind w:firstLine="482" w:firstLineChars="200"/>
        <w:rPr>
          <w:rFonts w:hint="eastAsia" w:hAnsi="宋体"/>
          <w:b/>
          <w:color w:val="auto"/>
          <w:sz w:val="24"/>
          <w:szCs w:val="24"/>
        </w:rPr>
      </w:pPr>
      <w:r>
        <w:rPr>
          <w:rFonts w:hint="eastAsia" w:hAnsi="宋体"/>
          <w:b/>
          <w:color w:val="auto"/>
          <w:sz w:val="24"/>
          <w:szCs w:val="24"/>
        </w:rPr>
        <w:t>（四）投标文件的解密</w:t>
      </w:r>
    </w:p>
    <w:p w14:paraId="4016F482">
      <w:pPr>
        <w:pStyle w:val="5"/>
        <w:tabs>
          <w:tab w:val="clear" w:pos="851"/>
        </w:tabs>
        <w:spacing w:line="400" w:lineRule="exact"/>
        <w:ind w:firstLine="566" w:firstLineChars="236"/>
        <w:rPr>
          <w:rFonts w:hint="eastAsia" w:hAnsi="宋体"/>
          <w:color w:val="auto"/>
          <w:sz w:val="24"/>
          <w:szCs w:val="24"/>
        </w:rPr>
      </w:pPr>
      <w:r>
        <w:rPr>
          <w:rFonts w:hint="eastAsia" w:hAnsi="宋体"/>
          <w:color w:val="auto"/>
          <w:sz w:val="24"/>
          <w:szCs w:val="24"/>
        </w:rPr>
        <w:t>投标人须在规定的投标解密时间内，使用制作该投标文件的同一业务数字证书对投标文件进行解密，逾期未解密的投标文件作无效投标处理。</w:t>
      </w:r>
    </w:p>
    <w:p w14:paraId="5C1C14D0">
      <w:pPr>
        <w:pStyle w:val="5"/>
        <w:tabs>
          <w:tab w:val="clear" w:pos="851"/>
        </w:tabs>
        <w:spacing w:line="400" w:lineRule="exact"/>
        <w:ind w:firstLine="482" w:firstLineChars="200"/>
        <w:rPr>
          <w:rFonts w:hint="eastAsia" w:hAnsi="宋体"/>
          <w:b/>
          <w:color w:val="auto"/>
          <w:sz w:val="24"/>
          <w:szCs w:val="24"/>
        </w:rPr>
      </w:pPr>
      <w:r>
        <w:rPr>
          <w:rFonts w:hint="eastAsia" w:hAnsi="宋体"/>
          <w:b/>
          <w:color w:val="auto"/>
          <w:sz w:val="24"/>
          <w:szCs w:val="24"/>
        </w:rPr>
        <w:t>（五）投标有效期</w:t>
      </w:r>
    </w:p>
    <w:p w14:paraId="39DAFA8B">
      <w:pPr>
        <w:pStyle w:val="4"/>
        <w:tabs>
          <w:tab w:val="left" w:pos="900"/>
        </w:tabs>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1.投标有效期从提交投标文件的截止之日起算90天。</w:t>
      </w:r>
    </w:p>
    <w:p w14:paraId="2B775001">
      <w:pPr>
        <w:pStyle w:val="4"/>
        <w:tabs>
          <w:tab w:val="left" w:pos="900"/>
        </w:tabs>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2.投标有效期内投标人撤销投标文件的，采购人或者采购代理机构可以不退还投标保证金（如有）。采用投标保函方式替代保证金的，采购人或者采购代理机构可以向担保机构索赔保证金。</w:t>
      </w:r>
    </w:p>
    <w:p w14:paraId="6C6857FD">
      <w:pPr>
        <w:pStyle w:val="4"/>
        <w:tabs>
          <w:tab w:val="left" w:pos="900"/>
        </w:tabs>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14:paraId="1824B9C4">
      <w:pPr>
        <w:pStyle w:val="5"/>
        <w:tabs>
          <w:tab w:val="clear" w:pos="851"/>
        </w:tabs>
        <w:spacing w:line="400" w:lineRule="exact"/>
        <w:ind w:firstLine="482" w:firstLineChars="200"/>
        <w:rPr>
          <w:rFonts w:hint="eastAsia" w:hAnsi="宋体"/>
          <w:b/>
          <w:color w:val="auto"/>
          <w:sz w:val="24"/>
          <w:szCs w:val="24"/>
        </w:rPr>
      </w:pPr>
      <w:r>
        <w:rPr>
          <w:rFonts w:hint="eastAsia" w:hAnsi="宋体"/>
          <w:b/>
          <w:color w:val="auto"/>
          <w:sz w:val="24"/>
          <w:szCs w:val="24"/>
        </w:rPr>
        <w:t>（六）投标保证金</w:t>
      </w:r>
    </w:p>
    <w:p w14:paraId="012CA6E0">
      <w:pPr>
        <w:pStyle w:val="5"/>
        <w:spacing w:line="400" w:lineRule="exact"/>
        <w:ind w:firstLine="480" w:firstLineChars="200"/>
        <w:rPr>
          <w:rFonts w:hint="eastAsia" w:hAnsi="宋体"/>
          <w:color w:val="auto"/>
          <w:sz w:val="24"/>
          <w:szCs w:val="24"/>
        </w:rPr>
      </w:pPr>
      <w:r>
        <w:rPr>
          <w:rFonts w:hint="eastAsia" w:hAnsi="宋体"/>
          <w:color w:val="auto"/>
          <w:sz w:val="24"/>
          <w:szCs w:val="24"/>
        </w:rPr>
        <w:t>1.交易中心不接受现金方式提交的投标保证金。</w:t>
      </w:r>
    </w:p>
    <w:p w14:paraId="197AC1FF">
      <w:pPr>
        <w:spacing w:line="400" w:lineRule="exact"/>
        <w:ind w:firstLine="480" w:firstLineChars="200"/>
        <w:rPr>
          <w:rFonts w:hint="eastAsia" w:ascii="宋体" w:hAnsi="宋体" w:cs="宋体"/>
          <w:bCs/>
          <w:color w:val="auto"/>
          <w:sz w:val="24"/>
          <w:szCs w:val="24"/>
        </w:rPr>
      </w:pPr>
      <w:r>
        <w:rPr>
          <w:rFonts w:hint="eastAsia" w:ascii="宋体" w:hAnsi="宋体" w:cs="宋体"/>
          <w:color w:val="auto"/>
          <w:sz w:val="24"/>
          <w:szCs w:val="24"/>
        </w:rPr>
        <w:t>2.投标保证金交纳</w:t>
      </w:r>
      <w:r>
        <w:rPr>
          <w:rFonts w:hint="eastAsia" w:ascii="宋体" w:hAnsi="宋体" w:cs="宋体"/>
          <w:bCs/>
          <w:color w:val="auto"/>
          <w:sz w:val="24"/>
          <w:szCs w:val="24"/>
        </w:rPr>
        <w:t>：采用银行转账、电汇形式提交具体缴退流程见全国公共资源交易平台（贵州省•铜仁市）站，点击首页-办事指南-保证金缴退，自行交纳保证金；或者采用《投标保证金保函》（电子保函）提交（具体操作方式见铜仁市公共资源交易中心首页——办事指南——政府采购——常见问题解答——《投标电子保函申请操作步骤》）</w:t>
      </w:r>
    </w:p>
    <w:p w14:paraId="2FB36543">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3.在中标结果公告发出后1个工作日代理机构提交退款申请，网上自动退还未中标人的投标保证金；成交供应商在采购人与中标人签订合同、并上传合同后2个工作日内退还保证金。</w:t>
      </w:r>
    </w:p>
    <w:p w14:paraId="67472834">
      <w:pPr>
        <w:pStyle w:val="5"/>
        <w:spacing w:line="400" w:lineRule="exact"/>
        <w:ind w:firstLine="480" w:firstLineChars="200"/>
        <w:rPr>
          <w:rFonts w:hint="eastAsia" w:hAnsi="宋体"/>
          <w:color w:val="auto"/>
          <w:sz w:val="24"/>
          <w:szCs w:val="24"/>
        </w:rPr>
      </w:pPr>
      <w:r>
        <w:rPr>
          <w:rFonts w:hint="eastAsia" w:hAnsi="宋体"/>
          <w:color w:val="auto"/>
          <w:sz w:val="24"/>
          <w:szCs w:val="24"/>
        </w:rPr>
        <w:t>4.下列任何一种情况发生时，投标保证金（如有）将不予退还：</w:t>
      </w:r>
    </w:p>
    <w:p w14:paraId="2AFD9782">
      <w:pPr>
        <w:pStyle w:val="5"/>
        <w:tabs>
          <w:tab w:val="clear" w:pos="851"/>
        </w:tabs>
        <w:spacing w:line="400" w:lineRule="exact"/>
        <w:ind w:firstLine="480" w:firstLineChars="200"/>
        <w:rPr>
          <w:rFonts w:hint="eastAsia" w:hAnsi="宋体"/>
          <w:color w:val="auto"/>
          <w:sz w:val="24"/>
          <w:szCs w:val="24"/>
        </w:rPr>
      </w:pPr>
      <w:r>
        <w:rPr>
          <w:rFonts w:hint="eastAsia" w:hAnsi="宋体"/>
          <w:color w:val="auto"/>
          <w:kern w:val="0"/>
          <w:sz w:val="24"/>
          <w:szCs w:val="24"/>
        </w:rPr>
        <w:t>（1）投标人在招标文件中规定的投标有效期内撤销投标文件的；</w:t>
      </w:r>
    </w:p>
    <w:p w14:paraId="02D228C7">
      <w:pPr>
        <w:pStyle w:val="5"/>
        <w:tabs>
          <w:tab w:val="clear" w:pos="851"/>
        </w:tabs>
        <w:spacing w:line="400" w:lineRule="exact"/>
        <w:ind w:firstLine="480" w:firstLineChars="200"/>
        <w:rPr>
          <w:rFonts w:hint="eastAsia" w:hAnsi="宋体"/>
          <w:color w:val="auto"/>
          <w:sz w:val="24"/>
          <w:szCs w:val="24"/>
        </w:rPr>
      </w:pPr>
      <w:r>
        <w:rPr>
          <w:rFonts w:hint="eastAsia" w:hAnsi="宋体"/>
          <w:color w:val="auto"/>
          <w:sz w:val="24"/>
          <w:szCs w:val="24"/>
        </w:rPr>
        <w:t>（2）中标人无正当理由未能在规定期限内签订合同的；</w:t>
      </w:r>
    </w:p>
    <w:p w14:paraId="1CE4C429">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（3）中标人无正当理由放弃中标的。</w:t>
      </w:r>
    </w:p>
    <w:p w14:paraId="1B10D3DF">
      <w:pPr>
        <w:pStyle w:val="5"/>
        <w:tabs>
          <w:tab w:val="clear" w:pos="851"/>
        </w:tabs>
        <w:spacing w:line="400" w:lineRule="exact"/>
        <w:ind w:left="425"/>
        <w:rPr>
          <w:rFonts w:hint="eastAsia" w:hAnsi="宋体"/>
          <w:b/>
          <w:color w:val="auto"/>
          <w:sz w:val="24"/>
          <w:szCs w:val="24"/>
        </w:rPr>
      </w:pPr>
      <w:r>
        <w:rPr>
          <w:rFonts w:hint="eastAsia" w:hAnsi="宋体"/>
          <w:b/>
          <w:color w:val="auto"/>
          <w:sz w:val="24"/>
          <w:szCs w:val="24"/>
        </w:rPr>
        <w:t>（七）样品（演示）（如有）</w:t>
      </w:r>
    </w:p>
    <w:p w14:paraId="71FA89B2">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1.招标文件规定投标人提交样品的，样品属于投标文件的组成部分。样品的生产、运输、安装、保全等一切费用由投标人自理。</w:t>
      </w:r>
    </w:p>
    <w:p w14:paraId="6E567D08">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2.投标截止时间前，投标人应将样品送达至指定地点。若需要现场演示的，投标人应提前做好演示准备（包括演示设备）。</w:t>
      </w:r>
    </w:p>
    <w:p w14:paraId="7C6A0DA8">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343A821B">
      <w:pPr>
        <w:pStyle w:val="5"/>
        <w:tabs>
          <w:tab w:val="clear" w:pos="851"/>
        </w:tabs>
        <w:spacing w:line="400" w:lineRule="exact"/>
        <w:ind w:firstLine="482" w:firstLineChars="200"/>
        <w:rPr>
          <w:rFonts w:hint="eastAsia" w:hAnsi="宋体"/>
          <w:b/>
          <w:color w:val="auto"/>
          <w:sz w:val="24"/>
          <w:szCs w:val="24"/>
        </w:rPr>
      </w:pPr>
      <w:r>
        <w:rPr>
          <w:rFonts w:hint="eastAsia" w:hAnsi="宋体"/>
          <w:b/>
          <w:color w:val="auto"/>
          <w:sz w:val="24"/>
          <w:szCs w:val="24"/>
        </w:rPr>
        <w:t>（八）除招标文件另有规定外，有下列情形之一的，投标无效：</w:t>
      </w:r>
    </w:p>
    <w:p w14:paraId="2CDF1D6E">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1.投标文件未按照招标文件要求签署、盖章；</w:t>
      </w:r>
    </w:p>
    <w:p w14:paraId="2753E378">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2.不符合招标文件中规定的资格要求；</w:t>
      </w:r>
    </w:p>
    <w:p w14:paraId="4FCFF3FB">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3.投标报价超过招标文件中规定的预算金额或最高限价；</w:t>
      </w:r>
    </w:p>
    <w:p w14:paraId="1318ACE4">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4.投标文件含有采购人不能接受的附加条件；</w:t>
      </w:r>
    </w:p>
    <w:p w14:paraId="69B145B4">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5.有关法律、法规和规章及招标文件规定的其他无效情形。</w:t>
      </w:r>
    </w:p>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14:paraId="2DB01F47">
      <w:pPr>
        <w:widowControl w:val="0"/>
        <w:numPr>
          <w:numId w:val="0"/>
        </w:numPr>
        <w:jc w:val="center"/>
        <w:rPr>
          <w:rFonts w:hint="eastAsia" w:ascii="方正小标宋简体" w:hAnsi="方正小标宋简体" w:eastAsia="方正小标宋简体" w:cs="方正小标宋简体"/>
          <w:color w:val="auto"/>
          <w:kern w:val="0"/>
          <w:sz w:val="44"/>
          <w:szCs w:val="44"/>
        </w:rPr>
      </w:pPr>
      <w:bookmarkStart w:id="100" w:name="_Toc101951257"/>
      <w:bookmarkStart w:id="101" w:name="_Toc98579068"/>
      <w:bookmarkStart w:id="102" w:name="_Toc98579609"/>
      <w:bookmarkStart w:id="103" w:name="_Toc46308527"/>
      <w:bookmarkStart w:id="104" w:name="_Toc37331080"/>
      <w:bookmarkStart w:id="105" w:name="_Toc37331038"/>
      <w:bookmarkStart w:id="106" w:name="_Toc40762370"/>
      <w:bookmarkStart w:id="107" w:name="_Toc98579010"/>
      <w:bookmarkStart w:id="108" w:name="_Toc403491565"/>
      <w:bookmarkStart w:id="109" w:name="_Toc50276195"/>
      <w:bookmarkStart w:id="110" w:name="_Toc175644388"/>
      <w:bookmarkStart w:id="111" w:name="_Toc37581420"/>
      <w:bookmarkStart w:id="112" w:name="_Toc101843124"/>
      <w:bookmarkStart w:id="113" w:name="_Toc401575143"/>
      <w:bookmarkStart w:id="114" w:name="_Toc37245277"/>
      <w:bookmarkStart w:id="115" w:name="_Toc101771371"/>
      <w:bookmarkStart w:id="116" w:name="_Toc37245276"/>
      <w:bookmarkStart w:id="117" w:name="_Toc98035088"/>
      <w:bookmarkStart w:id="118" w:name="_Toc101775124"/>
      <w:bookmarkStart w:id="119" w:name="_Toc37663391"/>
      <w:bookmarkStart w:id="120" w:name="_Toc37569519"/>
      <w:bookmarkStart w:id="121" w:name="_Toc50276156"/>
      <w:bookmarkStart w:id="122" w:name="_Toc98580292"/>
      <w:bookmarkStart w:id="123" w:name="_Toc46308683"/>
    </w:p>
    <w:p w14:paraId="4BF02C71">
      <w:pPr>
        <w:widowControl w:val="0"/>
        <w:numPr>
          <w:numId w:val="0"/>
        </w:numPr>
        <w:jc w:val="center"/>
        <w:rPr>
          <w:rFonts w:hint="eastAsia" w:ascii="方正小标宋简体" w:hAnsi="方正小标宋简体" w:eastAsia="方正小标宋简体" w:cs="方正小标宋简体"/>
          <w:color w:val="auto"/>
          <w:kern w:val="0"/>
          <w:sz w:val="44"/>
          <w:szCs w:val="44"/>
        </w:rPr>
      </w:pPr>
    </w:p>
    <w:p w14:paraId="43E4930B">
      <w:pPr>
        <w:widowControl w:val="0"/>
        <w:numPr>
          <w:numId w:val="0"/>
        </w:numPr>
        <w:jc w:val="center"/>
        <w:rPr>
          <w:rFonts w:hint="eastAsia" w:ascii="方正小标宋简体" w:hAnsi="方正小标宋简体" w:eastAsia="方正小标宋简体" w:cs="方正小标宋简体"/>
          <w:color w:val="auto"/>
          <w:kern w:val="0"/>
          <w:sz w:val="44"/>
          <w:szCs w:val="44"/>
        </w:rPr>
      </w:pPr>
    </w:p>
    <w:p w14:paraId="0A58D4EA">
      <w:pPr>
        <w:widowControl w:val="0"/>
        <w:numPr>
          <w:numId w:val="0"/>
        </w:numPr>
        <w:jc w:val="center"/>
        <w:rPr>
          <w:rFonts w:hint="eastAsia" w:ascii="方正小标宋简体" w:hAnsi="方正小标宋简体" w:eastAsia="方正小标宋简体" w:cs="方正小标宋简体"/>
          <w:color w:val="auto"/>
          <w:kern w:val="0"/>
          <w:sz w:val="44"/>
          <w:szCs w:val="44"/>
        </w:rPr>
      </w:pPr>
    </w:p>
    <w:p w14:paraId="6BE56FBD">
      <w:pPr>
        <w:widowControl w:val="0"/>
        <w:numPr>
          <w:numId w:val="0"/>
        </w:numPr>
        <w:jc w:val="center"/>
        <w:rPr>
          <w:rFonts w:hint="eastAsia" w:ascii="方正小标宋简体" w:hAnsi="方正小标宋简体" w:eastAsia="方正小标宋简体" w:cs="方正小标宋简体"/>
          <w:color w:val="auto"/>
          <w:kern w:val="0"/>
          <w:sz w:val="44"/>
          <w:szCs w:val="44"/>
        </w:rPr>
      </w:pPr>
    </w:p>
    <w:p w14:paraId="793913EF">
      <w:pPr>
        <w:widowControl w:val="0"/>
        <w:numPr>
          <w:numId w:val="0"/>
        </w:numPr>
        <w:jc w:val="center"/>
        <w:rPr>
          <w:rFonts w:hint="eastAsia" w:ascii="方正小标宋简体" w:hAnsi="方正小标宋简体" w:eastAsia="方正小标宋简体" w:cs="方正小标宋简体"/>
          <w:color w:val="auto"/>
          <w:kern w:val="0"/>
          <w:sz w:val="44"/>
          <w:szCs w:val="44"/>
        </w:rPr>
      </w:pPr>
    </w:p>
    <w:p w14:paraId="5F12A328">
      <w:pPr>
        <w:widowControl w:val="0"/>
        <w:numPr>
          <w:numId w:val="0"/>
        </w:numPr>
        <w:jc w:val="center"/>
        <w:rPr>
          <w:rFonts w:hint="eastAsia" w:ascii="方正小标宋简体" w:hAnsi="方正小标宋简体" w:eastAsia="方正小标宋简体" w:cs="方正小标宋简体"/>
          <w:color w:val="auto"/>
          <w:kern w:val="0"/>
          <w:sz w:val="44"/>
          <w:szCs w:val="44"/>
        </w:rPr>
      </w:pPr>
    </w:p>
    <w:p w14:paraId="1878E063">
      <w:pPr>
        <w:widowControl w:val="0"/>
        <w:numPr>
          <w:numId w:val="0"/>
        </w:numPr>
        <w:jc w:val="center"/>
        <w:rPr>
          <w:rFonts w:hint="eastAsia" w:ascii="方正小标宋简体" w:hAnsi="方正小标宋简体" w:eastAsia="方正小标宋简体" w:cs="方正小标宋简体"/>
          <w:color w:val="auto"/>
          <w:kern w:val="0"/>
          <w:sz w:val="44"/>
          <w:szCs w:val="44"/>
        </w:rPr>
      </w:pPr>
    </w:p>
    <w:p w14:paraId="3A429F25">
      <w:pPr>
        <w:widowControl w:val="0"/>
        <w:numPr>
          <w:numId w:val="0"/>
        </w:numPr>
        <w:jc w:val="center"/>
        <w:rPr>
          <w:rFonts w:hint="eastAsia" w:ascii="方正小标宋简体" w:hAnsi="方正小标宋简体" w:eastAsia="方正小标宋简体" w:cs="方正小标宋简体"/>
          <w:color w:val="auto"/>
          <w:kern w:val="0"/>
          <w:sz w:val="44"/>
          <w:szCs w:val="44"/>
        </w:rPr>
      </w:pPr>
    </w:p>
    <w:p w14:paraId="5974758D">
      <w:pPr>
        <w:widowControl w:val="0"/>
        <w:numPr>
          <w:numId w:val="0"/>
        </w:numPr>
        <w:jc w:val="center"/>
        <w:rPr>
          <w:rFonts w:hint="eastAsia" w:ascii="方正小标宋简体" w:hAnsi="方正小标宋简体" w:eastAsia="方正小标宋简体" w:cs="方正小标宋简体"/>
          <w:color w:val="auto"/>
          <w:kern w:val="0"/>
          <w:sz w:val="44"/>
          <w:szCs w:val="44"/>
        </w:rPr>
      </w:pPr>
    </w:p>
    <w:p w14:paraId="5E7A7A53">
      <w:pPr>
        <w:widowControl w:val="0"/>
        <w:numPr>
          <w:numId w:val="0"/>
        </w:numPr>
        <w:jc w:val="center"/>
        <w:rPr>
          <w:rFonts w:hint="eastAsia" w:ascii="方正小标宋简体" w:hAnsi="方正小标宋简体" w:eastAsia="方正小标宋简体" w:cs="方正小标宋简体"/>
          <w:color w:val="auto"/>
          <w:kern w:val="0"/>
          <w:sz w:val="44"/>
          <w:szCs w:val="44"/>
        </w:rPr>
      </w:pPr>
    </w:p>
    <w:p w14:paraId="143118A6">
      <w:pPr>
        <w:widowControl w:val="0"/>
        <w:numPr>
          <w:numId w:val="0"/>
        </w:numPr>
        <w:jc w:val="center"/>
        <w:rPr>
          <w:rFonts w:hint="eastAsia" w:ascii="方正小标宋简体" w:hAnsi="方正小标宋简体" w:eastAsia="方正小标宋简体" w:cs="方正小标宋简体"/>
          <w:color w:val="auto"/>
          <w:kern w:val="0"/>
          <w:sz w:val="44"/>
          <w:szCs w:val="44"/>
        </w:rPr>
      </w:pPr>
    </w:p>
    <w:p w14:paraId="747C89B2">
      <w:pPr>
        <w:widowControl w:val="0"/>
        <w:numPr>
          <w:numId w:val="0"/>
        </w:numPr>
        <w:jc w:val="center"/>
        <w:rPr>
          <w:rFonts w:hint="eastAsia" w:ascii="方正小标宋简体" w:hAnsi="方正小标宋简体" w:eastAsia="方正小标宋简体" w:cs="方正小标宋简体"/>
          <w:color w:val="auto"/>
          <w:kern w:val="0"/>
          <w:sz w:val="44"/>
          <w:szCs w:val="44"/>
        </w:rPr>
      </w:pPr>
    </w:p>
    <w:p w14:paraId="47732E3F">
      <w:pPr>
        <w:widowControl w:val="0"/>
        <w:numPr>
          <w:numId w:val="0"/>
        </w:numPr>
        <w:jc w:val="center"/>
        <w:rPr>
          <w:rFonts w:hint="eastAsia" w:ascii="方正小标宋简体" w:hAnsi="方正小标宋简体" w:eastAsia="方正小标宋简体" w:cs="方正小标宋简体"/>
          <w:color w:val="auto"/>
          <w:kern w:val="0"/>
          <w:sz w:val="44"/>
          <w:szCs w:val="44"/>
        </w:rPr>
      </w:pPr>
    </w:p>
    <w:p w14:paraId="118CD483">
      <w:pPr>
        <w:widowControl w:val="0"/>
        <w:numPr>
          <w:numId w:val="0"/>
        </w:numPr>
        <w:jc w:val="center"/>
        <w:rPr>
          <w:rFonts w:hint="eastAsia" w:ascii="方正小标宋简体" w:hAnsi="方正小标宋简体" w:eastAsia="方正小标宋简体" w:cs="方正小标宋简体"/>
          <w:color w:val="auto"/>
          <w:kern w:val="0"/>
          <w:sz w:val="44"/>
          <w:szCs w:val="44"/>
        </w:rPr>
      </w:pPr>
    </w:p>
    <w:p w14:paraId="4ACDD213">
      <w:pPr>
        <w:widowControl w:val="0"/>
        <w:numPr>
          <w:numId w:val="0"/>
        </w:numPr>
        <w:jc w:val="center"/>
        <w:rPr>
          <w:rFonts w:hint="eastAsia" w:ascii="方正小标宋简体" w:hAnsi="方正小标宋简体" w:eastAsia="方正小标宋简体" w:cs="方正小标宋简体"/>
          <w:color w:val="auto"/>
          <w:kern w:val="0"/>
          <w:sz w:val="44"/>
          <w:szCs w:val="44"/>
        </w:rPr>
      </w:pPr>
    </w:p>
    <w:p w14:paraId="64E6C120">
      <w:pPr>
        <w:widowControl w:val="0"/>
        <w:numPr>
          <w:numId w:val="0"/>
        </w:numPr>
        <w:jc w:val="center"/>
        <w:rPr>
          <w:rFonts w:hint="eastAsia" w:ascii="方正小标宋简体" w:hAnsi="方正小标宋简体" w:eastAsia="方正小标宋简体" w:cs="方正小标宋简体"/>
          <w:color w:val="auto"/>
          <w:kern w:val="0"/>
          <w:sz w:val="44"/>
          <w:szCs w:val="44"/>
        </w:rPr>
      </w:pPr>
    </w:p>
    <w:p w14:paraId="50DBFD34">
      <w:pPr>
        <w:widowControl w:val="0"/>
        <w:numPr>
          <w:ilvl w:val="0"/>
          <w:numId w:val="0"/>
        </w:numPr>
        <w:jc w:val="both"/>
        <w:rPr>
          <w:rFonts w:ascii="黑体" w:hAnsi="宋体" w:eastAsia="黑体" w:cs="黑体"/>
          <w:b w:val="0"/>
          <w:bCs w:val="0"/>
          <w:color w:val="000000"/>
          <w:sz w:val="24"/>
          <w:szCs w:val="24"/>
        </w:rPr>
      </w:pPr>
    </w:p>
    <w:p w14:paraId="748ED75A">
      <w:pPr>
        <w:widowControl w:val="0"/>
        <w:numPr>
          <w:ilvl w:val="0"/>
          <w:numId w:val="0"/>
        </w:numPr>
        <w:jc w:val="center"/>
        <w:rPr>
          <w:rFonts w:ascii="黑体" w:hAnsi="宋体" w:eastAsia="黑体" w:cs="黑体"/>
          <w:b/>
          <w:bCs/>
          <w:color w:val="000000"/>
          <w:sz w:val="24"/>
          <w:szCs w:val="24"/>
        </w:rPr>
      </w:pPr>
      <w:r>
        <w:rPr>
          <w:rFonts w:ascii="MicrosoftYaHei" w:hAnsi="MicrosoftYaHei" w:eastAsia="MicrosoftYaHei" w:cs="MicrosoftYaHei"/>
          <w:b/>
          <w:bCs/>
          <w:color w:val="000000"/>
          <w:sz w:val="43"/>
          <w:szCs w:val="43"/>
        </w:rPr>
        <w:t>第三章 采购需求</w:t>
      </w:r>
    </w:p>
    <w:p w14:paraId="2C4EC3EA">
      <w:pPr>
        <w:widowControl w:val="0"/>
        <w:numPr>
          <w:ilvl w:val="0"/>
          <w:numId w:val="0"/>
        </w:numPr>
        <w:jc w:val="both"/>
        <w:rPr>
          <w:rFonts w:ascii="黑体" w:hAnsi="宋体" w:eastAsia="黑体" w:cs="黑体"/>
          <w:b w:val="0"/>
          <w:bCs w:val="0"/>
          <w:color w:val="000000"/>
          <w:sz w:val="24"/>
          <w:szCs w:val="24"/>
        </w:rPr>
      </w:pPr>
      <w:bookmarkStart w:id="289" w:name="_GoBack"/>
      <w:bookmarkEnd w:id="289"/>
    </w:p>
    <w:p w14:paraId="667E0D23">
      <w:pPr>
        <w:widowControl w:val="0"/>
        <w:numPr>
          <w:ilvl w:val="0"/>
          <w:numId w:val="0"/>
        </w:numPr>
        <w:jc w:val="both"/>
        <w:rPr>
          <w:rFonts w:ascii="黑体" w:hAnsi="宋体" w:eastAsia="黑体" w:cs="黑体"/>
          <w:b w:val="0"/>
          <w:bCs w:val="0"/>
          <w:color w:val="000000"/>
          <w:sz w:val="24"/>
          <w:szCs w:val="24"/>
        </w:rPr>
      </w:pPr>
    </w:p>
    <w:p w14:paraId="7F4677B5">
      <w:pPr>
        <w:widowControl w:val="0"/>
        <w:numPr>
          <w:ilvl w:val="0"/>
          <w:numId w:val="0"/>
        </w:numPr>
        <w:jc w:val="both"/>
        <w:rPr>
          <w:rFonts w:ascii="黑体" w:hAnsi="宋体" w:eastAsia="黑体" w:cs="黑体"/>
          <w:b w:val="0"/>
          <w:bCs w:val="0"/>
          <w:color w:val="000000"/>
          <w:sz w:val="24"/>
          <w:szCs w:val="24"/>
        </w:rPr>
      </w:pPr>
    </w:p>
    <w:p w14:paraId="2868AE05">
      <w:pPr>
        <w:widowControl w:val="0"/>
        <w:numPr>
          <w:ilvl w:val="0"/>
          <w:numId w:val="0"/>
        </w:numPr>
        <w:jc w:val="both"/>
        <w:rPr>
          <w:rFonts w:ascii="黑体" w:hAnsi="宋体" w:eastAsia="黑体" w:cs="黑体"/>
          <w:b w:val="0"/>
          <w:bCs w:val="0"/>
          <w:color w:val="000000"/>
          <w:sz w:val="24"/>
          <w:szCs w:val="24"/>
        </w:rPr>
      </w:pPr>
      <w:r>
        <w:rPr>
          <w:rFonts w:hint="eastAsia" w:ascii="黑体" w:hAnsi="宋体" w:eastAsia="黑体" w:cs="黑体"/>
          <w:b w:val="0"/>
          <w:bCs w:val="0"/>
          <w:color w:val="000000"/>
          <w:sz w:val="28"/>
          <w:szCs w:val="28"/>
          <w:lang w:val="en-US" w:eastAsia="zh-CN"/>
        </w:rPr>
        <w:t>一、</w:t>
      </w:r>
      <w:r>
        <w:rPr>
          <w:rFonts w:ascii="黑体" w:hAnsi="宋体" w:eastAsia="黑体" w:cs="黑体"/>
          <w:b w:val="0"/>
          <w:bCs w:val="0"/>
          <w:color w:val="000000"/>
          <w:sz w:val="24"/>
          <w:szCs w:val="24"/>
        </w:rPr>
        <w:t xml:space="preserve">技术要求 </w:t>
      </w:r>
      <w:r>
        <w:rPr>
          <w:rFonts w:ascii="黑体" w:hAnsi="宋体" w:eastAsia="黑体" w:cs="黑体"/>
          <w:b w:val="0"/>
          <w:bCs w:val="0"/>
          <w:color w:val="000000"/>
          <w:sz w:val="24"/>
          <w:szCs w:val="24"/>
        </w:rPr>
        <w:t xml:space="preserve">（一）根据（财库〔2020〕46 号）第八条规定，超过 200 万元的货物和服务采购 项目、超过 400 万元的工程采购项目中适宜由中小企业提供的，预留该部分采购项目 预算总额的 30%以上专门面向中小企业采购，其中预留给小微企业的比例不低于 60%。 预留份额通过下列措施进行： 要求供应商以联合体形式参加采购活动，且联合体中中小企业承担的部分达到一 定比例；组成联合体的中小企业与联合体内其他企业之间不得存在直接控股、管理关系。 </w:t>
      </w:r>
    </w:p>
    <w:p w14:paraId="5E766F90">
      <w:pPr>
        <w:widowControl w:val="0"/>
        <w:numPr>
          <w:numId w:val="0"/>
        </w:numPr>
        <w:jc w:val="both"/>
        <w:rPr>
          <w:rFonts w:ascii="黑体" w:hAnsi="宋体" w:eastAsia="黑体" w:cs="黑体"/>
          <w:b w:val="0"/>
          <w:bCs w:val="0"/>
          <w:color w:val="000000"/>
          <w:sz w:val="24"/>
          <w:szCs w:val="24"/>
        </w:rPr>
      </w:pPr>
    </w:p>
    <w:p w14:paraId="35D94E37">
      <w:pPr>
        <w:widowControl w:val="0"/>
        <w:numPr>
          <w:numId w:val="0"/>
        </w:numPr>
        <w:jc w:val="both"/>
        <w:rPr>
          <w:rFonts w:hint="eastAsia" w:ascii="方正小标宋简体" w:hAnsi="方正小标宋简体" w:eastAsia="方正小标宋简体" w:cs="方正小标宋简体"/>
          <w:color w:val="auto"/>
          <w:kern w:val="0"/>
          <w:sz w:val="44"/>
          <w:szCs w:val="44"/>
        </w:rPr>
      </w:pPr>
      <w:r>
        <w:rPr>
          <w:rFonts w:ascii="黑体" w:hAnsi="宋体" w:eastAsia="黑体" w:cs="黑体"/>
          <w:b w:val="0"/>
          <w:bCs w:val="0"/>
          <w:color w:val="000000"/>
          <w:sz w:val="24"/>
          <w:szCs w:val="24"/>
        </w:rPr>
        <w:t xml:space="preserve">（二）本项目要求供应商以联合体形式参加采购活动，且联合体中中小企业承担的部分达到预算总额的 30%及以上（联合体协议中明确中小企业合同金额比例），即所投产品由中小企业制造的报价不低于 </w:t>
      </w:r>
      <w:r>
        <w:rPr>
          <w:rFonts w:hint="eastAsia" w:ascii="黑体" w:hAnsi="宋体" w:eastAsia="黑体" w:cs="黑体"/>
          <w:b w:val="0"/>
          <w:bCs w:val="0"/>
          <w:color w:val="000000"/>
          <w:sz w:val="24"/>
          <w:szCs w:val="24"/>
          <w:lang w:val="en-US" w:eastAsia="zh-CN"/>
        </w:rPr>
        <w:t>405</w:t>
      </w:r>
      <w:r>
        <w:rPr>
          <w:rFonts w:ascii="黑体" w:hAnsi="宋体" w:eastAsia="黑体" w:cs="黑体"/>
          <w:b w:val="0"/>
          <w:bCs w:val="0"/>
          <w:color w:val="000000"/>
          <w:sz w:val="24"/>
          <w:szCs w:val="24"/>
        </w:rPr>
        <w:t xml:space="preserve"> 万元，其中所投产品由小微企业制造的报价不低于 </w:t>
      </w:r>
      <w:r>
        <w:rPr>
          <w:rFonts w:hint="eastAsia" w:ascii="黑体" w:hAnsi="宋体" w:eastAsia="黑体" w:cs="黑体"/>
          <w:b w:val="0"/>
          <w:bCs w:val="0"/>
          <w:color w:val="000000"/>
          <w:sz w:val="24"/>
          <w:szCs w:val="24"/>
          <w:lang w:val="en-US" w:eastAsia="zh-CN"/>
        </w:rPr>
        <w:t>243</w:t>
      </w:r>
      <w:r>
        <w:rPr>
          <w:rFonts w:ascii="黑体" w:hAnsi="宋体" w:eastAsia="黑体" w:cs="黑体"/>
          <w:b w:val="0"/>
          <w:bCs w:val="0"/>
          <w:color w:val="000000"/>
          <w:sz w:val="24"/>
          <w:szCs w:val="24"/>
        </w:rPr>
        <w:t xml:space="preserve"> 万元。供应商须出具中小企业承担部分的《中小企业声明函》；并参照投标文件格式详细列出其金额、占比等。未响应本条规定的将严重影响投标文件有效 性。</w:t>
      </w:r>
    </w:p>
    <w:p w14:paraId="5A8DF052">
      <w:pPr>
        <w:widowControl w:val="0"/>
        <w:numPr>
          <w:numId w:val="0"/>
        </w:numPr>
        <w:jc w:val="center"/>
        <w:rPr>
          <w:rFonts w:hint="eastAsia" w:ascii="方正小标宋简体" w:hAnsi="方正小标宋简体" w:eastAsia="方正小标宋简体" w:cs="方正小标宋简体"/>
          <w:color w:val="auto"/>
          <w:kern w:val="0"/>
          <w:sz w:val="44"/>
          <w:szCs w:val="44"/>
        </w:rPr>
        <w:sectPr>
          <w:pgSz w:w="11907" w:h="16840"/>
          <w:pgMar w:top="2098" w:right="1474" w:bottom="1984" w:left="1587" w:header="851" w:footer="992" w:gutter="0"/>
          <w:cols w:space="720" w:num="1"/>
        </w:sectPr>
      </w:pPr>
    </w:p>
    <w:p w14:paraId="0D7EE4AF">
      <w:pPr>
        <w:numPr>
          <w:numId w:val="0"/>
        </w:numPr>
        <w:jc w:val="both"/>
        <w:rPr>
          <w:rFonts w:hint="eastAsia" w:ascii="方正小标宋简体" w:hAnsi="方正小标宋简体" w:eastAsia="方正小标宋简体" w:cs="方正小标宋简体"/>
          <w:color w:val="auto"/>
          <w:kern w:val="0"/>
          <w:sz w:val="44"/>
          <w:szCs w:val="44"/>
        </w:rPr>
      </w:pPr>
    </w:p>
    <w:p w14:paraId="6A5056D1">
      <w:pPr>
        <w:numPr>
          <w:ilvl w:val="0"/>
          <w:numId w:val="0"/>
        </w:numPr>
        <w:ind w:firstLine="4320" w:firstLineChars="1800"/>
        <w:jc w:val="both"/>
        <w:rPr>
          <w:rFonts w:hint="eastAsia" w:ascii="方正小标宋简体" w:hAnsi="方正小标宋简体" w:eastAsia="方正小标宋简体" w:cs="方正小标宋简体"/>
          <w:color w:val="auto"/>
          <w:kern w:val="0"/>
          <w:sz w:val="52"/>
          <w:szCs w:val="52"/>
        </w:rPr>
      </w:pPr>
      <w:r>
        <w:rPr>
          <w:rFonts w:ascii="微软雅黑" w:hAnsi="微软雅黑" w:eastAsia="微软雅黑" w:cs="微软雅黑"/>
          <w:i w:val="0"/>
          <w:iCs w:val="0"/>
          <w:caps w:val="0"/>
          <w:color w:val="232323"/>
          <w:spacing w:val="0"/>
          <w:sz w:val="24"/>
          <w:szCs w:val="24"/>
          <w:shd w:val="clear" w:fill="FFFFFF"/>
        </w:rPr>
        <w:t>德江县第四中学教育教学设施设备采购项目</w:t>
      </w:r>
    </w:p>
    <w:tbl>
      <w:tblPr>
        <w:tblStyle w:val="44"/>
        <w:tblW w:w="126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53"/>
        <w:gridCol w:w="6479"/>
        <w:gridCol w:w="2053"/>
        <w:gridCol w:w="2054"/>
      </w:tblGrid>
      <w:tr w14:paraId="70F15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3C41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D76D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设施设备名称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54E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62A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14:paraId="0017C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60B78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5CAA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食堂设备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7B0D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C83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r>
      <w:tr w14:paraId="029BA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D7FD9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1584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宿舍、教室设备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274F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7099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r>
      <w:tr w14:paraId="7F077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6A5A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8B6C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办公家具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BF48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689C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r>
      <w:tr w14:paraId="012AE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761B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47BB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办公电脑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99BF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0BD5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r>
      <w:tr w14:paraId="125AC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12220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57C6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班班通</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9D6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219E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r>
      <w:tr w14:paraId="39EDB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BE769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9FF5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行政会议室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39B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263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r>
      <w:tr w14:paraId="26219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AE17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A276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党员活动室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FE33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04C5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r>
      <w:tr w14:paraId="40E7B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C68A9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895D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阶梯教室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86A3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FDD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r>
      <w:tr w14:paraId="4413A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11B29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582C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智慧校园音响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7F5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F3B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r>
      <w:tr w14:paraId="24E51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8F18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C2DF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计算机教室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9C2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EB1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r>
      <w:tr w14:paraId="45B68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86CBE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4BB9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物理综合实验室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34E5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A89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r>
      <w:tr w14:paraId="09F4A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381A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9267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物理准备室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5D5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FCF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r>
      <w:tr w14:paraId="7743C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CF5C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4A7A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化学普通实验室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445E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725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r>
      <w:tr w14:paraId="3A3C1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877FB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8E7A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化学准备室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AB92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2A3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r>
      <w:tr w14:paraId="4ECB3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707E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A8DA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生物综合实验室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1EB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620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r>
      <w:tr w14:paraId="38E1E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D516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E543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生物准备室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233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56D3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r>
      <w:tr w14:paraId="1FEE7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F20E0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9EBC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录播教室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3D38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DED7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r>
      <w:tr w14:paraId="388FD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830A7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4067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美术教室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F64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BAF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r>
      <w:tr w14:paraId="5E142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4D6EF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0E60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音乐教室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2B92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1E6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r>
      <w:tr w14:paraId="3B24B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51D4F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918C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创客教室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02F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3F4D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r>
      <w:tr w14:paraId="5052D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EEC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BD18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心理咨询室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AF7B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68D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r>
      <w:tr w14:paraId="20A15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8663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1334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图书室、阅览室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830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A1D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r>
      <w:tr w14:paraId="3FCDA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EE727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F6B3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保卫室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56F5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FA61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r>
      <w:tr w14:paraId="37D66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A114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539B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医务室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C095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39A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w:t>
            </w:r>
          </w:p>
        </w:tc>
      </w:tr>
      <w:tr w14:paraId="1CB8A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F5AE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F20A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体育器材配置清单</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982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B45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r>
      <w:tr w14:paraId="31A97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868D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DF23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网络设备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C261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C29D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r>
      <w:tr w14:paraId="01ED8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8CC5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0" w:type="auto"/>
            <w:tcBorders>
              <w:top w:val="single" w:color="000000" w:sz="4" w:space="0"/>
              <w:left w:val="nil"/>
              <w:bottom w:val="single" w:color="000000" w:sz="4" w:space="0"/>
              <w:right w:val="nil"/>
            </w:tcBorders>
            <w:noWrap/>
            <w:vAlign w:val="center"/>
          </w:tcPr>
          <w:p w14:paraId="77E3E0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校园数字化监控系统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795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F225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r>
    </w:tbl>
    <w:p w14:paraId="12004500">
      <w:pPr>
        <w:rPr>
          <w:b/>
          <w:color w:val="auto"/>
          <w:sz w:val="24"/>
        </w:rPr>
      </w:pPr>
    </w:p>
    <w:p w14:paraId="5FF425B1">
      <w:pPr>
        <w:rPr>
          <w:b/>
          <w:color w:val="auto"/>
          <w:sz w:val="24"/>
        </w:rPr>
      </w:pPr>
    </w:p>
    <w:tbl>
      <w:tblPr>
        <w:tblStyle w:val="44"/>
        <w:tblW w:w="127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8"/>
        <w:gridCol w:w="1296"/>
        <w:gridCol w:w="1789"/>
        <w:gridCol w:w="931"/>
        <w:gridCol w:w="1065"/>
        <w:gridCol w:w="7020"/>
      </w:tblGrid>
      <w:tr w14:paraId="2D9A4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759" w:type="dxa"/>
            <w:gridSpan w:val="6"/>
            <w:tcBorders>
              <w:top w:val="single" w:color="000000" w:sz="4" w:space="0"/>
              <w:left w:val="single" w:color="000000" w:sz="4" w:space="0"/>
              <w:bottom w:val="single" w:color="000000" w:sz="4" w:space="0"/>
              <w:right w:val="single" w:color="000000" w:sz="4" w:space="0"/>
            </w:tcBorders>
            <w:noWrap/>
            <w:vAlign w:val="center"/>
          </w:tcPr>
          <w:p w14:paraId="0C10C18B">
            <w:pPr>
              <w:keepNext w:val="0"/>
              <w:keepLines w:val="0"/>
              <w:widowControl/>
              <w:suppressLineNumbers w:val="0"/>
              <w:jc w:val="center"/>
              <w:textAlignment w:val="center"/>
              <w:rPr>
                <w:rFonts w:ascii="楷体_GB2312" w:hAnsi="宋体" w:eastAsia="楷体_GB2312" w:cs="楷体_GB2312"/>
                <w:b/>
                <w:bCs/>
                <w:i w:val="0"/>
                <w:iCs w:val="0"/>
                <w:color w:val="000000"/>
                <w:sz w:val="50"/>
                <w:szCs w:val="50"/>
                <w:u w:val="none"/>
              </w:rPr>
            </w:pPr>
            <w:r>
              <w:rPr>
                <w:rFonts w:hint="eastAsia" w:ascii="楷体_GB2312" w:hAnsi="宋体" w:eastAsia="楷体_GB2312" w:cs="楷体_GB2312"/>
                <w:b/>
                <w:bCs/>
                <w:i w:val="0"/>
                <w:iCs w:val="0"/>
                <w:color w:val="000000"/>
                <w:kern w:val="0"/>
                <w:sz w:val="40"/>
                <w:szCs w:val="40"/>
                <w:u w:val="none"/>
                <w:lang w:val="en-US" w:eastAsia="zh-CN" w:bidi="ar"/>
              </w:rPr>
              <w:t>1</w:t>
            </w:r>
            <w:r>
              <w:rPr>
                <w:rFonts w:hint="default" w:ascii="楷体_GB2312" w:hAnsi="宋体" w:eastAsia="楷体_GB2312" w:cs="楷体_GB2312"/>
                <w:b/>
                <w:bCs/>
                <w:i w:val="0"/>
                <w:iCs w:val="0"/>
                <w:color w:val="000000"/>
                <w:kern w:val="0"/>
                <w:sz w:val="40"/>
                <w:szCs w:val="40"/>
                <w:u w:val="none"/>
                <w:lang w:val="en-US" w:eastAsia="zh-CN" w:bidi="ar"/>
              </w:rPr>
              <w:t>厨房设备</w:t>
            </w:r>
          </w:p>
        </w:tc>
      </w:tr>
      <w:tr w14:paraId="262BC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37680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1296" w:type="dxa"/>
            <w:tcBorders>
              <w:top w:val="single" w:color="000000" w:sz="4" w:space="0"/>
              <w:left w:val="single" w:color="000000" w:sz="4" w:space="0"/>
              <w:bottom w:val="single" w:color="000000" w:sz="4" w:space="0"/>
              <w:right w:val="single" w:color="000000" w:sz="4" w:space="0"/>
            </w:tcBorders>
            <w:noWrap/>
            <w:vAlign w:val="center"/>
          </w:tcPr>
          <w:p w14:paraId="19B13E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21DC64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尺寸(WxDxH)</w:t>
            </w: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0012B8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50F8C5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020" w:type="dxa"/>
            <w:tcBorders>
              <w:top w:val="single" w:color="000000" w:sz="4" w:space="0"/>
              <w:left w:val="single" w:color="000000" w:sz="4" w:space="0"/>
              <w:bottom w:val="single" w:color="000000" w:sz="4" w:space="0"/>
              <w:right w:val="single" w:color="000000" w:sz="4" w:space="0"/>
            </w:tcBorders>
            <w:noWrap/>
            <w:vAlign w:val="center"/>
          </w:tcPr>
          <w:p w14:paraId="5E15AA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r>
      <w:tr w14:paraId="283BA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954" w:type="dxa"/>
            <w:gridSpan w:val="2"/>
            <w:tcBorders>
              <w:top w:val="single" w:color="000000" w:sz="4" w:space="0"/>
              <w:left w:val="single" w:color="000000" w:sz="4" w:space="0"/>
              <w:bottom w:val="single" w:color="000000" w:sz="4" w:space="0"/>
              <w:right w:val="single" w:color="000000" w:sz="4" w:space="0"/>
            </w:tcBorders>
            <w:noWrap/>
            <w:vAlign w:val="center"/>
          </w:tcPr>
          <w:p w14:paraId="33FAF04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一层厨房</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58F82BD2">
            <w:pPr>
              <w:jc w:val="center"/>
              <w:rPr>
                <w:rFonts w:hint="eastAsia" w:ascii="宋体" w:hAnsi="宋体" w:eastAsia="宋体" w:cs="宋体"/>
                <w:b/>
                <w:bCs/>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5AE48626">
            <w:pP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0FEB4B84">
            <w:pPr>
              <w:rPr>
                <w:rFonts w:hint="eastAsia" w:ascii="宋体" w:hAnsi="宋体" w:eastAsia="宋体" w:cs="宋体"/>
                <w:i w:val="0"/>
                <w:iCs w:val="0"/>
                <w:color w:val="000000"/>
                <w:sz w:val="22"/>
                <w:szCs w:val="22"/>
                <w:u w:val="none"/>
              </w:rPr>
            </w:pPr>
          </w:p>
        </w:tc>
        <w:tc>
          <w:tcPr>
            <w:tcW w:w="7020" w:type="dxa"/>
            <w:tcBorders>
              <w:top w:val="single" w:color="000000" w:sz="4" w:space="0"/>
              <w:left w:val="single" w:color="000000" w:sz="4" w:space="0"/>
              <w:bottom w:val="single" w:color="000000" w:sz="4" w:space="0"/>
              <w:right w:val="single" w:color="000000" w:sz="4" w:space="0"/>
            </w:tcBorders>
            <w:noWrap/>
            <w:vAlign w:val="center"/>
          </w:tcPr>
          <w:p w14:paraId="1FFB52D0">
            <w:pPr>
              <w:rPr>
                <w:rFonts w:hint="eastAsia" w:ascii="宋体" w:hAnsi="宋体" w:eastAsia="宋体" w:cs="宋体"/>
                <w:i w:val="0"/>
                <w:iCs w:val="0"/>
                <w:color w:val="000000"/>
                <w:sz w:val="22"/>
                <w:szCs w:val="22"/>
                <w:u w:val="none"/>
              </w:rPr>
            </w:pPr>
          </w:p>
        </w:tc>
      </w:tr>
      <w:tr w14:paraId="6A99D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725267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A01</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76A76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双孔收餐柜车</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6C75C4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1500*800*800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1BCD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3E047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3F97B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*台面厚度1.2mm，下层板厚度0.8mm；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*脚管采用Ф38*1.0mm厚不锈钢方管；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*配静音万向轮，带刹车</w:t>
            </w:r>
          </w:p>
        </w:tc>
      </w:tr>
      <w:tr w14:paraId="2BD2D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73B0C4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A02</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4A20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灭蝇灯</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53C3CA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654*95*390  TMS-40W</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AF477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53D32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39DA8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-工作方式：粘捕式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-额定功率：0.008KW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-覆盖面积：30-50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-额定电压：220V-50HZ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-灯管型号：BINMU/T5 8W BL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-材料等级：ABS阻燃材料</w:t>
            </w:r>
          </w:p>
        </w:tc>
      </w:tr>
      <w:tr w14:paraId="6DDE1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21C5C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A03</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249A8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洗地龙头</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133D14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约10米</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C480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B4D7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22877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流量14.74LPM/3.89 GPM指标，松开把手自动关闭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开放式涂层钢洗地龙头，抛光镀铬喷阀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喉管:自动回卷伸缩，环氧敞开式卷盘软管长10.7米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适用于墙壁、天花板或台面下安装</w:t>
            </w:r>
          </w:p>
        </w:tc>
      </w:tr>
      <w:tr w14:paraId="45272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63E1C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A04</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5CAC87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三层餐车</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55B01D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850*450*900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37E6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730A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1CFE2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*台面厚度1.0mm，下层板厚度1.0mm；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*脚管采用Ф48*1.0mm厚不锈钢圆管；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*配静音万向轮，带刹车</w:t>
            </w:r>
          </w:p>
        </w:tc>
      </w:tr>
      <w:tr w14:paraId="23B3D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23ACA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A05</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3F852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风幕机</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16929D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1200*212*226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0C59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FCC65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08AE6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-电压：220V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-功率：315W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-噪声：59dB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-风量：1670(m3/h)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-风轮直径：120mm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-重量：15kg</w:t>
            </w:r>
          </w:p>
        </w:tc>
      </w:tr>
      <w:tr w14:paraId="3CDB9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08E42E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A06</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F6B01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四层栅格层架</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0CA094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1200*500*1600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FBC0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03FF8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2B7A7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*整体采用不锈钢制作，平板厚度1.0mm；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*立柱采用38×38×1.0mm厚不锈钢方管；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*配不锈钢可调子弹脚。</w:t>
            </w:r>
          </w:p>
        </w:tc>
      </w:tr>
      <w:tr w14:paraId="53402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568A08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A07</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37795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双星水池(背靠式)</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12D88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1600*700*800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F0D2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E65E7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3D64E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*整体采用不锈钢制作，台面厚1.0mm；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*星盆斗厚1.0mm，星盆斗尺寸：600*600*280mm，配置提篮式不锈钢下水器；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*立柱采用?48*1.0mm圆通，配不锈钢可调子弹脚；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*横撑采用?32*1.0mm圆通</w:t>
            </w:r>
          </w:p>
        </w:tc>
      </w:tr>
      <w:tr w14:paraId="3D3EB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6DBB36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A08</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28B9C2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油网烟罩</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43CEEB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5400*1200*500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E38B6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5FE5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12B7B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优质不锈钢制造；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壳体面板201厚度1.0mm，加强筋1.2mm；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配双层隔油网，滴油杯及防潮灯；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配英式防爆灯座，电源线套管丝牙接驳。  </w:t>
            </w:r>
          </w:p>
        </w:tc>
      </w:tr>
      <w:tr w14:paraId="419E8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1B3C1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A10</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20FB9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四层平板货架</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1CB86E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1200*500*1500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7D028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11006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5F290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*整体采用不锈钢制作，平板厚度1.0mm；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*立柱采用38×38×1.0mm厚不锈钢方管；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*配不锈钢可调子弹脚。</w:t>
            </w:r>
          </w:p>
        </w:tc>
      </w:tr>
      <w:tr w14:paraId="012E3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648B2D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A11</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199AE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四门碗柜</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1089C0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1200*500*1800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5051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4FDAF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01620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*顶板、层板、底板、侧板及面板采用1.0mm厚不锈钢板制作；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*并用1.0mm厚不锈钢板折成加强筋加固；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*配置不锈钢可调子弹脚。</w:t>
            </w:r>
          </w:p>
        </w:tc>
      </w:tr>
      <w:tr w14:paraId="64E91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4D079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A12</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4DBF0A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精装和面机</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277979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1170*850*950 HWY50B</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4479C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4B42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79DB6F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减速机、全钢,掀盖即停,最大和面量50kg，封闭式和面，操作方便安全，外形美观，易于清洁，电压：380V，功率：3KW</w:t>
            </w:r>
          </w:p>
        </w:tc>
      </w:tr>
      <w:tr w14:paraId="290A3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00A3E1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A13</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413988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双层平板工作台带靠背</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5B145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1300*760*800+150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ED0E5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C4F5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01947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*台面厚度1.2mm，内衬15mm防水机制板并用1.0mm厚不锈钢板折成加强筋加固；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*脚管采用38*25*1.0mm厚不锈钢方管；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*配不锈钢可调子弹脚。</w:t>
            </w:r>
          </w:p>
        </w:tc>
      </w:tr>
      <w:tr w14:paraId="767D9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1E7D1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A14</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750C98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双层平板工作台带靠背</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26FC1D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1500*760*800+150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03FEF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C2DA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61CE4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*台面厚度1.2mm，内衬15mm防水机制板并用1.0mm厚不锈钢板折成加强筋加固；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*脚管采用38*25*1.0mm厚不锈钢方管；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*配不锈钢可调子弹脚。</w:t>
            </w:r>
          </w:p>
        </w:tc>
      </w:tr>
      <w:tr w14:paraId="67CF5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6F0D8C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A15</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76B591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大单星盆水池</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2E98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1000*760*800+150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515A7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8A669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44258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*整体采用不锈钢制作，台面厚1.0mm；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*星盆斗厚1.0mm，星盆斗尺寸：1000*600*280mm，配置提篮式不锈钢下水器；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*立柱采用?48*1.0mm圆通，配不锈钢可调子弹脚；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*横撑采用?32*1.0mm圆通</w:t>
            </w:r>
          </w:p>
        </w:tc>
      </w:tr>
      <w:tr w14:paraId="4E987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45B4AB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A16</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3A04A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杀鱼台</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5C31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1500*760*800+150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DA474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B86B2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45854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*整体采用不锈钢制作，台面厚1.0mm；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*星盆斗厚1.0mm，星盆斗尺寸：500*500*280mm，配置提篮式不锈钢下水器；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*立柱采用?48*1.0mm圆通，配不锈钢可调子弹脚；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*横撑采用?32*1.0mm圆通；</w:t>
            </w:r>
          </w:p>
        </w:tc>
      </w:tr>
      <w:tr w14:paraId="47677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35CC6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A17</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73DDF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绞切肉机</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689BAF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550*420*835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QJR-400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BA460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FB330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2F6FE2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集切肉绞馅功能于一体，切肉厚薄均匀，切面组织新鲜，操作简单，使用方便。适用于肉类切片、切丝、绞馅。切肉厚度：3mm、5mm，效率（KG/H)：400（片）200（丝）100（馅），电机功率：1.1KW，220V</w:t>
            </w:r>
          </w:p>
        </w:tc>
      </w:tr>
      <w:tr w14:paraId="1DC3C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2A7125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A18</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5E1C0E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双层平板工作台</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F3CC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1800*800*800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0A9D0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96DE8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3B4FD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*台面厚度1.2mm，内衬15mm防水机制板并用1.0mm厚不锈钢板折成加强筋加固；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*脚管采用38*25*1.0mm厚不锈钢方管；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*配不锈钢可调子弹脚。</w:t>
            </w:r>
          </w:p>
        </w:tc>
      </w:tr>
      <w:tr w14:paraId="7C6E4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02ADCC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A19</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20D42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多功能切菜机</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535319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1160*530*1260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8B34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9934A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49461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1.双变频器控制。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2.厚片，薄片，丝，条，段，都可以切制。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3.开门即停，安全高效。</w:t>
            </w:r>
          </w:p>
        </w:tc>
      </w:tr>
      <w:tr w14:paraId="2FCAE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28368B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A20</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E84C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四门高身雪柜</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4B4F15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1200*760*1950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DFD65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36066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49D3A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不锈钢板材内外胆制成，国产或合资品牌优质压缩机，制冷效果强，冷藏温度5℃～-5℃，冷冻温度-6℃～-18℃，环保无氟制冷，无凝霜。蒸发器为铜管，凝聚器为铜管铝箔翘片式加风机散热。底部装轮子。</w:t>
            </w:r>
          </w:p>
        </w:tc>
      </w:tr>
      <w:tr w14:paraId="7CE95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0052D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A21</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118E2A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单星水池柜</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024023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700*760*800+150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3F115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7F82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4A6591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采用磨砂不锈钢板制作，面板1.2mm，侧板1.0mm，配豪华不锈钢调节脚，星盆尺寸：500*500*280</w:t>
            </w:r>
          </w:p>
        </w:tc>
      </w:tr>
      <w:tr w14:paraId="15E93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6DF6B3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A22</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8DD69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压面机</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743EE1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560*710*1230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MT288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D5A4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E7D4E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3D6761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压面厚度:2～10mm,机内凡接触食物的部件,均采用优质不锈钢制造,电压:220V,功率:1.1KW</w:t>
            </w:r>
          </w:p>
        </w:tc>
      </w:tr>
      <w:tr w14:paraId="1A585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453AC8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A23</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5326D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多功能搅拌机</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07F387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415*530*780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B20-G</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01EB9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3A7F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525C01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料桶容积：20L，最大和面量：6kg，搅拌转速：113/168/400，电压220V，功率0.75KW</w:t>
            </w:r>
          </w:p>
        </w:tc>
      </w:tr>
      <w:tr w14:paraId="5CFAF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7BA94F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A24</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715B4F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冷藏操作台</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FCA06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1800*760*800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1CBC2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EC72E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75112C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温控,全铜盘管,品牌压缩机,加厚发泡层,无氟设计，绿色环保,内外箱全不锈钢,台面加厚,搁架层数:2层,框脚类型:可调式子弹脚,40GP装箱数量:28个,净重:107KG,温度范围:-5℃～5℃,制冷方式:直冷,制冷剂R134a,电源220V/50HZ，功率230W</w:t>
            </w:r>
          </w:p>
        </w:tc>
      </w:tr>
      <w:tr w14:paraId="2D10F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4D82EE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A25</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6224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面粉车</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0592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500*600*530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CC82D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7DACB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2187D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*整体采用不锈钢制作，厚度1.0mm；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*设置不锈钢推拉手，下配两定两动静音轮；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*下层板厚度1.0mm。</w:t>
            </w:r>
          </w:p>
        </w:tc>
      </w:tr>
      <w:tr w14:paraId="4944C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54840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A26</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4A017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包边木案工作台</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97CC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1800*800*800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AA8D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B3A0A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261D6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*台面采用银杏木，整体全包边；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*脚管采用Ф48*1.0mm厚不锈钢圆管；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*配不锈钢可调子弹脚。</w:t>
            </w:r>
          </w:p>
        </w:tc>
      </w:tr>
      <w:tr w14:paraId="7575C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6B62AA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A27</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AA54B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二十六盆醒发箱</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04C67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990*710*1860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FX26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A989B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ED6E6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63AD1E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标准盘数：二十六盘，电压：220V，功率：2.7KW</w:t>
            </w:r>
          </w:p>
        </w:tc>
      </w:tr>
      <w:tr w14:paraId="45EC8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4626A8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A28</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574E2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油网烟罩</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C8D1B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2800*1000*500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0E95D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7924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5CBB7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优质不锈钢制造；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壳体面板201厚度1.0mm，加强筋1.2mm；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配双层隔油网，滴油杯及防潮灯；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配英式防爆灯座，电源线套管丝牙接驳。  </w:t>
            </w:r>
          </w:p>
        </w:tc>
      </w:tr>
      <w:tr w14:paraId="06A9A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44395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A29</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3CE901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油网烟罩</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216805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7500*1000*500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5FD8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1CE92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3470D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优质不锈钢制造；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壳体面板201厚度1.0mm，加强筋1.2mm；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配双层隔油网，滴油杯及防潮灯；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配英式防爆灯座，电源线套管丝牙接驳。  </w:t>
            </w:r>
          </w:p>
        </w:tc>
      </w:tr>
      <w:tr w14:paraId="04F4D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4FF931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A30</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2C36A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三分层烤箱</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1856A7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1225*770*1540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PL－6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7C1A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D6443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77E7FB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三层六盘，全部选用优质拉砂不锈钢板制作柜体，采用优质远红外线辐射管为发热元件,使烘物受热均匀升温更快，底火、面火控制温度可在室温～300oC范围内,并能自动恒温，电压：380V，功率：20.4KW</w:t>
            </w:r>
          </w:p>
        </w:tc>
      </w:tr>
      <w:tr w14:paraId="2E321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25B239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A31</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10FB7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电力24盘蒸饭车</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5F8C27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1390*600*1520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MCKZ-H24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32FB7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51DCD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05EB04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双门</w:t>
            </w:r>
            <w:r>
              <w:rPr>
                <w:rStyle w:val="260"/>
                <w:rFonts w:eastAsia="宋体"/>
                <w:lang w:val="en-US" w:eastAsia="zh-CN" w:bidi="ar"/>
              </w:rPr>
              <w:t>24</w:t>
            </w:r>
            <w:r>
              <w:rPr>
                <w:rFonts w:hint="eastAsia" w:ascii="宋体" w:hAnsi="宋体" w:eastAsia="宋体" w:cs="宋体"/>
                <w:i w:val="0"/>
                <w:iCs w:val="0"/>
                <w:color w:val="000000"/>
                <w:kern w:val="0"/>
                <w:sz w:val="20"/>
                <w:szCs w:val="20"/>
                <w:u w:val="none"/>
                <w:lang w:val="en-US" w:eastAsia="zh-CN" w:bidi="ar"/>
              </w:rPr>
              <w:t>盘，全不锈钢机体豪华美观，高强度门锁安全可靠，电压</w:t>
            </w:r>
            <w:r>
              <w:rPr>
                <w:rStyle w:val="260"/>
                <w:rFonts w:eastAsia="宋体"/>
                <w:lang w:val="en-US" w:eastAsia="zh-CN" w:bidi="ar"/>
              </w:rPr>
              <w:t>380V</w:t>
            </w:r>
            <w:r>
              <w:rPr>
                <w:rFonts w:hint="eastAsia" w:ascii="宋体" w:hAnsi="宋体" w:eastAsia="宋体" w:cs="宋体"/>
                <w:i w:val="0"/>
                <w:iCs w:val="0"/>
                <w:color w:val="000000"/>
                <w:kern w:val="0"/>
                <w:sz w:val="20"/>
                <w:szCs w:val="20"/>
                <w:u w:val="none"/>
                <w:lang w:val="en-US" w:eastAsia="zh-CN" w:bidi="ar"/>
              </w:rPr>
              <w:t>，功率：</w:t>
            </w:r>
            <w:r>
              <w:rPr>
                <w:rStyle w:val="260"/>
                <w:rFonts w:eastAsia="宋体"/>
                <w:lang w:val="en-US" w:eastAsia="zh-CN" w:bidi="ar"/>
              </w:rPr>
              <w:t>24KW</w:t>
            </w:r>
            <w:r>
              <w:rPr>
                <w:rFonts w:hint="eastAsia" w:ascii="宋体" w:hAnsi="宋体" w:eastAsia="宋体" w:cs="宋体"/>
                <w:i w:val="0"/>
                <w:iCs w:val="0"/>
                <w:color w:val="000000"/>
                <w:kern w:val="0"/>
                <w:sz w:val="20"/>
                <w:szCs w:val="20"/>
                <w:u w:val="none"/>
                <w:lang w:val="en-US" w:eastAsia="zh-CN" w:bidi="ar"/>
              </w:rPr>
              <w:t>，整体发泡保温节能，一次成型内胆，自动补水装置，高效发热管。最大蒸饭能力（</w:t>
            </w:r>
            <w:r>
              <w:rPr>
                <w:rStyle w:val="260"/>
                <w:rFonts w:eastAsia="宋体"/>
                <w:lang w:val="en-US" w:eastAsia="zh-CN" w:bidi="ar"/>
              </w:rPr>
              <w:t>KG</w:t>
            </w:r>
            <w:r>
              <w:rPr>
                <w:rFonts w:hint="eastAsia" w:ascii="宋体" w:hAnsi="宋体" w:eastAsia="宋体" w:cs="宋体"/>
                <w:i w:val="0"/>
                <w:iCs w:val="0"/>
                <w:color w:val="000000"/>
                <w:kern w:val="0"/>
                <w:sz w:val="20"/>
                <w:szCs w:val="20"/>
                <w:u w:val="none"/>
                <w:lang w:val="en-US" w:eastAsia="zh-CN" w:bidi="ar"/>
              </w:rPr>
              <w:t>）：米饭</w:t>
            </w:r>
            <w:r>
              <w:rPr>
                <w:rStyle w:val="260"/>
                <w:rFonts w:eastAsia="宋体"/>
                <w:lang w:val="en-US" w:eastAsia="zh-CN" w:bidi="ar"/>
              </w:rPr>
              <w:t>72-96</w:t>
            </w:r>
            <w:r>
              <w:rPr>
                <w:rFonts w:hint="eastAsia" w:ascii="宋体" w:hAnsi="宋体" w:eastAsia="宋体" w:cs="宋体"/>
                <w:i w:val="0"/>
                <w:iCs w:val="0"/>
                <w:color w:val="000000"/>
                <w:kern w:val="0"/>
                <w:sz w:val="20"/>
                <w:szCs w:val="20"/>
                <w:u w:val="none"/>
                <w:lang w:val="en-US" w:eastAsia="zh-CN" w:bidi="ar"/>
              </w:rPr>
              <w:t>，面点</w:t>
            </w:r>
            <w:r>
              <w:rPr>
                <w:rStyle w:val="260"/>
                <w:rFonts w:eastAsia="宋体"/>
                <w:lang w:val="en-US" w:eastAsia="zh-CN" w:bidi="ar"/>
              </w:rPr>
              <w:t>48-72</w:t>
            </w:r>
            <w:r>
              <w:rPr>
                <w:rFonts w:hint="eastAsia" w:ascii="宋体" w:hAnsi="宋体" w:eastAsia="宋体" w:cs="宋体"/>
                <w:i w:val="0"/>
                <w:iCs w:val="0"/>
                <w:color w:val="000000"/>
                <w:kern w:val="0"/>
                <w:sz w:val="20"/>
                <w:szCs w:val="20"/>
                <w:u w:val="none"/>
                <w:lang w:val="en-US" w:eastAsia="zh-CN" w:bidi="ar"/>
              </w:rPr>
              <w:t>，排骨</w:t>
            </w:r>
            <w:r>
              <w:rPr>
                <w:rStyle w:val="260"/>
                <w:rFonts w:eastAsia="宋体"/>
                <w:lang w:val="en-US" w:eastAsia="zh-CN" w:bidi="ar"/>
              </w:rPr>
              <w:t>96-120</w:t>
            </w:r>
            <w:r>
              <w:rPr>
                <w:rFonts w:hint="eastAsia" w:ascii="宋体" w:hAnsi="宋体" w:eastAsia="宋体" w:cs="宋体"/>
                <w:i w:val="0"/>
                <w:iCs w:val="0"/>
                <w:color w:val="000000"/>
                <w:kern w:val="0"/>
                <w:sz w:val="20"/>
                <w:szCs w:val="20"/>
                <w:u w:val="none"/>
                <w:lang w:val="en-US" w:eastAsia="zh-CN" w:bidi="ar"/>
              </w:rPr>
              <w:t>；输入蒸汽压力：</w:t>
            </w:r>
            <w:r>
              <w:rPr>
                <w:rStyle w:val="260"/>
                <w:rFonts w:eastAsia="宋体"/>
                <w:lang w:val="en-US" w:eastAsia="zh-CN" w:bidi="ar"/>
              </w:rPr>
              <w:t>0.02MPa</w:t>
            </w:r>
            <w:r>
              <w:rPr>
                <w:rFonts w:hint="eastAsia" w:ascii="宋体" w:hAnsi="宋体" w:eastAsia="宋体" w:cs="宋体"/>
                <w:i w:val="0"/>
                <w:iCs w:val="0"/>
                <w:color w:val="000000"/>
                <w:kern w:val="0"/>
                <w:sz w:val="20"/>
                <w:szCs w:val="20"/>
                <w:u w:val="none"/>
                <w:lang w:val="en-US" w:eastAsia="zh-CN" w:bidi="ar"/>
              </w:rPr>
              <w:t>；蒸饭时间：</w:t>
            </w:r>
            <w:r>
              <w:rPr>
                <w:rStyle w:val="260"/>
                <w:rFonts w:eastAsia="宋体"/>
                <w:lang w:val="en-US" w:eastAsia="zh-CN" w:bidi="ar"/>
              </w:rPr>
              <w:t>25-50</w:t>
            </w:r>
            <w:r>
              <w:rPr>
                <w:rFonts w:hint="eastAsia" w:ascii="宋体" w:hAnsi="宋体" w:eastAsia="宋体" w:cs="宋体"/>
                <w:i w:val="0"/>
                <w:iCs w:val="0"/>
                <w:color w:val="000000"/>
                <w:kern w:val="0"/>
                <w:sz w:val="20"/>
                <w:szCs w:val="20"/>
                <w:u w:val="none"/>
                <w:lang w:val="en-US" w:eastAsia="zh-CN" w:bidi="ar"/>
              </w:rPr>
              <w:t>分钟；重量：</w:t>
            </w:r>
            <w:r>
              <w:rPr>
                <w:rStyle w:val="260"/>
                <w:rFonts w:eastAsia="宋体"/>
                <w:lang w:val="en-US" w:eastAsia="zh-CN" w:bidi="ar"/>
              </w:rPr>
              <w:t>168KG</w:t>
            </w:r>
          </w:p>
        </w:tc>
      </w:tr>
      <w:tr w14:paraId="087CF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6EA227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A32</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14F3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电磁双头高背矮汤炉</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11C3AD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1300*800*(600+600)/HH-TL430-15*2SW</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30648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65C4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37F708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1、采用STM32F103 32位CPU，处理运算能力更强更快；采用德国英飞凌原装驱动芯片，保护功能更完善，具有过流、过载、短路保护功能；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2、主板改用贴片技术，生产工艺更精，结构设计更美观，集成度更高；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交流风机升级为直流风机，无漏电隐患，直流风机转速更高，功率更小，耗能更低，散热效果更好，稳定性更强；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3、采用霍尔传感技术，加热功率实时显示，检测更精准；  采用物联通讯模块，实现电磁炉与后台服务器的连接，人机对话；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4、采用国际先进的VA显示屏，精准定时、定温功能，能全方位实时显示电磁炉的各项核心参数。</w:t>
            </w:r>
          </w:p>
        </w:tc>
      </w:tr>
      <w:tr w14:paraId="14616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7D727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A33</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22D87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油网烟罩</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1AEF5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14000*1200*500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45A72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21E2B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3FEA7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优质不锈钢制造；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壳体面板201厚度1.0mm，加强筋1.2mm；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配双层隔油网，滴油杯及防潮灯；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配英式防爆灯座，电源线套管丝牙接驳。  </w:t>
            </w:r>
          </w:p>
        </w:tc>
      </w:tr>
      <w:tr w14:paraId="6F48A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27442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A34</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46BA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双门留样柜</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8199C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1200*580*1950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DE82F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43C1F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13F0A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-电压:220V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-温度:0~8℃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-容积:688L</w:t>
            </w:r>
          </w:p>
        </w:tc>
      </w:tr>
      <w:tr w14:paraId="34D9B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21D2AA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A35</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5613C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双层平板工作台</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C85B4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1800*760*800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E045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6BE0B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6F030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*台面厚度1.2mm，内衬15mm防水机制板并用1.0mm厚不锈钢板折成加强筋加固；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*脚管采用38*25*1.0mm厚不锈钢方管；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*配不锈钢可调子弹脚。</w:t>
            </w:r>
          </w:p>
        </w:tc>
      </w:tr>
      <w:tr w14:paraId="0CACF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21F5C9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A36</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4E3F55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暖饭车</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2F4B8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700*760*868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8362B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7DD65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2DC00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*整体采用不锈钢制作，厚度1.0mm；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*设置不锈钢推拉手，下配两定两动静音轮；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*下层板厚度1.0mm；</w:t>
            </w:r>
          </w:p>
        </w:tc>
      </w:tr>
      <w:tr w14:paraId="40D5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13F8F5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A37</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1FB43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炉拼台</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792CE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400*1100*800+300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2272E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04040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5AFE8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优质不锈钢磨砂板，面板1.2mm、侧板1.2mm；置高**mm不锈钢后挡炉背板；横通采用￠25*1.2mm不锈钢管连接，立管采用￠38*1.2mm不锈钢管连可调节高度子弹脚。</w:t>
            </w:r>
          </w:p>
        </w:tc>
      </w:tr>
      <w:tr w14:paraId="7CA74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581C8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A38</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75037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电磁单头大锅炉</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131F6E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1100*1150*(800+400)/ HH-DC800-20DW</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D5C88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7BA3B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7DCD8F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1、采用STM32F103 32位CPU，处理运算能力更强更快；采用德国英飞凌原装驱动芯片，保护功能更完善，具有过流、过载、短路保护功能；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2、主板改用贴片技术，生产工艺更精，结构设计更美观，集成度更高；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交流风机升级为直流风机，无漏电隐患，直流风机转速更高，功率更小，耗能更低，散热效果更好，稳定性更强；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3、采用霍尔传感技术，加热功率实时显示，检测更精准；  采用物联通讯模块，实现电磁炉与后台服务器的连接，人机对话；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4、采用国际先进的VA显示屏，精准定时、定温功能，能全方位实时显示电磁炉的各项核心参数。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锅口径：φ800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功率;20KW 电压：380</w:t>
            </w:r>
          </w:p>
        </w:tc>
      </w:tr>
      <w:tr w14:paraId="0AE4E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08E33C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A39</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554EA4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双层平板工作台</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4787A4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1100*760*800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47A0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051C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0DBA9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*台面厚度1.2mm，内衬15mm防水机制板并用1.0mm厚不锈钢板折成加强筋加固；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*脚管采用38*25*1.0mm厚不锈钢方管；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*配不锈钢可调子弹脚。</w:t>
            </w:r>
          </w:p>
        </w:tc>
      </w:tr>
      <w:tr w14:paraId="5E2F4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2D4EAF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A41</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355941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双层平板工作台</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0BCDAB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600*560*800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6C84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4813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08CEE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*台面厚度1.2mm，内衬15mm防水机制板并用1.0mm厚不锈钢板折成加强筋加固；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*脚管采用38*25*1.0mm厚不锈钢方管；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*配不锈钢可调子弹脚。</w:t>
            </w:r>
          </w:p>
        </w:tc>
      </w:tr>
      <w:tr w14:paraId="0DD79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2F23E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A42</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44D02B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双层平板工作台</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49E488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1500*760*800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AD481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B9BC9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4748B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*台面厚度1.2mm，内衬15mm防水机制板并用1.0mm厚不锈钢板折成加强筋加固；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*脚管采用38*25*1.0mm厚不锈钢方管；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*配不锈钢可调子弹脚。</w:t>
            </w:r>
          </w:p>
        </w:tc>
      </w:tr>
      <w:tr w14:paraId="1621D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317E4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A43</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29C9D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土豆脱皮机</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65BD6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850*600*1100 TP450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C6D86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52872C8">
            <w:pPr>
              <w:jc w:val="center"/>
              <w:rPr>
                <w:rFonts w:hint="eastAsia" w:ascii="宋体" w:hAnsi="宋体" w:eastAsia="宋体" w:cs="宋体"/>
                <w:i w:val="0"/>
                <w:iCs w:val="0"/>
                <w:color w:val="000000"/>
                <w:sz w:val="24"/>
                <w:szCs w:val="24"/>
                <w:u w:val="none"/>
              </w:rPr>
            </w:pP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6E85AA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普通、料筒钢，生产能力：750kg/h，电机功率：1.1KW/380V</w:t>
            </w:r>
          </w:p>
        </w:tc>
      </w:tr>
      <w:tr w14:paraId="64CF3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308FF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A44</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1357F0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单孔收餐工作台（带靠背）</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5129E0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1000*760*800+150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7C36B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A620E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08E59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采用优质不锈钢板材制作；台面板1.2mm加强处理；立柱为Φ38×1.0mm不锈钢管,加装优质不锈钢可调子弹脚。</w:t>
            </w:r>
          </w:p>
        </w:tc>
      </w:tr>
      <w:tr w14:paraId="683DE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4EC9E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A46</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4597B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双层平板工作台</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1B707C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1400*800*800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8A396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DEDF0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01682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*台面厚度1.2mm，内衬15mm防水机制板并用1.0mm厚不锈钢板折成加强筋加固；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*脚管采用38*25*1.0mm厚不锈钢方管；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*配不锈钢可调子弹脚。</w:t>
            </w:r>
          </w:p>
        </w:tc>
      </w:tr>
      <w:tr w14:paraId="6D911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6F0FA7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A47</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4580F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双通工作台</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23B37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1800*800*800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967A3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DC04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29C24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*台面厚度1.2mm，内衬15mm防水机制板并用1.0mm厚不锈钢板折成加强筋加固；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*层板、底板、侧板及门面采用1.0mm厚不锈钢板制作；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*加强筋厚度1.0mm；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*配置不锈钢可调子弹脚。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*移门为双层架构。</w:t>
            </w:r>
          </w:p>
        </w:tc>
      </w:tr>
      <w:tr w14:paraId="207E2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473DF6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A48</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50547E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商用热风循环消毒柜</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1D0B98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1440*670*1940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C2E1C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92DEB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40F42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·全不锈钢打造箱体，设计时尚大方;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·内外无磁不锈铜＋不锈钢加热管;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·整机整体发泡，门封条密闭工艺，隔热保温，;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·采用高温热风循环消毒系统消毒，清除各种有害病菌;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·全不锈钢层架、重力脚配置，承载力强，坚固耐用;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·设有名厂可调温控器和可调定时器功能，对所需温度时间随意调节;</w:t>
            </w:r>
          </w:p>
        </w:tc>
      </w:tr>
      <w:tr w14:paraId="64666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2B27B0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A49</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7375C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双层平板工作台</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023C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1800*700*800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CADE7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2E7F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19B68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*台面厚度1.2mm，内衬15mm防水机制板并用1.0mm厚不锈钢板折成加强筋加固；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*脚管采用38*25*1.0mm厚不锈钢方管；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*配不锈钢可调子弹脚。</w:t>
            </w:r>
          </w:p>
        </w:tc>
      </w:tr>
      <w:tr w14:paraId="6A5FC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044553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A50</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4A658C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双层平板工作台带靠背</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56BFF8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1000*760*800+150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C7086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843AD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7276B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*台面厚度1.2mm，内衬15mm防水机制板并用1.0mm厚不锈钢板折成加强筋加固；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*脚管采用38*25*1.0mm厚不锈钢方管；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*配不锈钢可调子弹脚。</w:t>
            </w:r>
          </w:p>
        </w:tc>
      </w:tr>
      <w:tr w14:paraId="25FFC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068C06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A51</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729604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双层平板工作台带靠背</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95206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1200*760*800+150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D16D5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4D6BB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4827E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*台面厚度1.2mm，内衬15mm防水机制板并用1.0mm厚不锈钢板折成加强筋加固；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*脚管采用38*25*1.0mm厚不锈钢方管；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*配不锈钢可调子弹脚。</w:t>
            </w:r>
          </w:p>
        </w:tc>
      </w:tr>
      <w:tr w14:paraId="76536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1FB5C2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A54</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413088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四层平板货架</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051F8E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1400*500*1500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C1CD0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BE395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4EA5C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*整体采用不锈钢制作，平板厚度1.0mm；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*立柱采用38×38×1.0mm厚不锈钢方管；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*配不锈钢可调子弹脚。</w:t>
            </w:r>
          </w:p>
        </w:tc>
      </w:tr>
      <w:tr w14:paraId="2FEB6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6DBC0F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A55</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F8FA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四层平板货架</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6AD8E5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1000*500*1500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0366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6217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40C8F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*整体采用不锈钢制作，平板厚度1.0mm；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*立柱采用38×38×1.0mm厚不锈钢方管；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*配不锈钢可调子弹脚。</w:t>
            </w:r>
          </w:p>
        </w:tc>
      </w:tr>
      <w:tr w14:paraId="327EB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2F462E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A58</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7F8149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平板车</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431C1D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850*600*800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FD63B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E6795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18032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*整体采用不锈钢制作，厚度：1.0mm；</w:t>
            </w:r>
          </w:p>
        </w:tc>
      </w:tr>
      <w:tr w14:paraId="53A41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33489E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A59</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451077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单层地架</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0E3955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1200*800*200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7803A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39C1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5A3F9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*整体采用不锈钢制作，厚度1.0mm；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*横柱用38×25×0.8mm厚不锈钢；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*立柱采用38×38×1.0mm厚不锈钢；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*配置塑胶脚垫</w:t>
            </w:r>
          </w:p>
        </w:tc>
      </w:tr>
      <w:tr w14:paraId="4667E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41D659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A60</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1F4BEC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四人不锈钢桌椅</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71E5EF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1200*600*750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FE461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1F4F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747AB6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桌面，凳面均为磨砂不锈钢制作，支架为50mm不锈钢方管、壁厚为1.5mm</w:t>
            </w:r>
          </w:p>
        </w:tc>
      </w:tr>
      <w:tr w14:paraId="3AAAE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954" w:type="dxa"/>
            <w:gridSpan w:val="2"/>
            <w:tcBorders>
              <w:top w:val="single" w:color="000000" w:sz="4" w:space="0"/>
              <w:left w:val="single" w:color="000000" w:sz="4" w:space="0"/>
              <w:bottom w:val="single" w:color="000000" w:sz="4" w:space="0"/>
              <w:right w:val="single" w:color="000000" w:sz="4" w:space="0"/>
            </w:tcBorders>
            <w:noWrap/>
            <w:vAlign w:val="center"/>
          </w:tcPr>
          <w:p w14:paraId="5D4D82B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二层售餐区</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5E2D2705">
            <w:pPr>
              <w:jc w:val="center"/>
              <w:rPr>
                <w:rFonts w:hint="eastAsia" w:ascii="宋体" w:hAnsi="宋体" w:eastAsia="宋体" w:cs="宋体"/>
                <w:b/>
                <w:bCs/>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14:paraId="4666AD7C">
            <w:pP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0340E4B1">
            <w:pPr>
              <w:rPr>
                <w:rFonts w:hint="eastAsia" w:ascii="宋体" w:hAnsi="宋体" w:eastAsia="宋体" w:cs="宋体"/>
                <w:i w:val="0"/>
                <w:iCs w:val="0"/>
                <w:color w:val="000000"/>
                <w:sz w:val="22"/>
                <w:szCs w:val="22"/>
                <w:u w:val="none"/>
              </w:rPr>
            </w:pPr>
          </w:p>
        </w:tc>
        <w:tc>
          <w:tcPr>
            <w:tcW w:w="7020" w:type="dxa"/>
            <w:tcBorders>
              <w:top w:val="single" w:color="000000" w:sz="4" w:space="0"/>
              <w:left w:val="single" w:color="000000" w:sz="4" w:space="0"/>
              <w:bottom w:val="single" w:color="000000" w:sz="4" w:space="0"/>
              <w:right w:val="single" w:color="000000" w:sz="4" w:space="0"/>
            </w:tcBorders>
            <w:noWrap/>
            <w:vAlign w:val="center"/>
          </w:tcPr>
          <w:p w14:paraId="2CE66B6A">
            <w:pPr>
              <w:rPr>
                <w:rFonts w:hint="eastAsia" w:ascii="宋体" w:hAnsi="宋体" w:eastAsia="宋体" w:cs="宋体"/>
                <w:i w:val="0"/>
                <w:iCs w:val="0"/>
                <w:color w:val="000000"/>
                <w:sz w:val="22"/>
                <w:szCs w:val="22"/>
                <w:u w:val="none"/>
              </w:rPr>
            </w:pPr>
          </w:p>
        </w:tc>
      </w:tr>
      <w:tr w14:paraId="11236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1ADA6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B01</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35542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双孔收餐柜车</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4580A4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1500*800*800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382C9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88C73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10123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*台面厚度1.2mm，下层板厚度0.8mm；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*脚管采用Ф38*1.0mm厚不锈钢方管；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*配静音万向轮，带刹车</w:t>
            </w:r>
          </w:p>
        </w:tc>
      </w:tr>
      <w:tr w14:paraId="4CEA7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7952E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B02</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207D15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单星水池柜</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7C20A4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700*760*800+150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D199C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3B7A2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119F0F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采用磨砂不锈钢板制作，面板1.2mm，侧板1.0mm，配豪华不锈钢调节脚，星盆尺寸：500*500*280</w:t>
            </w:r>
          </w:p>
        </w:tc>
      </w:tr>
      <w:tr w14:paraId="1F246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3972E3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B03</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F195B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双层平板工作台</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5C48E0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1800*760*800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0FD3C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A8377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5BC77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*台面厚度1.2mm，内衬15mm防水机制板并用1.0mm厚不锈钢板折成加强筋加固；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*脚管采用38*25*1.0mm厚不锈钢方管；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*配不锈钢可调子弹脚。</w:t>
            </w:r>
          </w:p>
        </w:tc>
      </w:tr>
      <w:tr w14:paraId="73ECE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3182D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B04</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4A9DB1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灭蝇灯</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1A53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654*95*390  TMS-40W</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93A1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339A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6B7F1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-工作方式：粘捕式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-额定功率：0.008KW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-覆盖面积：30-50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-额定电压：220V-50HZ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-灯管型号：BINMU/T5 8W BL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-材料等级：ABS阻燃材料</w:t>
            </w:r>
          </w:p>
        </w:tc>
      </w:tr>
      <w:tr w14:paraId="75A3D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069BB9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B06</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2382CB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洗地龙头</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5B2A8D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约10米</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B89D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CE8D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473C3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流量14.74LPM/3.89 GPM指标，松开把手自动关闭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开放式涂层钢洗地龙头，抛光镀铬喷阀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喉管:自动回卷伸缩，环氧敞开式卷盘软管长10.7米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适用于墙壁、天花板或台面下安装</w:t>
            </w:r>
          </w:p>
        </w:tc>
      </w:tr>
      <w:tr w14:paraId="6589D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14328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B07</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D8A6D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收碗车</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BD7FE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1060*500*900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B7860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088E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727A0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*台面厚度1.0mm，下层板厚度1.0mm；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*脚管采用Ф48*1.0mm厚不锈钢圆管；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*配静音万向轮，带刹车</w:t>
            </w:r>
          </w:p>
        </w:tc>
      </w:tr>
      <w:tr w14:paraId="2F483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18602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B08</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56517D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双层平板工作台</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24677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1800*800*800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509CA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DA8C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61898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*台面厚度1.2mm，内衬15mm防水机制板并用1.0mm厚不锈钢板折成加强筋加固；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*脚管采用38*25*1.0mm厚不锈钢方管；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*配不锈钢可调子弹脚。</w:t>
            </w:r>
          </w:p>
        </w:tc>
      </w:tr>
      <w:tr w14:paraId="58D46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114D32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B09</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1E4DF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单孔收餐工作台（带靠背）</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706D09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1800*800*800+150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297C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82328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2D9E4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采用优质不锈钢板材制作；台面板1.2mm加强处理；立柱为Φ38×1.0mm不锈钢管,加装优质不锈钢可调子弹脚。</w:t>
            </w:r>
          </w:p>
        </w:tc>
      </w:tr>
      <w:tr w14:paraId="499CC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211A6C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B10</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75705E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商用热风循环消毒柜</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11EE9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1440*670*1940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6172C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7EBE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63DF7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·全不锈钢打造箱体，设计时尚大方;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·内外无磁不锈铜＋不锈钢加热管;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·整机整体发泡，门封条密闭工艺，隔热保温，;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·采用高温热风循环消毒系统消毒，清除各种有害病菌;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·全不锈钢层架、重力脚配置，承载力强，坚固耐用;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·设有名厂可调温控器和可调定时器功能，对所需温度时间随意调节;</w:t>
            </w:r>
          </w:p>
        </w:tc>
      </w:tr>
      <w:tr w14:paraId="35D58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1C10A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B11</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70AA2C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四门碗柜</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7F653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1200*500*1800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F03D4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EA447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31129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*顶板、层板、底板、侧板及面板采用1.0mm厚不锈钢板制作；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*并用1.0mm厚不锈钢板折成加强筋加固；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*配置不锈钢可调子弹脚。</w:t>
            </w:r>
          </w:p>
        </w:tc>
      </w:tr>
      <w:tr w14:paraId="3766B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7097B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B12</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1D443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油网烟罩</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79517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7200*1000*500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38084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F7C9D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735D8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优质不锈钢制造；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壳体面板201厚度1.0mm，加强筋1.2mm；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配双层隔油网，滴油杯及防潮灯；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配英式防爆灯座，电源线套管丝牙接驳。  </w:t>
            </w:r>
          </w:p>
        </w:tc>
      </w:tr>
      <w:tr w14:paraId="23A4E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63BE0B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B13</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1ABE2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双层平板工作台带靠背</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39EB9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1800*760*800+150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37078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71CF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18C10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*整体采用4不锈钢制作；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*台面厚度1.2mm，内衬15mm防水机制板并用1.0mm厚不锈钢板折成加强筋加固；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*脚管采用38*25*1.0mm厚不锈钢方管；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*配不锈钢可调子弹脚。</w:t>
            </w:r>
          </w:p>
        </w:tc>
      </w:tr>
      <w:tr w14:paraId="64381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398F5F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B14</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E0DE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单孔收餐工作台（带靠背）</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8775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1000*760*800+150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7D85F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30467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5C8E5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采用优质不锈钢板材制作；台面板1.2mm加强处理；立柱为Φ38×1.0mm不锈钢管,加装优质不锈钢可调子弹脚。</w:t>
            </w:r>
          </w:p>
        </w:tc>
      </w:tr>
      <w:tr w14:paraId="176A9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45E88B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B15</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56300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大单星盆水池</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247D0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1000*760*800+150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71B9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8544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5DA44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*整体采用不锈钢制作，台面厚1.0mm；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*星盆斗厚1.0mm，星盆斗尺寸：1000*600*280mm，配置提篮式不锈钢下水器；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*立柱采用?48*1.0mm圆通，配不锈钢可调子弹脚；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*横撑采用?32*1.0mm圆通</w:t>
            </w:r>
          </w:p>
        </w:tc>
      </w:tr>
      <w:tr w14:paraId="0FD62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2CB2F5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B16</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17EB5C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双层平板工作台带靠背</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2F777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1200*760*800+150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F949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6BAE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043E3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*台面厚度1.2mm，内衬15mm防水机制板并用1.0mm厚不锈钢板折成加强筋加固；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*脚管采用38*25*1.0mm厚不锈钢方管；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*配不锈钢可调子弹脚。</w:t>
            </w:r>
          </w:p>
        </w:tc>
      </w:tr>
      <w:tr w14:paraId="1A4A1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417C16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B19</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24E2C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四格保温售饭工作柜</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6B927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1600*760*810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FB58B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8C26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29BBA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-电压：220v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-功率：2kw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-规格：配食品级1/1份数盘4只</w:t>
            </w:r>
          </w:p>
        </w:tc>
      </w:tr>
      <w:tr w14:paraId="44B55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78156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B20</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B0C2B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双层平板工作台</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4135B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1100*760*800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0B50E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E021A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6AFC9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*台面厚度1.2mm，内衬15mm防水机制板并用1.0mm厚不锈钢板折成加强筋加固；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*脚管采用38*25*1.0mm厚不锈钢方管；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*配不锈钢可调子弹脚。</w:t>
            </w:r>
          </w:p>
        </w:tc>
      </w:tr>
      <w:tr w14:paraId="76C4D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51805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B21</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31A64E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双层平板工作台</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1EEB6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600*560*800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3CBD4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BA2F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338F0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*整体采用SUS304不锈钢制作；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*台面厚度1.0mm，内衬15mm防水机制板并用1.0mm厚不锈钢板折成加强筋加固；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*脚管采用38*25*1.0mm厚不锈钢方管；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*配不锈钢可调子弹脚。</w:t>
            </w:r>
          </w:p>
        </w:tc>
      </w:tr>
      <w:tr w14:paraId="22543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45FE71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B22</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0B1CB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冷藏操作台</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07CA7D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1800*760*800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5A298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F89F5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01CA2B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温控,全铜盘管,品牌压缩机,加厚发泡层,无氟设计，绿色环保,内外箱全不锈钢,台面加厚,搁架层数:2层,框脚类型:可调式子弹脚,40GP装箱数量:28个,净重:107KG,温度范围:-5℃～5℃,制冷方式:直冷,制冷剂R134a,电源220V/50HZ，功率230W</w:t>
            </w:r>
          </w:p>
        </w:tc>
      </w:tr>
      <w:tr w14:paraId="27FAD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567F48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B24</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22268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暖饭车</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40FF54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700*760*868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9FA9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151A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01460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*整体采用不锈钢制作，厚度1.0mm；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*设置不锈钢推拉手，下配两定两动静音轮；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*下层板厚度1.0mm；</w:t>
            </w:r>
          </w:p>
        </w:tc>
      </w:tr>
      <w:tr w14:paraId="37611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4E293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B25</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3EE09E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炉拼台</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1ABD1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400*1100*800+300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4456C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E348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626C0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优质不锈钢磨砂板，面板1.2mm、侧板1.2mm；置高**mm不锈钢后挡炉背板；横通采用￠25*1.2mm不锈钢管连接，立管采用￠38*1.2mm不锈钢管连可调节高度子弹脚。</w:t>
            </w:r>
          </w:p>
        </w:tc>
      </w:tr>
      <w:tr w14:paraId="62951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3087F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B26</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365DF3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电磁单头大锅炉</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6526CD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1100*1150*(800+400)/ HH-DC800-20DW</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E8C9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D246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5BF86D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 xml:space="preserve">1、采用STM32F103 32位CPU，处理运算能力更强更快；采用德国英飞凌原装驱动芯片，保护功能更完善，具有过流、过载、短路保护功能；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2、主板改用贴片技术，生产工艺更精，结构设计更美观，集成度更高；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交流风机升级为直流风机，无漏电隐患，直流风机转速更高，功率更小，耗能更低，散热效果更好，稳定性更强；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3、采用霍尔传感技术，加热功率实时显示，检测更精准；  采用物联通讯模块，实现电磁炉与后台服务器的连接，人机对话；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4、采用国际先进的VA显示屏，精准定时、定温功能，能全方位实时显示电磁炉的各项核心参数。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锅口径：φ800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功率;20KW 电压：380</w:t>
            </w:r>
          </w:p>
        </w:tc>
      </w:tr>
      <w:tr w14:paraId="56B12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3C61E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B27</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391E1A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四人不锈钢桌椅</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7342A5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1200*600*750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CA1A63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7622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73515A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桌面，凳面均为磨砂不锈钢制作，支架为50mm不锈钢方管、壁厚为1.5mm</w:t>
            </w:r>
          </w:p>
        </w:tc>
      </w:tr>
      <w:tr w14:paraId="65302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954" w:type="dxa"/>
            <w:gridSpan w:val="2"/>
            <w:tcBorders>
              <w:top w:val="single" w:color="000000" w:sz="4" w:space="0"/>
              <w:left w:val="single" w:color="000000" w:sz="4" w:space="0"/>
              <w:bottom w:val="single" w:color="000000" w:sz="4" w:space="0"/>
              <w:right w:val="single" w:color="000000" w:sz="4" w:space="0"/>
            </w:tcBorders>
            <w:noWrap/>
            <w:vAlign w:val="center"/>
          </w:tcPr>
          <w:p w14:paraId="68E2814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抽排系统</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76679597">
            <w:pPr>
              <w:jc w:val="center"/>
              <w:rPr>
                <w:rFonts w:hint="eastAsia" w:ascii="宋体" w:hAnsi="宋体" w:eastAsia="宋体" w:cs="宋体"/>
                <w:i w:val="0"/>
                <w:iCs w:val="0"/>
                <w:color w:val="000000"/>
                <w:sz w:val="24"/>
                <w:szCs w:val="24"/>
                <w:u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45B7129">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AB583CA">
            <w:pPr>
              <w:jc w:val="center"/>
              <w:rPr>
                <w:rFonts w:hint="eastAsia" w:ascii="宋体" w:hAnsi="宋体" w:eastAsia="宋体" w:cs="宋体"/>
                <w:i w:val="0"/>
                <w:iCs w:val="0"/>
                <w:color w:val="000000"/>
                <w:sz w:val="24"/>
                <w:szCs w:val="24"/>
                <w:u w:val="none"/>
              </w:rPr>
            </w:pP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3F4D3F67">
            <w:pPr>
              <w:rPr>
                <w:rFonts w:hint="eastAsia" w:ascii="宋体" w:hAnsi="宋体" w:eastAsia="宋体" w:cs="宋体"/>
                <w:i w:val="0"/>
                <w:iCs w:val="0"/>
                <w:color w:val="000000"/>
                <w:sz w:val="20"/>
                <w:szCs w:val="20"/>
                <w:u w:val="none"/>
              </w:rPr>
            </w:pPr>
          </w:p>
        </w:tc>
      </w:tr>
      <w:tr w14:paraId="5A4EA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7181FD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39B67B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烟槽</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2C9DFD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L×500×500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3EA5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D726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652D84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采用磨砂不锈钢板制作,板厚1.0mm,(按实量算,弯头、变接一个按两米计算)</w:t>
            </w:r>
          </w:p>
        </w:tc>
      </w:tr>
      <w:tr w14:paraId="69556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47FE21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2CAA7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不锈钢风管</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46150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755D1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92805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71B325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采用磨砂不锈钢板制作,板厚1.0mm,(按实量算,弯头、变接一个按两米计算)</w:t>
            </w:r>
          </w:p>
        </w:tc>
      </w:tr>
      <w:tr w14:paraId="51436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5C578B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207B6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低噪音风柜</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44D328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DT-BF-22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9276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48FF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1253CF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柜体内带隔音棉，输送空气和其它不自燃、对人体无害、无腐蚀性气体，噪音低于75分贝，通风换气时进气温度不得超过80℃，风量：30260m3/h，风压515Pa</w:t>
            </w:r>
          </w:p>
        </w:tc>
      </w:tr>
      <w:tr w14:paraId="5DD61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2F88C6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1330C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风机电机</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7290D3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11KW</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0523F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2C2F5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680941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全铜电机，电压380V，功率：11KW，转数：680r/min </w:t>
            </w:r>
          </w:p>
        </w:tc>
      </w:tr>
      <w:tr w14:paraId="4D018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6C199F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23A13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低噪音风柜</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8E94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DT-BF-22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D223D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EB5C6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0D7E7E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柜体内带隔音棉，输送空气和其它不自燃、对人体无害、无腐蚀性气体，噪音低于75分贝，通风换气时进气温度不得超过80℃，风量：27590m3/h，风压429Pa</w:t>
            </w:r>
          </w:p>
        </w:tc>
      </w:tr>
      <w:tr w14:paraId="4A4A7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70FDB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464DC7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风机电机</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009CA7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7.5KW</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A924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24666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4FE0A8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全铜电机，电压380V，功率：7.5KW，转数：620r/min </w:t>
            </w:r>
          </w:p>
        </w:tc>
      </w:tr>
      <w:tr w14:paraId="0BD4E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6F694D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2CEB10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低噪音风柜</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7F6CE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DT-BF-22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A40A7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F69AD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7640D4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柜体内带隔音棉，输送空气和其它不自燃、对人体无害、无腐蚀性气体，噪音低于75分贝，通风换气时进气温度不得超过80℃，风量：23200m3/h，风压417Pa</w:t>
            </w:r>
          </w:p>
        </w:tc>
      </w:tr>
      <w:tr w14:paraId="5B0EA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66E43C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35B60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风机电机</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2F74A7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5.5KW</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9282A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7970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781163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全铜电机，电压380V，功率：7.5KW，转数：580r/min </w:t>
            </w:r>
          </w:p>
        </w:tc>
      </w:tr>
      <w:tr w14:paraId="0FAEF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1FB30C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7B7086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风柜接口</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21A76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配风柜</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AB904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ACB9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2AE94C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采用磨砂不锈钢板制作,板厚1.0mm</w:t>
            </w:r>
          </w:p>
        </w:tc>
      </w:tr>
      <w:tr w14:paraId="36343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2EE7C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7F0379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风柜支架</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219F61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配风柜</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320EF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003D1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329F56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采用国产优质角钢</w:t>
            </w:r>
          </w:p>
        </w:tc>
      </w:tr>
      <w:tr w14:paraId="0A1A4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04989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34DC64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风机减震器</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6215A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配风柜</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E1B31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AD74A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5B8F0D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采用国产优质弹簧减震器</w:t>
            </w:r>
          </w:p>
        </w:tc>
      </w:tr>
      <w:tr w14:paraId="61205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639BE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2E271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风机起动保护器</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079B3B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配风柜</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F56A0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F49E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297ED9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名牌电气元件，缺相、过载、过流、漏电保护功能，通电及起动显示</w:t>
            </w:r>
          </w:p>
        </w:tc>
      </w:tr>
      <w:tr w14:paraId="69F3F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1EB0CE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3E6FAD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净化器支架</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6B40D0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BB62B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9A97D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6C6899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采用国产优质角钢</w:t>
            </w:r>
          </w:p>
        </w:tc>
      </w:tr>
      <w:tr w14:paraId="18F29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22D40C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752BB2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净化器接口</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7FA53E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FBCC6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974DA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1F77DD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采用磨砂不锈钢板制作,板厚1.0mm</w:t>
            </w:r>
          </w:p>
        </w:tc>
      </w:tr>
      <w:tr w14:paraId="130CF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6EEAA2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2410B1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炉灶后挡板</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6526C7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98128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089C0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1E8D07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采用磨砂不锈钢板制作,板厚1.0mm</w:t>
            </w:r>
          </w:p>
        </w:tc>
      </w:tr>
      <w:tr w14:paraId="787AB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0DB7AB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15BFC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止回阀</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0725A1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517F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EC611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07B2CC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采用磨砂不锈钢板制作,板厚1.0mm</w:t>
            </w:r>
          </w:p>
        </w:tc>
      </w:tr>
      <w:tr w14:paraId="05008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52EA1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15305F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接油盘</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22DD63B8">
            <w:pPr>
              <w:jc w:val="center"/>
              <w:rPr>
                <w:rFonts w:hint="eastAsia" w:ascii="宋体" w:hAnsi="宋体" w:eastAsia="宋体" w:cs="宋体"/>
                <w:i w:val="0"/>
                <w:iCs w:val="0"/>
                <w:color w:val="000000"/>
                <w:sz w:val="24"/>
                <w:szCs w:val="24"/>
                <w:u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4D6E3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EB38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4F4B6B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采用磨砂不锈钢板制作,板厚1.0mm</w:t>
            </w:r>
          </w:p>
        </w:tc>
      </w:tr>
      <w:tr w14:paraId="6E88A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2888E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2E540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烟管支架</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0A55F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与烟管配套使用</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99923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3A8E8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32DACF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国产优质角铁</w:t>
            </w:r>
          </w:p>
        </w:tc>
      </w:tr>
      <w:tr w14:paraId="40D04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35F8A5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495CCA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烟罩吊杆</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7FE98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与烟管配套使用</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4A8FC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075FA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483049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不锈钢圆管</w:t>
            </w:r>
          </w:p>
        </w:tc>
      </w:tr>
      <w:tr w14:paraId="7E51A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150416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2C4F0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玻璃胶</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426C60B9">
            <w:pPr>
              <w:jc w:val="center"/>
              <w:rPr>
                <w:rFonts w:hint="eastAsia" w:ascii="宋体" w:hAnsi="宋体" w:eastAsia="宋体" w:cs="宋体"/>
                <w:i w:val="0"/>
                <w:iCs w:val="0"/>
                <w:color w:val="000000"/>
                <w:sz w:val="24"/>
                <w:szCs w:val="24"/>
                <w:u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D304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433E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2C260317">
            <w:pPr>
              <w:rPr>
                <w:rFonts w:hint="eastAsia" w:ascii="宋体" w:hAnsi="宋体" w:eastAsia="宋体" w:cs="宋体"/>
                <w:i w:val="0"/>
                <w:iCs w:val="0"/>
                <w:color w:val="000000"/>
                <w:sz w:val="20"/>
                <w:szCs w:val="20"/>
                <w:u w:val="none"/>
              </w:rPr>
            </w:pPr>
          </w:p>
        </w:tc>
      </w:tr>
      <w:tr w14:paraId="6FF97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6E82F3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46B41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不锈钢焊丝</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6ED97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厂制品</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F86F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5D45B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2FC54D6B">
            <w:pPr>
              <w:rPr>
                <w:rFonts w:hint="eastAsia" w:ascii="宋体" w:hAnsi="宋体" w:eastAsia="宋体" w:cs="宋体"/>
                <w:i w:val="0"/>
                <w:iCs w:val="0"/>
                <w:color w:val="000000"/>
                <w:sz w:val="20"/>
                <w:szCs w:val="20"/>
                <w:u w:val="none"/>
              </w:rPr>
            </w:pPr>
          </w:p>
        </w:tc>
      </w:tr>
      <w:tr w14:paraId="61092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7AE34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FDFF0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冷、热水混合龙头</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43229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双温</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A792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8E41B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1E5359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陶瓷阀芯</w:t>
            </w:r>
          </w:p>
        </w:tc>
      </w:tr>
      <w:tr w14:paraId="4EA2B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2251C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50A279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不锈钢软管</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5275EEDF">
            <w:pPr>
              <w:jc w:val="center"/>
              <w:rPr>
                <w:rFonts w:hint="eastAsia" w:ascii="宋体" w:hAnsi="宋体" w:eastAsia="宋体" w:cs="宋体"/>
                <w:i w:val="0"/>
                <w:iCs w:val="0"/>
                <w:color w:val="000000"/>
                <w:sz w:val="24"/>
                <w:szCs w:val="24"/>
                <w:u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8D56B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6214D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32AB78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不锈钢制作</w:t>
            </w:r>
          </w:p>
        </w:tc>
      </w:tr>
      <w:tr w14:paraId="2E7C5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954" w:type="dxa"/>
            <w:gridSpan w:val="2"/>
            <w:tcBorders>
              <w:top w:val="single" w:color="000000" w:sz="4" w:space="0"/>
              <w:left w:val="single" w:color="000000" w:sz="4" w:space="0"/>
              <w:bottom w:val="single" w:color="000000" w:sz="4" w:space="0"/>
              <w:right w:val="single" w:color="000000" w:sz="4" w:space="0"/>
            </w:tcBorders>
            <w:noWrap/>
            <w:vAlign w:val="center"/>
          </w:tcPr>
          <w:p w14:paraId="3BE94DD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鲜风系统</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648EFC92">
            <w:pPr>
              <w:jc w:val="center"/>
              <w:rPr>
                <w:rFonts w:hint="eastAsia" w:ascii="宋体" w:hAnsi="宋体" w:eastAsia="宋体" w:cs="宋体"/>
                <w:i w:val="0"/>
                <w:iCs w:val="0"/>
                <w:color w:val="000000"/>
                <w:sz w:val="24"/>
                <w:szCs w:val="24"/>
                <w:u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57F81F0">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2ACAD22">
            <w:pPr>
              <w:jc w:val="center"/>
              <w:rPr>
                <w:rFonts w:hint="eastAsia" w:ascii="宋体" w:hAnsi="宋体" w:eastAsia="宋体" w:cs="宋体"/>
                <w:i w:val="0"/>
                <w:iCs w:val="0"/>
                <w:color w:val="000000"/>
                <w:sz w:val="24"/>
                <w:szCs w:val="24"/>
                <w:u w:val="none"/>
              </w:rPr>
            </w:pP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402010A0">
            <w:pPr>
              <w:jc w:val="center"/>
              <w:rPr>
                <w:rFonts w:hint="eastAsia" w:ascii="宋体" w:hAnsi="宋体" w:eastAsia="宋体" w:cs="宋体"/>
                <w:i w:val="0"/>
                <w:iCs w:val="0"/>
                <w:color w:val="000000"/>
                <w:sz w:val="20"/>
                <w:szCs w:val="20"/>
                <w:u w:val="none"/>
              </w:rPr>
            </w:pPr>
          </w:p>
        </w:tc>
      </w:tr>
      <w:tr w14:paraId="02B02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7923FC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2F6F4F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不锈钢风管</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23984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现场定制</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B1214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5F8A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119F6A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采用磨砂不锈钢板制作,板厚1.0mm,(按实量算,弯头、变接一个按两米计算)</w:t>
            </w:r>
          </w:p>
        </w:tc>
      </w:tr>
      <w:tr w14:paraId="2050A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1EC8A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170A6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低噪音风柜</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183612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DT-BF-22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D04A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F79ED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29AA09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柜体内带隔音棉，输送空气和其它不自燃、对人体无害、无腐蚀性气体，噪音低于75分贝，通风换气时进气温度不得超过80℃，风量：27590m3/h，风压429Pa</w:t>
            </w:r>
          </w:p>
        </w:tc>
      </w:tr>
      <w:tr w14:paraId="0C597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77176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20C30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风机电机</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5FA190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7.5KW</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7AD3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72B09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593F7F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全铜电机，电压380V，功率：7.5KW，转数：620r/min </w:t>
            </w:r>
          </w:p>
        </w:tc>
      </w:tr>
      <w:tr w14:paraId="7FDC9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3B50BA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E976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风柜接口</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5EC53C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配风柜</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015E9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8B76C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63FBA1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采用磨砂不锈钢板制作,板厚1.0mm</w:t>
            </w:r>
          </w:p>
        </w:tc>
      </w:tr>
      <w:tr w14:paraId="0CEA9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023199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1059B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风柜支架</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5C1CF9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配风柜</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CB1EC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C84C1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2370C3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采用国产优质角钢</w:t>
            </w:r>
          </w:p>
        </w:tc>
      </w:tr>
      <w:tr w14:paraId="55095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74664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280D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风机减震器</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28F94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配风柜</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AA3B5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0890F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6D846D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采用国产优质弹簧减震器</w:t>
            </w:r>
          </w:p>
        </w:tc>
      </w:tr>
      <w:tr w14:paraId="653FA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52126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5EE45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风机起动保护器</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29CD5F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配风柜</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1379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3487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6A8EC7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名牌电气元件，缺相、过载、过流、漏电保护功能，通电及起动显示</w:t>
            </w:r>
          </w:p>
        </w:tc>
      </w:tr>
      <w:tr w14:paraId="3475D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1E2C03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54612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不锈钢新风百叶</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022FA9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600*400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EE18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1251F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3FF75D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采用磨砂不锈钢板制作</w:t>
            </w:r>
          </w:p>
        </w:tc>
      </w:tr>
      <w:tr w14:paraId="0B51E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064BE4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7C418A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播风口</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50B2A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200×300 </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D9772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1333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1C54F5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采用磨砂不锈钢板制作,板厚1.0mm</w:t>
            </w:r>
          </w:p>
        </w:tc>
      </w:tr>
      <w:tr w14:paraId="5C769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954" w:type="dxa"/>
            <w:gridSpan w:val="2"/>
            <w:tcBorders>
              <w:top w:val="single" w:color="000000" w:sz="4" w:space="0"/>
              <w:left w:val="single" w:color="000000" w:sz="4" w:space="0"/>
              <w:bottom w:val="single" w:color="000000" w:sz="4" w:space="0"/>
              <w:right w:val="single" w:color="000000" w:sz="4" w:space="0"/>
            </w:tcBorders>
            <w:noWrap/>
            <w:vAlign w:val="center"/>
          </w:tcPr>
          <w:p w14:paraId="5ECC524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其它</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2893F5FF">
            <w:pPr>
              <w:jc w:val="center"/>
              <w:rPr>
                <w:rFonts w:hint="eastAsia" w:ascii="宋体" w:hAnsi="宋体" w:eastAsia="宋体" w:cs="宋体"/>
                <w:i w:val="0"/>
                <w:iCs w:val="0"/>
                <w:color w:val="000000"/>
                <w:sz w:val="24"/>
                <w:szCs w:val="24"/>
                <w:u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960910B">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CF6FC58">
            <w:pPr>
              <w:jc w:val="center"/>
              <w:rPr>
                <w:rFonts w:hint="eastAsia" w:ascii="宋体" w:hAnsi="宋体" w:eastAsia="宋体" w:cs="宋体"/>
                <w:i w:val="0"/>
                <w:iCs w:val="0"/>
                <w:color w:val="000000"/>
                <w:sz w:val="24"/>
                <w:szCs w:val="24"/>
                <w:u w:val="none"/>
              </w:rPr>
            </w:pP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4DDE6A37">
            <w:pPr>
              <w:rPr>
                <w:rFonts w:hint="eastAsia" w:ascii="宋体" w:hAnsi="宋体" w:eastAsia="宋体" w:cs="宋体"/>
                <w:i w:val="0"/>
                <w:iCs w:val="0"/>
                <w:color w:val="000000"/>
                <w:sz w:val="20"/>
                <w:szCs w:val="20"/>
                <w:u w:val="none"/>
              </w:rPr>
            </w:pPr>
          </w:p>
        </w:tc>
      </w:tr>
      <w:tr w14:paraId="1B6C0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4721E2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07DD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安装用水管件 </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902348B">
            <w:pPr>
              <w:jc w:val="center"/>
              <w:rPr>
                <w:rFonts w:hint="eastAsia" w:ascii="宋体" w:hAnsi="宋体" w:eastAsia="宋体" w:cs="宋体"/>
                <w:i w:val="0"/>
                <w:iCs w:val="0"/>
                <w:color w:val="000000"/>
                <w:sz w:val="24"/>
                <w:szCs w:val="24"/>
                <w:u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3F7FB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1F0D55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项 </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62E44E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厨房设备所需的用水、电及气供应点由甲方接驳至单个离设备一米范围内；</w:t>
            </w:r>
          </w:p>
        </w:tc>
      </w:tr>
      <w:tr w14:paraId="5DAA8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09D865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noWrap/>
            <w:vAlign w:val="center"/>
          </w:tcPr>
          <w:p w14:paraId="023653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电线电缆 </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DFFCDBC">
            <w:pPr>
              <w:jc w:val="center"/>
              <w:rPr>
                <w:rFonts w:hint="eastAsia" w:ascii="宋体" w:hAnsi="宋体" w:eastAsia="宋体" w:cs="宋体"/>
                <w:i w:val="0"/>
                <w:iCs w:val="0"/>
                <w:color w:val="000000"/>
                <w:sz w:val="24"/>
                <w:szCs w:val="24"/>
                <w:u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C2D1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03CA60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项 </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7B6280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厨房设备所需的用水、电及气供应点由甲方接驳至单个离设备一米范围内；</w:t>
            </w:r>
          </w:p>
        </w:tc>
      </w:tr>
      <w:tr w14:paraId="45349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auto" w:sz="4" w:space="0"/>
              <w:right w:val="single" w:color="000000" w:sz="4" w:space="0"/>
            </w:tcBorders>
            <w:noWrap w:val="0"/>
            <w:vAlign w:val="center"/>
          </w:tcPr>
          <w:p w14:paraId="1CFE44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96" w:type="dxa"/>
            <w:tcBorders>
              <w:top w:val="single" w:color="000000" w:sz="4" w:space="0"/>
              <w:left w:val="single" w:color="000000" w:sz="4" w:space="0"/>
              <w:bottom w:val="single" w:color="auto" w:sz="4" w:space="0"/>
              <w:right w:val="single" w:color="000000" w:sz="4" w:space="0"/>
            </w:tcBorders>
            <w:noWrap w:val="0"/>
            <w:vAlign w:val="center"/>
          </w:tcPr>
          <w:p w14:paraId="04CDAF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风管开墙洞及恢复 </w:t>
            </w:r>
          </w:p>
        </w:tc>
        <w:tc>
          <w:tcPr>
            <w:tcW w:w="1789" w:type="dxa"/>
            <w:tcBorders>
              <w:top w:val="single" w:color="000000" w:sz="4" w:space="0"/>
              <w:left w:val="single" w:color="000000" w:sz="4" w:space="0"/>
              <w:bottom w:val="single" w:color="auto" w:sz="4" w:space="0"/>
              <w:right w:val="single" w:color="000000" w:sz="4" w:space="0"/>
            </w:tcBorders>
            <w:noWrap w:val="0"/>
            <w:vAlign w:val="center"/>
          </w:tcPr>
          <w:p w14:paraId="015BD702">
            <w:pPr>
              <w:jc w:val="center"/>
              <w:rPr>
                <w:rFonts w:hint="eastAsia" w:ascii="宋体" w:hAnsi="宋体" w:eastAsia="宋体" w:cs="宋体"/>
                <w:i w:val="0"/>
                <w:iCs w:val="0"/>
                <w:color w:val="000000"/>
                <w:sz w:val="24"/>
                <w:szCs w:val="24"/>
                <w:u w:val="none"/>
              </w:rPr>
            </w:pPr>
          </w:p>
        </w:tc>
        <w:tc>
          <w:tcPr>
            <w:tcW w:w="931" w:type="dxa"/>
            <w:tcBorders>
              <w:top w:val="single" w:color="000000" w:sz="4" w:space="0"/>
              <w:left w:val="single" w:color="000000" w:sz="4" w:space="0"/>
              <w:bottom w:val="single" w:color="auto" w:sz="4" w:space="0"/>
              <w:right w:val="single" w:color="000000" w:sz="4" w:space="0"/>
            </w:tcBorders>
            <w:noWrap w:val="0"/>
            <w:vAlign w:val="center"/>
          </w:tcPr>
          <w:p w14:paraId="3E32E2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auto" w:sz="4" w:space="0"/>
              <w:right w:val="single" w:color="000000" w:sz="4" w:space="0"/>
            </w:tcBorders>
            <w:noWrap/>
            <w:vAlign w:val="center"/>
          </w:tcPr>
          <w:p w14:paraId="1FBF9C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项 </w:t>
            </w:r>
          </w:p>
        </w:tc>
        <w:tc>
          <w:tcPr>
            <w:tcW w:w="7020" w:type="dxa"/>
            <w:tcBorders>
              <w:top w:val="single" w:color="000000" w:sz="4" w:space="0"/>
              <w:left w:val="single" w:color="000000" w:sz="4" w:space="0"/>
              <w:bottom w:val="single" w:color="auto" w:sz="4" w:space="0"/>
              <w:right w:val="single" w:color="000000" w:sz="4" w:space="0"/>
            </w:tcBorders>
            <w:noWrap w:val="0"/>
            <w:vAlign w:val="center"/>
          </w:tcPr>
          <w:p w14:paraId="1A288F12">
            <w:pPr>
              <w:rPr>
                <w:rFonts w:hint="eastAsia" w:ascii="宋体" w:hAnsi="宋体" w:eastAsia="宋体" w:cs="宋体"/>
                <w:i w:val="0"/>
                <w:iCs w:val="0"/>
                <w:color w:val="000000"/>
                <w:sz w:val="20"/>
                <w:szCs w:val="20"/>
                <w:u w:val="none"/>
              </w:rPr>
            </w:pPr>
          </w:p>
        </w:tc>
      </w:tr>
      <w:tr w14:paraId="7E75D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954" w:type="dxa"/>
            <w:gridSpan w:val="2"/>
            <w:tcBorders>
              <w:top w:val="single" w:color="auto" w:sz="4" w:space="0"/>
              <w:left w:val="single" w:color="auto" w:sz="4" w:space="0"/>
              <w:bottom w:val="single" w:color="000000" w:sz="4" w:space="0"/>
              <w:right w:val="single" w:color="000000" w:sz="4" w:space="0"/>
            </w:tcBorders>
            <w:noWrap/>
            <w:vAlign w:val="center"/>
          </w:tcPr>
          <w:p w14:paraId="0CAC7F8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杂件</w:t>
            </w:r>
          </w:p>
        </w:tc>
        <w:tc>
          <w:tcPr>
            <w:tcW w:w="1789" w:type="dxa"/>
            <w:tcBorders>
              <w:top w:val="single" w:color="auto" w:sz="4" w:space="0"/>
              <w:left w:val="single" w:color="000000" w:sz="4" w:space="0"/>
              <w:bottom w:val="single" w:color="000000" w:sz="4" w:space="0"/>
              <w:right w:val="single" w:color="000000" w:sz="4" w:space="0"/>
            </w:tcBorders>
            <w:noWrap w:val="0"/>
            <w:vAlign w:val="center"/>
          </w:tcPr>
          <w:p w14:paraId="088821D9">
            <w:pPr>
              <w:jc w:val="center"/>
              <w:rPr>
                <w:rFonts w:hint="eastAsia" w:ascii="宋体" w:hAnsi="宋体" w:eastAsia="宋体" w:cs="宋体"/>
                <w:i w:val="0"/>
                <w:iCs w:val="0"/>
                <w:color w:val="000000"/>
                <w:sz w:val="24"/>
                <w:szCs w:val="24"/>
                <w:u w:val="none"/>
              </w:rPr>
            </w:pPr>
          </w:p>
        </w:tc>
        <w:tc>
          <w:tcPr>
            <w:tcW w:w="931" w:type="dxa"/>
            <w:tcBorders>
              <w:top w:val="single" w:color="auto" w:sz="4" w:space="0"/>
              <w:left w:val="single" w:color="000000" w:sz="4" w:space="0"/>
              <w:bottom w:val="single" w:color="000000" w:sz="4" w:space="0"/>
              <w:right w:val="single" w:color="000000" w:sz="4" w:space="0"/>
            </w:tcBorders>
            <w:noWrap w:val="0"/>
            <w:vAlign w:val="center"/>
          </w:tcPr>
          <w:p w14:paraId="2B9B0904">
            <w:pPr>
              <w:jc w:val="center"/>
              <w:rPr>
                <w:rFonts w:hint="eastAsia" w:ascii="宋体" w:hAnsi="宋体" w:eastAsia="宋体" w:cs="宋体"/>
                <w:i w:val="0"/>
                <w:iCs w:val="0"/>
                <w:color w:val="000000"/>
                <w:sz w:val="24"/>
                <w:szCs w:val="24"/>
                <w:u w:val="none"/>
              </w:rPr>
            </w:pPr>
          </w:p>
        </w:tc>
        <w:tc>
          <w:tcPr>
            <w:tcW w:w="1065" w:type="dxa"/>
            <w:tcBorders>
              <w:top w:val="single" w:color="auto" w:sz="4" w:space="0"/>
              <w:left w:val="single" w:color="000000" w:sz="4" w:space="0"/>
              <w:bottom w:val="single" w:color="000000" w:sz="4" w:space="0"/>
              <w:right w:val="single" w:color="000000" w:sz="4" w:space="0"/>
            </w:tcBorders>
            <w:noWrap/>
            <w:vAlign w:val="center"/>
          </w:tcPr>
          <w:p w14:paraId="69078BB5">
            <w:pPr>
              <w:jc w:val="center"/>
              <w:rPr>
                <w:rFonts w:hint="eastAsia" w:ascii="宋体" w:hAnsi="宋体" w:eastAsia="宋体" w:cs="宋体"/>
                <w:i w:val="0"/>
                <w:iCs w:val="0"/>
                <w:color w:val="000000"/>
                <w:sz w:val="24"/>
                <w:szCs w:val="24"/>
                <w:u w:val="none"/>
              </w:rPr>
            </w:pPr>
          </w:p>
        </w:tc>
        <w:tc>
          <w:tcPr>
            <w:tcW w:w="7020" w:type="dxa"/>
            <w:tcBorders>
              <w:top w:val="single" w:color="auto" w:sz="4" w:space="0"/>
              <w:left w:val="nil"/>
              <w:bottom w:val="nil"/>
              <w:right w:val="single" w:color="auto" w:sz="4" w:space="0"/>
            </w:tcBorders>
            <w:noWrap w:val="0"/>
            <w:vAlign w:val="center"/>
          </w:tcPr>
          <w:p w14:paraId="2F58E6A8">
            <w:pPr>
              <w:rPr>
                <w:rFonts w:hint="eastAsia" w:ascii="宋体" w:hAnsi="宋体" w:eastAsia="宋体" w:cs="宋体"/>
                <w:i w:val="0"/>
                <w:iCs w:val="0"/>
                <w:color w:val="000000"/>
                <w:sz w:val="20"/>
                <w:szCs w:val="20"/>
                <w:u w:val="none"/>
              </w:rPr>
            </w:pPr>
          </w:p>
        </w:tc>
      </w:tr>
      <w:tr w14:paraId="06EC1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auto" w:sz="4" w:space="0"/>
              <w:bottom w:val="single" w:color="000000" w:sz="4" w:space="0"/>
              <w:right w:val="single" w:color="000000" w:sz="4" w:space="0"/>
            </w:tcBorders>
            <w:noWrap w:val="0"/>
            <w:vAlign w:val="center"/>
          </w:tcPr>
          <w:p w14:paraId="2F2D2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15FA37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六格快餐盘</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15E04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35.5*26.5*2.5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D7FB1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70282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020" w:type="dxa"/>
            <w:tcBorders>
              <w:top w:val="single" w:color="000000" w:sz="4" w:space="0"/>
              <w:left w:val="single" w:color="000000" w:sz="4" w:space="0"/>
              <w:bottom w:val="single" w:color="000000" w:sz="4" w:space="0"/>
              <w:right w:val="single" w:color="auto" w:sz="4" w:space="0"/>
            </w:tcBorders>
            <w:noWrap w:val="0"/>
            <w:vAlign w:val="center"/>
          </w:tcPr>
          <w:p w14:paraId="45FB6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不锈钢材质、符合卫生标准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、耐腐蚀、卫生安全</w:t>
            </w:r>
          </w:p>
        </w:tc>
      </w:tr>
      <w:tr w14:paraId="6C62D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auto" w:sz="4" w:space="0"/>
              <w:bottom w:val="single" w:color="000000" w:sz="4" w:space="0"/>
              <w:right w:val="single" w:color="000000" w:sz="4" w:space="0"/>
            </w:tcBorders>
            <w:noWrap w:val="0"/>
            <w:vAlign w:val="center"/>
          </w:tcPr>
          <w:p w14:paraId="2EBF2E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1BA97D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不锈钢筷</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7CDEB0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8B92C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FBA7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7020" w:type="dxa"/>
            <w:tcBorders>
              <w:top w:val="single" w:color="000000" w:sz="4" w:space="0"/>
              <w:left w:val="single" w:color="000000" w:sz="4" w:space="0"/>
              <w:bottom w:val="single" w:color="000000" w:sz="4" w:space="0"/>
              <w:right w:val="single" w:color="auto" w:sz="4" w:space="0"/>
            </w:tcBorders>
            <w:noWrap w:val="0"/>
            <w:vAlign w:val="center"/>
          </w:tcPr>
          <w:p w14:paraId="2F9E9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不锈钢材质、符合卫生标准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、耐腐蚀、卫生安全</w:t>
            </w:r>
          </w:p>
        </w:tc>
      </w:tr>
      <w:tr w14:paraId="6ECB3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auto" w:sz="4" w:space="0"/>
              <w:bottom w:val="single" w:color="000000" w:sz="4" w:space="0"/>
              <w:right w:val="single" w:color="000000" w:sz="4" w:space="0"/>
            </w:tcBorders>
            <w:noWrap w:val="0"/>
            <w:vAlign w:val="center"/>
          </w:tcPr>
          <w:p w14:paraId="7E161E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42AF9B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不锈钢刨</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566D65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小号</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1323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273CB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020" w:type="dxa"/>
            <w:tcBorders>
              <w:top w:val="single" w:color="000000" w:sz="4" w:space="0"/>
              <w:left w:val="single" w:color="000000" w:sz="4" w:space="0"/>
              <w:bottom w:val="single" w:color="000000" w:sz="4" w:space="0"/>
              <w:right w:val="single" w:color="auto" w:sz="4" w:space="0"/>
            </w:tcBorders>
            <w:noWrap w:val="0"/>
            <w:vAlign w:val="center"/>
          </w:tcPr>
          <w:p w14:paraId="08FFAE3B">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r>
      <w:tr w14:paraId="5E51D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auto" w:sz="4" w:space="0"/>
              <w:bottom w:val="single" w:color="000000" w:sz="4" w:space="0"/>
              <w:right w:val="single" w:color="000000" w:sz="4" w:space="0"/>
            </w:tcBorders>
            <w:noWrap w:val="0"/>
            <w:vAlign w:val="center"/>
          </w:tcPr>
          <w:p w14:paraId="100A7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7960CA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刨皮刀</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037E34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L:153MM</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88269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7D0EC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20" w:type="dxa"/>
            <w:tcBorders>
              <w:top w:val="single" w:color="000000" w:sz="4" w:space="0"/>
              <w:left w:val="single" w:color="000000" w:sz="4" w:space="0"/>
              <w:bottom w:val="single" w:color="000000" w:sz="4" w:space="0"/>
              <w:right w:val="single" w:color="auto" w:sz="4" w:space="0"/>
            </w:tcBorders>
            <w:noWrap w:val="0"/>
            <w:vAlign w:val="center"/>
          </w:tcPr>
          <w:p w14:paraId="6FB2EAA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r>
      <w:tr w14:paraId="5F904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auto" w:sz="4" w:space="0"/>
              <w:bottom w:val="single" w:color="000000" w:sz="4" w:space="0"/>
              <w:right w:val="single" w:color="000000" w:sz="4" w:space="0"/>
            </w:tcBorders>
            <w:noWrap w:val="0"/>
            <w:vAlign w:val="center"/>
          </w:tcPr>
          <w:p w14:paraId="4DEDFD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3C6623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通用开罐器</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6897E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9-28B</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FC905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FAF3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20" w:type="dxa"/>
            <w:tcBorders>
              <w:top w:val="single" w:color="000000" w:sz="4" w:space="0"/>
              <w:left w:val="single" w:color="000000" w:sz="4" w:space="0"/>
              <w:bottom w:val="single" w:color="000000" w:sz="4" w:space="0"/>
              <w:right w:val="single" w:color="auto" w:sz="4" w:space="0"/>
            </w:tcBorders>
            <w:noWrap w:val="0"/>
            <w:vAlign w:val="center"/>
          </w:tcPr>
          <w:p w14:paraId="0B8B730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261"/>
                <w:rFonts w:eastAsia="宋体"/>
                <w:lang w:val="en-US" w:eastAsia="zh-CN" w:bidi="ar"/>
              </w:rPr>
              <w:t>12</w:t>
            </w:r>
            <w:r>
              <w:rPr>
                <w:rFonts w:hint="eastAsia" w:ascii="宋体" w:hAnsi="宋体" w:eastAsia="宋体" w:cs="宋体"/>
                <w:i w:val="0"/>
                <w:iCs w:val="0"/>
                <w:color w:val="000000"/>
                <w:kern w:val="0"/>
                <w:sz w:val="20"/>
                <w:szCs w:val="20"/>
                <w:u w:val="none"/>
                <w:lang w:val="en-US" w:eastAsia="zh-CN" w:bidi="ar"/>
              </w:rPr>
              <w:t>个</w:t>
            </w:r>
            <w:r>
              <w:rPr>
                <w:rStyle w:val="26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盒</w:t>
            </w:r>
          </w:p>
        </w:tc>
      </w:tr>
      <w:tr w14:paraId="34DD1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auto" w:sz="4" w:space="0"/>
              <w:bottom w:val="single" w:color="000000" w:sz="4" w:space="0"/>
              <w:right w:val="single" w:color="000000" w:sz="4" w:space="0"/>
            </w:tcBorders>
            <w:noWrap w:val="0"/>
            <w:vAlign w:val="center"/>
          </w:tcPr>
          <w:p w14:paraId="557F2B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13D37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皂角砧板</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0A5C4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500×135MM</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84143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05167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020" w:type="dxa"/>
            <w:tcBorders>
              <w:top w:val="single" w:color="000000" w:sz="4" w:space="0"/>
              <w:left w:val="single" w:color="000000" w:sz="4" w:space="0"/>
              <w:bottom w:val="single" w:color="000000" w:sz="4" w:space="0"/>
              <w:right w:val="single" w:color="auto" w:sz="4" w:space="0"/>
            </w:tcBorders>
            <w:noWrap w:val="0"/>
            <w:vAlign w:val="center"/>
          </w:tcPr>
          <w:p w14:paraId="1DA4E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不发霉，不开裂</w:t>
            </w:r>
          </w:p>
        </w:tc>
      </w:tr>
      <w:tr w14:paraId="547C3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auto" w:sz="4" w:space="0"/>
              <w:bottom w:val="single" w:color="000000" w:sz="4" w:space="0"/>
              <w:right w:val="single" w:color="000000" w:sz="4" w:space="0"/>
            </w:tcBorders>
            <w:noWrap w:val="0"/>
            <w:vAlign w:val="center"/>
          </w:tcPr>
          <w:p w14:paraId="6D8735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7CAF94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白色圆砧板</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4A958F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450*150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4E9C0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635B8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020" w:type="dxa"/>
            <w:tcBorders>
              <w:top w:val="single" w:color="000000" w:sz="4" w:space="0"/>
              <w:left w:val="single" w:color="000000" w:sz="4" w:space="0"/>
              <w:bottom w:val="single" w:color="000000" w:sz="4" w:space="0"/>
              <w:right w:val="single" w:color="auto" w:sz="4" w:space="0"/>
            </w:tcBorders>
            <w:noWrap w:val="0"/>
            <w:vAlign w:val="center"/>
          </w:tcPr>
          <w:p w14:paraId="34B28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PE菜板较有柔韧，有良好抗冲击力，不易掉屑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●卫生安全，放心使用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●彩色菜板添加微量抗菌剂，有了卫生安全保障</w:t>
            </w:r>
          </w:p>
        </w:tc>
      </w:tr>
      <w:tr w14:paraId="2E875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auto" w:sz="4" w:space="0"/>
              <w:bottom w:val="single" w:color="000000" w:sz="4" w:space="0"/>
              <w:right w:val="single" w:color="000000" w:sz="4" w:space="0"/>
            </w:tcBorders>
            <w:noWrap w:val="0"/>
            <w:vAlign w:val="center"/>
          </w:tcPr>
          <w:p w14:paraId="612FBA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1D03FD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钢砧板围</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BEFC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大号/0.6MM</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EC58A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CF461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20" w:type="dxa"/>
            <w:tcBorders>
              <w:top w:val="single" w:color="000000" w:sz="4" w:space="0"/>
              <w:left w:val="single" w:color="000000" w:sz="4" w:space="0"/>
              <w:bottom w:val="single" w:color="000000" w:sz="4" w:space="0"/>
              <w:right w:val="single" w:color="auto" w:sz="4" w:space="0"/>
            </w:tcBorders>
            <w:noWrap w:val="0"/>
            <w:vAlign w:val="center"/>
          </w:tcPr>
          <w:p w14:paraId="43274CE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261"/>
                <w:rFonts w:eastAsia="宋体"/>
                <w:lang w:val="en-US" w:eastAsia="zh-CN" w:bidi="ar"/>
              </w:rPr>
              <w:t>G01</w:t>
            </w:r>
            <w:r>
              <w:rPr>
                <w:rFonts w:hint="eastAsia" w:ascii="宋体" w:hAnsi="宋体" w:eastAsia="宋体" w:cs="宋体"/>
                <w:i w:val="0"/>
                <w:iCs w:val="0"/>
                <w:color w:val="000000"/>
                <w:kern w:val="0"/>
                <w:sz w:val="20"/>
                <w:szCs w:val="20"/>
                <w:u w:val="none"/>
                <w:lang w:val="en-US" w:eastAsia="zh-CN" w:bidi="ar"/>
              </w:rPr>
              <w:t>材质</w:t>
            </w:r>
          </w:p>
        </w:tc>
      </w:tr>
      <w:tr w14:paraId="1ABE0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auto" w:sz="4" w:space="0"/>
              <w:bottom w:val="single" w:color="000000" w:sz="4" w:space="0"/>
              <w:right w:val="single" w:color="000000" w:sz="4" w:space="0"/>
            </w:tcBorders>
            <w:noWrap w:val="0"/>
            <w:vAlign w:val="center"/>
          </w:tcPr>
          <w:p w14:paraId="5046B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5DC98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夹木柄三合钢桑刀升级版</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2CB946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9FB57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8973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020" w:type="dxa"/>
            <w:tcBorders>
              <w:top w:val="single" w:color="000000" w:sz="4" w:space="0"/>
              <w:left w:val="single" w:color="000000" w:sz="4" w:space="0"/>
              <w:bottom w:val="single" w:color="000000" w:sz="4" w:space="0"/>
              <w:right w:val="single" w:color="auto" w:sz="4" w:space="0"/>
            </w:tcBorders>
            <w:noWrap w:val="0"/>
            <w:vAlign w:val="center"/>
          </w:tcPr>
          <w:p w14:paraId="627CFD4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r>
      <w:tr w14:paraId="1DB15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auto" w:sz="4" w:space="0"/>
              <w:bottom w:val="single" w:color="000000" w:sz="4" w:space="0"/>
              <w:right w:val="single" w:color="000000" w:sz="4" w:space="0"/>
            </w:tcBorders>
            <w:noWrap w:val="0"/>
            <w:vAlign w:val="center"/>
          </w:tcPr>
          <w:p w14:paraId="3EB49F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7E70B5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夹木柄三合钢厨片刀升级版</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0052C7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38BE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E949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020" w:type="dxa"/>
            <w:tcBorders>
              <w:top w:val="single" w:color="000000" w:sz="4" w:space="0"/>
              <w:left w:val="single" w:color="000000" w:sz="4" w:space="0"/>
              <w:bottom w:val="single" w:color="000000" w:sz="4" w:space="0"/>
              <w:right w:val="single" w:color="auto" w:sz="4" w:space="0"/>
            </w:tcBorders>
            <w:noWrap w:val="0"/>
            <w:vAlign w:val="center"/>
          </w:tcPr>
          <w:p w14:paraId="5560F0B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r>
      <w:tr w14:paraId="3E2CD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auto" w:sz="4" w:space="0"/>
              <w:bottom w:val="single" w:color="000000" w:sz="4" w:space="0"/>
              <w:right w:val="single" w:color="000000" w:sz="4" w:space="0"/>
            </w:tcBorders>
            <w:noWrap w:val="0"/>
            <w:vAlign w:val="center"/>
          </w:tcPr>
          <w:p w14:paraId="232ED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EEF3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名典九江弯刀</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6410E8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ADE29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0268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020" w:type="dxa"/>
            <w:tcBorders>
              <w:top w:val="single" w:color="000000" w:sz="4" w:space="0"/>
              <w:left w:val="single" w:color="000000" w:sz="4" w:space="0"/>
              <w:bottom w:val="single" w:color="000000" w:sz="4" w:space="0"/>
              <w:right w:val="single" w:color="auto" w:sz="4" w:space="0"/>
            </w:tcBorders>
            <w:noWrap w:val="0"/>
            <w:vAlign w:val="center"/>
          </w:tcPr>
          <w:p w14:paraId="23B201A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r>
      <w:tr w14:paraId="3F4A0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auto" w:sz="4" w:space="0"/>
              <w:bottom w:val="single" w:color="000000" w:sz="4" w:space="0"/>
              <w:right w:val="single" w:color="000000" w:sz="4" w:space="0"/>
            </w:tcBorders>
            <w:noWrap w:val="0"/>
            <w:vAlign w:val="center"/>
          </w:tcPr>
          <w:p w14:paraId="77230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F6B4D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大骨刀</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752C2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1FCF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26431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020" w:type="dxa"/>
            <w:tcBorders>
              <w:top w:val="single" w:color="000000" w:sz="4" w:space="0"/>
              <w:left w:val="single" w:color="000000" w:sz="4" w:space="0"/>
              <w:bottom w:val="single" w:color="000000" w:sz="4" w:space="0"/>
              <w:right w:val="single" w:color="auto" w:sz="4" w:space="0"/>
            </w:tcBorders>
            <w:noWrap w:val="0"/>
            <w:vAlign w:val="center"/>
          </w:tcPr>
          <w:p w14:paraId="76B6D86F">
            <w:pPr>
              <w:jc w:val="center"/>
              <w:rPr>
                <w:rFonts w:hint="default" w:ascii="Arial" w:hAnsi="Arial" w:eastAsia="宋体" w:cs="Arial"/>
                <w:i w:val="0"/>
                <w:iCs w:val="0"/>
                <w:color w:val="000000"/>
                <w:sz w:val="20"/>
                <w:szCs w:val="20"/>
                <w:u w:val="none"/>
              </w:rPr>
            </w:pPr>
          </w:p>
        </w:tc>
      </w:tr>
      <w:tr w14:paraId="600DB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auto" w:sz="4" w:space="0"/>
              <w:bottom w:val="single" w:color="auto" w:sz="4" w:space="0"/>
              <w:right w:val="single" w:color="000000" w:sz="4" w:space="0"/>
            </w:tcBorders>
            <w:noWrap w:val="0"/>
            <w:vAlign w:val="center"/>
          </w:tcPr>
          <w:p w14:paraId="490E5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96" w:type="dxa"/>
            <w:tcBorders>
              <w:top w:val="single" w:color="000000" w:sz="4" w:space="0"/>
              <w:left w:val="single" w:color="000000" w:sz="4" w:space="0"/>
              <w:bottom w:val="single" w:color="auto" w:sz="4" w:space="0"/>
              <w:right w:val="single" w:color="000000" w:sz="4" w:space="0"/>
            </w:tcBorders>
            <w:noWrap w:val="0"/>
            <w:vAlign w:val="center"/>
          </w:tcPr>
          <w:p w14:paraId="5A125D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去骨刀</w:t>
            </w:r>
            <w:r>
              <w:rPr>
                <w:rFonts w:hint="default"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黑色</w:t>
            </w:r>
            <w:r>
              <w:rPr>
                <w:rFonts w:hint="default" w:ascii="Arial" w:hAnsi="Arial" w:eastAsia="宋体" w:cs="Arial"/>
                <w:i w:val="0"/>
                <w:iCs w:val="0"/>
                <w:color w:val="000000"/>
                <w:kern w:val="0"/>
                <w:sz w:val="24"/>
                <w:szCs w:val="24"/>
                <w:u w:val="none"/>
                <w:lang w:val="en-US" w:eastAsia="zh-CN" w:bidi="ar"/>
              </w:rPr>
              <w:t>)</w:t>
            </w:r>
          </w:p>
        </w:tc>
        <w:tc>
          <w:tcPr>
            <w:tcW w:w="1789" w:type="dxa"/>
            <w:tcBorders>
              <w:top w:val="single" w:color="000000" w:sz="4" w:space="0"/>
              <w:left w:val="single" w:color="000000" w:sz="4" w:space="0"/>
              <w:bottom w:val="single" w:color="auto" w:sz="4" w:space="0"/>
              <w:right w:val="single" w:color="000000" w:sz="4" w:space="0"/>
            </w:tcBorders>
            <w:noWrap w:val="0"/>
            <w:vAlign w:val="center"/>
          </w:tcPr>
          <w:p w14:paraId="711DA19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英寸</w:t>
            </w:r>
          </w:p>
        </w:tc>
        <w:tc>
          <w:tcPr>
            <w:tcW w:w="931" w:type="dxa"/>
            <w:tcBorders>
              <w:top w:val="single" w:color="000000" w:sz="4" w:space="0"/>
              <w:left w:val="single" w:color="000000" w:sz="4" w:space="0"/>
              <w:bottom w:val="single" w:color="auto" w:sz="4" w:space="0"/>
              <w:right w:val="single" w:color="000000" w:sz="4" w:space="0"/>
            </w:tcBorders>
            <w:noWrap w:val="0"/>
            <w:vAlign w:val="center"/>
          </w:tcPr>
          <w:p w14:paraId="223D9E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65" w:type="dxa"/>
            <w:tcBorders>
              <w:top w:val="single" w:color="000000" w:sz="4" w:space="0"/>
              <w:left w:val="single" w:color="000000" w:sz="4" w:space="0"/>
              <w:bottom w:val="single" w:color="auto" w:sz="4" w:space="0"/>
              <w:right w:val="single" w:color="000000" w:sz="4" w:space="0"/>
            </w:tcBorders>
            <w:noWrap w:val="0"/>
            <w:vAlign w:val="center"/>
          </w:tcPr>
          <w:p w14:paraId="4C09D6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020" w:type="dxa"/>
            <w:tcBorders>
              <w:top w:val="single" w:color="000000" w:sz="4" w:space="0"/>
              <w:left w:val="single" w:color="000000" w:sz="4" w:space="0"/>
              <w:bottom w:val="single" w:color="auto" w:sz="4" w:space="0"/>
              <w:right w:val="single" w:color="auto" w:sz="4" w:space="0"/>
            </w:tcBorders>
            <w:noWrap w:val="0"/>
            <w:vAlign w:val="center"/>
          </w:tcPr>
          <w:p w14:paraId="266E2F3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261"/>
                <w:rFonts w:eastAsia="宋体"/>
                <w:lang w:val="en-US" w:eastAsia="zh-CN" w:bidi="ar"/>
              </w:rPr>
              <w:t>160G±5G,</w:t>
            </w:r>
            <w:r>
              <w:rPr>
                <w:rFonts w:hint="eastAsia" w:ascii="宋体" w:hAnsi="宋体" w:eastAsia="宋体" w:cs="宋体"/>
                <w:i w:val="0"/>
                <w:iCs w:val="0"/>
                <w:color w:val="000000"/>
                <w:kern w:val="0"/>
                <w:sz w:val="20"/>
                <w:szCs w:val="20"/>
                <w:u w:val="none"/>
                <w:lang w:val="en-US" w:eastAsia="zh-CN" w:bidi="ar"/>
              </w:rPr>
              <w:t>手柄为黑色</w:t>
            </w:r>
            <w:r>
              <w:rPr>
                <w:rStyle w:val="26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专利号</w:t>
            </w:r>
            <w:r>
              <w:rPr>
                <w:rStyle w:val="261"/>
                <w:rFonts w:eastAsia="宋体"/>
                <w:lang w:val="en-US" w:eastAsia="zh-CN" w:bidi="ar"/>
              </w:rPr>
              <w:t>:200930099327.9</w:t>
            </w:r>
          </w:p>
        </w:tc>
      </w:tr>
      <w:tr w14:paraId="405B2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auto" w:sz="4" w:space="0"/>
              <w:left w:val="single" w:color="000000" w:sz="4" w:space="0"/>
              <w:bottom w:val="single" w:color="000000" w:sz="4" w:space="0"/>
              <w:right w:val="single" w:color="000000" w:sz="4" w:space="0"/>
            </w:tcBorders>
            <w:noWrap w:val="0"/>
            <w:vAlign w:val="center"/>
          </w:tcPr>
          <w:p w14:paraId="59238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96" w:type="dxa"/>
            <w:tcBorders>
              <w:top w:val="single" w:color="auto" w:sz="4" w:space="0"/>
              <w:left w:val="single" w:color="000000" w:sz="4" w:space="0"/>
              <w:bottom w:val="single" w:color="000000" w:sz="4" w:space="0"/>
              <w:right w:val="single" w:color="000000" w:sz="4" w:space="0"/>
            </w:tcBorders>
            <w:noWrap w:val="0"/>
            <w:vAlign w:val="center"/>
          </w:tcPr>
          <w:p w14:paraId="02EA5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蓝色塑柄磨刀棒</w:t>
            </w:r>
          </w:p>
        </w:tc>
        <w:tc>
          <w:tcPr>
            <w:tcW w:w="1789" w:type="dxa"/>
            <w:tcBorders>
              <w:top w:val="single" w:color="auto" w:sz="4" w:space="0"/>
              <w:left w:val="single" w:color="000000" w:sz="4" w:space="0"/>
              <w:bottom w:val="single" w:color="000000" w:sz="4" w:space="0"/>
              <w:right w:val="single" w:color="000000" w:sz="4" w:space="0"/>
            </w:tcBorders>
            <w:noWrap w:val="0"/>
            <w:vAlign w:val="center"/>
          </w:tcPr>
          <w:p w14:paraId="0F0B743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寸</w:t>
            </w:r>
          </w:p>
        </w:tc>
        <w:tc>
          <w:tcPr>
            <w:tcW w:w="931" w:type="dxa"/>
            <w:tcBorders>
              <w:top w:val="single" w:color="auto" w:sz="4" w:space="0"/>
              <w:left w:val="single" w:color="000000" w:sz="4" w:space="0"/>
              <w:bottom w:val="single" w:color="000000" w:sz="4" w:space="0"/>
              <w:right w:val="single" w:color="000000" w:sz="4" w:space="0"/>
            </w:tcBorders>
            <w:noWrap w:val="0"/>
            <w:vAlign w:val="center"/>
          </w:tcPr>
          <w:p w14:paraId="1C5FFE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65" w:type="dxa"/>
            <w:tcBorders>
              <w:top w:val="single" w:color="auto" w:sz="4" w:space="0"/>
              <w:left w:val="single" w:color="000000" w:sz="4" w:space="0"/>
              <w:bottom w:val="single" w:color="000000" w:sz="4" w:space="0"/>
              <w:right w:val="single" w:color="000000" w:sz="4" w:space="0"/>
            </w:tcBorders>
            <w:noWrap w:val="0"/>
            <w:vAlign w:val="center"/>
          </w:tcPr>
          <w:p w14:paraId="411C50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020" w:type="dxa"/>
            <w:tcBorders>
              <w:top w:val="single" w:color="auto" w:sz="4" w:space="0"/>
              <w:left w:val="single" w:color="000000" w:sz="4" w:space="0"/>
              <w:bottom w:val="single" w:color="000000" w:sz="4" w:space="0"/>
              <w:right w:val="single" w:color="000000" w:sz="4" w:space="0"/>
            </w:tcBorders>
            <w:noWrap w:val="0"/>
            <w:vAlign w:val="center"/>
          </w:tcPr>
          <w:p w14:paraId="1909E2AA">
            <w:pPr>
              <w:keepNext w:val="0"/>
              <w:keepLines w:val="0"/>
              <w:widowControl/>
              <w:suppressLineNumbers w:val="0"/>
              <w:jc w:val="center"/>
              <w:textAlignment w:val="center"/>
              <w:rPr>
                <w:rFonts w:ascii="Verdana" w:hAnsi="Verdana" w:eastAsia="宋体" w:cs="Verdana"/>
                <w:i w:val="0"/>
                <w:iCs w:val="0"/>
                <w:color w:val="000000"/>
                <w:sz w:val="18"/>
                <w:szCs w:val="18"/>
                <w:u w:val="none"/>
              </w:rPr>
            </w:pPr>
            <w:r>
              <w:rPr>
                <w:rFonts w:hint="default" w:ascii="Verdana" w:hAnsi="Verdana" w:eastAsia="宋体" w:cs="Verdana"/>
                <w:i w:val="0"/>
                <w:iCs w:val="0"/>
                <w:color w:val="000000"/>
                <w:kern w:val="0"/>
                <w:sz w:val="18"/>
                <w:szCs w:val="18"/>
                <w:u w:val="none"/>
                <w:lang w:val="en-US" w:eastAsia="zh-CN" w:bidi="ar"/>
              </w:rPr>
              <w:t>●</w:t>
            </w:r>
            <w:r>
              <w:rPr>
                <w:rStyle w:val="262"/>
                <w:lang w:val="en-US" w:eastAsia="zh-CN" w:bidi="ar"/>
              </w:rPr>
              <w:t>柄</w:t>
            </w:r>
            <w:r>
              <w:rPr>
                <w:rFonts w:hint="default" w:ascii="Verdana" w:hAnsi="Verdana" w:eastAsia="宋体" w:cs="Verdana"/>
                <w:i w:val="0"/>
                <w:iCs w:val="0"/>
                <w:color w:val="000000"/>
                <w:kern w:val="0"/>
                <w:sz w:val="18"/>
                <w:szCs w:val="18"/>
                <w:u w:val="none"/>
                <w:lang w:val="en-US" w:eastAsia="zh-CN" w:bidi="ar"/>
              </w:rPr>
              <w:t>:PP+TPR</w:t>
            </w:r>
            <w:r>
              <w:rPr>
                <w:rStyle w:val="262"/>
                <w:lang w:val="en-US" w:eastAsia="zh-CN" w:bidi="ar"/>
              </w:rPr>
              <w:t>、刀棒</w:t>
            </w:r>
            <w:r>
              <w:rPr>
                <w:rFonts w:hint="default" w:ascii="Verdana" w:hAnsi="Verdana" w:eastAsia="宋体" w:cs="Verdana"/>
                <w:i w:val="0"/>
                <w:iCs w:val="0"/>
                <w:color w:val="000000"/>
                <w:kern w:val="0"/>
                <w:sz w:val="18"/>
                <w:szCs w:val="18"/>
                <w:u w:val="none"/>
                <w:lang w:val="en-US" w:eastAsia="zh-CN" w:bidi="ar"/>
              </w:rPr>
              <w:t>:410</w:t>
            </w:r>
            <w:r>
              <w:rPr>
                <w:rFonts w:hint="default" w:ascii="Verdana" w:hAnsi="Verdana" w:eastAsia="宋体" w:cs="Verdana"/>
                <w:i w:val="0"/>
                <w:iCs w:val="0"/>
                <w:color w:val="000000"/>
                <w:kern w:val="0"/>
                <w:sz w:val="18"/>
                <w:szCs w:val="18"/>
                <w:u w:val="none"/>
                <w:lang w:val="en-US" w:eastAsia="zh-CN" w:bidi="ar"/>
              </w:rPr>
              <w:br w:type="textWrapping"/>
            </w:r>
            <w:r>
              <w:rPr>
                <w:rFonts w:hint="default" w:ascii="Verdana" w:hAnsi="Verdana" w:eastAsia="宋体" w:cs="Verdana"/>
                <w:i w:val="0"/>
                <w:iCs w:val="0"/>
                <w:color w:val="000000"/>
                <w:kern w:val="0"/>
                <w:sz w:val="18"/>
                <w:szCs w:val="18"/>
                <w:u w:val="none"/>
                <w:lang w:val="en-US" w:eastAsia="zh-CN" w:bidi="ar"/>
              </w:rPr>
              <w:t>●</w:t>
            </w:r>
            <w:r>
              <w:rPr>
                <w:rStyle w:val="262"/>
                <w:lang w:val="en-US" w:eastAsia="zh-CN" w:bidi="ar"/>
              </w:rPr>
              <w:t>手柄为</w:t>
            </w:r>
            <w:r>
              <w:rPr>
                <w:rFonts w:hint="default" w:ascii="Verdana" w:hAnsi="Verdana" w:eastAsia="宋体" w:cs="Verdana"/>
                <w:i w:val="0"/>
                <w:iCs w:val="0"/>
                <w:color w:val="000000"/>
                <w:kern w:val="0"/>
                <w:sz w:val="18"/>
                <w:szCs w:val="18"/>
                <w:u w:val="none"/>
                <w:lang w:val="en-US" w:eastAsia="zh-CN" w:bidi="ar"/>
              </w:rPr>
              <w:t>PP+TPR</w:t>
            </w:r>
            <w:r>
              <w:rPr>
                <w:rStyle w:val="262"/>
                <w:lang w:val="en-US" w:eastAsia="zh-CN" w:bidi="ar"/>
              </w:rPr>
              <w:t>材质</w:t>
            </w:r>
            <w:r>
              <w:rPr>
                <w:rFonts w:hint="default" w:ascii="Verdana" w:hAnsi="Verdana" w:eastAsia="宋体" w:cs="Verdana"/>
                <w:i w:val="0"/>
                <w:iCs w:val="0"/>
                <w:color w:val="000000"/>
                <w:kern w:val="0"/>
                <w:sz w:val="18"/>
                <w:szCs w:val="18"/>
                <w:u w:val="none"/>
                <w:lang w:val="en-US" w:eastAsia="zh-CN" w:bidi="ar"/>
              </w:rPr>
              <w:br w:type="textWrapping"/>
            </w:r>
            <w:r>
              <w:rPr>
                <w:rFonts w:hint="default" w:ascii="Verdana" w:hAnsi="Verdana" w:eastAsia="宋体" w:cs="Verdana"/>
                <w:i w:val="0"/>
                <w:iCs w:val="0"/>
                <w:color w:val="000000"/>
                <w:kern w:val="0"/>
                <w:sz w:val="18"/>
                <w:szCs w:val="18"/>
                <w:u w:val="none"/>
                <w:lang w:val="en-US" w:eastAsia="zh-CN" w:bidi="ar"/>
              </w:rPr>
              <w:t>●</w:t>
            </w:r>
            <w:r>
              <w:rPr>
                <w:rStyle w:val="262"/>
                <w:lang w:val="en-US" w:eastAsia="zh-CN" w:bidi="ar"/>
              </w:rPr>
              <w:t>刀棒为</w:t>
            </w:r>
            <w:r>
              <w:rPr>
                <w:rFonts w:hint="default" w:ascii="Verdana" w:hAnsi="Verdana" w:eastAsia="宋体" w:cs="Verdana"/>
                <w:i w:val="0"/>
                <w:iCs w:val="0"/>
                <w:color w:val="000000"/>
                <w:kern w:val="0"/>
                <w:sz w:val="18"/>
                <w:szCs w:val="18"/>
                <w:u w:val="none"/>
                <w:lang w:val="en-US" w:eastAsia="zh-CN" w:bidi="ar"/>
              </w:rPr>
              <w:t>410</w:t>
            </w:r>
            <w:r>
              <w:rPr>
                <w:rStyle w:val="262"/>
                <w:lang w:val="en-US" w:eastAsia="zh-CN" w:bidi="ar"/>
              </w:rPr>
              <w:t>材质</w:t>
            </w:r>
          </w:p>
        </w:tc>
      </w:tr>
      <w:tr w14:paraId="77EB5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581193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DD19D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带盖四格刀箱</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01C174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四格</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F2E89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FC8B1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44C02BA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261"/>
                <w:rFonts w:eastAsia="宋体"/>
                <w:lang w:val="en-US" w:eastAsia="zh-CN" w:bidi="ar"/>
              </w:rPr>
              <w:t>G01</w:t>
            </w:r>
            <w:r>
              <w:rPr>
                <w:rFonts w:hint="eastAsia" w:ascii="宋体" w:hAnsi="宋体" w:eastAsia="宋体" w:cs="宋体"/>
                <w:i w:val="0"/>
                <w:iCs w:val="0"/>
                <w:color w:val="000000"/>
                <w:kern w:val="0"/>
                <w:sz w:val="20"/>
                <w:szCs w:val="20"/>
                <w:u w:val="none"/>
                <w:lang w:val="en-US" w:eastAsia="zh-CN" w:bidi="ar"/>
              </w:rPr>
              <w:t>材质</w:t>
            </w:r>
          </w:p>
        </w:tc>
      </w:tr>
      <w:tr w14:paraId="08FD3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3D0FE6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32906A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精制油石</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2B4882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210×65×35MM</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CEC5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4843C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064FC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磨刀非常快、非常均匀</w:t>
            </w:r>
          </w:p>
        </w:tc>
      </w:tr>
      <w:tr w14:paraId="48979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37C40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2A0030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拔毛钳</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9D741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L:100MM</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C5DC4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2C33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445FC28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261"/>
                <w:rFonts w:eastAsia="宋体"/>
                <w:lang w:val="en-US" w:eastAsia="zh-CN" w:bidi="ar"/>
              </w:rPr>
              <w:t>G01</w:t>
            </w:r>
            <w:r>
              <w:rPr>
                <w:rFonts w:hint="eastAsia" w:ascii="宋体" w:hAnsi="宋体" w:eastAsia="宋体" w:cs="宋体"/>
                <w:i w:val="0"/>
                <w:iCs w:val="0"/>
                <w:color w:val="000000"/>
                <w:kern w:val="0"/>
                <w:sz w:val="20"/>
                <w:szCs w:val="20"/>
                <w:u w:val="none"/>
                <w:lang w:val="en-US" w:eastAsia="zh-CN" w:bidi="ar"/>
              </w:rPr>
              <w:t>材质</w:t>
            </w:r>
          </w:p>
        </w:tc>
      </w:tr>
      <w:tr w14:paraId="19A40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0500D0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FD07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厨房多用剪</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29A705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B6C19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B8E37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51968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优质不锈钢厨房剪</w:t>
            </w:r>
            <w:r>
              <w:rPr>
                <w:rStyle w:val="26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集合起订数量为</w:t>
            </w:r>
            <w:r>
              <w:rPr>
                <w:rStyle w:val="261"/>
                <w:rFonts w:eastAsia="宋体"/>
                <w:lang w:val="en-US" w:eastAsia="zh-CN" w:bidi="ar"/>
              </w:rPr>
              <w:t>1000</w:t>
            </w:r>
            <w:r>
              <w:rPr>
                <w:rFonts w:hint="eastAsia" w:ascii="宋体" w:hAnsi="宋体" w:eastAsia="宋体" w:cs="宋体"/>
                <w:i w:val="0"/>
                <w:iCs w:val="0"/>
                <w:color w:val="000000"/>
                <w:kern w:val="0"/>
                <w:sz w:val="20"/>
                <w:szCs w:val="20"/>
                <w:u w:val="none"/>
                <w:lang w:val="en-US" w:eastAsia="zh-CN" w:bidi="ar"/>
              </w:rPr>
              <w:t>把</w:t>
            </w:r>
          </w:p>
        </w:tc>
      </w:tr>
      <w:tr w14:paraId="04435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76BA4F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C896A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双汤勾</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75CB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24E9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8745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20" w:type="dxa"/>
            <w:tcBorders>
              <w:top w:val="nil"/>
              <w:left w:val="single" w:color="000000" w:sz="4" w:space="0"/>
              <w:bottom w:val="single" w:color="000000" w:sz="4" w:space="0"/>
              <w:right w:val="single" w:color="000000" w:sz="4" w:space="0"/>
            </w:tcBorders>
            <w:noWrap w:val="0"/>
            <w:vAlign w:val="center"/>
          </w:tcPr>
          <w:p w14:paraId="4262D90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261"/>
                <w:rFonts w:eastAsia="宋体"/>
                <w:lang w:val="en-US" w:eastAsia="zh-CN" w:bidi="ar"/>
              </w:rPr>
              <w:t>G01</w:t>
            </w:r>
            <w:r>
              <w:rPr>
                <w:rFonts w:hint="eastAsia" w:ascii="宋体" w:hAnsi="宋体" w:eastAsia="宋体" w:cs="宋体"/>
                <w:i w:val="0"/>
                <w:iCs w:val="0"/>
                <w:color w:val="000000"/>
                <w:kern w:val="0"/>
                <w:sz w:val="20"/>
                <w:szCs w:val="20"/>
                <w:u w:val="none"/>
                <w:lang w:val="en-US" w:eastAsia="zh-CN" w:bidi="ar"/>
              </w:rPr>
              <w:t>材质</w:t>
            </w:r>
          </w:p>
        </w:tc>
      </w:tr>
      <w:tr w14:paraId="16029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0E52CE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14706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单手勾</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110138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40CM</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1E64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E10D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50D7696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G01</w:t>
            </w:r>
          </w:p>
        </w:tc>
      </w:tr>
      <w:tr w14:paraId="1E998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66DCE8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52B106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调味更</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6395CC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846F1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DA974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1CA378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261"/>
                <w:rFonts w:eastAsia="宋体"/>
                <w:lang w:val="en-US" w:eastAsia="zh-CN" w:bidi="ar"/>
              </w:rPr>
              <w:t>G01</w:t>
            </w:r>
            <w:r>
              <w:rPr>
                <w:rFonts w:hint="eastAsia" w:ascii="宋体" w:hAnsi="宋体" w:eastAsia="宋体" w:cs="宋体"/>
                <w:i w:val="0"/>
                <w:iCs w:val="0"/>
                <w:color w:val="000000"/>
                <w:kern w:val="0"/>
                <w:sz w:val="20"/>
                <w:szCs w:val="20"/>
                <w:u w:val="none"/>
                <w:lang w:val="en-US" w:eastAsia="zh-CN" w:bidi="ar"/>
              </w:rPr>
              <w:t>材质</w:t>
            </w:r>
          </w:p>
        </w:tc>
      </w:tr>
      <w:tr w14:paraId="62B36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28352C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24B517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精制港庄水壳</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5E07364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斤</w:t>
            </w:r>
            <w:r>
              <w:rPr>
                <w:rFonts w:hint="default" w:ascii="Arial" w:hAnsi="Arial" w:eastAsia="宋体" w:cs="Arial"/>
                <w:i w:val="0"/>
                <w:iCs w:val="0"/>
                <w:color w:val="000000"/>
                <w:kern w:val="0"/>
                <w:sz w:val="24"/>
                <w:szCs w:val="24"/>
                <w:u w:val="none"/>
                <w:lang w:val="en-US" w:eastAsia="zh-CN" w:bidi="ar"/>
              </w:rPr>
              <w:t>,Ф200MM</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21D1F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F615F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4513EC4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261"/>
                <w:rFonts w:eastAsia="宋体"/>
                <w:lang w:val="en-US" w:eastAsia="zh-CN" w:bidi="ar"/>
              </w:rPr>
              <w:t>G01</w:t>
            </w:r>
            <w:r>
              <w:rPr>
                <w:rFonts w:hint="eastAsia" w:ascii="宋体" w:hAnsi="宋体" w:eastAsia="宋体" w:cs="宋体"/>
                <w:i w:val="0"/>
                <w:iCs w:val="0"/>
                <w:color w:val="000000"/>
                <w:kern w:val="0"/>
                <w:sz w:val="20"/>
                <w:szCs w:val="20"/>
                <w:u w:val="none"/>
                <w:lang w:val="en-US" w:eastAsia="zh-CN" w:bidi="ar"/>
              </w:rPr>
              <w:t>材质</w:t>
            </w:r>
          </w:p>
        </w:tc>
      </w:tr>
      <w:tr w14:paraId="1F2EA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14D5AC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74813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鹰咀手打苏壳</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692F73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两</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3A15D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1FD6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7562814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261"/>
                <w:rFonts w:eastAsia="宋体"/>
                <w:lang w:val="en-US" w:eastAsia="zh-CN" w:bidi="ar"/>
              </w:rPr>
              <w:t>G01</w:t>
            </w:r>
            <w:r>
              <w:rPr>
                <w:rFonts w:hint="eastAsia" w:ascii="宋体" w:hAnsi="宋体" w:eastAsia="宋体" w:cs="宋体"/>
                <w:i w:val="0"/>
                <w:iCs w:val="0"/>
                <w:color w:val="000000"/>
                <w:kern w:val="0"/>
                <w:sz w:val="20"/>
                <w:szCs w:val="20"/>
                <w:u w:val="none"/>
                <w:lang w:val="en-US" w:eastAsia="zh-CN" w:bidi="ar"/>
              </w:rPr>
              <w:t>材质</w:t>
            </w:r>
          </w:p>
        </w:tc>
      </w:tr>
      <w:tr w14:paraId="1D94D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7DA37F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06B5B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鹰咀手打苏壳</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552CF91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两</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39CA9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A1C8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4D8A711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261"/>
                <w:rFonts w:eastAsia="宋体"/>
                <w:lang w:val="en-US" w:eastAsia="zh-CN" w:bidi="ar"/>
              </w:rPr>
              <w:t>G01</w:t>
            </w:r>
            <w:r>
              <w:rPr>
                <w:rFonts w:hint="eastAsia" w:ascii="宋体" w:hAnsi="宋体" w:eastAsia="宋体" w:cs="宋体"/>
                <w:i w:val="0"/>
                <w:iCs w:val="0"/>
                <w:color w:val="000000"/>
                <w:kern w:val="0"/>
                <w:sz w:val="20"/>
                <w:szCs w:val="20"/>
                <w:u w:val="none"/>
                <w:lang w:val="en-US" w:eastAsia="zh-CN" w:bidi="ar"/>
              </w:rPr>
              <w:t>材质</w:t>
            </w:r>
          </w:p>
        </w:tc>
      </w:tr>
      <w:tr w14:paraId="0D45C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47F47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B51BE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鹰咀手打苏壳</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74158E6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两</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87493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FDFB5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05F6E5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261"/>
                <w:rFonts w:eastAsia="宋体"/>
                <w:lang w:val="en-US" w:eastAsia="zh-CN" w:bidi="ar"/>
              </w:rPr>
              <w:t>G01</w:t>
            </w:r>
            <w:r>
              <w:rPr>
                <w:rFonts w:hint="eastAsia" w:ascii="宋体" w:hAnsi="宋体" w:eastAsia="宋体" w:cs="宋体"/>
                <w:i w:val="0"/>
                <w:iCs w:val="0"/>
                <w:color w:val="000000"/>
                <w:kern w:val="0"/>
                <w:sz w:val="20"/>
                <w:szCs w:val="20"/>
                <w:u w:val="none"/>
                <w:lang w:val="en-US" w:eastAsia="zh-CN" w:bidi="ar"/>
              </w:rPr>
              <w:t>材质</w:t>
            </w:r>
          </w:p>
        </w:tc>
      </w:tr>
      <w:tr w14:paraId="33944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3F76C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41539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全柄钢铲</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5FC18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80CM</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0345A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3BCC3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2D6D985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261"/>
                <w:rFonts w:eastAsia="宋体"/>
                <w:lang w:val="en-US" w:eastAsia="zh-CN" w:bidi="ar"/>
              </w:rPr>
              <w:t>G01</w:t>
            </w:r>
            <w:r>
              <w:rPr>
                <w:rFonts w:hint="eastAsia" w:ascii="宋体" w:hAnsi="宋体" w:eastAsia="宋体" w:cs="宋体"/>
                <w:i w:val="0"/>
                <w:iCs w:val="0"/>
                <w:color w:val="000000"/>
                <w:kern w:val="0"/>
                <w:sz w:val="20"/>
                <w:szCs w:val="20"/>
                <w:u w:val="none"/>
                <w:lang w:val="en-US" w:eastAsia="zh-CN" w:bidi="ar"/>
              </w:rPr>
              <w:t>材质</w:t>
            </w:r>
          </w:p>
        </w:tc>
      </w:tr>
      <w:tr w14:paraId="6FEA4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74E756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5CC2A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全柄钢壳</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10AD81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80CM</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A3F8B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6F805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621669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261"/>
                <w:rFonts w:eastAsia="宋体"/>
                <w:lang w:val="en-US" w:eastAsia="zh-CN" w:bidi="ar"/>
              </w:rPr>
              <w:t>G01</w:t>
            </w:r>
            <w:r>
              <w:rPr>
                <w:rFonts w:hint="eastAsia" w:ascii="宋体" w:hAnsi="宋体" w:eastAsia="宋体" w:cs="宋体"/>
                <w:i w:val="0"/>
                <w:iCs w:val="0"/>
                <w:color w:val="000000"/>
                <w:kern w:val="0"/>
                <w:sz w:val="20"/>
                <w:szCs w:val="20"/>
                <w:u w:val="none"/>
                <w:lang w:val="en-US" w:eastAsia="zh-CN" w:bidi="ar"/>
              </w:rPr>
              <w:t>材质</w:t>
            </w:r>
          </w:p>
        </w:tc>
      </w:tr>
      <w:tr w14:paraId="03F78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36079F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08CDD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不锈钢苏铲</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56C8A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276D2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5E231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03B7F50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261"/>
                <w:rFonts w:eastAsia="宋体"/>
                <w:lang w:val="en-US" w:eastAsia="zh-CN" w:bidi="ar"/>
              </w:rPr>
              <w:t>G01</w:t>
            </w:r>
            <w:r>
              <w:rPr>
                <w:rFonts w:hint="eastAsia" w:ascii="宋体" w:hAnsi="宋体" w:eastAsia="宋体" w:cs="宋体"/>
                <w:i w:val="0"/>
                <w:iCs w:val="0"/>
                <w:color w:val="000000"/>
                <w:kern w:val="0"/>
                <w:sz w:val="20"/>
                <w:szCs w:val="20"/>
                <w:u w:val="none"/>
                <w:lang w:val="en-US" w:eastAsia="zh-CN" w:bidi="ar"/>
              </w:rPr>
              <w:t>材质</w:t>
            </w:r>
          </w:p>
        </w:tc>
      </w:tr>
      <w:tr w14:paraId="4FE46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0652FF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443546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不锈钢苏铲</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2E9280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BD5C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FF49C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1614AF3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261"/>
                <w:rFonts w:eastAsia="宋体"/>
                <w:lang w:val="en-US" w:eastAsia="zh-CN" w:bidi="ar"/>
              </w:rPr>
              <w:t>G01</w:t>
            </w:r>
            <w:r>
              <w:rPr>
                <w:rFonts w:hint="eastAsia" w:ascii="宋体" w:hAnsi="宋体" w:eastAsia="宋体" w:cs="宋体"/>
                <w:i w:val="0"/>
                <w:iCs w:val="0"/>
                <w:color w:val="000000"/>
                <w:kern w:val="0"/>
                <w:sz w:val="20"/>
                <w:szCs w:val="20"/>
                <w:u w:val="none"/>
                <w:lang w:val="en-US" w:eastAsia="zh-CN" w:bidi="ar"/>
              </w:rPr>
              <w:t>材质</w:t>
            </w:r>
          </w:p>
        </w:tc>
      </w:tr>
      <w:tr w14:paraId="3151A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32899C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169CEC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港式全青锅刷</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2ED936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04A0C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1F91C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150A0DB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r>
      <w:tr w14:paraId="722C8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63AC99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8392CD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寸鼓型油盆</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274D0DA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30CM,10</w:t>
            </w:r>
            <w:r>
              <w:rPr>
                <w:rFonts w:hint="eastAsia" w:ascii="宋体" w:hAnsi="宋体" w:eastAsia="宋体" w:cs="宋体"/>
                <w:i w:val="0"/>
                <w:iCs w:val="0"/>
                <w:color w:val="000000"/>
                <w:kern w:val="0"/>
                <w:sz w:val="24"/>
                <w:szCs w:val="24"/>
                <w:u w:val="none"/>
                <w:lang w:val="en-US" w:eastAsia="zh-CN" w:bidi="ar"/>
              </w:rPr>
              <w:t>寸</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50949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B35DB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5914012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261"/>
                <w:rFonts w:eastAsia="宋体"/>
                <w:lang w:val="en-US" w:eastAsia="zh-CN" w:bidi="ar"/>
              </w:rPr>
              <w:t>G01</w:t>
            </w:r>
            <w:r>
              <w:rPr>
                <w:rFonts w:hint="eastAsia" w:ascii="宋体" w:hAnsi="宋体" w:eastAsia="宋体" w:cs="宋体"/>
                <w:i w:val="0"/>
                <w:iCs w:val="0"/>
                <w:color w:val="000000"/>
                <w:kern w:val="0"/>
                <w:sz w:val="20"/>
                <w:szCs w:val="20"/>
                <w:u w:val="none"/>
                <w:lang w:val="en-US" w:eastAsia="zh-CN" w:bidi="ar"/>
              </w:rPr>
              <w:t>材质</w:t>
            </w:r>
          </w:p>
        </w:tc>
      </w:tr>
      <w:tr w14:paraId="0DB36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2B4736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7C746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30CM吗木柄钢漏壳</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789ADB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7185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87B3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1EA53F0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261"/>
                <w:rFonts w:eastAsia="宋体"/>
                <w:lang w:val="en-US" w:eastAsia="zh-CN" w:bidi="ar"/>
              </w:rPr>
              <w:t>G01</w:t>
            </w:r>
            <w:r>
              <w:rPr>
                <w:rFonts w:hint="eastAsia" w:ascii="宋体" w:hAnsi="宋体" w:eastAsia="宋体" w:cs="宋体"/>
                <w:i w:val="0"/>
                <w:iCs w:val="0"/>
                <w:color w:val="000000"/>
                <w:kern w:val="0"/>
                <w:sz w:val="20"/>
                <w:szCs w:val="20"/>
                <w:u w:val="none"/>
                <w:lang w:val="en-US" w:eastAsia="zh-CN" w:bidi="ar"/>
              </w:rPr>
              <w:t>材质</w:t>
            </w:r>
          </w:p>
        </w:tc>
      </w:tr>
      <w:tr w14:paraId="53839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598B09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7A34BF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宽边钢油隔</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401BFA3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寸</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D62EA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646B8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254067B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261"/>
                <w:rFonts w:eastAsia="宋体"/>
                <w:lang w:val="en-US" w:eastAsia="zh-CN" w:bidi="ar"/>
              </w:rPr>
              <w:t>G01</w:t>
            </w:r>
            <w:r>
              <w:rPr>
                <w:rFonts w:hint="eastAsia" w:ascii="宋体" w:hAnsi="宋体" w:eastAsia="宋体" w:cs="宋体"/>
                <w:i w:val="0"/>
                <w:iCs w:val="0"/>
                <w:color w:val="000000"/>
                <w:kern w:val="0"/>
                <w:sz w:val="20"/>
                <w:szCs w:val="20"/>
                <w:u w:val="none"/>
                <w:lang w:val="en-US" w:eastAsia="zh-CN" w:bidi="ar"/>
              </w:rPr>
              <w:t>材质</w:t>
            </w:r>
          </w:p>
        </w:tc>
      </w:tr>
      <w:tr w14:paraId="0D2E7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5D5AB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5C9AB4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钢油隔</w:t>
            </w:r>
            <w:r>
              <w:rPr>
                <w:rFonts w:hint="default"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鸡汁滤网</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24D80F0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寸</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2AD2F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58190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45C5D15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261"/>
                <w:rFonts w:eastAsia="宋体"/>
                <w:lang w:val="en-US" w:eastAsia="zh-CN" w:bidi="ar"/>
              </w:rPr>
              <w:t>G01</w:t>
            </w:r>
            <w:r>
              <w:rPr>
                <w:rFonts w:hint="eastAsia" w:ascii="宋体" w:hAnsi="宋体" w:eastAsia="宋体" w:cs="宋体"/>
                <w:i w:val="0"/>
                <w:iCs w:val="0"/>
                <w:color w:val="000000"/>
                <w:kern w:val="0"/>
                <w:sz w:val="20"/>
                <w:szCs w:val="20"/>
                <w:u w:val="none"/>
                <w:lang w:val="en-US" w:eastAsia="zh-CN" w:bidi="ar"/>
              </w:rPr>
              <w:t>材质</w:t>
            </w:r>
          </w:p>
        </w:tc>
      </w:tr>
      <w:tr w14:paraId="36B61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50434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FAFAA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圆底油隔</w:t>
            </w:r>
            <w:r>
              <w:rPr>
                <w:rFonts w:hint="default"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滤勺</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23560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7寸</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8431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4130C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60CB5D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261"/>
                <w:rFonts w:eastAsia="宋体"/>
                <w:lang w:val="en-US" w:eastAsia="zh-CN" w:bidi="ar"/>
              </w:rPr>
              <w:t>G01</w:t>
            </w:r>
            <w:r>
              <w:rPr>
                <w:rFonts w:hint="eastAsia" w:ascii="宋体" w:hAnsi="宋体" w:eastAsia="宋体" w:cs="宋体"/>
                <w:i w:val="0"/>
                <w:iCs w:val="0"/>
                <w:color w:val="000000"/>
                <w:kern w:val="0"/>
                <w:sz w:val="20"/>
                <w:szCs w:val="20"/>
                <w:u w:val="none"/>
                <w:lang w:val="en-US" w:eastAsia="zh-CN" w:bidi="ar"/>
              </w:rPr>
              <w:t>材质</w:t>
            </w:r>
          </w:p>
        </w:tc>
      </w:tr>
      <w:tr w14:paraId="33BF5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5DFCDD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130807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32CM鹤牌港庄竹柄不锈钢机喱（BB）</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18C15C5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r>
              <w:rPr>
                <w:rFonts w:hint="eastAsia" w:ascii="宋体" w:hAnsi="宋体" w:eastAsia="宋体" w:cs="宋体"/>
                <w:i w:val="0"/>
                <w:iCs w:val="0"/>
                <w:color w:val="000000"/>
                <w:kern w:val="0"/>
                <w:sz w:val="24"/>
                <w:szCs w:val="24"/>
                <w:u w:val="none"/>
                <w:lang w:val="en-US" w:eastAsia="zh-CN" w:bidi="ar"/>
              </w:rPr>
              <w:t>寸</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163AB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20E7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4E1306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261"/>
                <w:rFonts w:eastAsia="宋体"/>
                <w:lang w:val="en-US" w:eastAsia="zh-CN" w:bidi="ar"/>
              </w:rPr>
              <w:t>G01</w:t>
            </w:r>
            <w:r>
              <w:rPr>
                <w:rFonts w:hint="eastAsia" w:ascii="宋体" w:hAnsi="宋体" w:eastAsia="宋体" w:cs="宋体"/>
                <w:i w:val="0"/>
                <w:iCs w:val="0"/>
                <w:color w:val="000000"/>
                <w:kern w:val="0"/>
                <w:sz w:val="20"/>
                <w:szCs w:val="20"/>
                <w:u w:val="none"/>
                <w:lang w:val="en-US" w:eastAsia="zh-CN" w:bidi="ar"/>
              </w:rPr>
              <w:t>材质</w:t>
            </w:r>
          </w:p>
        </w:tc>
      </w:tr>
      <w:tr w14:paraId="1CAD5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65EF39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4B604E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32CM鹤牌不锈钢线喱（BD）</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4DE5FFB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r>
              <w:rPr>
                <w:rFonts w:hint="eastAsia" w:ascii="宋体" w:hAnsi="宋体" w:eastAsia="宋体" w:cs="宋体"/>
                <w:i w:val="0"/>
                <w:iCs w:val="0"/>
                <w:color w:val="000000"/>
                <w:kern w:val="0"/>
                <w:sz w:val="24"/>
                <w:szCs w:val="24"/>
                <w:u w:val="none"/>
                <w:lang w:val="en-US" w:eastAsia="zh-CN" w:bidi="ar"/>
              </w:rPr>
              <w:t>寸</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DD4D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DB75E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1738C6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261"/>
                <w:rFonts w:eastAsia="宋体"/>
                <w:lang w:val="en-US" w:eastAsia="zh-CN" w:bidi="ar"/>
              </w:rPr>
              <w:t>G01</w:t>
            </w:r>
            <w:r>
              <w:rPr>
                <w:rFonts w:hint="eastAsia" w:ascii="宋体" w:hAnsi="宋体" w:eastAsia="宋体" w:cs="宋体"/>
                <w:i w:val="0"/>
                <w:iCs w:val="0"/>
                <w:color w:val="000000"/>
                <w:kern w:val="0"/>
                <w:sz w:val="20"/>
                <w:szCs w:val="20"/>
                <w:u w:val="none"/>
                <w:lang w:val="en-US" w:eastAsia="zh-CN" w:bidi="ar"/>
              </w:rPr>
              <w:t>材质</w:t>
            </w:r>
          </w:p>
        </w:tc>
      </w:tr>
      <w:tr w14:paraId="01FB8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30B56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BFB6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四厘美雅光身汤壳</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089D75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6CM/无磁</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5E92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BE70D3C">
            <w:pPr>
              <w:jc w:val="center"/>
              <w:rPr>
                <w:rFonts w:hint="eastAsia" w:ascii="宋体" w:hAnsi="宋体" w:eastAsia="宋体" w:cs="宋体"/>
                <w:i w:val="0"/>
                <w:iCs w:val="0"/>
                <w:color w:val="000000"/>
                <w:sz w:val="24"/>
                <w:szCs w:val="24"/>
                <w:u w:val="none"/>
              </w:rPr>
            </w:pP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2CE34146">
            <w:pPr>
              <w:jc w:val="center"/>
              <w:rPr>
                <w:rFonts w:hint="eastAsia" w:ascii="宋体" w:hAnsi="宋体" w:eastAsia="宋体" w:cs="宋体"/>
                <w:i w:val="0"/>
                <w:iCs w:val="0"/>
                <w:color w:val="000000"/>
                <w:sz w:val="20"/>
                <w:szCs w:val="20"/>
                <w:u w:val="none"/>
              </w:rPr>
            </w:pPr>
          </w:p>
        </w:tc>
      </w:tr>
      <w:tr w14:paraId="25B7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4C2B1A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1FF616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四厘美雅光身漏壳</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1311E4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6CM/无磁</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5043C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761EC1F">
            <w:pPr>
              <w:jc w:val="center"/>
              <w:rPr>
                <w:rFonts w:hint="eastAsia" w:ascii="宋体" w:hAnsi="宋体" w:eastAsia="宋体" w:cs="宋体"/>
                <w:i w:val="0"/>
                <w:iCs w:val="0"/>
                <w:color w:val="000000"/>
                <w:sz w:val="24"/>
                <w:szCs w:val="24"/>
                <w:u w:val="none"/>
              </w:rPr>
            </w:pP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3D9B2D52">
            <w:pPr>
              <w:jc w:val="center"/>
              <w:rPr>
                <w:rFonts w:hint="eastAsia" w:ascii="宋体" w:hAnsi="宋体" w:eastAsia="宋体" w:cs="宋体"/>
                <w:i w:val="0"/>
                <w:iCs w:val="0"/>
                <w:color w:val="000000"/>
                <w:sz w:val="20"/>
                <w:szCs w:val="20"/>
                <w:u w:val="none"/>
              </w:rPr>
            </w:pPr>
          </w:p>
        </w:tc>
      </w:tr>
      <w:tr w14:paraId="700B0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26B8A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8D0A4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木柄饭勺</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543DF4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大号</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B4DD6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589B83D">
            <w:pPr>
              <w:jc w:val="center"/>
              <w:rPr>
                <w:rFonts w:hint="eastAsia" w:ascii="宋体" w:hAnsi="宋体" w:eastAsia="宋体" w:cs="宋体"/>
                <w:i w:val="0"/>
                <w:iCs w:val="0"/>
                <w:color w:val="000000"/>
                <w:sz w:val="24"/>
                <w:szCs w:val="24"/>
                <w:u w:val="none"/>
              </w:rPr>
            </w:pP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54070631">
            <w:pPr>
              <w:jc w:val="center"/>
              <w:rPr>
                <w:rFonts w:hint="eastAsia" w:ascii="宋体" w:hAnsi="宋体" w:eastAsia="宋体" w:cs="宋体"/>
                <w:i w:val="0"/>
                <w:iCs w:val="0"/>
                <w:color w:val="000000"/>
                <w:sz w:val="20"/>
                <w:szCs w:val="20"/>
                <w:u w:val="none"/>
              </w:rPr>
            </w:pPr>
          </w:p>
        </w:tc>
      </w:tr>
      <w:tr w14:paraId="68A4C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26A3D6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43730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05款复底汤桶</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60474F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w:t>
            </w:r>
            <w:r>
              <w:rPr>
                <w:rFonts w:hint="default" w:ascii="Arial" w:hAnsi="Arial" w:eastAsia="宋体" w:cs="Arial"/>
                <w:i w:val="0"/>
                <w:iCs w:val="0"/>
                <w:color w:val="000000"/>
                <w:kern w:val="0"/>
                <w:sz w:val="24"/>
                <w:szCs w:val="24"/>
                <w:u w:val="none"/>
                <w:lang w:val="en-US" w:eastAsia="zh-CN" w:bidi="ar"/>
              </w:rPr>
              <w:t>:Φ500×500,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4503F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AFD86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3F2FB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铆钉加焊接，复合底，可上电磁炉</w:t>
            </w:r>
          </w:p>
        </w:tc>
      </w:tr>
      <w:tr w14:paraId="2DB9B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02BFA4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1E24D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05款复底汤桶</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419F48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w:t>
            </w:r>
            <w:r>
              <w:rPr>
                <w:rFonts w:hint="default" w:ascii="Arial" w:hAnsi="Arial" w:eastAsia="宋体" w:cs="Arial"/>
                <w:i w:val="0"/>
                <w:iCs w:val="0"/>
                <w:color w:val="000000"/>
                <w:kern w:val="0"/>
                <w:sz w:val="24"/>
                <w:szCs w:val="24"/>
                <w:u w:val="none"/>
                <w:lang w:val="en-US" w:eastAsia="zh-CN" w:bidi="ar"/>
              </w:rPr>
              <w:t>:Φ400×400,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E97AE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B36F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4DC82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铆钉加焊接，复合底，可上电磁炉</w:t>
            </w:r>
          </w:p>
        </w:tc>
      </w:tr>
      <w:tr w14:paraId="0253B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5C938A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58393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中圆顶厨师帽</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B35C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H225MM,20顶/包,55G</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EF1DF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3440E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0EB58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无纺布;建议高级厨师使用</w:t>
            </w:r>
          </w:p>
        </w:tc>
      </w:tr>
      <w:tr w14:paraId="73DE5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53FE0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4D2C0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船形厨工帽</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536B93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H100MM,50顶/包</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32391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4E016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w:t>
            </w:r>
          </w:p>
        </w:tc>
        <w:tc>
          <w:tcPr>
            <w:tcW w:w="7020" w:type="dxa"/>
            <w:tcBorders>
              <w:top w:val="single" w:color="000000" w:sz="4" w:space="0"/>
              <w:left w:val="single" w:color="000000" w:sz="4" w:space="0"/>
              <w:bottom w:val="single" w:color="000000" w:sz="4" w:space="0"/>
              <w:right w:val="nil"/>
            </w:tcBorders>
            <w:noWrap w:val="0"/>
            <w:vAlign w:val="center"/>
          </w:tcPr>
          <w:p w14:paraId="4F8A6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纸制,船形;100G/每平方米</w:t>
            </w:r>
          </w:p>
        </w:tc>
      </w:tr>
      <w:tr w14:paraId="38E6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308C2F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89CE0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双排扣厨师服</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696C19B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lang w:val="en-US" w:eastAsia="zh-CN" w:bidi="ar"/>
              </w:rPr>
              <w:t>中号</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2BC88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9D3B6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3252B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涤卡面料、含棉量高、防缩水处理、做工精细、双面缝制、不脱线、洗后不起皱、可机洗更牢固、免烫不变形</w:t>
            </w:r>
          </w:p>
        </w:tc>
      </w:tr>
      <w:tr w14:paraId="3618B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5235C9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76DC1B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高级防水围裙</w:t>
            </w:r>
            <w:r>
              <w:rPr>
                <w:rFonts w:hint="default"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蓝松紧</w:t>
            </w:r>
            <w:r>
              <w:rPr>
                <w:rFonts w:hint="default" w:ascii="Arial" w:hAnsi="Arial" w:eastAsia="宋体" w:cs="Arial"/>
                <w:i w:val="0"/>
                <w:iCs w:val="0"/>
                <w:color w:val="000000"/>
                <w:kern w:val="0"/>
                <w:sz w:val="24"/>
                <w:szCs w:val="24"/>
                <w:u w:val="none"/>
                <w:lang w:val="en-US" w:eastAsia="zh-CN" w:bidi="ar"/>
              </w:rPr>
              <w:t>)</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74C808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680×1000MM</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6B223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9E6C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6821B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牛筋布覆</w:t>
            </w:r>
            <w:r>
              <w:rPr>
                <w:rStyle w:val="261"/>
                <w:rFonts w:eastAsia="宋体"/>
                <w:lang w:val="en-US" w:eastAsia="zh-CN" w:bidi="ar"/>
              </w:rPr>
              <w:t>PVC</w:t>
            </w:r>
            <w:r>
              <w:rPr>
                <w:rFonts w:hint="eastAsia" w:ascii="宋体" w:hAnsi="宋体" w:eastAsia="宋体" w:cs="宋体"/>
                <w:i w:val="0"/>
                <w:iCs w:val="0"/>
                <w:color w:val="000000"/>
                <w:kern w:val="0"/>
                <w:sz w:val="20"/>
                <w:szCs w:val="20"/>
                <w:u w:val="none"/>
                <w:lang w:val="en-US" w:eastAsia="zh-CN" w:bidi="ar"/>
              </w:rPr>
              <w:t>层</w:t>
            </w:r>
          </w:p>
        </w:tc>
      </w:tr>
      <w:tr w14:paraId="47067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4F4F7D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50C994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防水衬套</w:t>
            </w:r>
            <w:r>
              <w:rPr>
                <w:rFonts w:hint="default"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蓝色</w:t>
            </w:r>
            <w:r>
              <w:rPr>
                <w:rFonts w:hint="default" w:ascii="Arial" w:hAnsi="Arial" w:eastAsia="宋体" w:cs="Arial"/>
                <w:i w:val="0"/>
                <w:iCs w:val="0"/>
                <w:color w:val="000000"/>
                <w:kern w:val="0"/>
                <w:sz w:val="24"/>
                <w:szCs w:val="24"/>
                <w:u w:val="none"/>
                <w:lang w:val="en-US" w:eastAsia="zh-CN" w:bidi="ar"/>
              </w:rPr>
              <w:t>)</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58773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CE37D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4BAEE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65303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牛筋布覆</w:t>
            </w:r>
            <w:r>
              <w:rPr>
                <w:rStyle w:val="261"/>
                <w:rFonts w:eastAsia="宋体"/>
                <w:lang w:val="en-US" w:eastAsia="zh-CN" w:bidi="ar"/>
              </w:rPr>
              <w:t>PVC</w:t>
            </w:r>
            <w:r>
              <w:rPr>
                <w:rFonts w:hint="eastAsia" w:ascii="宋体" w:hAnsi="宋体" w:eastAsia="宋体" w:cs="宋体"/>
                <w:i w:val="0"/>
                <w:iCs w:val="0"/>
                <w:color w:val="000000"/>
                <w:kern w:val="0"/>
                <w:sz w:val="20"/>
                <w:szCs w:val="20"/>
                <w:u w:val="none"/>
                <w:lang w:val="en-US" w:eastAsia="zh-CN" w:bidi="ar"/>
              </w:rPr>
              <w:t>层</w:t>
            </w:r>
          </w:p>
        </w:tc>
      </w:tr>
      <w:tr w14:paraId="0ADEF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5A2164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7102F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胶手套</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4046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均码</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C1D1D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90FF0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2456F521">
            <w:pPr>
              <w:jc w:val="center"/>
              <w:rPr>
                <w:rFonts w:hint="eastAsia" w:ascii="宋体" w:hAnsi="宋体" w:eastAsia="宋体" w:cs="宋体"/>
                <w:i w:val="0"/>
                <w:iCs w:val="0"/>
                <w:color w:val="000000"/>
                <w:sz w:val="20"/>
                <w:szCs w:val="20"/>
                <w:u w:val="none"/>
              </w:rPr>
            </w:pPr>
          </w:p>
        </w:tc>
      </w:tr>
      <w:tr w14:paraId="7AC54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556A2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39D46B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保鲜盒</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11379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395*266*122mm</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E207D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EB4D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2ADA5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PC材质</w:t>
            </w:r>
          </w:p>
        </w:tc>
      </w:tr>
      <w:tr w14:paraId="1FA0C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2A1E4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3FC5A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保鲜盒</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554AE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343*231*113mm</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CA0D9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63EA9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1E487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PC材质</w:t>
            </w:r>
          </w:p>
        </w:tc>
      </w:tr>
      <w:tr w14:paraId="52B7E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49A00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31DE2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保鲜盒</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591D3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300*205*105mm</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C7EA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18B19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20" w:type="dxa"/>
            <w:tcBorders>
              <w:top w:val="single" w:color="000000" w:sz="4" w:space="0"/>
              <w:left w:val="single" w:color="000000" w:sz="4" w:space="0"/>
              <w:bottom w:val="single" w:color="000000" w:sz="4" w:space="0"/>
              <w:right w:val="single" w:color="000000" w:sz="4" w:space="0"/>
            </w:tcBorders>
            <w:noWrap w:val="0"/>
            <w:vAlign w:val="center"/>
          </w:tcPr>
          <w:p w14:paraId="4A4EB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PC材质</w:t>
            </w:r>
          </w:p>
        </w:tc>
      </w:tr>
    </w:tbl>
    <w:p w14:paraId="2E676A22">
      <w:pPr>
        <w:rPr>
          <w:b/>
          <w:color w:val="auto"/>
          <w:sz w:val="24"/>
        </w:rPr>
      </w:pPr>
    </w:p>
    <w:tbl>
      <w:tblPr>
        <w:tblStyle w:val="44"/>
        <w:tblW w:w="127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5"/>
        <w:gridCol w:w="1105"/>
        <w:gridCol w:w="7639"/>
        <w:gridCol w:w="10"/>
        <w:gridCol w:w="1566"/>
        <w:gridCol w:w="20"/>
        <w:gridCol w:w="1584"/>
      </w:tblGrid>
      <w:tr w14:paraId="4E93B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759" w:type="dxa"/>
            <w:gridSpan w:val="7"/>
            <w:tcBorders>
              <w:top w:val="single" w:color="auto" w:sz="4" w:space="0"/>
              <w:left w:val="single" w:color="auto" w:sz="4" w:space="0"/>
              <w:bottom w:val="single" w:color="000000" w:sz="4" w:space="0"/>
              <w:right w:val="single" w:color="auto" w:sz="4" w:space="0"/>
            </w:tcBorders>
            <w:noWrap w:val="0"/>
            <w:vAlign w:val="center"/>
          </w:tcPr>
          <w:p w14:paraId="6294882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宿舍 （384间）</w:t>
            </w:r>
          </w:p>
        </w:tc>
      </w:tr>
      <w:tr w14:paraId="52E8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835" w:type="dxa"/>
            <w:tcBorders>
              <w:top w:val="single" w:color="000000" w:sz="4" w:space="0"/>
              <w:left w:val="single" w:color="auto" w:sz="4" w:space="0"/>
              <w:bottom w:val="single" w:color="000000" w:sz="4" w:space="0"/>
              <w:right w:val="single" w:color="000000" w:sz="4" w:space="0"/>
            </w:tcBorders>
            <w:noWrap w:val="0"/>
            <w:vAlign w:val="center"/>
          </w:tcPr>
          <w:p w14:paraId="055D40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0E377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7639" w:type="dxa"/>
            <w:tcBorders>
              <w:top w:val="single" w:color="000000" w:sz="4" w:space="0"/>
              <w:left w:val="single" w:color="000000" w:sz="4" w:space="0"/>
              <w:bottom w:val="single" w:color="000000" w:sz="4" w:space="0"/>
              <w:right w:val="single" w:color="000000" w:sz="4" w:space="0"/>
            </w:tcBorders>
            <w:noWrap w:val="0"/>
            <w:vAlign w:val="center"/>
          </w:tcPr>
          <w:p w14:paraId="2A6076A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c>
          <w:tcPr>
            <w:tcW w:w="1576" w:type="dxa"/>
            <w:gridSpan w:val="2"/>
            <w:tcBorders>
              <w:top w:val="single" w:color="000000" w:sz="4" w:space="0"/>
              <w:left w:val="single" w:color="000000" w:sz="4" w:space="0"/>
              <w:bottom w:val="single" w:color="000000" w:sz="4" w:space="0"/>
              <w:right w:val="single" w:color="000000" w:sz="4" w:space="0"/>
            </w:tcBorders>
            <w:noWrap w:val="0"/>
            <w:vAlign w:val="center"/>
          </w:tcPr>
          <w:p w14:paraId="1C398B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604" w:type="dxa"/>
            <w:gridSpan w:val="2"/>
            <w:tcBorders>
              <w:top w:val="single" w:color="000000" w:sz="4" w:space="0"/>
              <w:left w:val="single" w:color="000000" w:sz="4" w:space="0"/>
              <w:bottom w:val="single" w:color="000000" w:sz="4" w:space="0"/>
              <w:right w:val="single" w:color="auto" w:sz="4" w:space="0"/>
            </w:tcBorders>
            <w:noWrap w:val="0"/>
            <w:vAlign w:val="center"/>
          </w:tcPr>
          <w:p w14:paraId="386A50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05F17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835" w:type="dxa"/>
            <w:tcBorders>
              <w:top w:val="single" w:color="000000" w:sz="4" w:space="0"/>
              <w:left w:val="single" w:color="auto" w:sz="4" w:space="0"/>
              <w:bottom w:val="single" w:color="auto" w:sz="4" w:space="0"/>
              <w:right w:val="single" w:color="000000" w:sz="4" w:space="0"/>
            </w:tcBorders>
            <w:noWrap w:val="0"/>
            <w:vAlign w:val="center"/>
          </w:tcPr>
          <w:p w14:paraId="67886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5" w:type="dxa"/>
            <w:tcBorders>
              <w:top w:val="single" w:color="000000" w:sz="4" w:space="0"/>
              <w:left w:val="single" w:color="000000" w:sz="4" w:space="0"/>
              <w:bottom w:val="single" w:color="auto" w:sz="4" w:space="0"/>
              <w:right w:val="single" w:color="000000" w:sz="4" w:space="0"/>
            </w:tcBorders>
            <w:noWrap w:val="0"/>
            <w:vAlign w:val="center"/>
          </w:tcPr>
          <w:p w14:paraId="336BD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两层床</w:t>
            </w:r>
          </w:p>
        </w:tc>
        <w:tc>
          <w:tcPr>
            <w:tcW w:w="7639" w:type="dxa"/>
            <w:tcBorders>
              <w:top w:val="single" w:color="000000" w:sz="4" w:space="0"/>
              <w:left w:val="single" w:color="000000" w:sz="4" w:space="0"/>
              <w:bottom w:val="single" w:color="auto" w:sz="4" w:space="0"/>
              <w:right w:val="single" w:color="000000" w:sz="4" w:space="0"/>
            </w:tcBorders>
            <w:noWrap w:val="0"/>
            <w:vAlign w:val="center"/>
          </w:tcPr>
          <w:p w14:paraId="46946A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上下铺铁床1750mm高*900mm宽*1980mm长；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立柱40mm*40mm镀锌方管壁厚1.2mm厚，床铺30mm*50mm镀锌方管壁厚1.2mm厚，其余辅材25mm*25mm镀锌方管壁厚0.8mm厚.床板1公分2mm厚两面光条木板.高温防静电流水线喷涂颜色灰白色</w:t>
            </w:r>
          </w:p>
        </w:tc>
        <w:tc>
          <w:tcPr>
            <w:tcW w:w="1576" w:type="dxa"/>
            <w:gridSpan w:val="2"/>
            <w:tcBorders>
              <w:top w:val="single" w:color="000000" w:sz="4" w:space="0"/>
              <w:left w:val="single" w:color="000000" w:sz="4" w:space="0"/>
              <w:bottom w:val="single" w:color="auto" w:sz="4" w:space="0"/>
              <w:right w:val="single" w:color="000000" w:sz="4" w:space="0"/>
            </w:tcBorders>
            <w:noWrap w:val="0"/>
            <w:vAlign w:val="center"/>
          </w:tcPr>
          <w:p w14:paraId="7AD36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604" w:type="dxa"/>
            <w:gridSpan w:val="2"/>
            <w:tcBorders>
              <w:top w:val="single" w:color="000000" w:sz="4" w:space="0"/>
              <w:left w:val="single" w:color="000000" w:sz="4" w:space="0"/>
              <w:bottom w:val="single" w:color="auto" w:sz="4" w:space="0"/>
              <w:right w:val="single" w:color="auto" w:sz="4" w:space="0"/>
            </w:tcBorders>
            <w:noWrap w:val="0"/>
            <w:vAlign w:val="center"/>
          </w:tcPr>
          <w:p w14:paraId="69BCF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14:paraId="3641F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35" w:type="dxa"/>
            <w:tcBorders>
              <w:top w:val="single" w:color="auto" w:sz="4" w:space="0"/>
              <w:left w:val="single" w:color="000000" w:sz="4" w:space="0"/>
              <w:bottom w:val="single" w:color="auto" w:sz="4" w:space="0"/>
              <w:right w:val="single" w:color="000000" w:sz="4" w:space="0"/>
            </w:tcBorders>
            <w:noWrap w:val="0"/>
            <w:vAlign w:val="center"/>
          </w:tcPr>
          <w:p w14:paraId="31B83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5" w:type="dxa"/>
            <w:tcBorders>
              <w:top w:val="single" w:color="auto" w:sz="4" w:space="0"/>
              <w:left w:val="single" w:color="000000" w:sz="4" w:space="0"/>
              <w:bottom w:val="single" w:color="auto" w:sz="4" w:space="0"/>
              <w:right w:val="single" w:color="000000" w:sz="4" w:space="0"/>
            </w:tcBorders>
            <w:noWrap w:val="0"/>
            <w:vAlign w:val="center"/>
          </w:tcPr>
          <w:p w14:paraId="011CD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八人柜</w:t>
            </w:r>
          </w:p>
        </w:tc>
        <w:tc>
          <w:tcPr>
            <w:tcW w:w="7639" w:type="dxa"/>
            <w:tcBorders>
              <w:top w:val="single" w:color="auto" w:sz="4" w:space="0"/>
              <w:left w:val="single" w:color="000000" w:sz="4" w:space="0"/>
              <w:bottom w:val="single" w:color="auto" w:sz="4" w:space="0"/>
              <w:right w:val="single" w:color="000000" w:sz="4" w:space="0"/>
            </w:tcBorders>
            <w:noWrap w:val="0"/>
            <w:vAlign w:val="center"/>
          </w:tcPr>
          <w:p w14:paraId="636AD0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1800mm高*850mm宽*390mm深优质冷轧钢0.6mm厚.高温防静电流水线喷涂颜色灰白色</w:t>
            </w:r>
          </w:p>
        </w:tc>
        <w:tc>
          <w:tcPr>
            <w:tcW w:w="1576" w:type="dxa"/>
            <w:gridSpan w:val="2"/>
            <w:tcBorders>
              <w:top w:val="single" w:color="auto" w:sz="4" w:space="0"/>
              <w:left w:val="single" w:color="000000" w:sz="4" w:space="0"/>
              <w:bottom w:val="single" w:color="auto" w:sz="4" w:space="0"/>
              <w:right w:val="single" w:color="000000" w:sz="4" w:space="0"/>
            </w:tcBorders>
            <w:noWrap w:val="0"/>
            <w:vAlign w:val="center"/>
          </w:tcPr>
          <w:p w14:paraId="1E850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604" w:type="dxa"/>
            <w:gridSpan w:val="2"/>
            <w:tcBorders>
              <w:top w:val="single" w:color="auto" w:sz="4" w:space="0"/>
              <w:left w:val="single" w:color="000000" w:sz="4" w:space="0"/>
              <w:bottom w:val="single" w:color="auto" w:sz="4" w:space="0"/>
              <w:right w:val="single" w:color="000000" w:sz="4" w:space="0"/>
            </w:tcBorders>
            <w:noWrap w:val="0"/>
            <w:vAlign w:val="center"/>
          </w:tcPr>
          <w:p w14:paraId="414AC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8630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835" w:type="dxa"/>
            <w:tcBorders>
              <w:top w:val="single" w:color="auto" w:sz="4" w:space="0"/>
              <w:left w:val="single" w:color="auto" w:sz="4" w:space="0"/>
              <w:bottom w:val="single" w:color="000000" w:sz="4" w:space="0"/>
              <w:right w:val="single" w:color="000000" w:sz="4" w:space="0"/>
            </w:tcBorders>
            <w:noWrap w:val="0"/>
            <w:vAlign w:val="center"/>
          </w:tcPr>
          <w:p w14:paraId="746F3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05" w:type="dxa"/>
            <w:tcBorders>
              <w:top w:val="single" w:color="auto" w:sz="4" w:space="0"/>
              <w:left w:val="single" w:color="000000" w:sz="4" w:space="0"/>
              <w:bottom w:val="single" w:color="000000" w:sz="4" w:space="0"/>
              <w:right w:val="single" w:color="000000" w:sz="4" w:space="0"/>
            </w:tcBorders>
            <w:noWrap w:val="0"/>
            <w:vAlign w:val="center"/>
          </w:tcPr>
          <w:p w14:paraId="49BD4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网罩风扇</w:t>
            </w:r>
          </w:p>
        </w:tc>
        <w:tc>
          <w:tcPr>
            <w:tcW w:w="7639" w:type="dxa"/>
            <w:tcBorders>
              <w:top w:val="single" w:color="auto" w:sz="4" w:space="0"/>
              <w:left w:val="single" w:color="000000" w:sz="4" w:space="0"/>
              <w:bottom w:val="single" w:color="000000" w:sz="4" w:space="0"/>
              <w:right w:val="single" w:color="000000" w:sz="4" w:space="0"/>
            </w:tcBorders>
            <w:noWrap w:val="0"/>
            <w:vAlign w:val="top"/>
          </w:tcPr>
          <w:p w14:paraId="20A9EBF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噪 音: 68DB(A) 电机: 铜线电机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型号: FW-45-C1801T 风量档位: 三档(强中弱) 毛重: 4.3KG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类型:机械款挂壁扇 扇叶: 优质海棠叶 风类选择: 无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额定功率:60W 额定电压:220V </w:t>
            </w:r>
          </w:p>
        </w:tc>
        <w:tc>
          <w:tcPr>
            <w:tcW w:w="1576" w:type="dxa"/>
            <w:gridSpan w:val="2"/>
            <w:tcBorders>
              <w:top w:val="single" w:color="auto" w:sz="4" w:space="0"/>
              <w:left w:val="single" w:color="000000" w:sz="4" w:space="0"/>
              <w:bottom w:val="single" w:color="000000" w:sz="4" w:space="0"/>
              <w:right w:val="single" w:color="000000" w:sz="4" w:space="0"/>
            </w:tcBorders>
            <w:noWrap w:val="0"/>
            <w:vAlign w:val="center"/>
          </w:tcPr>
          <w:p w14:paraId="1CFB5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604" w:type="dxa"/>
            <w:gridSpan w:val="2"/>
            <w:tcBorders>
              <w:top w:val="single" w:color="auto" w:sz="4" w:space="0"/>
              <w:left w:val="single" w:color="000000" w:sz="4" w:space="0"/>
              <w:bottom w:val="single" w:color="000000" w:sz="4" w:space="0"/>
              <w:right w:val="single" w:color="auto" w:sz="4" w:space="0"/>
            </w:tcBorders>
            <w:noWrap w:val="0"/>
            <w:vAlign w:val="center"/>
          </w:tcPr>
          <w:p w14:paraId="44BD3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D689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759" w:type="dxa"/>
            <w:gridSpan w:val="7"/>
            <w:tcBorders>
              <w:top w:val="single" w:color="000000" w:sz="4" w:space="0"/>
              <w:left w:val="single" w:color="auto" w:sz="4" w:space="0"/>
              <w:bottom w:val="single" w:color="auto" w:sz="4" w:space="0"/>
              <w:right w:val="single" w:color="auto" w:sz="4" w:space="0"/>
            </w:tcBorders>
            <w:noWrap w:val="0"/>
            <w:vAlign w:val="center"/>
          </w:tcPr>
          <w:p w14:paraId="24C50D3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教室（42间）</w:t>
            </w:r>
          </w:p>
        </w:tc>
      </w:tr>
      <w:tr w14:paraId="08776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835" w:type="dxa"/>
            <w:tcBorders>
              <w:top w:val="single" w:color="auto" w:sz="4" w:space="0"/>
              <w:left w:val="single" w:color="000000" w:sz="4" w:space="0"/>
              <w:bottom w:val="single" w:color="000000" w:sz="4" w:space="0"/>
              <w:right w:val="single" w:color="000000" w:sz="4" w:space="0"/>
            </w:tcBorders>
            <w:noWrap w:val="0"/>
            <w:vAlign w:val="center"/>
          </w:tcPr>
          <w:p w14:paraId="5AE4E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5" w:type="dxa"/>
            <w:tcBorders>
              <w:top w:val="single" w:color="auto" w:sz="4" w:space="0"/>
              <w:left w:val="single" w:color="000000" w:sz="4" w:space="0"/>
              <w:bottom w:val="single" w:color="000000" w:sz="4" w:space="0"/>
              <w:right w:val="single" w:color="000000" w:sz="4" w:space="0"/>
            </w:tcBorders>
            <w:noWrap w:val="0"/>
            <w:vAlign w:val="center"/>
          </w:tcPr>
          <w:p w14:paraId="3EACC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单人桌凳</w:t>
            </w:r>
          </w:p>
        </w:tc>
        <w:tc>
          <w:tcPr>
            <w:tcW w:w="7639" w:type="dxa"/>
            <w:tcBorders>
              <w:top w:val="single" w:color="auto" w:sz="4" w:space="0"/>
              <w:left w:val="single" w:color="000000" w:sz="4" w:space="0"/>
              <w:bottom w:val="single" w:color="000000" w:sz="4" w:space="0"/>
              <w:right w:val="single" w:color="000000" w:sz="4" w:space="0"/>
            </w:tcBorders>
            <w:noWrap w:val="0"/>
            <w:vAlign w:val="center"/>
          </w:tcPr>
          <w:p w14:paraId="3C0116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1、课桌：结构：双柱双层升降式,桌面垂直净高度大于或者等于660mm-780mm 可调整，桌子地脚管大于或者等于 30x50 型管，立柱、横梁用材大于或者等于 1.0mm 厚，规格为大于或者等于 50mm×30mm 的椭圆形钢钢管，采用二氧化碳气保焊进行满焊接，对焊接点进行抛光、打磨处理，钢材表面实行高温处理、全自动流水线喷涂而成。桌面板规格大于或者等于 600mm×400mm，采用大于或者等于 18mm 厚 E1 级密度板，大型机器械注塑一次成型无缝包边，三聚氰胺饰面。抗压、耐磨、耐冲击。面板前方设笔槽。桌斗板：采用冷轧板厚度为大于或者等于 1.0mm，经一次性冲压成型，背板、侧板、隔板为可拆装式，用铆钉连接安装成形。所有铁件经防锈、除油、静电喷涂、高温处理。双柱升降大腿片规格为大于或者等于 350*380*230mm：采用冷轧钢板大于或者等于2.0mm 厚,经一次性冲压成型，配备大于或者等于φ4.5mm 钢筋与大于或者等于φ16X1.0mm 圆管弯管焊接铁篮，设计增加学生腿部活动空间，经除锈、油、静电喷涂、高温处理。螺丝：大于或者等于 8mm，采用防松螺栓连接,不生锈。脚套：椅子脚底安装脚套，脚套材质:PP（聚丙烯），厚大于或者等于 0.5cm，并有防松动固定倒钩设计。连接方式：阻尼螺母连接，防松脱。工艺：所用金属件经除油、除锈经抛丸处理后进行表面流水线无尘静电喷塑。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2、课凳：结构：双柱升降式，凳面垂直高度为大于或者等于360mm-420mm 可调整，椅子地脚管规格为大于或者等于 30x50型管，                                                                                                                               立柱、横梁用材大于或者等于 1.0mm 厚，规格为大于或者等于 50mm×30mm 的椭圆形钢管，采用二氧化碳气保焊机器人自动满焊焊接，对焊接点进行抛光、打磨处理，焊接工艺精良、稳定性好，钢材表面实行高温处理、经全自动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流水线喷涂而成。凳面板为采用大于或者等于 18mmE1 密度板，大型机械注塑一次成型无缝包边，三聚氰胺饰面；双柱升降小腿片：采用冷轧钢板大于或者等于 1.0mm 厚,经一次性冲压成型，经防锈、除油、静电喷涂、高温处理。螺丝：大于或者等于 8mm，采用防松螺栓连接，坚固、耐用、不生锈。脚套：椅子脚底安装脚套，脚套材质:PP（聚丙烯），厚大于或者等于 0.5cm，并有防松动固定倒钩设计。连接方式：阻尼螺母连接，防松脱。工艺：所用金属件经除油、除锈经抛丸处理后进行表面流水线无尘静电喷塑。</w:t>
            </w:r>
          </w:p>
        </w:tc>
        <w:tc>
          <w:tcPr>
            <w:tcW w:w="1576" w:type="dxa"/>
            <w:gridSpan w:val="2"/>
            <w:tcBorders>
              <w:top w:val="single" w:color="auto" w:sz="4" w:space="0"/>
              <w:left w:val="single" w:color="000000" w:sz="4" w:space="0"/>
              <w:bottom w:val="single" w:color="000000" w:sz="4" w:space="0"/>
              <w:right w:val="single" w:color="000000" w:sz="4" w:space="0"/>
            </w:tcBorders>
            <w:noWrap w:val="0"/>
            <w:vAlign w:val="center"/>
          </w:tcPr>
          <w:p w14:paraId="0761A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1604" w:type="dxa"/>
            <w:gridSpan w:val="2"/>
            <w:tcBorders>
              <w:top w:val="single" w:color="auto" w:sz="4" w:space="0"/>
              <w:left w:val="single" w:color="000000" w:sz="4" w:space="0"/>
              <w:bottom w:val="single" w:color="000000" w:sz="4" w:space="0"/>
              <w:right w:val="single" w:color="000000" w:sz="4" w:space="0"/>
            </w:tcBorders>
            <w:noWrap w:val="0"/>
            <w:vAlign w:val="center"/>
          </w:tcPr>
          <w:p w14:paraId="73F2A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C26A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14:paraId="4FF22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2B45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讲桌</w:t>
            </w:r>
          </w:p>
        </w:tc>
        <w:tc>
          <w:tcPr>
            <w:tcW w:w="7639" w:type="dxa"/>
            <w:tcBorders>
              <w:top w:val="single" w:color="000000" w:sz="4" w:space="0"/>
              <w:left w:val="single" w:color="000000" w:sz="4" w:space="0"/>
              <w:bottom w:val="single" w:color="000000" w:sz="4" w:space="0"/>
              <w:right w:val="single" w:color="000000" w:sz="4" w:space="0"/>
            </w:tcBorders>
            <w:noWrap w:val="0"/>
            <w:vAlign w:val="center"/>
          </w:tcPr>
          <w:p w14:paraId="35F55C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1、尺寸：1000mm*700mm*1000mm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2、桌面采用木纹色生态板覆盖，桌面具有防刮、无毒、 防潮、表面 光滑、美观， 且色彩高雅、手感舒适强。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3、键盘采用开放式隐藏抽拉设计，实用方便。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4、扶手采用高档木质材料，防刮，耐磨，颜色为木纹色，形状为独 特鸭嘴状，与桌体钢木结合，美观大方。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5、讲台四周采用圆弧过渡，避免发生磕碰造成伤害，整体结构紧凑， 空间设计合理。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6、讲台下体正对老师的门可打开，便于进行电脑主机的维修。下体 空间仅可放置台式机电脑主机。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7、采用一面进线结构，所有布线孔均采用绝缘品装置隔离电源线， 安全可靠。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8、全部的加工件均采用模具成型，先进的工装夹具、配合全自动焊 接工艺，保障尺寸精度及各部件一致性。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资质</w:t>
            </w:r>
          </w:p>
        </w:tc>
        <w:tc>
          <w:tcPr>
            <w:tcW w:w="1576" w:type="dxa"/>
            <w:gridSpan w:val="2"/>
            <w:tcBorders>
              <w:top w:val="single" w:color="000000" w:sz="4" w:space="0"/>
              <w:left w:val="single" w:color="000000" w:sz="4" w:space="0"/>
              <w:bottom w:val="single" w:color="000000" w:sz="4" w:space="0"/>
              <w:right w:val="single" w:color="000000" w:sz="4" w:space="0"/>
            </w:tcBorders>
            <w:noWrap w:val="0"/>
            <w:vAlign w:val="center"/>
          </w:tcPr>
          <w:p w14:paraId="3D08F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604" w:type="dxa"/>
            <w:gridSpan w:val="2"/>
            <w:tcBorders>
              <w:top w:val="single" w:color="000000" w:sz="4" w:space="0"/>
              <w:left w:val="single" w:color="000000" w:sz="4" w:space="0"/>
              <w:bottom w:val="single" w:color="000000" w:sz="4" w:space="0"/>
              <w:right w:val="single" w:color="000000" w:sz="4" w:space="0"/>
            </w:tcBorders>
            <w:noWrap w:val="0"/>
            <w:vAlign w:val="center"/>
          </w:tcPr>
          <w:p w14:paraId="6AC87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14:paraId="72751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835" w:type="dxa"/>
            <w:tcBorders>
              <w:top w:val="single" w:color="000000" w:sz="4" w:space="0"/>
              <w:left w:val="single" w:color="000000" w:sz="4" w:space="0"/>
              <w:bottom w:val="single" w:color="auto" w:sz="4" w:space="0"/>
              <w:right w:val="single" w:color="000000" w:sz="4" w:space="0"/>
            </w:tcBorders>
            <w:noWrap w:val="0"/>
            <w:vAlign w:val="center"/>
          </w:tcPr>
          <w:p w14:paraId="2B918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05" w:type="dxa"/>
            <w:tcBorders>
              <w:top w:val="single" w:color="000000" w:sz="4" w:space="0"/>
              <w:left w:val="single" w:color="000000" w:sz="4" w:space="0"/>
              <w:bottom w:val="single" w:color="auto" w:sz="4" w:space="0"/>
              <w:right w:val="single" w:color="000000" w:sz="4" w:space="0"/>
            </w:tcBorders>
            <w:noWrap w:val="0"/>
            <w:vAlign w:val="center"/>
          </w:tcPr>
          <w:p w14:paraId="15F0D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风扇灯</w:t>
            </w:r>
          </w:p>
        </w:tc>
        <w:tc>
          <w:tcPr>
            <w:tcW w:w="7639" w:type="dxa"/>
            <w:tcBorders>
              <w:top w:val="single" w:color="000000" w:sz="4" w:space="0"/>
              <w:left w:val="single" w:color="000000" w:sz="4" w:space="0"/>
              <w:bottom w:val="single" w:color="auto" w:sz="4" w:space="0"/>
              <w:right w:val="single" w:color="000000" w:sz="4" w:space="0"/>
            </w:tcBorders>
            <w:noWrap w:val="0"/>
            <w:vAlign w:val="top"/>
          </w:tcPr>
          <w:p w14:paraId="19B9FC4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通俗规格:1400mm   产品颜色:白色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产品功率:82W 风力档位:5档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外形尺寸:237*237*214mm           风量:270m/min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使用电压:220V 毛重:7.16KG   带灯</w:t>
            </w:r>
          </w:p>
        </w:tc>
        <w:tc>
          <w:tcPr>
            <w:tcW w:w="1576" w:type="dxa"/>
            <w:gridSpan w:val="2"/>
            <w:tcBorders>
              <w:top w:val="single" w:color="000000" w:sz="4" w:space="0"/>
              <w:left w:val="single" w:color="000000" w:sz="4" w:space="0"/>
              <w:bottom w:val="single" w:color="auto" w:sz="4" w:space="0"/>
              <w:right w:val="single" w:color="000000" w:sz="4" w:space="0"/>
            </w:tcBorders>
            <w:noWrap w:val="0"/>
            <w:vAlign w:val="center"/>
          </w:tcPr>
          <w:p w14:paraId="7F87B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604" w:type="dxa"/>
            <w:gridSpan w:val="2"/>
            <w:tcBorders>
              <w:top w:val="single" w:color="000000" w:sz="4" w:space="0"/>
              <w:left w:val="single" w:color="000000" w:sz="4" w:space="0"/>
              <w:bottom w:val="single" w:color="auto" w:sz="4" w:space="0"/>
              <w:right w:val="single" w:color="000000" w:sz="4" w:space="0"/>
            </w:tcBorders>
            <w:noWrap w:val="0"/>
            <w:vAlign w:val="center"/>
          </w:tcPr>
          <w:p w14:paraId="6475F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D25C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2759" w:type="dxa"/>
            <w:gridSpan w:val="7"/>
            <w:tcBorders>
              <w:top w:val="single" w:color="auto" w:sz="4" w:space="0"/>
              <w:left w:val="single" w:color="auto" w:sz="4" w:space="0"/>
              <w:bottom w:val="single" w:color="auto" w:sz="4" w:space="0"/>
              <w:right w:val="single" w:color="auto" w:sz="4" w:space="0"/>
            </w:tcBorders>
            <w:noWrap w:val="0"/>
            <w:vAlign w:val="center"/>
          </w:tcPr>
          <w:p w14:paraId="5310C94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班子成员办公室（6间）</w:t>
            </w:r>
          </w:p>
        </w:tc>
      </w:tr>
      <w:tr w14:paraId="643FA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61461C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7AED7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7649" w:type="dxa"/>
            <w:gridSpan w:val="2"/>
            <w:tcBorders>
              <w:top w:val="single" w:color="auto" w:sz="4" w:space="0"/>
              <w:left w:val="single" w:color="auto" w:sz="4" w:space="0"/>
              <w:bottom w:val="single" w:color="auto" w:sz="4" w:space="0"/>
              <w:right w:val="single" w:color="auto" w:sz="4" w:space="0"/>
            </w:tcBorders>
            <w:noWrap w:val="0"/>
            <w:vAlign w:val="center"/>
          </w:tcPr>
          <w:p w14:paraId="17DEBD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593627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33C1013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  单位</w:t>
            </w:r>
          </w:p>
        </w:tc>
      </w:tr>
      <w:tr w14:paraId="07A6E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35" w:type="dxa"/>
            <w:tcBorders>
              <w:top w:val="single" w:color="auto" w:sz="4" w:space="0"/>
              <w:left w:val="single" w:color="000000" w:sz="4" w:space="0"/>
              <w:bottom w:val="single" w:color="000000" w:sz="4" w:space="0"/>
              <w:right w:val="single" w:color="000000" w:sz="4" w:space="0"/>
            </w:tcBorders>
            <w:noWrap w:val="0"/>
            <w:vAlign w:val="center"/>
          </w:tcPr>
          <w:p w14:paraId="2280C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5" w:type="dxa"/>
            <w:tcBorders>
              <w:top w:val="single" w:color="auto" w:sz="4" w:space="0"/>
              <w:left w:val="single" w:color="000000" w:sz="4" w:space="0"/>
              <w:bottom w:val="single" w:color="000000" w:sz="4" w:space="0"/>
              <w:right w:val="single" w:color="000000" w:sz="4" w:space="0"/>
            </w:tcBorders>
            <w:noWrap w:val="0"/>
            <w:vAlign w:val="center"/>
          </w:tcPr>
          <w:p w14:paraId="40A93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大办公桌</w:t>
            </w:r>
          </w:p>
        </w:tc>
        <w:tc>
          <w:tcPr>
            <w:tcW w:w="7639" w:type="dxa"/>
            <w:tcBorders>
              <w:top w:val="single" w:color="auto" w:sz="4" w:space="0"/>
              <w:left w:val="single" w:color="000000" w:sz="4" w:space="0"/>
              <w:bottom w:val="single" w:color="000000" w:sz="4" w:space="0"/>
              <w:right w:val="single" w:color="000000" w:sz="4" w:space="0"/>
            </w:tcBorders>
            <w:noWrap w:val="0"/>
            <w:vAlign w:val="center"/>
          </w:tcPr>
          <w:p w14:paraId="547BC4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1600*1150*760mm； 1.面材：采用实木皮饰面，符合 GB/T 3324-2017《木家具通用技术条件》和 GB 18584-2001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《室内装饰装修材料木家具中有害物质限量》标准，甲醛释放量 0.07mg/L，木材含水率 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2.基材：采用 E0 级优质中密度环保纤维板，符合 GB/T11718-2009《中密度纤维板》和GB 18580-2017《室内装饰装修材料人造板及其制品中甲醛释放量》标准，密度 0.76g/cm³，含水率 3~13%，静曲强度 37MPa，弹性模量 3320MPa，内结合强度 0.65MPa，吸水厚度膨胀率 1.8%，表面结合强度 1.08MPa，甲醛释放量 0.019mg/m³。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3.油漆：符合 GB 18581-2009《室内装饰装修材料 溶剂型木器涂料中有害物质限量》挥发性有机化合物（VOC）含量 563.4g/L，苯：未检出，甲苯、二甲苯、乙苯含量总和：1.7%，游离二异氰酸酯含量总和：未检出，卤代烃含量：未检出，可溶性重金属含量：铅：1.6mg/kg，镉：未检出 铬：0.04mg/kg，汞：0.0006mg/kg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4.五金配件：采用优质五金配件；符合 QB/T 3832-1999(2009)《轻工产品金属镀层腐蚀试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验结果的评价》标准，150h 乙酸盐雾试验：耐蚀等级达到 10 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5.胶粘剂：白乳胶符合 GB 18583-2008《室内装饰装修材料胶粘剂中有害物质限量》标准，总挥发性有机物 47.2g/L，苯未检出，甲苯和二甲苯总和未检出，游离甲醛 0.07g/kg。</w:t>
            </w:r>
          </w:p>
        </w:tc>
        <w:tc>
          <w:tcPr>
            <w:tcW w:w="1576" w:type="dxa"/>
            <w:gridSpan w:val="2"/>
            <w:tcBorders>
              <w:top w:val="single" w:color="auto" w:sz="4" w:space="0"/>
              <w:left w:val="single" w:color="000000" w:sz="4" w:space="0"/>
              <w:bottom w:val="single" w:color="000000" w:sz="4" w:space="0"/>
              <w:right w:val="single" w:color="000000" w:sz="4" w:space="0"/>
            </w:tcBorders>
            <w:noWrap w:val="0"/>
            <w:vAlign w:val="center"/>
          </w:tcPr>
          <w:p w14:paraId="79FEA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04" w:type="dxa"/>
            <w:gridSpan w:val="2"/>
            <w:tcBorders>
              <w:top w:val="single" w:color="auto" w:sz="4" w:space="0"/>
              <w:left w:val="single" w:color="000000" w:sz="4" w:space="0"/>
              <w:bottom w:val="single" w:color="000000" w:sz="4" w:space="0"/>
              <w:right w:val="single" w:color="000000" w:sz="4" w:space="0"/>
            </w:tcBorders>
            <w:noWrap w:val="0"/>
            <w:vAlign w:val="center"/>
          </w:tcPr>
          <w:p w14:paraId="0D8BB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14:paraId="6F3A1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14:paraId="47395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80F9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木质文件柜</w:t>
            </w:r>
          </w:p>
        </w:tc>
        <w:tc>
          <w:tcPr>
            <w:tcW w:w="7639" w:type="dxa"/>
            <w:tcBorders>
              <w:top w:val="single" w:color="000000" w:sz="4" w:space="0"/>
              <w:left w:val="single" w:color="000000" w:sz="4" w:space="0"/>
              <w:bottom w:val="single" w:color="000000" w:sz="4" w:space="0"/>
              <w:right w:val="single" w:color="000000" w:sz="4" w:space="0"/>
            </w:tcBorders>
            <w:noWrap w:val="0"/>
            <w:vAlign w:val="center"/>
          </w:tcPr>
          <w:p w14:paraId="03D4A2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1200*400*2000mm；1.面材：采用实木皮饰面，符合 GB/T 3324-2017《木家具通用技术条件》和 GB 18584-2001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《室内装饰装修材料木家具中有害物质限量》标准，甲醛释放量 0.07mg/L，木材含水率 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2.基材：采用 E0 级优质中密度环保纤维板，符合 GB/T11718-2009《中密度纤维板》和GB 18580-2017《室内装饰装修材料人造板及其制品中甲醛释放量》标准，密度 0.76g/cm³，含水率 3~13%，静曲强度 37MPa，弹性模量 3320MPa，内结合强度 0.65MPa，吸水厚度膨胀率 1.8%，表面结合强度 1.08MPa，甲醛释放量 0.019mg/m³。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3.油漆：符合 GB 18581-2009《室内装饰装修材料 溶剂型木器涂料中有害物质限量》挥发性有机化合物（VOC）含量 563.4g/L，苯：未检出，甲苯、二甲苯、乙苯含量总和：1.7%，游离二异氰酸酯含量总和：未检出，卤代烃含量：未检出，可溶性重金属含量：铅：1.6mg/kg，镉：未检出 铬：0.04mg/kg，汞：0.0006mg/kg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4.五金配件：采用优质五金配件；符合 QB/T 3832-1999(2009)《轻工产品金属镀层腐蚀试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验结果的评价》标准，150h 乙酸盐雾试验：耐蚀等级达到 10 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5.胶粘剂：白乳胶符合 GB 18583-2008《室内装饰装修材料胶粘剂中有害物质限量》标准，总挥发性有机物 47.2g/L，苯未检出，甲苯和二甲苯总和未检出，游离甲醛 0.07g/kg。</w:t>
            </w:r>
          </w:p>
        </w:tc>
        <w:tc>
          <w:tcPr>
            <w:tcW w:w="1576" w:type="dxa"/>
            <w:gridSpan w:val="2"/>
            <w:tcBorders>
              <w:top w:val="single" w:color="000000" w:sz="4" w:space="0"/>
              <w:left w:val="single" w:color="000000" w:sz="4" w:space="0"/>
              <w:bottom w:val="single" w:color="000000" w:sz="4" w:space="0"/>
              <w:right w:val="single" w:color="000000" w:sz="4" w:space="0"/>
            </w:tcBorders>
            <w:noWrap w:val="0"/>
            <w:vAlign w:val="center"/>
          </w:tcPr>
          <w:p w14:paraId="64A34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04" w:type="dxa"/>
            <w:gridSpan w:val="2"/>
            <w:tcBorders>
              <w:top w:val="single" w:color="000000" w:sz="4" w:space="0"/>
              <w:left w:val="single" w:color="000000" w:sz="4" w:space="0"/>
              <w:bottom w:val="single" w:color="000000" w:sz="4" w:space="0"/>
              <w:right w:val="single" w:color="000000" w:sz="4" w:space="0"/>
            </w:tcBorders>
            <w:noWrap w:val="0"/>
            <w:vAlign w:val="center"/>
          </w:tcPr>
          <w:p w14:paraId="247E9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5520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14:paraId="535E0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1387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智能饮水机（茶吧机）</w:t>
            </w:r>
          </w:p>
        </w:tc>
        <w:tc>
          <w:tcPr>
            <w:tcW w:w="7639" w:type="dxa"/>
            <w:tcBorders>
              <w:top w:val="single" w:color="000000" w:sz="4" w:space="0"/>
              <w:left w:val="single" w:color="000000" w:sz="4" w:space="0"/>
              <w:bottom w:val="single" w:color="000000" w:sz="4" w:space="0"/>
              <w:right w:val="single" w:color="000000" w:sz="4" w:space="0"/>
            </w:tcBorders>
            <w:noWrap w:val="0"/>
            <w:vAlign w:val="center"/>
          </w:tcPr>
          <w:p w14:paraId="5A47E0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颜色 奶白咖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产品型号 YCR-2366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额定功率(W) 1350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包装信息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饮水机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产品尺寸(mm): 长320x宽332x高1016产品净重(kg): 8.2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包装尺寸(mm): 长415x宽399x高816包装重量(kg): 9.85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1.高原模式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2.五档调温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3.家居融合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4.100℃真沸腾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5.55℃保温</w:t>
            </w:r>
          </w:p>
        </w:tc>
        <w:tc>
          <w:tcPr>
            <w:tcW w:w="1576" w:type="dxa"/>
            <w:gridSpan w:val="2"/>
            <w:tcBorders>
              <w:top w:val="single" w:color="000000" w:sz="4" w:space="0"/>
              <w:left w:val="single" w:color="000000" w:sz="4" w:space="0"/>
              <w:bottom w:val="single" w:color="000000" w:sz="4" w:space="0"/>
              <w:right w:val="single" w:color="000000" w:sz="4" w:space="0"/>
            </w:tcBorders>
            <w:noWrap w:val="0"/>
            <w:vAlign w:val="center"/>
          </w:tcPr>
          <w:p w14:paraId="6C40F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04" w:type="dxa"/>
            <w:gridSpan w:val="2"/>
            <w:tcBorders>
              <w:top w:val="single" w:color="000000" w:sz="4" w:space="0"/>
              <w:left w:val="single" w:color="000000" w:sz="4" w:space="0"/>
              <w:bottom w:val="single" w:color="000000" w:sz="4" w:space="0"/>
              <w:right w:val="single" w:color="000000" w:sz="4" w:space="0"/>
            </w:tcBorders>
            <w:noWrap w:val="0"/>
            <w:vAlign w:val="center"/>
          </w:tcPr>
          <w:p w14:paraId="178F1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7E67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14:paraId="4EC84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B713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黑色皮质三人座沙发</w:t>
            </w:r>
          </w:p>
        </w:tc>
        <w:tc>
          <w:tcPr>
            <w:tcW w:w="7639" w:type="dxa"/>
            <w:tcBorders>
              <w:top w:val="single" w:color="000000" w:sz="4" w:space="0"/>
              <w:left w:val="single" w:color="000000" w:sz="4" w:space="0"/>
              <w:bottom w:val="single" w:color="000000" w:sz="4" w:space="0"/>
              <w:right w:val="single" w:color="000000" w:sz="4" w:space="0"/>
            </w:tcBorders>
            <w:noWrap w:val="0"/>
            <w:vAlign w:val="center"/>
          </w:tcPr>
          <w:p w14:paraId="49FA1F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2030*840*850mm；1、饰面：优质西皮，绒布饰面；耐磨防起球 2.海绵：采用一次成型优质东亚牌环保PU高弹45#高密度泡绵；软硬适中，回弹性能好，不变形， 理化性能符合国家现行准；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填充海绵：采用一次成型优质东亚牌环保高弹45#高密度纯棉，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沙发框架：采用优质家具木料，符合国家木工通用技术标准，含水率低于10%的硬木木方及23mm多层夹板；弹簧：采用高强度锰钢蛇形退火弹簧，强力织带橡筋。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红木架：采用天然木皮饰品板+实木脚架；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油漆的：环保型油漆，光滑耐磨，手感细腻；</w:t>
            </w:r>
          </w:p>
        </w:tc>
        <w:tc>
          <w:tcPr>
            <w:tcW w:w="1576" w:type="dxa"/>
            <w:gridSpan w:val="2"/>
            <w:tcBorders>
              <w:top w:val="single" w:color="000000" w:sz="4" w:space="0"/>
              <w:left w:val="single" w:color="000000" w:sz="4" w:space="0"/>
              <w:bottom w:val="single" w:color="000000" w:sz="4" w:space="0"/>
              <w:right w:val="single" w:color="000000" w:sz="4" w:space="0"/>
            </w:tcBorders>
            <w:noWrap w:val="0"/>
            <w:vAlign w:val="center"/>
          </w:tcPr>
          <w:p w14:paraId="40300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04" w:type="dxa"/>
            <w:gridSpan w:val="2"/>
            <w:tcBorders>
              <w:top w:val="single" w:color="000000" w:sz="4" w:space="0"/>
              <w:left w:val="single" w:color="000000" w:sz="4" w:space="0"/>
              <w:bottom w:val="single" w:color="000000" w:sz="4" w:space="0"/>
              <w:right w:val="single" w:color="000000" w:sz="4" w:space="0"/>
            </w:tcBorders>
            <w:noWrap w:val="0"/>
            <w:vAlign w:val="center"/>
          </w:tcPr>
          <w:p w14:paraId="2A161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14:paraId="7D800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14:paraId="13ABA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365F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黑色皮质单人座沙发</w:t>
            </w:r>
          </w:p>
        </w:tc>
        <w:tc>
          <w:tcPr>
            <w:tcW w:w="7639" w:type="dxa"/>
            <w:tcBorders>
              <w:top w:val="single" w:color="000000" w:sz="4" w:space="0"/>
              <w:left w:val="single" w:color="000000" w:sz="4" w:space="0"/>
              <w:bottom w:val="single" w:color="000000" w:sz="4" w:space="0"/>
              <w:right w:val="single" w:color="000000" w:sz="4" w:space="0"/>
            </w:tcBorders>
            <w:noWrap w:val="0"/>
            <w:vAlign w:val="center"/>
          </w:tcPr>
          <w:p w14:paraId="7C787E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1120*840*850mm；1、饰面：优质西皮，进口绒布饰面；耐磨防起球 2.海绵：采用一次成型优质东亚牌环保PU高弹45#高密度泡绵；软硬适中，回弹性能好，不变形， 理化性能符合国家现行准；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填充海绵：采用一次成型优质东亚牌环保高弹45#高密度纯棉，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沙发框架：采用优质家具木料，符合国家木工通用技术标准，含水率低于10%的硬木木方及23mm多层夹板；弹簧：采用高强度锰钢蛇形退火弹簧，强力织带橡筋。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红木架：采用天然木皮饰品板+实木脚架；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油漆的：环保型油漆，光滑耐磨，手感细腻；</w:t>
            </w:r>
          </w:p>
        </w:tc>
        <w:tc>
          <w:tcPr>
            <w:tcW w:w="1576" w:type="dxa"/>
            <w:gridSpan w:val="2"/>
            <w:tcBorders>
              <w:top w:val="single" w:color="000000" w:sz="4" w:space="0"/>
              <w:left w:val="single" w:color="000000" w:sz="4" w:space="0"/>
              <w:bottom w:val="single" w:color="000000" w:sz="4" w:space="0"/>
              <w:right w:val="single" w:color="000000" w:sz="4" w:space="0"/>
            </w:tcBorders>
            <w:noWrap w:val="0"/>
            <w:vAlign w:val="center"/>
          </w:tcPr>
          <w:p w14:paraId="0D1F5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04" w:type="dxa"/>
            <w:gridSpan w:val="2"/>
            <w:tcBorders>
              <w:top w:val="single" w:color="000000" w:sz="4" w:space="0"/>
              <w:left w:val="single" w:color="000000" w:sz="4" w:space="0"/>
              <w:bottom w:val="single" w:color="000000" w:sz="4" w:space="0"/>
              <w:right w:val="single" w:color="000000" w:sz="4" w:space="0"/>
            </w:tcBorders>
            <w:noWrap w:val="0"/>
            <w:vAlign w:val="center"/>
          </w:tcPr>
          <w:p w14:paraId="65C19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14:paraId="102C8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14:paraId="23E70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C9BD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黑色皮质座椅</w:t>
            </w:r>
          </w:p>
        </w:tc>
        <w:tc>
          <w:tcPr>
            <w:tcW w:w="7639" w:type="dxa"/>
            <w:tcBorders>
              <w:top w:val="single" w:color="000000" w:sz="4" w:space="0"/>
              <w:left w:val="single" w:color="000000" w:sz="4" w:space="0"/>
              <w:bottom w:val="single" w:color="000000" w:sz="4" w:space="0"/>
              <w:right w:val="single" w:color="000000" w:sz="4" w:space="0"/>
            </w:tcBorders>
            <w:noWrap w:val="0"/>
            <w:vAlign w:val="center"/>
          </w:tcPr>
          <w:p w14:paraId="55183A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常规；产品材质：椅身、座板、橡木扶手、五星脚，进口气杆配PU滑轮。椅面采用进口西皮，高密度PU气泡海绵。豪华双功能高档底盘，具有仰卧功能</w:t>
            </w:r>
          </w:p>
        </w:tc>
        <w:tc>
          <w:tcPr>
            <w:tcW w:w="1576" w:type="dxa"/>
            <w:gridSpan w:val="2"/>
            <w:tcBorders>
              <w:top w:val="single" w:color="000000" w:sz="4" w:space="0"/>
              <w:left w:val="single" w:color="000000" w:sz="4" w:space="0"/>
              <w:bottom w:val="single" w:color="000000" w:sz="4" w:space="0"/>
              <w:right w:val="single" w:color="000000" w:sz="4" w:space="0"/>
            </w:tcBorders>
            <w:noWrap w:val="0"/>
            <w:vAlign w:val="center"/>
          </w:tcPr>
          <w:p w14:paraId="24C5A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04" w:type="dxa"/>
            <w:gridSpan w:val="2"/>
            <w:tcBorders>
              <w:top w:val="single" w:color="000000" w:sz="4" w:space="0"/>
              <w:left w:val="single" w:color="000000" w:sz="4" w:space="0"/>
              <w:bottom w:val="single" w:color="000000" w:sz="4" w:space="0"/>
              <w:right w:val="single" w:color="000000" w:sz="4" w:space="0"/>
            </w:tcBorders>
            <w:noWrap w:val="0"/>
            <w:vAlign w:val="center"/>
          </w:tcPr>
          <w:p w14:paraId="11B20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63006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14:paraId="1444C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77C7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长方形烤火炉</w:t>
            </w:r>
          </w:p>
        </w:tc>
        <w:tc>
          <w:tcPr>
            <w:tcW w:w="7639" w:type="dxa"/>
            <w:tcBorders>
              <w:top w:val="single" w:color="000000" w:sz="4" w:space="0"/>
              <w:left w:val="single" w:color="000000" w:sz="4" w:space="0"/>
              <w:bottom w:val="single" w:color="000000" w:sz="4" w:space="0"/>
              <w:right w:val="single" w:color="000000" w:sz="4" w:space="0"/>
            </w:tcBorders>
            <w:noWrap w:val="0"/>
            <w:vAlign w:val="center"/>
          </w:tcPr>
          <w:p w14:paraId="74DBE7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面板:优等玉石岩板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产品尺寸:1380*750mm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额定功率:2400W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立柱大小:120mm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立柱颜色:灰色  灰雕玉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功能特点:隐形电磁炉、语音声控石墨烯发热体、手机蓝牙操作、带收线盒、带遥控、带植绒。</w:t>
            </w:r>
          </w:p>
        </w:tc>
        <w:tc>
          <w:tcPr>
            <w:tcW w:w="1576" w:type="dxa"/>
            <w:gridSpan w:val="2"/>
            <w:tcBorders>
              <w:top w:val="single" w:color="000000" w:sz="4" w:space="0"/>
              <w:left w:val="single" w:color="000000" w:sz="4" w:space="0"/>
              <w:bottom w:val="single" w:color="000000" w:sz="4" w:space="0"/>
              <w:right w:val="single" w:color="000000" w:sz="4" w:space="0"/>
            </w:tcBorders>
            <w:noWrap w:val="0"/>
            <w:vAlign w:val="center"/>
          </w:tcPr>
          <w:p w14:paraId="6E3A5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04" w:type="dxa"/>
            <w:gridSpan w:val="2"/>
            <w:tcBorders>
              <w:top w:val="single" w:color="000000" w:sz="4" w:space="0"/>
              <w:left w:val="single" w:color="000000" w:sz="4" w:space="0"/>
              <w:bottom w:val="single" w:color="000000" w:sz="4" w:space="0"/>
              <w:right w:val="single" w:color="000000" w:sz="4" w:space="0"/>
            </w:tcBorders>
            <w:noWrap w:val="0"/>
            <w:vAlign w:val="center"/>
          </w:tcPr>
          <w:p w14:paraId="698F7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ACFF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14:paraId="7C01B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136E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正三匹柜式空调</w:t>
            </w:r>
          </w:p>
        </w:tc>
        <w:tc>
          <w:tcPr>
            <w:tcW w:w="7639" w:type="dxa"/>
            <w:tcBorders>
              <w:top w:val="single" w:color="000000" w:sz="4" w:space="0"/>
              <w:left w:val="single" w:color="000000" w:sz="4" w:space="0"/>
              <w:bottom w:val="single" w:color="000000" w:sz="4" w:space="0"/>
              <w:right w:val="single" w:color="000000" w:sz="4" w:space="0"/>
            </w:tcBorders>
            <w:noWrap w:val="0"/>
            <w:vAlign w:val="center"/>
          </w:tcPr>
          <w:p w14:paraId="4BF78C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颜色 白色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能效信息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控制方式 遥控式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能力名称 制冷量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能力数值 7290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能力单位 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能效等级 三级(2019版)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电源电压 220V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电源频率 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变频/定频 变频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内机规格信息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包装尺寸(mm) 长510*宽315*高1750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包装体积(m3) 0.464820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机身尺寸(mm) 长510*宽315*高1750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机身体积(m3) 0.281138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净重(Kg) 36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毛重 (Kg) 44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包装数量 1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堆码层数极限 9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装修规格 纸箱包装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外机规格信息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包装尺寸(mm) 长890*宽342*高673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包装体积(m3) 0.33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机身尺寸(mm) 长890*宽342*高673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机身体积(m3) 0.204848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净重(Kg) 40</w:t>
            </w:r>
          </w:p>
        </w:tc>
        <w:tc>
          <w:tcPr>
            <w:tcW w:w="1576" w:type="dxa"/>
            <w:gridSpan w:val="2"/>
            <w:tcBorders>
              <w:top w:val="single" w:color="000000" w:sz="4" w:space="0"/>
              <w:left w:val="single" w:color="000000" w:sz="4" w:space="0"/>
              <w:bottom w:val="single" w:color="000000" w:sz="4" w:space="0"/>
              <w:right w:val="single" w:color="000000" w:sz="4" w:space="0"/>
            </w:tcBorders>
            <w:noWrap w:val="0"/>
            <w:vAlign w:val="center"/>
          </w:tcPr>
          <w:p w14:paraId="4B445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04" w:type="dxa"/>
            <w:gridSpan w:val="2"/>
            <w:tcBorders>
              <w:top w:val="single" w:color="000000" w:sz="4" w:space="0"/>
              <w:left w:val="single" w:color="000000" w:sz="4" w:space="0"/>
              <w:bottom w:val="single" w:color="000000" w:sz="4" w:space="0"/>
              <w:right w:val="single" w:color="000000" w:sz="4" w:space="0"/>
            </w:tcBorders>
            <w:noWrap w:val="0"/>
            <w:vAlign w:val="center"/>
          </w:tcPr>
          <w:p w14:paraId="54172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3AEA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2759" w:type="dxa"/>
            <w:gridSpan w:val="7"/>
            <w:tcBorders>
              <w:top w:val="single" w:color="000000" w:sz="4" w:space="0"/>
              <w:left w:val="single" w:color="000000" w:sz="4" w:space="0"/>
              <w:bottom w:val="single" w:color="000000" w:sz="4" w:space="0"/>
              <w:right w:val="nil"/>
            </w:tcBorders>
            <w:noWrap w:val="0"/>
            <w:vAlign w:val="center"/>
          </w:tcPr>
          <w:p w14:paraId="10C8F35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二、处室办公室（18间）</w:t>
            </w:r>
          </w:p>
        </w:tc>
      </w:tr>
      <w:tr w14:paraId="21110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14:paraId="7EDE9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413B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办公桌</w:t>
            </w:r>
          </w:p>
        </w:tc>
        <w:tc>
          <w:tcPr>
            <w:tcW w:w="7639" w:type="dxa"/>
            <w:tcBorders>
              <w:top w:val="single" w:color="000000" w:sz="4" w:space="0"/>
              <w:left w:val="single" w:color="000000" w:sz="4" w:space="0"/>
              <w:bottom w:val="single" w:color="000000" w:sz="4" w:space="0"/>
              <w:right w:val="single" w:color="000000" w:sz="4" w:space="0"/>
            </w:tcBorders>
            <w:noWrap w:val="0"/>
            <w:vAlign w:val="center"/>
          </w:tcPr>
          <w:p w14:paraId="779ED6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1400*700*760mm；1.面材：采用木皮饰面，符合 GB/T 3324-2017《木家具通用技术条件》和 GB 18584-2001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《室内装饰装修材料木家具中有害物质限量》标准，甲醛释放量 0.07mg/L，木材含水率 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2.基材：采用 E0 级优质中密度环保纤维板，符合 GB/T11718-2009《中密度纤维板》和GB 18580-2017《室内装饰装修材料人造板及其制品中甲醛释放量》标准，密度 0.76g/cm³，含水率 3~13%，静曲强度 37MPa，弹性模量 3320MPa，内结合强度 0.65MPa，吸水厚度膨胀率 1.8%，表面结合强度 1.08MPa，甲醛释放量 0.019mg/m³。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3.油漆：符合 GB 18581-2009《室内装饰装修材料 溶剂型木器涂料中有害物质限量》挥发性有机化合物（VOC）含量 563.4g/L，苯：未检出，甲苯、二甲苯、乙苯含量总和：1.7%，游离二异氰酸酯含量总和：未检出，卤代烃含量：未检出，可溶性重金属含量：铅：1.6mg/kg，镉：未检出 铬：0.04mg/kg，汞：0.0006mg/kg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4.五金配件：采用优质五金配件；符合 QB/T 3832-1999(2009)《轻工产品金属镀层腐蚀试验结果的评价》标准，150h 乙酸盐雾试验：耐蚀等级达到 10 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5.胶粘剂：白乳胶符合 GB 18583-2008《室内装饰装修材料胶粘剂中有害物质限量》标准，总挥发性有机物 47.2g/L，苯未检出，甲苯和二甲苯总和未检出，游离甲醛 0.07g/kg。</w:t>
            </w:r>
          </w:p>
        </w:tc>
        <w:tc>
          <w:tcPr>
            <w:tcW w:w="1576" w:type="dxa"/>
            <w:gridSpan w:val="2"/>
            <w:tcBorders>
              <w:top w:val="single" w:color="000000" w:sz="4" w:space="0"/>
              <w:left w:val="single" w:color="000000" w:sz="4" w:space="0"/>
              <w:bottom w:val="single" w:color="000000" w:sz="4" w:space="0"/>
              <w:right w:val="single" w:color="000000" w:sz="4" w:space="0"/>
            </w:tcBorders>
            <w:noWrap w:val="0"/>
            <w:vAlign w:val="center"/>
          </w:tcPr>
          <w:p w14:paraId="62FA1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604" w:type="dxa"/>
            <w:gridSpan w:val="2"/>
            <w:tcBorders>
              <w:top w:val="single" w:color="000000" w:sz="4" w:space="0"/>
              <w:left w:val="single" w:color="000000" w:sz="4" w:space="0"/>
              <w:bottom w:val="single" w:color="000000" w:sz="4" w:space="0"/>
              <w:right w:val="single" w:color="000000" w:sz="4" w:space="0"/>
            </w:tcBorders>
            <w:noWrap w:val="0"/>
            <w:vAlign w:val="center"/>
          </w:tcPr>
          <w:p w14:paraId="75B01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7AF8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14:paraId="6F3F4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3206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办公椅</w:t>
            </w:r>
          </w:p>
        </w:tc>
        <w:tc>
          <w:tcPr>
            <w:tcW w:w="7639" w:type="dxa"/>
            <w:tcBorders>
              <w:top w:val="single" w:color="000000" w:sz="4" w:space="0"/>
              <w:left w:val="single" w:color="000000" w:sz="4" w:space="0"/>
              <w:bottom w:val="single" w:color="000000" w:sz="4" w:space="0"/>
              <w:right w:val="single" w:color="000000" w:sz="4" w:space="0"/>
            </w:tcBorders>
            <w:noWrap w:val="0"/>
            <w:vAlign w:val="center"/>
          </w:tcPr>
          <w:p w14:paraId="2FF6C1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常规；四平八稳,椅身、座板、框架均为棕红色橡木，椅面采用优质西皮，高密度PU气泡海绵。</w:t>
            </w:r>
          </w:p>
        </w:tc>
        <w:tc>
          <w:tcPr>
            <w:tcW w:w="1576" w:type="dxa"/>
            <w:gridSpan w:val="2"/>
            <w:tcBorders>
              <w:top w:val="single" w:color="000000" w:sz="4" w:space="0"/>
              <w:left w:val="single" w:color="000000" w:sz="4" w:space="0"/>
              <w:bottom w:val="single" w:color="000000" w:sz="4" w:space="0"/>
              <w:right w:val="single" w:color="000000" w:sz="4" w:space="0"/>
            </w:tcBorders>
            <w:noWrap w:val="0"/>
            <w:vAlign w:val="center"/>
          </w:tcPr>
          <w:p w14:paraId="708AE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604" w:type="dxa"/>
            <w:gridSpan w:val="2"/>
            <w:tcBorders>
              <w:top w:val="single" w:color="000000" w:sz="4" w:space="0"/>
              <w:left w:val="single" w:color="000000" w:sz="4" w:space="0"/>
              <w:bottom w:val="single" w:color="000000" w:sz="4" w:space="0"/>
              <w:right w:val="single" w:color="000000" w:sz="4" w:space="0"/>
            </w:tcBorders>
            <w:noWrap w:val="0"/>
            <w:vAlign w:val="center"/>
          </w:tcPr>
          <w:p w14:paraId="776BD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98D3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14:paraId="24CCB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4205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方形烤火炉</w:t>
            </w:r>
          </w:p>
        </w:tc>
        <w:tc>
          <w:tcPr>
            <w:tcW w:w="7639" w:type="dxa"/>
            <w:tcBorders>
              <w:top w:val="single" w:color="000000" w:sz="4" w:space="0"/>
              <w:left w:val="single" w:color="000000" w:sz="4" w:space="0"/>
              <w:bottom w:val="single" w:color="000000" w:sz="4" w:space="0"/>
              <w:right w:val="single" w:color="000000" w:sz="4" w:space="0"/>
            </w:tcBorders>
            <w:noWrap w:val="0"/>
            <w:vAlign w:val="center"/>
          </w:tcPr>
          <w:p w14:paraId="346FE4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面板:优等玉石岩板 产品尺寸:800*800mm     额定功率:2400W         立柱大小:90mm          立柱颜色:黑色             功能特点:陶炉、语音声控铝片发热体、置物架、带收线盒、带遥控。</w:t>
            </w:r>
          </w:p>
        </w:tc>
        <w:tc>
          <w:tcPr>
            <w:tcW w:w="1576" w:type="dxa"/>
            <w:gridSpan w:val="2"/>
            <w:tcBorders>
              <w:top w:val="single" w:color="000000" w:sz="4" w:space="0"/>
              <w:left w:val="single" w:color="000000" w:sz="4" w:space="0"/>
              <w:bottom w:val="single" w:color="000000" w:sz="4" w:space="0"/>
              <w:right w:val="single" w:color="000000" w:sz="4" w:space="0"/>
            </w:tcBorders>
            <w:noWrap w:val="0"/>
            <w:vAlign w:val="center"/>
          </w:tcPr>
          <w:p w14:paraId="0655E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604" w:type="dxa"/>
            <w:gridSpan w:val="2"/>
            <w:tcBorders>
              <w:top w:val="single" w:color="000000" w:sz="4" w:space="0"/>
              <w:left w:val="single" w:color="000000" w:sz="4" w:space="0"/>
              <w:bottom w:val="single" w:color="000000" w:sz="4" w:space="0"/>
              <w:right w:val="single" w:color="000000" w:sz="4" w:space="0"/>
            </w:tcBorders>
            <w:noWrap w:val="0"/>
            <w:vAlign w:val="center"/>
          </w:tcPr>
          <w:p w14:paraId="29B55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E5F1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14:paraId="27548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67C5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智能饮水机（茶吧机）</w:t>
            </w:r>
          </w:p>
        </w:tc>
        <w:tc>
          <w:tcPr>
            <w:tcW w:w="7639" w:type="dxa"/>
            <w:tcBorders>
              <w:top w:val="single" w:color="000000" w:sz="4" w:space="0"/>
              <w:left w:val="single" w:color="000000" w:sz="4" w:space="0"/>
              <w:bottom w:val="single" w:color="000000" w:sz="4" w:space="0"/>
              <w:right w:val="single" w:color="000000" w:sz="4" w:space="0"/>
            </w:tcBorders>
            <w:noWrap w:val="0"/>
            <w:vAlign w:val="center"/>
          </w:tcPr>
          <w:p w14:paraId="7AB803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颜色 奶白咖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产品型号 YCR-2366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额定功率(W) 1350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包装信息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饮水机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产品尺寸(mm): 长320x宽332x高1016产品净重(kg): 8.2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包装尺寸(mm): 长415x宽399x高816包装重量(kg): 9.85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1.高原模式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2.五档调温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3.家居融合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4.100℃真沸腾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5.55℃保温</w:t>
            </w:r>
          </w:p>
        </w:tc>
        <w:tc>
          <w:tcPr>
            <w:tcW w:w="1576" w:type="dxa"/>
            <w:gridSpan w:val="2"/>
            <w:tcBorders>
              <w:top w:val="single" w:color="000000" w:sz="4" w:space="0"/>
              <w:left w:val="single" w:color="000000" w:sz="4" w:space="0"/>
              <w:bottom w:val="single" w:color="000000" w:sz="4" w:space="0"/>
              <w:right w:val="single" w:color="000000" w:sz="4" w:space="0"/>
            </w:tcBorders>
            <w:noWrap w:val="0"/>
            <w:vAlign w:val="center"/>
          </w:tcPr>
          <w:p w14:paraId="6BC32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04" w:type="dxa"/>
            <w:gridSpan w:val="2"/>
            <w:tcBorders>
              <w:top w:val="single" w:color="000000" w:sz="4" w:space="0"/>
              <w:left w:val="single" w:color="000000" w:sz="4" w:space="0"/>
              <w:bottom w:val="single" w:color="000000" w:sz="4" w:space="0"/>
              <w:right w:val="single" w:color="000000" w:sz="4" w:space="0"/>
            </w:tcBorders>
            <w:noWrap w:val="0"/>
            <w:vAlign w:val="center"/>
          </w:tcPr>
          <w:p w14:paraId="6D09F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E064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14:paraId="5E874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2031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铁皮柜</w:t>
            </w:r>
          </w:p>
        </w:tc>
        <w:tc>
          <w:tcPr>
            <w:tcW w:w="7639" w:type="dxa"/>
            <w:tcBorders>
              <w:top w:val="single" w:color="000000" w:sz="4" w:space="0"/>
              <w:left w:val="single" w:color="000000" w:sz="4" w:space="0"/>
              <w:bottom w:val="single" w:color="000000" w:sz="4" w:space="0"/>
              <w:right w:val="single" w:color="000000" w:sz="4" w:space="0"/>
            </w:tcBorders>
            <w:noWrap w:val="0"/>
            <w:vAlign w:val="center"/>
          </w:tcPr>
          <w:p w14:paraId="659DFE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1800mm高*850mm宽*390mm深优质冷轧钢0.6厚.高温防静电流水线喷涂颜色灰白色</w:t>
            </w:r>
          </w:p>
        </w:tc>
        <w:tc>
          <w:tcPr>
            <w:tcW w:w="1576" w:type="dxa"/>
            <w:gridSpan w:val="2"/>
            <w:tcBorders>
              <w:top w:val="single" w:color="000000" w:sz="4" w:space="0"/>
              <w:left w:val="single" w:color="000000" w:sz="4" w:space="0"/>
              <w:bottom w:val="single" w:color="000000" w:sz="4" w:space="0"/>
              <w:right w:val="single" w:color="000000" w:sz="4" w:space="0"/>
            </w:tcBorders>
            <w:noWrap w:val="0"/>
            <w:vAlign w:val="center"/>
          </w:tcPr>
          <w:p w14:paraId="4ED64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604" w:type="dxa"/>
            <w:gridSpan w:val="2"/>
            <w:tcBorders>
              <w:top w:val="single" w:color="000000" w:sz="4" w:space="0"/>
              <w:left w:val="single" w:color="000000" w:sz="4" w:space="0"/>
              <w:bottom w:val="single" w:color="000000" w:sz="4" w:space="0"/>
              <w:right w:val="single" w:color="000000" w:sz="4" w:space="0"/>
            </w:tcBorders>
            <w:noWrap w:val="0"/>
            <w:vAlign w:val="center"/>
          </w:tcPr>
          <w:p w14:paraId="6B906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A5D7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14:paraId="03989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8DDD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正三匹柜式空调</w:t>
            </w:r>
          </w:p>
        </w:tc>
        <w:tc>
          <w:tcPr>
            <w:tcW w:w="7639" w:type="dxa"/>
            <w:tcBorders>
              <w:top w:val="single" w:color="000000" w:sz="4" w:space="0"/>
              <w:left w:val="single" w:color="000000" w:sz="4" w:space="0"/>
              <w:bottom w:val="single" w:color="000000" w:sz="4" w:space="0"/>
              <w:right w:val="single" w:color="000000" w:sz="4" w:space="0"/>
            </w:tcBorders>
            <w:noWrap w:val="0"/>
            <w:vAlign w:val="center"/>
          </w:tcPr>
          <w:p w14:paraId="0243F4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KFR-72LW/BDN8Y-PA401(3)A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颜色 白色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能效信息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控制方式 遥控式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能力名称 制冷量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能力数值 7290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能力单位 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能效等级 三级(2019版)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电源电压 220V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电源频率 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变频/定频 变频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内机规格信息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包装尺寸(mm) 长510*宽315*高1750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包装体积(m3) 0.464820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机身尺寸(mm) 长510*宽315*高1750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机身体积(m3) 0.281138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净重(Kg) 36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毛重 (Kg) 44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包装数量 1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堆码层数极限 9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装修规格 纸箱包装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外机规格信息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包装尺寸(mm) 长890*宽342*高673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包装体积(m3) 0.33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机身尺寸(mm) 长890*宽342*高673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机身体积(m3) 0.204848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净重(Kg) 40</w:t>
            </w:r>
          </w:p>
        </w:tc>
        <w:tc>
          <w:tcPr>
            <w:tcW w:w="1576" w:type="dxa"/>
            <w:gridSpan w:val="2"/>
            <w:tcBorders>
              <w:top w:val="single" w:color="000000" w:sz="4" w:space="0"/>
              <w:left w:val="single" w:color="000000" w:sz="4" w:space="0"/>
              <w:bottom w:val="single" w:color="000000" w:sz="4" w:space="0"/>
              <w:right w:val="single" w:color="000000" w:sz="4" w:space="0"/>
            </w:tcBorders>
            <w:noWrap w:val="0"/>
            <w:vAlign w:val="center"/>
          </w:tcPr>
          <w:p w14:paraId="01A4C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04" w:type="dxa"/>
            <w:gridSpan w:val="2"/>
            <w:tcBorders>
              <w:top w:val="single" w:color="000000" w:sz="4" w:space="0"/>
              <w:left w:val="single" w:color="000000" w:sz="4" w:space="0"/>
              <w:bottom w:val="single" w:color="000000" w:sz="4" w:space="0"/>
              <w:right w:val="single" w:color="000000" w:sz="4" w:space="0"/>
            </w:tcBorders>
            <w:noWrap w:val="0"/>
            <w:vAlign w:val="center"/>
          </w:tcPr>
          <w:p w14:paraId="2D8DB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70A7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59" w:type="dxa"/>
            <w:gridSpan w:val="7"/>
            <w:tcBorders>
              <w:top w:val="single" w:color="000000" w:sz="4" w:space="0"/>
              <w:left w:val="single" w:color="000000" w:sz="4" w:space="0"/>
              <w:bottom w:val="single" w:color="000000" w:sz="4" w:space="0"/>
              <w:right w:val="nil"/>
            </w:tcBorders>
            <w:noWrap w:val="0"/>
            <w:vAlign w:val="center"/>
          </w:tcPr>
          <w:p w14:paraId="65B7FA9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三、教师办公室（17间）</w:t>
            </w:r>
          </w:p>
        </w:tc>
      </w:tr>
      <w:tr w14:paraId="41E52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14:paraId="2A6D1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7B0A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办公桌</w:t>
            </w:r>
          </w:p>
        </w:tc>
        <w:tc>
          <w:tcPr>
            <w:tcW w:w="7639" w:type="dxa"/>
            <w:tcBorders>
              <w:top w:val="single" w:color="000000" w:sz="4" w:space="0"/>
              <w:left w:val="single" w:color="000000" w:sz="4" w:space="0"/>
              <w:bottom w:val="single" w:color="000000" w:sz="4" w:space="0"/>
              <w:right w:val="single" w:color="000000" w:sz="4" w:space="0"/>
            </w:tcBorders>
            <w:noWrap w:val="0"/>
            <w:vAlign w:val="center"/>
          </w:tcPr>
          <w:p w14:paraId="43FA7D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1400*700*760mm；1.面材：采用木皮饰面，符合 GB/T 3324-2017《木家具通用技术条件》和 GB 18584-2001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《室内装饰装修材料木家具中有害物质限量》标准，甲醛释放量 0.07mg/L，木材含水率 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2.基材：采用 E0 级优质中密度环保纤维板，符合 GB/T11718-2009《中密度纤维板》和GB 18580-2017《室内装饰装修材料人造板及其制品中甲醛释放量》标准，密度 0.76g/cm³，含水率 3~13%，静曲强度 37MPa，弹性模量 3320MPa，内结合强度 0.65MPa，吸水厚度膨胀率 1.8%，表面结合强度 1.08MPa，甲醛释放量 0.019mg/m³。</w:t>
            </w:r>
          </w:p>
        </w:tc>
        <w:tc>
          <w:tcPr>
            <w:tcW w:w="1576" w:type="dxa"/>
            <w:gridSpan w:val="2"/>
            <w:tcBorders>
              <w:top w:val="single" w:color="000000" w:sz="4" w:space="0"/>
              <w:left w:val="single" w:color="000000" w:sz="4" w:space="0"/>
              <w:bottom w:val="single" w:color="000000" w:sz="4" w:space="0"/>
              <w:right w:val="single" w:color="000000" w:sz="4" w:space="0"/>
            </w:tcBorders>
            <w:noWrap w:val="0"/>
            <w:vAlign w:val="center"/>
          </w:tcPr>
          <w:p w14:paraId="2421F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604" w:type="dxa"/>
            <w:gridSpan w:val="2"/>
            <w:tcBorders>
              <w:top w:val="single" w:color="000000" w:sz="4" w:space="0"/>
              <w:left w:val="single" w:color="000000" w:sz="4" w:space="0"/>
              <w:bottom w:val="single" w:color="000000" w:sz="4" w:space="0"/>
              <w:right w:val="single" w:color="000000" w:sz="4" w:space="0"/>
            </w:tcBorders>
            <w:noWrap w:val="0"/>
            <w:vAlign w:val="center"/>
          </w:tcPr>
          <w:p w14:paraId="51519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FC3F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14:paraId="0CAFF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7E66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办公椅</w:t>
            </w:r>
          </w:p>
        </w:tc>
        <w:tc>
          <w:tcPr>
            <w:tcW w:w="7639" w:type="dxa"/>
            <w:tcBorders>
              <w:top w:val="single" w:color="000000" w:sz="4" w:space="0"/>
              <w:left w:val="single" w:color="000000" w:sz="4" w:space="0"/>
              <w:bottom w:val="single" w:color="000000" w:sz="4" w:space="0"/>
              <w:right w:val="single" w:color="000000" w:sz="4" w:space="0"/>
            </w:tcBorders>
            <w:noWrap w:val="0"/>
            <w:vAlign w:val="center"/>
          </w:tcPr>
          <w:p w14:paraId="4B4265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 ；黑色PP料加纤背框架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高回弹纯绵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黑色PP固定扶手扶手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2.0厚蝴蝶中班底盘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防爆气杆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350mm五星脚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PP/PA万向脚轮</w:t>
            </w:r>
          </w:p>
        </w:tc>
        <w:tc>
          <w:tcPr>
            <w:tcW w:w="1576" w:type="dxa"/>
            <w:gridSpan w:val="2"/>
            <w:tcBorders>
              <w:top w:val="single" w:color="000000" w:sz="4" w:space="0"/>
              <w:left w:val="single" w:color="000000" w:sz="4" w:space="0"/>
              <w:bottom w:val="single" w:color="000000" w:sz="4" w:space="0"/>
              <w:right w:val="single" w:color="000000" w:sz="4" w:space="0"/>
            </w:tcBorders>
            <w:noWrap w:val="0"/>
            <w:vAlign w:val="center"/>
          </w:tcPr>
          <w:p w14:paraId="7246B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604" w:type="dxa"/>
            <w:gridSpan w:val="2"/>
            <w:tcBorders>
              <w:top w:val="single" w:color="000000" w:sz="4" w:space="0"/>
              <w:left w:val="single" w:color="000000" w:sz="4" w:space="0"/>
              <w:bottom w:val="single" w:color="000000" w:sz="4" w:space="0"/>
              <w:right w:val="single" w:color="000000" w:sz="4" w:space="0"/>
            </w:tcBorders>
            <w:noWrap w:val="0"/>
            <w:vAlign w:val="center"/>
          </w:tcPr>
          <w:p w14:paraId="50249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78A55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14:paraId="1EA28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E542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正三匹柜式空调</w:t>
            </w:r>
          </w:p>
        </w:tc>
        <w:tc>
          <w:tcPr>
            <w:tcW w:w="7639" w:type="dxa"/>
            <w:tcBorders>
              <w:top w:val="single" w:color="000000" w:sz="4" w:space="0"/>
              <w:left w:val="single" w:color="000000" w:sz="4" w:space="0"/>
              <w:bottom w:val="single" w:color="000000" w:sz="4" w:space="0"/>
              <w:right w:val="single" w:color="000000" w:sz="4" w:space="0"/>
            </w:tcBorders>
            <w:noWrap w:val="0"/>
            <w:vAlign w:val="center"/>
          </w:tcPr>
          <w:p w14:paraId="2683BA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KFR-72LW/BDN8Y-PA401(3)A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颜色 白色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能效信息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控制方式 遥控式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能力名称 制冷量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能力数值 7290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能力单位 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能效等级 三级(2019版)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电源电压 220V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电源频率 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变频/定频 变频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内机规格信息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包装尺寸(mm) 长510*宽315*高1750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包装体积(m3) 0.464820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机身尺寸(mm) 长510*宽315*高1750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机身体积(m3) 0.281138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净重(Kg) 36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毛重 (Kg) 44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包装数量 1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堆码层数极限 9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装修规格 纸箱包装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外机规格信息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包装尺寸(mm) 长890*宽342*高673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包装体积(m3) 0.33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机身尺寸(mm) 长890*宽342*高673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机身体积(m3) 0.204848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净重(Kg) 40</w:t>
            </w:r>
          </w:p>
        </w:tc>
        <w:tc>
          <w:tcPr>
            <w:tcW w:w="1576" w:type="dxa"/>
            <w:gridSpan w:val="2"/>
            <w:tcBorders>
              <w:top w:val="single" w:color="000000" w:sz="4" w:space="0"/>
              <w:left w:val="single" w:color="000000" w:sz="4" w:space="0"/>
              <w:bottom w:val="single" w:color="000000" w:sz="4" w:space="0"/>
              <w:right w:val="single" w:color="000000" w:sz="4" w:space="0"/>
            </w:tcBorders>
            <w:noWrap w:val="0"/>
            <w:vAlign w:val="center"/>
          </w:tcPr>
          <w:p w14:paraId="0110C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04" w:type="dxa"/>
            <w:gridSpan w:val="2"/>
            <w:tcBorders>
              <w:top w:val="single" w:color="000000" w:sz="4" w:space="0"/>
              <w:left w:val="single" w:color="000000" w:sz="4" w:space="0"/>
              <w:bottom w:val="single" w:color="000000" w:sz="4" w:space="0"/>
              <w:right w:val="single" w:color="000000" w:sz="4" w:space="0"/>
            </w:tcBorders>
            <w:noWrap w:val="0"/>
            <w:vAlign w:val="center"/>
          </w:tcPr>
          <w:p w14:paraId="27E63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27CC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14:paraId="259EE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F4E7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智能饮水机（茶吧机）</w:t>
            </w:r>
          </w:p>
        </w:tc>
        <w:tc>
          <w:tcPr>
            <w:tcW w:w="7639" w:type="dxa"/>
            <w:tcBorders>
              <w:top w:val="single" w:color="000000" w:sz="4" w:space="0"/>
              <w:left w:val="single" w:color="000000" w:sz="4" w:space="0"/>
              <w:bottom w:val="single" w:color="000000" w:sz="4" w:space="0"/>
              <w:right w:val="single" w:color="000000" w:sz="4" w:space="0"/>
            </w:tcBorders>
            <w:noWrap w:val="0"/>
            <w:vAlign w:val="center"/>
          </w:tcPr>
          <w:p w14:paraId="3CCDF1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颜色 奶白咖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产品型号 YCR-2366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额定功率(W) 1350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包装信息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饮水机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产品尺寸(mm): 长320x宽332x高1016产品净重(kg): 8.2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包装尺寸(mm): 长415x宽399x高816包装重量(kg): 9.85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1.高原模式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2.五档调温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3.家居融合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4.100℃真沸腾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5.55℃保温</w:t>
            </w:r>
          </w:p>
        </w:tc>
        <w:tc>
          <w:tcPr>
            <w:tcW w:w="1576" w:type="dxa"/>
            <w:gridSpan w:val="2"/>
            <w:tcBorders>
              <w:top w:val="single" w:color="000000" w:sz="4" w:space="0"/>
              <w:left w:val="single" w:color="000000" w:sz="4" w:space="0"/>
              <w:bottom w:val="single" w:color="000000" w:sz="4" w:space="0"/>
              <w:right w:val="single" w:color="000000" w:sz="4" w:space="0"/>
            </w:tcBorders>
            <w:noWrap w:val="0"/>
            <w:vAlign w:val="center"/>
          </w:tcPr>
          <w:p w14:paraId="6D19F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04" w:type="dxa"/>
            <w:gridSpan w:val="2"/>
            <w:tcBorders>
              <w:top w:val="single" w:color="000000" w:sz="4" w:space="0"/>
              <w:left w:val="single" w:color="000000" w:sz="4" w:space="0"/>
              <w:bottom w:val="single" w:color="000000" w:sz="4" w:space="0"/>
              <w:right w:val="single" w:color="000000" w:sz="4" w:space="0"/>
            </w:tcBorders>
            <w:noWrap w:val="0"/>
            <w:vAlign w:val="center"/>
          </w:tcPr>
          <w:p w14:paraId="0D273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A992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14:paraId="10354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5201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八格铁皮柜</w:t>
            </w:r>
          </w:p>
        </w:tc>
        <w:tc>
          <w:tcPr>
            <w:tcW w:w="7639" w:type="dxa"/>
            <w:tcBorders>
              <w:top w:val="single" w:color="000000" w:sz="4" w:space="0"/>
              <w:left w:val="single" w:color="000000" w:sz="4" w:space="0"/>
              <w:bottom w:val="single" w:color="000000" w:sz="4" w:space="0"/>
              <w:right w:val="single" w:color="000000" w:sz="4" w:space="0"/>
            </w:tcBorders>
            <w:noWrap w:val="0"/>
            <w:vAlign w:val="center"/>
          </w:tcPr>
          <w:p w14:paraId="15B0D0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1800mm高*850mm宽*390mm深优质冷轧钢0.6厚.高温防静电流水线喷涂颜色灰白色</w:t>
            </w:r>
          </w:p>
        </w:tc>
        <w:tc>
          <w:tcPr>
            <w:tcW w:w="1576" w:type="dxa"/>
            <w:gridSpan w:val="2"/>
            <w:tcBorders>
              <w:top w:val="single" w:color="000000" w:sz="4" w:space="0"/>
              <w:left w:val="single" w:color="000000" w:sz="4" w:space="0"/>
              <w:bottom w:val="single" w:color="000000" w:sz="4" w:space="0"/>
              <w:right w:val="single" w:color="000000" w:sz="4" w:space="0"/>
            </w:tcBorders>
            <w:noWrap w:val="0"/>
            <w:vAlign w:val="center"/>
          </w:tcPr>
          <w:p w14:paraId="11317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604" w:type="dxa"/>
            <w:gridSpan w:val="2"/>
            <w:tcBorders>
              <w:top w:val="single" w:color="000000" w:sz="4" w:space="0"/>
              <w:left w:val="single" w:color="000000" w:sz="4" w:space="0"/>
              <w:bottom w:val="single" w:color="000000" w:sz="4" w:space="0"/>
              <w:right w:val="single" w:color="000000" w:sz="4" w:space="0"/>
            </w:tcBorders>
            <w:noWrap w:val="0"/>
            <w:vAlign w:val="center"/>
          </w:tcPr>
          <w:p w14:paraId="3FB29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27E9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14:paraId="07A48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C852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窗帘</w:t>
            </w:r>
          </w:p>
        </w:tc>
        <w:tc>
          <w:tcPr>
            <w:tcW w:w="7639" w:type="dxa"/>
            <w:tcBorders>
              <w:top w:val="single" w:color="000000" w:sz="4" w:space="0"/>
              <w:left w:val="single" w:color="000000" w:sz="4" w:space="0"/>
              <w:bottom w:val="single" w:color="000000" w:sz="4" w:space="0"/>
              <w:right w:val="single" w:color="000000" w:sz="4" w:space="0"/>
            </w:tcBorders>
            <w:noWrap w:val="0"/>
            <w:vAlign w:val="center"/>
          </w:tcPr>
          <w:p w14:paraId="63EFCB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遮光窗帘</w:t>
            </w:r>
          </w:p>
        </w:tc>
        <w:tc>
          <w:tcPr>
            <w:tcW w:w="1576" w:type="dxa"/>
            <w:gridSpan w:val="2"/>
            <w:tcBorders>
              <w:top w:val="single" w:color="000000" w:sz="4" w:space="0"/>
              <w:left w:val="single" w:color="000000" w:sz="4" w:space="0"/>
              <w:bottom w:val="single" w:color="000000" w:sz="4" w:space="0"/>
              <w:right w:val="single" w:color="000000" w:sz="4" w:space="0"/>
            </w:tcBorders>
            <w:noWrap w:val="0"/>
            <w:vAlign w:val="center"/>
          </w:tcPr>
          <w:p w14:paraId="2B244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604" w:type="dxa"/>
            <w:gridSpan w:val="2"/>
            <w:tcBorders>
              <w:top w:val="single" w:color="000000" w:sz="4" w:space="0"/>
              <w:left w:val="single" w:color="000000" w:sz="4" w:space="0"/>
              <w:bottom w:val="single" w:color="000000" w:sz="4" w:space="0"/>
              <w:right w:val="single" w:color="000000" w:sz="4" w:space="0"/>
            </w:tcBorders>
            <w:noWrap w:val="0"/>
            <w:vAlign w:val="center"/>
          </w:tcPr>
          <w:p w14:paraId="3FEF1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7409F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14:paraId="072AE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304F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方形烤火炉</w:t>
            </w:r>
          </w:p>
        </w:tc>
        <w:tc>
          <w:tcPr>
            <w:tcW w:w="7639" w:type="dxa"/>
            <w:tcBorders>
              <w:top w:val="single" w:color="000000" w:sz="4" w:space="0"/>
              <w:left w:val="single" w:color="000000" w:sz="4" w:space="0"/>
              <w:bottom w:val="single" w:color="000000" w:sz="4" w:space="0"/>
              <w:right w:val="single" w:color="000000" w:sz="4" w:space="0"/>
            </w:tcBorders>
            <w:noWrap w:val="0"/>
            <w:vAlign w:val="center"/>
          </w:tcPr>
          <w:p w14:paraId="2DE538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面板:优等玉石岩板             产品尺寸:800*800mm     额定功率:2400W         立柱大小:90mm          立柱颜色:黑色             功能特点:陶炉、语音声控铝片发热体、置物架、带收线盒、带遥控。</w:t>
            </w:r>
          </w:p>
        </w:tc>
        <w:tc>
          <w:tcPr>
            <w:tcW w:w="1576" w:type="dxa"/>
            <w:gridSpan w:val="2"/>
            <w:tcBorders>
              <w:top w:val="single" w:color="000000" w:sz="4" w:space="0"/>
              <w:left w:val="single" w:color="000000" w:sz="4" w:space="0"/>
              <w:bottom w:val="single" w:color="000000" w:sz="4" w:space="0"/>
              <w:right w:val="single" w:color="000000" w:sz="4" w:space="0"/>
            </w:tcBorders>
            <w:noWrap w:val="0"/>
            <w:vAlign w:val="center"/>
          </w:tcPr>
          <w:p w14:paraId="7F933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04" w:type="dxa"/>
            <w:gridSpan w:val="2"/>
            <w:tcBorders>
              <w:top w:val="single" w:color="000000" w:sz="4" w:space="0"/>
              <w:left w:val="single" w:color="000000" w:sz="4" w:space="0"/>
              <w:bottom w:val="single" w:color="000000" w:sz="4" w:space="0"/>
              <w:right w:val="single" w:color="000000" w:sz="4" w:space="0"/>
            </w:tcBorders>
            <w:noWrap w:val="0"/>
            <w:vAlign w:val="center"/>
          </w:tcPr>
          <w:p w14:paraId="27EAE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bl>
    <w:p w14:paraId="634059D2">
      <w:pPr>
        <w:rPr>
          <w:b/>
          <w:color w:val="auto"/>
          <w:sz w:val="24"/>
        </w:rPr>
      </w:pPr>
    </w:p>
    <w:p w14:paraId="6FA91C39">
      <w:pPr>
        <w:rPr>
          <w:b/>
          <w:color w:val="auto"/>
          <w:sz w:val="24"/>
        </w:rPr>
      </w:pPr>
    </w:p>
    <w:tbl>
      <w:tblPr>
        <w:tblStyle w:val="44"/>
        <w:tblW w:w="127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7"/>
        <w:gridCol w:w="111"/>
        <w:gridCol w:w="32"/>
        <w:gridCol w:w="431"/>
        <w:gridCol w:w="450"/>
        <w:gridCol w:w="368"/>
        <w:gridCol w:w="219"/>
        <w:gridCol w:w="39"/>
        <w:gridCol w:w="138"/>
        <w:gridCol w:w="4871"/>
        <w:gridCol w:w="675"/>
        <w:gridCol w:w="720"/>
        <w:gridCol w:w="129"/>
        <w:gridCol w:w="908"/>
        <w:gridCol w:w="1072"/>
        <w:gridCol w:w="233"/>
        <w:gridCol w:w="236"/>
        <w:gridCol w:w="527"/>
        <w:gridCol w:w="27"/>
        <w:gridCol w:w="5"/>
        <w:gridCol w:w="2"/>
        <w:gridCol w:w="35"/>
        <w:gridCol w:w="1052"/>
        <w:gridCol w:w="14"/>
        <w:gridCol w:w="9"/>
        <w:gridCol w:w="5"/>
      </w:tblGrid>
      <w:tr w14:paraId="11867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60" w:hRule="atLeast"/>
        </w:trPr>
        <w:tc>
          <w:tcPr>
            <w:tcW w:w="12760" w:type="dxa"/>
            <w:gridSpan w:val="25"/>
            <w:tcBorders>
              <w:top w:val="single" w:color="auto" w:sz="4" w:space="0"/>
              <w:left w:val="single" w:color="auto" w:sz="4" w:space="0"/>
              <w:bottom w:val="single" w:color="auto" w:sz="4" w:space="0"/>
              <w:right w:val="single" w:color="auto" w:sz="4" w:space="0"/>
            </w:tcBorders>
            <w:noWrap w:val="0"/>
            <w:vAlign w:val="center"/>
          </w:tcPr>
          <w:p w14:paraId="30C5E83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教师办公电脑</w:t>
            </w:r>
          </w:p>
        </w:tc>
      </w:tr>
      <w:tr w14:paraId="2A64F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60" w:hRule="atLeast"/>
        </w:trPr>
        <w:tc>
          <w:tcPr>
            <w:tcW w:w="1031" w:type="dxa"/>
            <w:gridSpan w:val="4"/>
            <w:tcBorders>
              <w:top w:val="single" w:color="auto" w:sz="4" w:space="0"/>
              <w:left w:val="single" w:color="auto" w:sz="4" w:space="0"/>
              <w:bottom w:val="single" w:color="auto" w:sz="4" w:space="0"/>
              <w:right w:val="single" w:color="auto" w:sz="4" w:space="0"/>
            </w:tcBorders>
            <w:noWrap w:val="0"/>
            <w:vAlign w:val="center"/>
          </w:tcPr>
          <w:p w14:paraId="0B7CD23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14" w:type="dxa"/>
            <w:gridSpan w:val="5"/>
            <w:tcBorders>
              <w:top w:val="single" w:color="auto" w:sz="4" w:space="0"/>
              <w:left w:val="single" w:color="auto" w:sz="4" w:space="0"/>
              <w:bottom w:val="single" w:color="auto" w:sz="4" w:space="0"/>
              <w:right w:val="single" w:color="auto" w:sz="4" w:space="0"/>
            </w:tcBorders>
            <w:noWrap w:val="0"/>
            <w:vAlign w:val="center"/>
          </w:tcPr>
          <w:p w14:paraId="52FC6FF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8375" w:type="dxa"/>
            <w:gridSpan w:val="6"/>
            <w:tcBorders>
              <w:top w:val="single" w:color="auto" w:sz="4" w:space="0"/>
              <w:left w:val="single" w:color="auto" w:sz="4" w:space="0"/>
              <w:bottom w:val="single" w:color="auto" w:sz="4" w:space="0"/>
              <w:right w:val="single" w:color="auto" w:sz="4" w:space="0"/>
            </w:tcBorders>
            <w:noWrap w:val="0"/>
            <w:vAlign w:val="center"/>
          </w:tcPr>
          <w:p w14:paraId="052ED88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c>
          <w:tcPr>
            <w:tcW w:w="996" w:type="dxa"/>
            <w:gridSpan w:val="3"/>
            <w:tcBorders>
              <w:top w:val="single" w:color="auto" w:sz="4" w:space="0"/>
              <w:left w:val="single" w:color="auto" w:sz="4" w:space="0"/>
              <w:bottom w:val="single" w:color="auto" w:sz="4" w:space="0"/>
              <w:right w:val="single" w:color="auto" w:sz="4" w:space="0"/>
            </w:tcBorders>
            <w:noWrap w:val="0"/>
            <w:vAlign w:val="center"/>
          </w:tcPr>
          <w:p w14:paraId="1DA7D2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144" w:type="dxa"/>
            <w:gridSpan w:val="7"/>
            <w:tcBorders>
              <w:top w:val="single" w:color="auto" w:sz="4" w:space="0"/>
              <w:left w:val="single" w:color="auto" w:sz="4" w:space="0"/>
              <w:bottom w:val="single" w:color="auto" w:sz="4" w:space="0"/>
              <w:right w:val="single" w:color="auto" w:sz="4" w:space="0"/>
            </w:tcBorders>
            <w:noWrap w:val="0"/>
            <w:vAlign w:val="center"/>
          </w:tcPr>
          <w:p w14:paraId="434919E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14:paraId="5AB66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880" w:hRule="atLeast"/>
        </w:trPr>
        <w:tc>
          <w:tcPr>
            <w:tcW w:w="1031" w:type="dxa"/>
            <w:gridSpan w:val="4"/>
            <w:tcBorders>
              <w:top w:val="single" w:color="auto" w:sz="4" w:space="0"/>
              <w:left w:val="single" w:color="000000" w:sz="4" w:space="0"/>
              <w:bottom w:val="single" w:color="000000" w:sz="4" w:space="0"/>
              <w:right w:val="single" w:color="000000" w:sz="4" w:space="0"/>
            </w:tcBorders>
            <w:noWrap w:val="0"/>
            <w:vAlign w:val="center"/>
          </w:tcPr>
          <w:p w14:paraId="7F85C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4" w:type="dxa"/>
            <w:gridSpan w:val="5"/>
            <w:tcBorders>
              <w:top w:val="single" w:color="auto" w:sz="4" w:space="0"/>
              <w:left w:val="single" w:color="000000" w:sz="4" w:space="0"/>
              <w:bottom w:val="single" w:color="000000" w:sz="4" w:space="0"/>
              <w:right w:val="single" w:color="000000" w:sz="4" w:space="0"/>
            </w:tcBorders>
            <w:noWrap w:val="0"/>
            <w:vAlign w:val="center"/>
          </w:tcPr>
          <w:p w14:paraId="40B95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教师电脑</w:t>
            </w:r>
          </w:p>
        </w:tc>
        <w:tc>
          <w:tcPr>
            <w:tcW w:w="8375" w:type="dxa"/>
            <w:gridSpan w:val="6"/>
            <w:tcBorders>
              <w:top w:val="single" w:color="auto" w:sz="4" w:space="0"/>
              <w:left w:val="single" w:color="000000" w:sz="4" w:space="0"/>
              <w:bottom w:val="single" w:color="000000" w:sz="4" w:space="0"/>
              <w:right w:val="single" w:color="000000" w:sz="4" w:space="0"/>
            </w:tcBorders>
            <w:noWrap w:val="0"/>
            <w:vAlign w:val="center"/>
          </w:tcPr>
          <w:p w14:paraId="527F0B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1.CPU：主频≥2.7GHz 、≥8核处理器8线程，二级缓存≥8MB。</w:t>
            </w:r>
          </w:p>
          <w:p w14:paraId="31CB52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2.主板：ZX200芯片组或以上。</w:t>
            </w:r>
          </w:p>
          <w:p w14:paraId="2C5D54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3.内存：8GB DDR4 2666MT/s </w:t>
            </w:r>
          </w:p>
          <w:p w14:paraId="7CA13C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4.硬盘：≥256GB M.2 NVMe SSD硬盘</w:t>
            </w:r>
          </w:p>
          <w:p w14:paraId="209AC4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5.支持拓展9.5mm标准光驱。</w:t>
            </w:r>
          </w:p>
          <w:p w14:paraId="3BD65C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6.支持1000Mbps。网口支持wake on LAN。</w:t>
            </w:r>
          </w:p>
          <w:p w14:paraId="4F527F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7.集成标准声卡。</w:t>
            </w:r>
          </w:p>
          <w:p w14:paraId="28F966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8.USB有线键盘、鼠标。</w:t>
            </w:r>
          </w:p>
          <w:p w14:paraId="4413B9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9.前置面板：USB3.0≥3个；TypeC≥1个；音频接口≥1个（支持耳机麦克风二合一）</w:t>
            </w:r>
          </w:p>
          <w:p w14:paraId="2AF3F7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10.</w:t>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sz w:val="22"/>
                <w:szCs w:val="22"/>
                <w:u w:val="none"/>
              </w:rPr>
              <w:t>支持物理网络开关按键。</w:t>
            </w:r>
          </w:p>
          <w:p w14:paraId="6E52B0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11.</w:t>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sz w:val="22"/>
                <w:szCs w:val="22"/>
                <w:u w:val="none"/>
              </w:rPr>
              <w:t>关机状态下，支持≥3前置USB端口对外供电。</w:t>
            </w:r>
          </w:p>
          <w:p w14:paraId="4FD35B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12.后置面板：USB3.0≥4个；HDMI输出≥1个；VGA输出≥1个；音频输入≥2个；音频输出≥1个；RJ45≥1个；PS/2≥2个；串口≥1个。</w:t>
            </w:r>
          </w:p>
          <w:p w14:paraId="086FD1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13.独立显卡：JM7201-2G：≥2G独立显卡；VGA≥1个；HDMI≥1个</w:t>
            </w:r>
          </w:p>
          <w:p w14:paraId="6012DD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14.内部插槽：PCIEX16≥1个（支持拓展独立显卡）；PCIEX8≥2个；M.2≥2个；SATA≥4个。</w:t>
            </w:r>
          </w:p>
          <w:p w14:paraId="6BFBB3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15.机箱体积：≤8L。</w:t>
            </w:r>
          </w:p>
          <w:p w14:paraId="1A15DD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16.电源功率：≤200W。</w:t>
            </w:r>
          </w:p>
        </w:tc>
        <w:tc>
          <w:tcPr>
            <w:tcW w:w="996" w:type="dxa"/>
            <w:gridSpan w:val="3"/>
            <w:vMerge w:val="restart"/>
            <w:tcBorders>
              <w:top w:val="single" w:color="auto" w:sz="4" w:space="0"/>
              <w:left w:val="single" w:color="000000" w:sz="4" w:space="0"/>
              <w:bottom w:val="single" w:color="000000" w:sz="4" w:space="0"/>
              <w:right w:val="single" w:color="000000" w:sz="4" w:space="0"/>
            </w:tcBorders>
            <w:noWrap w:val="0"/>
            <w:vAlign w:val="center"/>
          </w:tcPr>
          <w:p w14:paraId="6C173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4" w:type="dxa"/>
            <w:gridSpan w:val="7"/>
            <w:vMerge w:val="restart"/>
            <w:tcBorders>
              <w:top w:val="single" w:color="auto" w:sz="4" w:space="0"/>
              <w:left w:val="single" w:color="000000" w:sz="4" w:space="0"/>
              <w:bottom w:val="single" w:color="000000" w:sz="4" w:space="0"/>
              <w:right w:val="single" w:color="000000" w:sz="4" w:space="0"/>
            </w:tcBorders>
            <w:noWrap w:val="0"/>
            <w:vAlign w:val="center"/>
          </w:tcPr>
          <w:p w14:paraId="58203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7F73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880" w:hRule="atLeast"/>
        </w:trPr>
        <w:tc>
          <w:tcPr>
            <w:tcW w:w="1031" w:type="dxa"/>
            <w:gridSpan w:val="4"/>
            <w:tcBorders>
              <w:top w:val="single" w:color="000000" w:sz="4" w:space="0"/>
              <w:left w:val="single" w:color="000000" w:sz="4" w:space="0"/>
              <w:bottom w:val="single" w:color="000000" w:sz="4" w:space="0"/>
              <w:right w:val="single" w:color="000000" w:sz="4" w:space="0"/>
            </w:tcBorders>
            <w:noWrap w:val="0"/>
            <w:vAlign w:val="center"/>
          </w:tcPr>
          <w:p w14:paraId="2ACFD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14" w:type="dxa"/>
            <w:gridSpan w:val="5"/>
            <w:tcBorders>
              <w:top w:val="single" w:color="000000" w:sz="4" w:space="0"/>
              <w:left w:val="single" w:color="000000" w:sz="4" w:space="0"/>
              <w:bottom w:val="single" w:color="000000" w:sz="4" w:space="0"/>
              <w:right w:val="single" w:color="000000" w:sz="4" w:space="0"/>
            </w:tcBorders>
            <w:noWrap w:val="0"/>
            <w:vAlign w:val="center"/>
          </w:tcPr>
          <w:p w14:paraId="586E7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w:t>
            </w:r>
          </w:p>
        </w:tc>
        <w:tc>
          <w:tcPr>
            <w:tcW w:w="8375" w:type="dxa"/>
            <w:gridSpan w:val="6"/>
            <w:tcBorders>
              <w:top w:val="single" w:color="000000" w:sz="4" w:space="0"/>
              <w:left w:val="single" w:color="000000" w:sz="4" w:space="0"/>
              <w:bottom w:val="single" w:color="000000" w:sz="4" w:space="0"/>
              <w:right w:val="single" w:color="000000" w:sz="4" w:space="0"/>
            </w:tcBorders>
            <w:noWrap w:val="0"/>
            <w:vAlign w:val="center"/>
          </w:tcPr>
          <w:p w14:paraId="3A39B5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.1.≥23.8英寸显示屏幕，分辨率≥1920*1080，VA屏；</w:t>
            </w:r>
          </w:p>
          <w:p w14:paraId="2627C79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2.屏幕亮度≥300cd/m2；</w:t>
            </w:r>
          </w:p>
          <w:p w14:paraId="76957BE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3.屏占比≥91%；</w:t>
            </w:r>
          </w:p>
          <w:p w14:paraId="2FB971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4.支持VGA≥1，HDMI≥1；</w:t>
            </w:r>
          </w:p>
          <w:p w14:paraId="148F73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5.显示屏幕色域覆盖率≥85%(NTSC CIE1976)；</w:t>
            </w:r>
          </w:p>
          <w:p w14:paraId="2B96E6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6.对比度≥4000:1，屏幕刷新率≥100Hz，灰阶响应时间≤7ms；</w:t>
            </w:r>
          </w:p>
          <w:p w14:paraId="758CF1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7.★显示屏分别提供标准模式、炫彩模式、护眼模式、阅读模式选项；</w:t>
            </w:r>
          </w:p>
          <w:p w14:paraId="013C34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8.蓝光危害级别为RG0(Exempt,豁免级)，蓝光加权辐射亮度比BR≤0.0010W·sr-1·cd-1)</w:t>
            </w:r>
          </w:p>
          <w:p w14:paraId="591A49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9.具备自动重置功能，长按特定实体按键3s可自动重置显示参数；</w:t>
            </w:r>
          </w:p>
          <w:p w14:paraId="7A5A64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10.具备信号自动识别功能，可根据接入的HDMI/VGA接口自动识别信号输入，无需手动调节输入通道；</w:t>
            </w:r>
          </w:p>
          <w:p w14:paraId="7BBD7A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11.具备信号自动调整功能，在OSD菜单手动调节输入信号类型后，若检测到无信号，显示器可自动切换至切换至有信号的输入通道；</w:t>
            </w:r>
          </w:p>
          <w:p w14:paraId="66A5EB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12.为保证兼容性，显示器与教学主机保持同一品牌。</w:t>
            </w:r>
          </w:p>
        </w:tc>
        <w:tc>
          <w:tcPr>
            <w:tcW w:w="9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1702C46">
            <w:pPr>
              <w:jc w:val="center"/>
              <w:rPr>
                <w:rFonts w:hint="eastAsia" w:ascii="宋体" w:hAnsi="宋体" w:eastAsia="宋体" w:cs="宋体"/>
                <w:i w:val="0"/>
                <w:iCs w:val="0"/>
                <w:color w:val="000000"/>
                <w:sz w:val="22"/>
                <w:szCs w:val="22"/>
                <w:u w:val="none"/>
              </w:rPr>
            </w:pPr>
          </w:p>
        </w:tc>
        <w:tc>
          <w:tcPr>
            <w:tcW w:w="114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1D8E4265">
            <w:pPr>
              <w:jc w:val="center"/>
              <w:rPr>
                <w:rFonts w:hint="eastAsia" w:ascii="宋体" w:hAnsi="宋体" w:eastAsia="宋体" w:cs="宋体"/>
                <w:i w:val="0"/>
                <w:iCs w:val="0"/>
                <w:color w:val="000000"/>
                <w:sz w:val="22"/>
                <w:szCs w:val="22"/>
                <w:u w:val="none"/>
              </w:rPr>
            </w:pPr>
          </w:p>
        </w:tc>
      </w:tr>
      <w:tr w14:paraId="23C56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8" w:type="dxa"/>
          <w:trHeight w:val="500" w:hRule="atLeast"/>
        </w:trPr>
        <w:tc>
          <w:tcPr>
            <w:tcW w:w="12737" w:type="dxa"/>
            <w:gridSpan w:val="23"/>
            <w:tcBorders>
              <w:top w:val="single" w:color="000000" w:sz="4" w:space="0"/>
              <w:left w:val="single" w:color="000000" w:sz="4" w:space="0"/>
              <w:bottom w:val="single" w:color="000000" w:sz="4" w:space="0"/>
              <w:right w:val="single" w:color="000000" w:sz="4" w:space="0"/>
            </w:tcBorders>
            <w:noWrap/>
            <w:vAlign w:val="center"/>
          </w:tcPr>
          <w:p w14:paraId="48B57670">
            <w:pPr>
              <w:keepNext w:val="0"/>
              <w:keepLines w:val="0"/>
              <w:widowControl/>
              <w:suppressLineNumbers w:val="0"/>
              <w:ind w:firstLine="5060" w:firstLineChars="210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班班通</w:t>
            </w:r>
          </w:p>
        </w:tc>
      </w:tr>
      <w:tr w14:paraId="77D3D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8" w:type="dxa"/>
          <w:trHeight w:val="500" w:hRule="atLeast"/>
        </w:trPr>
        <w:tc>
          <w:tcPr>
            <w:tcW w:w="457" w:type="dxa"/>
            <w:tcBorders>
              <w:top w:val="single" w:color="000000" w:sz="4" w:space="0"/>
              <w:left w:val="single" w:color="000000" w:sz="4" w:space="0"/>
              <w:bottom w:val="single" w:color="000000" w:sz="4" w:space="0"/>
              <w:right w:val="single" w:color="000000" w:sz="4" w:space="0"/>
            </w:tcBorders>
            <w:noWrap/>
            <w:vAlign w:val="center"/>
          </w:tcPr>
          <w:p w14:paraId="0919CA4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50" w:type="dxa"/>
            <w:gridSpan w:val="7"/>
            <w:tcBorders>
              <w:top w:val="single" w:color="000000" w:sz="4" w:space="0"/>
              <w:left w:val="single" w:color="000000" w:sz="4" w:space="0"/>
              <w:bottom w:val="single" w:color="000000" w:sz="4" w:space="0"/>
              <w:right w:val="single" w:color="000000" w:sz="4" w:space="0"/>
            </w:tcBorders>
            <w:noWrap/>
            <w:vAlign w:val="center"/>
          </w:tcPr>
          <w:p w14:paraId="3F1AB68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8513" w:type="dxa"/>
            <w:gridSpan w:val="7"/>
            <w:tcBorders>
              <w:top w:val="single" w:color="000000" w:sz="4" w:space="0"/>
              <w:left w:val="single" w:color="000000" w:sz="4" w:space="0"/>
              <w:bottom w:val="single" w:color="000000" w:sz="4" w:space="0"/>
              <w:right w:val="single" w:color="000000" w:sz="4" w:space="0"/>
            </w:tcBorders>
            <w:noWrap/>
            <w:vAlign w:val="center"/>
          </w:tcPr>
          <w:p w14:paraId="4DE35A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主要技术参数指标要求</w:t>
            </w:r>
          </w:p>
        </w:tc>
        <w:tc>
          <w:tcPr>
            <w:tcW w:w="1023" w:type="dxa"/>
            <w:gridSpan w:val="4"/>
            <w:tcBorders>
              <w:top w:val="single" w:color="000000" w:sz="4" w:space="0"/>
              <w:left w:val="single" w:color="000000" w:sz="4" w:space="0"/>
              <w:bottom w:val="single" w:color="000000" w:sz="4" w:space="0"/>
              <w:right w:val="single" w:color="000000" w:sz="4" w:space="0"/>
            </w:tcBorders>
            <w:noWrap/>
            <w:vAlign w:val="center"/>
          </w:tcPr>
          <w:p w14:paraId="22E820F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094" w:type="dxa"/>
            <w:gridSpan w:val="4"/>
            <w:tcBorders>
              <w:top w:val="single" w:color="000000" w:sz="4" w:space="0"/>
              <w:left w:val="single" w:color="000000" w:sz="4" w:space="0"/>
              <w:bottom w:val="single" w:color="000000" w:sz="4" w:space="0"/>
              <w:right w:val="single" w:color="000000" w:sz="4" w:space="0"/>
            </w:tcBorders>
            <w:noWrap/>
            <w:vAlign w:val="center"/>
          </w:tcPr>
          <w:p w14:paraId="1A883AA7">
            <w:pPr>
              <w:keepNext w:val="0"/>
              <w:keepLines w:val="0"/>
              <w:widowControl/>
              <w:suppressLineNumbers w:val="0"/>
              <w:tabs>
                <w:tab w:val="left" w:pos="2104"/>
                <w:tab w:val="center" w:pos="6669"/>
              </w:tabs>
              <w:ind w:firstLine="241" w:firstLineChars="10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14:paraId="1A2DC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403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50"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FA64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86寸智慧黑板</w:t>
            </w:r>
          </w:p>
        </w:tc>
        <w:tc>
          <w:tcPr>
            <w:tcW w:w="851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CB01ED2">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一、整机设计及屏体要求：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1、整机采用三段式一体化结构设计，侧板由两块固定侧板组成，长度≥4300mm，高度≥1200mm；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2、★液晶显示尺寸≥86英寸，≥4K分辨率：≥3840*2160，屏幕刷新率至少可达60Hz，色彩覆盖率≥110%，主屏背板采用高强度材质。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3、智能交互黑板具有通屏笔槽结构，可放置书写笔、粉笔、水性笔等，笔槽具有漏灰孔设计。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二、触控技术要求：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1、采用红外触控技术，触控分辨率≥32768*32768，在Windows与Android下均支持≥40点同时触控，触控书写延迟≤15ms；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三、安全性要求：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1、采用物理减滤蓝光设计，无需其他操作即可实现防蓝光，在源头减少有害蓝光波段能量，有害蓝光波长415～455nm＜30%；（提供CMA或CNAS认证检测机构出具的检测报告并加盖公章）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2、背光系统支持DC调光方式或其他方式，须实现稳定光源无频闪，摄像设备拍摄时画面无条纹闪烁；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w:t>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4"/>
                <w:szCs w:val="24"/>
                <w:u w:val="none"/>
                <w:lang w:val="en-US" w:eastAsia="zh-CN" w:bidi="ar"/>
              </w:rPr>
              <w:t>须满足《GB 40070-2021儿童青少年学习用品近视防控卫生要求》，亮度均匀性≥70%，闪烁等级≤-30dB（60Hz）；（提供CMA或CNAS认证检测机构出具的检测报告并加盖公章）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4、整机可进行硬件自检，包括对系统内存、存储、触控系统、光感系统、内置电脑、屏体信息、主板型号、CPU型号、CPU使用率、设备名称等进行状态提示及故障提示；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四、教学要求：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1、整机前置接口：≥1路HDMI IN接口（非转接），≥2路USB3.0接口，≥1路USB Type-C接口;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2、整机后置接口RJ45≥1路，音频输入≥1路，RS232≥1路， HDMI输入≥2路，HDMI输出≥1路；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3、前置按键面板向上倾斜，与黑板正面形成夹角，符合人体工学，操作便捷；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4、前置中文物理按键≥8个，至少包含电源、音量加减、关闭窗口、多任务等功能，且按键均具备两种及以上常用教学功能；（提供具有CMA或CNAS标识的检测报告复印件并加盖厂家公章）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5、内置2.2声道音响，额定功率≥60W, 最低谐振频率不高于100Hz；（提供具有CMA或CNAS标识的检测报告复印件并加盖厂家公章）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w:t>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4"/>
                <w:szCs w:val="24"/>
                <w:u w:val="none"/>
                <w:lang w:val="en-US" w:eastAsia="zh-CN" w:bidi="ar"/>
              </w:rPr>
              <w:t>整机采用不低于12核驱动芯片，Android 系统版本不低于14.0，内存≥2GB，存储≥8GB；（提供具有CMA或CNAS标识的检测报告复印件并加盖厂家公章）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w:t>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4"/>
                <w:szCs w:val="24"/>
                <w:u w:val="none"/>
                <w:lang w:val="en-US" w:eastAsia="zh-CN" w:bidi="ar"/>
              </w:rPr>
              <w:t>内置一体化超高清摄像头，单颗摄像头有效像素≥1900W，最大输出分辨率可达≥5104*3864的图片与视频，支持搭配AI软件实现自动点名点数功能；（提供具有CMA或CNAS标识的检测报告复印件并加盖厂家公章）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8、内置≥8阵列麦克风，拾音角度≥180°，可用于对教室环境音频进行采集，拾音距离≥12m；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w:t>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4"/>
                <w:szCs w:val="24"/>
                <w:u w:val="none"/>
                <w:lang w:val="en-US" w:eastAsia="zh-CN" w:bidi="ar"/>
              </w:rPr>
              <w:t>整机内置蓝牙Bluetooth 5.4模块，支持连接外部蓝牙音箱播放音频;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10、智能交互黑板具备前置电脑还原按键，无需专业人员即可轻松解决电脑系统故障，为避免误碰按键采用针孔式设计。（提供具有CMA或CNAS标识的检测报告复印件并加盖厂家公章）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11、智能交互黑板内置Wi-Fi6无线网卡，支持2.4G、5G双频，支持无线设备同时连接数量≥20个。；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五、应用功能要求：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1、通过手势滑动，在同一界面下无需切换系统，可快速调节Windows 和Android 的设置，如声音、亮度、网络等；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2、具有悬浮菜单，可通过多指快速调用悬浮菜单至按压位置，悬浮菜单可进行自定义分组，可添加白板等不少于 30 个应用；（提供具有CMA或CNAS标识的检测报告复印件并加盖厂家公章）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3、通过手势操作在屏幕任意位置可调出多任务处理窗口，并对正在运行的应用进行浏览、快速切换或结束进程；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4、整机具备自动待机功能，在无操作或无信号输入时，自动进入待机节能状态，时间间隔可自定义；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5、可通过多指长按屏幕部分达到息屏及屏幕唤醒功能，可根据实际教学应用开启或关闭此功能；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6、支持多种方式进行屏幕下移，屏幕下移后仍可进行触控、书写等操作；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7、全通道支持纸质护眼模式，可实现画面纹理的实时调整；支持纸质纹理：素描纸、宣纸、水彩纸、牛皮纸、水纹纸；支持透明度调节与色温调节。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六、侧板：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1.支持磁性材质教具吸附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2.板面光泽度需符合 GB28231-2011 标准，不高于8光泽度以免产生眩光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3.板面粗糙度需符合 GB28231-2011标准，位于1.6um-2.0um 之间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4.板面符合 GB/T9286-2021标准，支持色漆和清漆漆膜的划格试验，脱漆面积不明显大于 5%达到 0 级标准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5.板面抗冲击性需符合GB/T 1732-2020标准，漆膜耐冲击无裂纹现象。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七、服务保障：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4"/>
                <w:szCs w:val="24"/>
                <w:u w:val="none"/>
                <w:lang w:val="en-US" w:eastAsia="zh-CN" w:bidi="ar"/>
              </w:rPr>
              <w:t>需提供厂家针对本次项目的售后服务承诺书，参数确认函。（加盖厂家公章）</w:t>
            </w:r>
          </w:p>
        </w:tc>
        <w:tc>
          <w:tcPr>
            <w:tcW w:w="102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32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117"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05EF9">
            <w:pPr>
              <w:keepNext w:val="0"/>
              <w:keepLines w:val="0"/>
              <w:widowControl/>
              <w:suppressLineNumbers w:val="0"/>
              <w:ind w:firstLine="480"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26EC2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E5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50"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5A0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内置电脑</w:t>
            </w:r>
          </w:p>
        </w:tc>
        <w:tc>
          <w:tcPr>
            <w:tcW w:w="851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FEE98B6">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1、采用80pin Intel通用标准接口,即插即用，易于维护；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2、CPU采用 I5或以上处理器；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3、内存：≥8G DDR4；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4、硬盘：≥256G SSD固态硬盘；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5、接口：整机非外扩展具备6个USB接口（其中至少包含3路USB3.0接口）；具有独立非外扩展的视频输出接口：≥1路HDMI </w:t>
            </w:r>
          </w:p>
        </w:tc>
        <w:tc>
          <w:tcPr>
            <w:tcW w:w="102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46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17"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92BB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24137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66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50"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4C8A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壁挂展台</w:t>
            </w:r>
          </w:p>
        </w:tc>
        <w:tc>
          <w:tcPr>
            <w:tcW w:w="851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C0ADD88">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像素要求≥1300 万。</w:t>
            </w:r>
            <w:r>
              <w:rPr>
                <w:rFonts w:hint="eastAsia" w:ascii="宋体" w:hAnsi="宋体" w:eastAsia="宋体" w:cs="宋体"/>
                <w:i w:val="0"/>
                <w:iCs w:val="0"/>
                <w:color w:val="000000"/>
                <w:kern w:val="0"/>
                <w:sz w:val="24"/>
                <w:szCs w:val="24"/>
                <w:u w:val="none"/>
                <w:lang w:val="en-US" w:eastAsia="zh-CN" w:bidi="ar"/>
              </w:rPr>
              <w:br w:type="textWrapping"/>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4"/>
                <w:szCs w:val="24"/>
                <w:u w:val="none"/>
                <w:lang w:val="en-US" w:eastAsia="zh-CN" w:bidi="ar"/>
              </w:rPr>
              <w:t>2. 清晰度：中心线≥1200 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4"/>
                <w:szCs w:val="24"/>
                <w:u w:val="none"/>
                <w:lang w:val="en-US" w:eastAsia="zh-CN" w:bidi="ar"/>
              </w:rPr>
              <w:t>3. 变焦：整机数码变焦≥10倍。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电源：5V USB 供电，无需外接电源，USB 线采用分离式设计；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工作电流：小于500mA；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托板结构设计：采用单板结构，托板尺寸大于A4 规格，托板平整无接缝，承托稳定；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7. 托板安全设计：托板的所有边角均采用圆弧倒角设计，承托A4 幅面试卷及教材时，托板最外围边角的厚度不小于10mm，且边角的倒角直径不小于18mm；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安装方式：支持壁挂式安装和台式安装两种安装方式；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 稳固安装设计：采用三点稳固设计，确保台式安装时，即使在不平整的桌面上依然可稳固安装及使用；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10.光源： LED 补光灯；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11．外观材质：兼顾教学环境，保护师生安全，采用ABS材质；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4"/>
                <w:szCs w:val="24"/>
                <w:u w:val="none"/>
                <w:lang w:val="en-US" w:eastAsia="zh-CN" w:bidi="ar"/>
              </w:rPr>
              <w:t>12.展台软件功能：在Windows系统下可实现图片放大、缩小、旋转、批注等功能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4"/>
                <w:szCs w:val="24"/>
                <w:u w:val="none"/>
                <w:lang w:val="en-US" w:eastAsia="zh-CN" w:bidi="ar"/>
              </w:rPr>
              <w:t>售后服务：提供厂家针对本次项目的售后服务承诺书，参数确认函（加盖厂家公章）</w:t>
            </w:r>
          </w:p>
        </w:tc>
        <w:tc>
          <w:tcPr>
            <w:tcW w:w="102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15A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17"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E2A6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41029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04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50"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8A16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教学白板软件</w:t>
            </w:r>
          </w:p>
        </w:tc>
        <w:tc>
          <w:tcPr>
            <w:tcW w:w="851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FF5A5B1">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一、备课模式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1、支持多端程序入口,支持PC端、交互设备、移动端及网页端；且均可快速生成、播放课件。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4"/>
                <w:szCs w:val="24"/>
                <w:u w:val="none"/>
                <w:lang w:val="en-US" w:eastAsia="zh-CN" w:bidi="ar"/>
              </w:rPr>
              <w:t>支持多种登录方式，如U盘登录、账号密码直接登录、微信扫码登录、手机验证码快捷登录、书写登录等，支持免登录打开本地课件；其中书写登录可录入内容及笔迹，在任意设备进行书写登录软件；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3、教学软件至少包含，个人空间、回收站、我的班级、操作指南、个人设置等应用模块；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4、回收站：教师可根据自身使用需求对已经创建好的课件进行修改或删除，删除后的课件可自行存放到回收站，已经删除后的课件，可进行恢复或清除。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w:t>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4"/>
                <w:szCs w:val="24"/>
                <w:u w:val="none"/>
                <w:lang w:val="en-US" w:eastAsia="zh-CN" w:bidi="ar"/>
              </w:rPr>
              <w:t>老师个人账号无需完成特定任务，即可获取不少于200GB云端存储空间，可扩展至3TB云存储空间。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6、提供预置的课件素材，允许老师在网页端、移动端、电脑端进行内容的选择与组合，快速生成课件并浏览，所有制作的课件均实时保存至云端，老师只需登录即可查看。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7、支持老师根据教材章节目录、知识点选择对应的教学内容。老师仅需要按每个教学环节选择所需的教学模块即可快速生成一份课件。每个课时均提供过量的教学内容模块，满足老师的个性化需求。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8、支持教师对课件知识点进行评价。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9、软件支持单独PPT 导入功能，并支持导入进度条提示功能，可查看当前导入进度，上传完成后具有中文提供功能。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10、提供模块化的课件素材和教案，学科涵盖语文、数学、英语、物理、化学等学科 ，课件支持组选：课堂导入，知识讲解，例题与变式，拓展延伸，课外活动等；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11、提供语文生字卡片、英语生词卡片、化学工具编辑器、数学工具编辑器、物理仿真实验、英文手写识别等学课工具。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12、提供至少8种类型的课堂活动，老师备课时通过活动模板即可快速制作活动，支持编辑好的课堂活动添加到我的课堂活动，实现任意课件的随时引用，帮助老师活跃课堂气氛。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13、可插入音频，支持对音频的剪辑，可拖动或输入音频的开始和结束位置。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14、可插入表格，表格支持设置行列数，在表格上可以进行行列的添加、删除、合并和拆分，可编辑文字格式和表格格式。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15、可插入思维导图，包括逻辑图和组织结构图，思维导图可添加同级节点、下级节点上级节点，可编辑文字格式和思维导图格式。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16、支持管理员对校本资源进行结构化管理，针对不同的学段学科、可创建多级目录；支持学校以课程为单位整合教案、课件等教学内容；支持导入多种格式的教学资源，生成结构化的校本资源库。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二、授课模式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1、支持显示文件、工具和应用的便捷入口，当开始批注时，自动隐藏便捷入口，清除笔迹时，自动恢复显示便捷入口；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2、支持单指长按屏幕任意空白区域呼出便捷入口（文件、工具、应用、一键收起）；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3、文件入口支持拉起其他网盘，包含至少4种常用的三方网盘入口；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4、工具条支持上下移动，支持收起/展开，工具条至少支持批注、清页、文件、工具、应用切换等功能；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5、支持使用教辅工具，至少包含截图、时钟、放大镜、聚光灯、黑屏、随机数、骰子和大转盘等；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w:t>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4"/>
                <w:szCs w:val="24"/>
                <w:u w:val="none"/>
                <w:lang w:val="en-US" w:eastAsia="zh-CN" w:bidi="ar"/>
              </w:rPr>
              <w:t>支持打开本机文件、U盘文件等本地文件；不需导入，可直接打开本地视频、音频、图片、离线教学课件、PPT&amp;PPTX、PDF文件、DOC&amp;DOCX文件及swf文件；支持不少于20个文件窗口同屏播放显示，满足多素材授课需求。支持批注的文件类型包含PPT&amp;PPTX、图片、PDF、DOC&amp;DOCX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7、支持展示当前已打开的文件，点击实现文件窗口的便捷切换，支持文件一键全部最小化，支持双击标题栏实现文件全屏播放；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免登录打开离线课件，直接进入课件全屏播放状态；登录后，可返回备课编辑状态。可通过点击或触摸屏幕实现动画的显示和翻页，同时支持通过翻页笔翻页，还支持点击工具条进行课件的前翻页和后翻页，支持手指滑动上下翻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9、提供多个蒙层模板，老师备课时选择合适的蒙层图片遮住元素，授课时用橡皮擦除蒙层，展现被蒙住的元素；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10、课堂评价支持对全班、单个或多个学生进行评价评价结果可撤回，老师可通过移动端、 PC端及网页端对学生进行行为评价打分，界面、评价项、学生头像均采用卡通化方式，软件支持随机抽选学生进行评价，支持计时器功能，包括秒表和倒计时，支持家长通过移动端查看学生的近期表现。                                          11.为保证整机兼容性及稳定性，要求教学白板软件与智慧黑板为同品牌。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12.售后服务：提供厂家针对本次项目的售后服务承诺书，参数确认函。</w:t>
            </w:r>
          </w:p>
        </w:tc>
        <w:tc>
          <w:tcPr>
            <w:tcW w:w="102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525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17"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EB49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19C1D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5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50"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E98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教学专属系统</w:t>
            </w:r>
          </w:p>
        </w:tc>
        <w:tc>
          <w:tcPr>
            <w:tcW w:w="851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76357EF">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1、提供符合教师授课场景的教学桌面教学系统；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2、将教师授课常用应用放至主页，单击即可打开应用，方便教师快捷调用软件；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3、开机进入教学桌面，教师可按照自己使用习惯，更换常用软件、背景，形成教师的定制化桌面。可通过登录账户，在其他设备上同步展示教师定制化教学桌面；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4、支持多种登录方式，如账号、扫码、U盘-key等，支持应用登录联动功能，教师登录系统后打开其他应用，可进行快捷登录，无需再次输入账户密码；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5、分类显示应用至少包含课件制作、教学工具、管理辅助、数字资源等类型，方便教师快速找到相应应用。</w:t>
            </w:r>
          </w:p>
        </w:tc>
        <w:tc>
          <w:tcPr>
            <w:tcW w:w="102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53F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17"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F6AF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5CDF6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9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50"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1A29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系统管家</w:t>
            </w:r>
          </w:p>
        </w:tc>
        <w:tc>
          <w:tcPr>
            <w:tcW w:w="851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CE853B6">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1.部署简单，设备连通互联网，输入对应学校编码，自动识别终端设备类型，完成部署；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2.系统依据学校名称自动生成学校编码，支持扫描二维码查询学校编码；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3.窗口支持最小化隐藏到系统托盘，不影响教师日常使用；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4.一键查看设备连接信息，包含Windows/office版本，硬盘、CPU、蓝牙状态（关闭状态下可进行开启）、内存、网络状态、OPS S/N号、固件版本号；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5.系统还原、备份：一键备份数据并可系统还原至最新备份系统，解决系统异常等问题，如无最新备份系统，备份还原状态需要与硬件一键备份还原保持一致；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6.弹窗拦截：提供广告拦截 ，对广告弹窗实现一键拦截，默认直接开启拦截；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7.查看各软件弹窗拦截次数，拦截数量，所有拦截记录等，可提供软件拦截名单；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8.看直播：展示该终端可看到的所有直播，在直播时间内，可进入直播进行观看；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9.驱动程序：自动识别设备，获取当前设备驱动，可下载、升级至最新驱动；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支持终端自动升级                                                                              10.为保证整机兼容性及稳定性，要求教学软件与智慧黑板为同品牌。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11.售后服务：提供厂家针对本次项目的售后服务承诺书，参数确认函。</w:t>
            </w:r>
          </w:p>
        </w:tc>
        <w:tc>
          <w:tcPr>
            <w:tcW w:w="102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C55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17"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F1BE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404EB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AC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50"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2C3B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录课助手</w:t>
            </w:r>
          </w:p>
        </w:tc>
        <w:tc>
          <w:tcPr>
            <w:tcW w:w="851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8B628D3">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1.支持屏幕、屏幕+摄像头等多种形式的录制，也可结合录播设备进行全景录制；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2.支持对视频清晰度的调整，提供高清、超清、超高清的切换，方便用户在手机、电脑或者大屏上观看；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3.具有便捷的录制工具条，可快速录制，可移动，3s 或以内无操作即变为半透明；可实时查看录制进度，进行暂停、 开始、结束操作；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4.录制过程中支持随时开启分享功能，实现即时直播，听课端无需下载软件，扫描二维码即可进入直播课堂并进行互动；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5.在桌面及摄像头录制场景下，能自动侦测摄像头，可识别出展台摄像头，同时支持摄像头 画面的切换、移动及大小的调整；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6.开通直播后生成直播海报、直播码，易于分享，多人观看无压力，且支持手机端、PC端观看直播，手机端可实现课堂实时评论；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7.录制视频可自动保存在本地，也可上传至云端教师空间，结束录制即生成回看视频，可快速浏览录制情况；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8.录制列表支持按时间查找所有已录制视频并可查看录制详情，包括录制日期、文件大小、 上传状态，同时可扫码回看所有已上传视频；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9.录制视频支持点播、分享、编辑等功能，也可将视频共享到学校空间，方便校本资源的建设和管理。                                             10.为保证整机兼容性及稳定性，要求教学软件与智慧黑板为同品牌。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11.售后服务：提供厂家针对本次项目的售后服务承诺书，参数确认函。</w:t>
            </w:r>
          </w:p>
        </w:tc>
        <w:tc>
          <w:tcPr>
            <w:tcW w:w="102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C1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17"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83A2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23B39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8A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50"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94CF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课堂评价</w:t>
            </w:r>
          </w:p>
        </w:tc>
        <w:tc>
          <w:tcPr>
            <w:tcW w:w="851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82D93E3">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4"/>
                <w:szCs w:val="24"/>
                <w:u w:val="none"/>
                <w:lang w:val="en-US" w:eastAsia="zh-CN" w:bidi="ar"/>
              </w:rPr>
              <w:t>.支持教师通过电脑端和移动端对学生进行课堂评价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2.教师移动端课堂评价功能：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A.支持老师在移动端对学生进行点评，点评可撤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B.支持查看全班所有老师和自己的今日、本周、上周、本月、近一年的评价报表、明细及班级排名。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3.教师电脑端课堂评价功能：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A.授课模式下课堂评价以勋章的形式，始终悬浮在页面。方便老师在课上随时随地开启评价窗口，对学生进行评价。支持对全班、单个或多个学生进行评价，评价结果可撤回。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B.评价时配有相应的动画和音效，提高课堂趣味性。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C.为提高课堂趣味性，软件支持随机抽选学生进行评价。为方便把控课堂活动时间，支持计时器等功能。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D.支持一体机桌面光荣榜功能，可显示班级学生排名及进步情况，可设置隐藏。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E.支持教师通过PC客户端、移动端登录使用，且各端数据互通。支持家长通过移动端查看学生的近期表现。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4.家长手机端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A.支持接收和查看学生当日、本周、月度及年度的课堂表现评价统计报表，并可具体查看到每一条评价的原因、评价者和分值。                                                            5.为保证整机兼容性及稳定性，要求教学软件与智慧黑板为同品牌。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6.售后服务：提供厂家针对本次项目的售后服务承诺书，参数确认函。</w:t>
            </w:r>
          </w:p>
        </w:tc>
        <w:tc>
          <w:tcPr>
            <w:tcW w:w="102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63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17"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DB25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2C608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88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50"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25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移动授课助手</w:t>
            </w:r>
          </w:p>
        </w:tc>
        <w:tc>
          <w:tcPr>
            <w:tcW w:w="851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7A8E5F9">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支持中英文双语言版本，移动端和PC端支持至少3种连接方式，且手机移动端支持安卓和IOS双版本，或其他移动端设备；支持手机移动端与PC端通过智能搜索或扫描二维码方式连接,为使软件操作更加方便快捷，软件页面整体呈现模块化矩阵展现方式，并且具备以下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1、支持影响上传，支持对上传的图片内容再次编辑如裁剪、旋转等操作，并且可同时上传多张照片进行同屏对比，双向批注；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2、软件具备投屏功能，支持手机投屏和电脑投屏；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3、软件具备课件播放功能，可以一键打开电脑桌面课件并播放，课件支持播放列表，可快速选择PPT或白板课件进行播放；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4、为更好的实现课堂互动，软件支持直播功能，支持一键切换前后置摄像头，方便老师和学生进行互动，并且可以作为移动展台使用；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5、支持从移动端直接打开接收端U盘，支持U盘文件列表，自主选择文件打开，支持U盘文件分类；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6、可实现一键切换电脑窗口文件功能；可实现触摸板功能：手机可模拟鼠标操作PC端画面；可实现电脑管理功能：手机可远程操作PC端电脑关闭或重启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7.为保证整机兼容性及稳定性，要求教学软件与智慧黑板为同品牌。                         8.售后服务：提供厂家针对本次项目的售后服务承诺书，参数确认函。</w:t>
            </w:r>
          </w:p>
        </w:tc>
        <w:tc>
          <w:tcPr>
            <w:tcW w:w="102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DBF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17"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0BEA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6ED95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A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50"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433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应用中心</w:t>
            </w:r>
          </w:p>
        </w:tc>
        <w:tc>
          <w:tcPr>
            <w:tcW w:w="851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675D0FA">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1.为方便用户对教学软件进行统一的下载、安装、升级等，需要提供专门针对教学软件管理的应用中心（需与硬件为同一品牌，不接受第三方应用）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2.应用中心可对教学软件进行分类统计，并可显示每一类别的软件数量。同时还可以显示软件是否已安装，对未安装的教学软件可以一键下载并安装，支持查看下载记录及软件下载进度。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3.支持查看软件详情页，包含软件名称、软件介绍、软件截图、软件大小、软件版本号、软件更新时间等信息；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4.可在教学应用桌面中便捷打开应用中心。                                                           5.为保证整机兼容性及稳定性，要求教学软件与智慧黑板为同品牌。                                          6.售后服务：提供厂家针对本次项目的售后服务承诺书，参数确认函。</w:t>
            </w:r>
          </w:p>
        </w:tc>
        <w:tc>
          <w:tcPr>
            <w:tcW w:w="102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3EE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17"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22D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208A4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A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650" w:type="dxa"/>
            <w:gridSpan w:val="7"/>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66CA3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媒体中心</w:t>
            </w:r>
          </w:p>
        </w:tc>
        <w:tc>
          <w:tcPr>
            <w:tcW w:w="8513" w:type="dxa"/>
            <w:gridSpan w:val="7"/>
            <w:tcBorders>
              <w:top w:val="single" w:color="000000" w:sz="4" w:space="0"/>
              <w:left w:val="single" w:color="000000" w:sz="4" w:space="0"/>
              <w:bottom w:val="single" w:color="auto" w:sz="4" w:space="0"/>
              <w:right w:val="single" w:color="000000" w:sz="4" w:space="0"/>
            </w:tcBorders>
            <w:shd w:val="clear" w:color="auto" w:fill="FFFFFF"/>
            <w:noWrap w:val="0"/>
            <w:vAlign w:val="top"/>
          </w:tcPr>
          <w:p w14:paraId="7F0258B9">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提供课堂专属的影音播放平台，软件至少包含产品教程、云课堂、TV电视、我的资源等功能模块，且媒体中心主界面预留至少4个常用频道模块，用户可将常用频道一键添加至媒体中心主界面，无需单独安装视频播放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2.为方便用户使用，媒体中心所有应用软件均在统一入口，方便用户集中管理；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3.具备轮播图展示，从国家政策、校园建设、学生发展等维度实时调整展示，让学校、师生及时知晓当下动态；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4.支持一键查看交互设备使用教程，视频教程不少于200个，包含电脑使用技巧、软件使用、学科应用等内容，便于用户快速掌握交互设备的使用技巧；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5.云课堂在线直播：提供直播观看入口，输入数字直播码即可观看，可观看专递课堂直播、录课助手直播，支持多路径直播观看统一；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6.支持播放德育、美育、科普等各大频道的网络电台频道资源，频道可自定义添加，自由切换，也可在后台对频道进行统一创建、发布和删除，也可指定频道的轮播图和展示数量；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为方便教师与学生快速了解实时新闻与科教资讯，无需下载视频播放APP，在线即可播放CCTV官网所有频道；具备新闻、体育、健康、科教、经济、农业、法制、军事、纪实、戏曲、音乐、影视等不少于16种类别视频资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8.支持扫码登录即可享有专属资源空间不少于50G，，教师可根据需求自行添加课程资源，频道资源、课件资源皆支持，资源需以链接方式添加；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9.本地视频资源模块可快速检索设备内视频资源，当有外接U盘等设备接入时，会自动弹出并快速检索U盘等外接设备中的视频资源；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10.为方便客户使用，软件中所有公共页面皆支持教师自定义添加频道资源；                        11.为保证整机兼容性及稳定性，要求教学软件与智慧黑板为同品牌。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12.售后服务：提供厂家针对本次项目的售后服务承诺书，参数确认函。 </w:t>
            </w:r>
          </w:p>
        </w:tc>
        <w:tc>
          <w:tcPr>
            <w:tcW w:w="102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544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17" w:type="dxa"/>
            <w:gridSpan w:val="6"/>
            <w:tcBorders>
              <w:top w:val="single" w:color="000000" w:sz="4" w:space="0"/>
              <w:left w:val="single" w:color="000000" w:sz="4" w:space="0"/>
              <w:bottom w:val="single" w:color="000000" w:sz="4" w:space="0"/>
              <w:right w:val="single" w:color="auto" w:sz="4" w:space="0"/>
            </w:tcBorders>
            <w:shd w:val="clear" w:color="auto" w:fill="FFFFFF"/>
            <w:noWrap/>
            <w:vAlign w:val="center"/>
          </w:tcPr>
          <w:p w14:paraId="253317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49612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F3A7A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5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DA980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自动点名助手</w:t>
            </w:r>
          </w:p>
        </w:tc>
        <w:tc>
          <w:tcPr>
            <w:tcW w:w="8513"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14:paraId="00374B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1.要求自动点名助手包括点数和点名两个功能；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2.点数模式下可以快速统计班级内所到学生数量，不需要提前录入学生信息；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3.点名模式下可以统计学生出勤情况，包括出勤人员、缺勤人员。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点名模式下需要提前做学生照片信息采集，支持通过点名助手可以采集学生照片，生成学生的身份ID，也支持通过移动APP采集学生照片，生成学生ID；</w:t>
            </w:r>
          </w:p>
        </w:tc>
        <w:tc>
          <w:tcPr>
            <w:tcW w:w="1023" w:type="dxa"/>
            <w:gridSpan w:val="4"/>
            <w:tcBorders>
              <w:top w:val="single" w:color="000000" w:sz="4" w:space="0"/>
              <w:left w:val="single" w:color="auto" w:sz="4" w:space="0"/>
              <w:bottom w:val="single" w:color="000000" w:sz="4" w:space="0"/>
              <w:right w:val="single" w:color="000000" w:sz="4" w:space="0"/>
            </w:tcBorders>
            <w:shd w:val="clear" w:color="auto" w:fill="FFFFFF"/>
            <w:noWrap/>
            <w:vAlign w:val="center"/>
          </w:tcPr>
          <w:p w14:paraId="79CCA6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22" w:type="dxa"/>
            <w:gridSpan w:val="7"/>
            <w:tcBorders>
              <w:top w:val="single" w:color="000000" w:sz="4" w:space="0"/>
              <w:left w:val="single" w:color="000000" w:sz="4" w:space="0"/>
              <w:bottom w:val="single" w:color="000000" w:sz="4" w:space="0"/>
              <w:right w:val="single" w:color="auto" w:sz="4" w:space="0"/>
            </w:tcBorders>
            <w:shd w:val="clear" w:color="auto" w:fill="FFFFFF"/>
            <w:noWrap/>
            <w:vAlign w:val="center"/>
          </w:tcPr>
          <w:p w14:paraId="431A39E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1E523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2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650" w:type="dxa"/>
            <w:gridSpan w:val="7"/>
            <w:tcBorders>
              <w:top w:val="single" w:color="auto" w:sz="4" w:space="0"/>
              <w:left w:val="single" w:color="000000" w:sz="4" w:space="0"/>
              <w:bottom w:val="single" w:color="000000" w:sz="4" w:space="0"/>
              <w:right w:val="single" w:color="auto" w:sz="4" w:space="0"/>
            </w:tcBorders>
            <w:shd w:val="clear" w:color="auto" w:fill="FFFFFF"/>
            <w:noWrap w:val="0"/>
            <w:vAlign w:val="center"/>
          </w:tcPr>
          <w:p w14:paraId="6EFFCD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设备集中管理控制平台</w:t>
            </w:r>
          </w:p>
        </w:tc>
        <w:tc>
          <w:tcPr>
            <w:tcW w:w="8513" w:type="dxa"/>
            <w:gridSpan w:val="7"/>
            <w:tcBorders>
              <w:top w:val="single" w:color="auto" w:sz="4" w:space="0"/>
              <w:left w:val="single" w:color="auto" w:sz="4" w:space="0"/>
              <w:bottom w:val="single" w:color="auto" w:sz="4" w:space="0"/>
              <w:right w:val="single" w:color="auto" w:sz="4" w:space="0"/>
            </w:tcBorders>
            <w:shd w:val="clear" w:color="auto" w:fill="FFFFFF"/>
            <w:noWrap w:val="0"/>
            <w:vAlign w:val="top"/>
          </w:tcPr>
          <w:p w14:paraId="21F7462E">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1.后台控制端采用 B/S 架构设计，可在 Windows、Linux、Android、IOS 等多种不同的操作系统上通过网页浏览器登录进行操作；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2.安全管理：首次登录，切换环境登录时验证身份手机验证码，保障系统安全性。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3.多层级管理：可设置不同权限的管理员，分配地点管理校园设备；账号与云端账号统一，根据手机号自动获取信息；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4.设备详情：查看校园内所有设备的状态，包括在线、离线状态，教室名称、内存使用率、CPU使用率、C盘使用率，支持按照设备类型、设备名称进行查询筛选；支持按列表展示以及按缩略图展示；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5.即时操作控制：批量对选定的受控设备进行关机、重启、触控切换（屏幕触控锁定、解锁），童锁切换、信号源切换、音量调节、打铃操作；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定时操作控制：可远程对选定的设备做定时关机、定时打铃、定时切换信号源、定时信息发布，实现单次、每日循环、每周循环、每月循环的定时控制。支持定时操作列表查询，并可对具体某项定时操作进行再次编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7.控制列表：支持查看控制列表，查看立即控制、定时计划、信息发布等内容；包含下发命令内容、执行时间、执行策略、已执行数量等内容；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8.发布信息：可即时向任意选定的设备发布纯文本信息，支持常驻桌面型、滚动发布型及气泡弹出提示，可设置播放时长，支持再次编辑；支持设置字体及字体颜色；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9.文件分发：支持多文件推送至任意选定的设备，包括文本、图片、pdf、word、excel、ppt、flash、音视频；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10.软件管理：支持上传软件至平台，自动下发至桌面进行自动运行安装；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11.远程巡课：默认查看当前屏幕画面，实时监控当前设备桌面，支持同时查看设备不少于80台；可切换摄像头画面，包括学生画面、教师画面（搭配录播）同步教室声音；无需部署本地巡课服务器；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12.支持查看摄像头直播画面，6路视频流显示画面，支持每30S进行轮巡。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13.支持在巡课时进行巡课备注（可以截取屏幕并备注）和教学评价（课程维度点评及课程亮点记录），并可在巡课记录中查看巡课备注以及教学评价的相关信息。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14.视频直播：本地无需部署直播服务器，无需绑定IP地址，云端直接开启直播； 可预约直播，选择日期、时间进行预约；直播开始时，接收端弹出10秒倒计时提醒，直播时间结束时，自动关闭直播；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15.课间文化：选择音/视频下发至大屏，自定义时间自动播放；单次播放，每日/每周/每月定时播放；无需部署本地服务器；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发布文字信息：可即时向任意选定的设备发布纯文本信息，支持常驻桌面型、滚动发布型及气泡弹出提示，可设置播放时长，支持再次编辑；支持设置字体及字体颜色；发布信息后，平台会筛查内容是否含有违规或敏感信息，若无则可发布，若有则会提醒进行修改。下发任何形式的课间文化均需要审核员进行审核，审核员通过才能完成下发任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17.以图文形式对设备的使用情况进行数据统计，可以按照一定时间周期进行统计，也支持按日、周、月进行统计；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18.统计内容包括设备数量、设备开机率、设备开机时长、软件使用活跃度、设备活跃度排行、设备使用时长分布、设备在线数量、学科使用情况等，支持以统计图表显示及以excel格式导出；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19.支持将统计图表内容以pdf形式，每周推送至移动端中；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20.区级管理员可查看该区域下所有学校设备数据，校级管理员可查看本校所有设备数据；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21.学校信息：支持查看学校信息，学校编号、设备授权数量、学校地址、校管理员名称、联系电话等；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22.分组设置：可对学校的所有设备按年级或楼层等进行任意分组设置，并可以对分组进行修改、删除等操作；支持分组属性定义“教室”，包含多媒体教室、语音室、实验室、普通教室等类型；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23.设备设置：支持按照设备类型、设备名称等进行筛选；支持批量查看设备名称、班级名称、设备类型、设备编码、设备序列号；支持批量移动设备、导出设备列表、批量删除设备；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24.设置：支持查看姓名、账号、分组权限，支持手机号开通，编辑、批量删除等功能；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w:t>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4"/>
                <w:szCs w:val="24"/>
                <w:u w:val="none"/>
                <w:lang w:val="en-US" w:eastAsia="zh-CN" w:bidi="ar"/>
              </w:rPr>
              <w:t>综合设置：远程巡课画面分辨率以及码率，并可配置校本资源URL链接；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26.登录日志：支持查看登录平台情况，包含账号、登录时IP地址、浏览器信息、操作系统、登陆时间等信息；支持根据时间段、账号、名称等进行对登录情况进行筛选；                                        27.为保证整机兼容性及稳定性，要求教学软件与智慧黑板为同品牌。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28.售后服务：提供厂家针对本次项目的售后服务承诺书，参数确认函。</w:t>
            </w:r>
          </w:p>
        </w:tc>
        <w:tc>
          <w:tcPr>
            <w:tcW w:w="1023"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21DEEA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17"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14:paraId="01C543C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w:t>
            </w:r>
          </w:p>
        </w:tc>
      </w:tr>
      <w:tr w14:paraId="79B6D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80" w:hRule="atLeast"/>
        </w:trPr>
        <w:tc>
          <w:tcPr>
            <w:tcW w:w="12760" w:type="dxa"/>
            <w:gridSpan w:val="25"/>
            <w:tcBorders>
              <w:top w:val="single" w:color="auto" w:sz="4" w:space="0"/>
              <w:left w:val="single" w:color="auto" w:sz="4" w:space="0"/>
              <w:bottom w:val="single" w:color="auto" w:sz="4" w:space="0"/>
              <w:right w:val="single" w:color="auto" w:sz="4" w:space="0"/>
            </w:tcBorders>
            <w:noWrap w:val="0"/>
            <w:vAlign w:val="center"/>
          </w:tcPr>
          <w:p w14:paraId="422FD45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行政会议室</w:t>
            </w:r>
          </w:p>
        </w:tc>
      </w:tr>
      <w:tr w14:paraId="7DF2E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00" w:hRule="atLeast"/>
        </w:trPr>
        <w:tc>
          <w:tcPr>
            <w:tcW w:w="568" w:type="dxa"/>
            <w:gridSpan w:val="2"/>
            <w:tcBorders>
              <w:top w:val="single" w:color="000000" w:sz="4" w:space="0"/>
              <w:left w:val="single" w:color="000000" w:sz="4" w:space="0"/>
              <w:bottom w:val="single" w:color="000000" w:sz="4" w:space="0"/>
              <w:right w:val="single" w:color="000000" w:sz="4" w:space="0"/>
            </w:tcBorders>
            <w:noWrap w:val="0"/>
            <w:vAlign w:val="center"/>
          </w:tcPr>
          <w:p w14:paraId="30C491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00" w:type="dxa"/>
            <w:gridSpan w:val="5"/>
            <w:tcBorders>
              <w:top w:val="single" w:color="000000" w:sz="4" w:space="0"/>
              <w:left w:val="single" w:color="000000" w:sz="4" w:space="0"/>
              <w:bottom w:val="single" w:color="000000" w:sz="4" w:space="0"/>
              <w:right w:val="single" w:color="auto" w:sz="4" w:space="0"/>
            </w:tcBorders>
            <w:noWrap w:val="0"/>
            <w:vAlign w:val="center"/>
          </w:tcPr>
          <w:p w14:paraId="6909CB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8552" w:type="dxa"/>
            <w:gridSpan w:val="8"/>
            <w:tcBorders>
              <w:top w:val="single" w:color="auto" w:sz="4" w:space="0"/>
              <w:left w:val="single" w:color="auto" w:sz="4" w:space="0"/>
              <w:bottom w:val="single" w:color="auto" w:sz="4" w:space="0"/>
              <w:right w:val="single" w:color="auto" w:sz="4" w:space="0"/>
            </w:tcBorders>
            <w:noWrap w:val="0"/>
            <w:vAlign w:val="center"/>
          </w:tcPr>
          <w:p w14:paraId="6957D3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c>
          <w:tcPr>
            <w:tcW w:w="1023" w:type="dxa"/>
            <w:gridSpan w:val="4"/>
            <w:tcBorders>
              <w:top w:val="single" w:color="auto" w:sz="4" w:space="0"/>
              <w:left w:val="single" w:color="auto" w:sz="4" w:space="0"/>
              <w:bottom w:val="single" w:color="auto" w:sz="4" w:space="0"/>
              <w:right w:val="single" w:color="auto" w:sz="4" w:space="0"/>
            </w:tcBorders>
            <w:noWrap w:val="0"/>
            <w:vAlign w:val="center"/>
          </w:tcPr>
          <w:p w14:paraId="2EF5FE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117" w:type="dxa"/>
            <w:gridSpan w:val="6"/>
            <w:tcBorders>
              <w:top w:val="single" w:color="auto" w:sz="4" w:space="0"/>
              <w:left w:val="single" w:color="auto" w:sz="4" w:space="0"/>
              <w:bottom w:val="single" w:color="auto" w:sz="4" w:space="0"/>
              <w:right w:val="single" w:color="auto" w:sz="4" w:space="0"/>
            </w:tcBorders>
            <w:noWrap w:val="0"/>
            <w:vAlign w:val="center"/>
          </w:tcPr>
          <w:p w14:paraId="19C3F0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04E84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430" w:hRule="atLeast"/>
        </w:trPr>
        <w:tc>
          <w:tcPr>
            <w:tcW w:w="568" w:type="dxa"/>
            <w:gridSpan w:val="2"/>
            <w:tcBorders>
              <w:top w:val="single" w:color="000000" w:sz="4" w:space="0"/>
              <w:left w:val="single" w:color="000000" w:sz="4" w:space="0"/>
              <w:bottom w:val="single" w:color="000000" w:sz="4" w:space="0"/>
              <w:right w:val="single" w:color="000000" w:sz="4" w:space="0"/>
            </w:tcBorders>
            <w:noWrap w:val="0"/>
            <w:vAlign w:val="center"/>
          </w:tcPr>
          <w:p w14:paraId="6AB1E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00" w:type="dxa"/>
            <w:gridSpan w:val="5"/>
            <w:tcBorders>
              <w:top w:val="single" w:color="000000" w:sz="4" w:space="0"/>
              <w:left w:val="single" w:color="000000" w:sz="4" w:space="0"/>
              <w:bottom w:val="single" w:color="000000" w:sz="4" w:space="0"/>
              <w:right w:val="single" w:color="000000" w:sz="4" w:space="0"/>
            </w:tcBorders>
            <w:noWrap w:val="0"/>
            <w:vAlign w:val="center"/>
          </w:tcPr>
          <w:p w14:paraId="25650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椭圆形大办公桌</w:t>
            </w:r>
          </w:p>
        </w:tc>
        <w:tc>
          <w:tcPr>
            <w:tcW w:w="8552" w:type="dxa"/>
            <w:gridSpan w:val="8"/>
            <w:tcBorders>
              <w:top w:val="single" w:color="auto" w:sz="4" w:space="0"/>
              <w:left w:val="single" w:color="000000" w:sz="4" w:space="0"/>
              <w:bottom w:val="single" w:color="000000" w:sz="4" w:space="0"/>
              <w:right w:val="single" w:color="000000" w:sz="4" w:space="0"/>
            </w:tcBorders>
            <w:noWrap w:val="0"/>
            <w:vAlign w:val="center"/>
          </w:tcPr>
          <w:p w14:paraId="576280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3500*1500*760mm；1.面材：采用木皮饰面，符合 GB/T 3324-2017《木家具通用技术条件》和 GB 18584-2001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《室内装饰装修材料木家具中有害物质限量》标准，甲醛释放量 0.07mg/L，木材含水率 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2.基材：采用 E0 级优质中密度环保纤维板，符合 GB/T11718-2009《中密度纤维板》和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18580-2017《室内装饰装修材料人造板及其制品中甲醛释放量》标准，密度 0.76g/cm³，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含水率 3~13%，静曲强度 37MPa，弹性模量 3320MPa，内结合强度 0.65MPa，吸水厚度膨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胀率 1.8%，表面结合强度 1.08MPa，甲醛释放量 0.019mg/m³。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3.油漆：符合 GB 18581-2009《室内装饰装修材料 溶剂型木器涂料中有害物质限量》挥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发性有机化合物（VOC）含量 563.4g/L，苯：未检出，甲苯、二甲苯、乙苯含量总和：1.7%，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游离二异氰酸酯含量总和：未检出，卤代烃含量：未检出，可溶性重金属含量：铅：1.6mg/kg，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镉：未检出 铬：0.04mg/kg，汞：0.0006mg/kg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4.五金配件：采用优质五金配件；符合 QB/T 3832-1999(2009)《轻工产品金属镀层腐蚀试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验结果的评价》标准，150h 乙酸盐雾试验：耐蚀等级达到 10 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5.胶粘剂：白乳胶符合 GB 18583-2008《室内装饰装修材料胶粘剂中有害物质限量》标准，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总挥发性有机物 47.2g/L，苯未检出，甲苯和二甲苯总和未检出，游离甲醛 0.07g/kg。</w:t>
            </w:r>
          </w:p>
        </w:tc>
        <w:tc>
          <w:tcPr>
            <w:tcW w:w="1023" w:type="dxa"/>
            <w:gridSpan w:val="4"/>
            <w:tcBorders>
              <w:top w:val="single" w:color="auto" w:sz="4" w:space="0"/>
              <w:left w:val="single" w:color="000000" w:sz="4" w:space="0"/>
              <w:bottom w:val="single" w:color="000000" w:sz="4" w:space="0"/>
              <w:right w:val="single" w:color="000000" w:sz="4" w:space="0"/>
            </w:tcBorders>
            <w:noWrap w:val="0"/>
            <w:vAlign w:val="center"/>
          </w:tcPr>
          <w:p w14:paraId="125E0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7" w:type="dxa"/>
            <w:gridSpan w:val="6"/>
            <w:tcBorders>
              <w:top w:val="single" w:color="auto" w:sz="4" w:space="0"/>
              <w:left w:val="single" w:color="000000" w:sz="4" w:space="0"/>
              <w:bottom w:val="single" w:color="000000" w:sz="4" w:space="0"/>
              <w:right w:val="single" w:color="000000" w:sz="4" w:space="0"/>
            </w:tcBorders>
            <w:noWrap w:val="0"/>
            <w:vAlign w:val="center"/>
          </w:tcPr>
          <w:p w14:paraId="17552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14:paraId="7A765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 w:type="dxa"/>
          <w:trHeight w:val="920" w:hRule="atLeast"/>
        </w:trPr>
        <w:tc>
          <w:tcPr>
            <w:tcW w:w="568" w:type="dxa"/>
            <w:gridSpan w:val="2"/>
            <w:tcBorders>
              <w:top w:val="single" w:color="000000" w:sz="4" w:space="0"/>
              <w:left w:val="single" w:color="000000" w:sz="4" w:space="0"/>
              <w:bottom w:val="single" w:color="000000" w:sz="4" w:space="0"/>
              <w:right w:val="single" w:color="000000" w:sz="4" w:space="0"/>
            </w:tcBorders>
            <w:noWrap w:val="0"/>
            <w:vAlign w:val="center"/>
          </w:tcPr>
          <w:p w14:paraId="7116C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0" w:type="dxa"/>
            <w:gridSpan w:val="5"/>
            <w:tcBorders>
              <w:top w:val="single" w:color="000000" w:sz="4" w:space="0"/>
              <w:left w:val="single" w:color="000000" w:sz="4" w:space="0"/>
              <w:bottom w:val="single" w:color="000000" w:sz="4" w:space="0"/>
              <w:right w:val="single" w:color="000000" w:sz="4" w:space="0"/>
            </w:tcBorders>
            <w:noWrap w:val="0"/>
            <w:vAlign w:val="center"/>
          </w:tcPr>
          <w:p w14:paraId="5B813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椅子</w:t>
            </w:r>
          </w:p>
        </w:tc>
        <w:tc>
          <w:tcPr>
            <w:tcW w:w="8552" w:type="dxa"/>
            <w:gridSpan w:val="8"/>
            <w:tcBorders>
              <w:top w:val="single" w:color="000000" w:sz="4" w:space="0"/>
              <w:left w:val="single" w:color="000000" w:sz="4" w:space="0"/>
              <w:bottom w:val="single" w:color="000000" w:sz="4" w:space="0"/>
              <w:right w:val="single" w:color="000000" w:sz="4" w:space="0"/>
            </w:tcBorders>
            <w:noWrap w:val="0"/>
            <w:vAlign w:val="center"/>
          </w:tcPr>
          <w:p w14:paraId="078E74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常规；四平八稳,椅身、座板、框架均为棕红色橡木，椅面采用优质西皮，高密度PU气泡海绵。</w:t>
            </w:r>
          </w:p>
        </w:tc>
        <w:tc>
          <w:tcPr>
            <w:tcW w:w="1023" w:type="dxa"/>
            <w:gridSpan w:val="4"/>
            <w:tcBorders>
              <w:top w:val="single" w:color="000000" w:sz="4" w:space="0"/>
              <w:left w:val="single" w:color="000000" w:sz="4" w:space="0"/>
              <w:bottom w:val="single" w:color="000000" w:sz="4" w:space="0"/>
              <w:right w:val="single" w:color="000000" w:sz="4" w:space="0"/>
            </w:tcBorders>
            <w:noWrap w:val="0"/>
            <w:vAlign w:val="center"/>
          </w:tcPr>
          <w:p w14:paraId="463F0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08" w:type="dxa"/>
            <w:gridSpan w:val="5"/>
            <w:tcBorders>
              <w:top w:val="single" w:color="000000" w:sz="4" w:space="0"/>
              <w:left w:val="single" w:color="000000" w:sz="4" w:space="0"/>
              <w:bottom w:val="single" w:color="000000" w:sz="4" w:space="0"/>
              <w:right w:val="single" w:color="000000" w:sz="4" w:space="0"/>
            </w:tcBorders>
            <w:noWrap w:val="0"/>
            <w:vAlign w:val="center"/>
          </w:tcPr>
          <w:p w14:paraId="3B4A6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28D10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80" w:hRule="atLeast"/>
        </w:trPr>
        <w:tc>
          <w:tcPr>
            <w:tcW w:w="568" w:type="dxa"/>
            <w:gridSpan w:val="2"/>
            <w:tcBorders>
              <w:top w:val="single" w:color="000000" w:sz="4" w:space="0"/>
              <w:left w:val="single" w:color="000000" w:sz="4" w:space="0"/>
              <w:bottom w:val="single" w:color="000000" w:sz="4" w:space="0"/>
              <w:right w:val="single" w:color="000000" w:sz="4" w:space="0"/>
            </w:tcBorders>
            <w:noWrap w:val="0"/>
            <w:vAlign w:val="center"/>
          </w:tcPr>
          <w:p w14:paraId="791C7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00" w:type="dxa"/>
            <w:gridSpan w:val="5"/>
            <w:tcBorders>
              <w:top w:val="single" w:color="000000" w:sz="4" w:space="0"/>
              <w:left w:val="single" w:color="000000" w:sz="4" w:space="0"/>
              <w:bottom w:val="single" w:color="000000" w:sz="4" w:space="0"/>
              <w:right w:val="single" w:color="000000" w:sz="4" w:space="0"/>
            </w:tcBorders>
            <w:noWrap w:val="0"/>
            <w:vAlign w:val="center"/>
          </w:tcPr>
          <w:p w14:paraId="2C080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条桌</w:t>
            </w:r>
          </w:p>
        </w:tc>
        <w:tc>
          <w:tcPr>
            <w:tcW w:w="8552" w:type="dxa"/>
            <w:gridSpan w:val="8"/>
            <w:tcBorders>
              <w:top w:val="single" w:color="000000" w:sz="4" w:space="0"/>
              <w:left w:val="single" w:color="000000" w:sz="4" w:space="0"/>
              <w:bottom w:val="single" w:color="000000" w:sz="4" w:space="0"/>
              <w:right w:val="single" w:color="000000" w:sz="4" w:space="0"/>
            </w:tcBorders>
            <w:noWrap w:val="0"/>
            <w:vAlign w:val="center"/>
          </w:tcPr>
          <w:p w14:paraId="115366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1200*400*760mm；1.面材：采用木皮饰面，符合 GB/T 3324-2017《木家具通用技术条件》和 GB 18584-2001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《室内装饰装修材料木家具中有害物质限量》标准，甲醛释放量 0.07mg/L，木材含水率 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2.基材：采用 E0 级优质中密度环保纤维板，符合 GB/T11718-2009《中密度纤维板》和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18580-2017《室内装饰装修材料人造板及其制品中甲醛释放量》标准，密度 0.76g/cm³，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含水率 3~13%，静曲强度 37MPa，弹性模量 3320MPa，内结合强度 0.65MPa，吸水厚度膨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胀率 1.8%，表面结合强度 1.08MPa，甲醛释放量 0.019mg/m³。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3.油漆：符合 GB 18581-2009《室内装饰装修材料 溶剂型木器涂料中有害物质限量》挥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发性有机化合物（VOC）含量 563.4g/L，苯：未检出，甲苯、二甲苯、乙苯含量总和：1.7%，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游离二异氰酸酯含量总和：未检出，卤代烃含量：未检出，可溶性重金属含量：铅：1.6mg/kg，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镉：未检出 铬：0.04mg/kg，汞：0.0006mg/kg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4.五金配件：采用优质五金配件；符合 QB/T 3832-1999(2009)《轻工产品金属镀层腐蚀试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验结果的评价》标准，150h 乙酸盐雾试验：耐蚀等级达到 10 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5.胶粘剂：白乳胶符合 GB 18583-2008《室内装饰装修材料胶粘剂中有害物质限量》标准，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总挥发性有机物 47.2g/L，苯未检出，甲苯和二甲苯总和未检出，游离甲醛 0.07g/kg。</w:t>
            </w:r>
          </w:p>
        </w:tc>
        <w:tc>
          <w:tcPr>
            <w:tcW w:w="1023" w:type="dxa"/>
            <w:gridSpan w:val="4"/>
            <w:tcBorders>
              <w:top w:val="single" w:color="000000" w:sz="4" w:space="0"/>
              <w:left w:val="single" w:color="000000" w:sz="4" w:space="0"/>
              <w:bottom w:val="single" w:color="000000" w:sz="4" w:space="0"/>
              <w:right w:val="single" w:color="000000" w:sz="4" w:space="0"/>
            </w:tcBorders>
            <w:noWrap w:val="0"/>
            <w:vAlign w:val="center"/>
          </w:tcPr>
          <w:p w14:paraId="25330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17" w:type="dxa"/>
            <w:gridSpan w:val="6"/>
            <w:tcBorders>
              <w:top w:val="single" w:color="000000" w:sz="4" w:space="0"/>
              <w:left w:val="single" w:color="000000" w:sz="4" w:space="0"/>
              <w:bottom w:val="single" w:color="000000" w:sz="4" w:space="0"/>
              <w:right w:val="single" w:color="000000" w:sz="4" w:space="0"/>
            </w:tcBorders>
            <w:noWrap w:val="0"/>
            <w:vAlign w:val="center"/>
          </w:tcPr>
          <w:p w14:paraId="28D84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14:paraId="4DF88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00" w:hRule="atLeast"/>
        </w:trPr>
        <w:tc>
          <w:tcPr>
            <w:tcW w:w="568" w:type="dxa"/>
            <w:gridSpan w:val="2"/>
            <w:tcBorders>
              <w:top w:val="single" w:color="000000" w:sz="4" w:space="0"/>
              <w:left w:val="single" w:color="000000" w:sz="4" w:space="0"/>
              <w:bottom w:val="single" w:color="000000" w:sz="4" w:space="0"/>
              <w:right w:val="single" w:color="000000" w:sz="4" w:space="0"/>
            </w:tcBorders>
            <w:noWrap w:val="0"/>
            <w:vAlign w:val="center"/>
          </w:tcPr>
          <w:p w14:paraId="56A2A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00" w:type="dxa"/>
            <w:gridSpan w:val="5"/>
            <w:tcBorders>
              <w:top w:val="single" w:color="000000" w:sz="4" w:space="0"/>
              <w:left w:val="single" w:color="000000" w:sz="4" w:space="0"/>
              <w:bottom w:val="single" w:color="000000" w:sz="4" w:space="0"/>
              <w:right w:val="single" w:color="000000" w:sz="4" w:space="0"/>
            </w:tcBorders>
            <w:noWrap w:val="0"/>
            <w:vAlign w:val="center"/>
          </w:tcPr>
          <w:p w14:paraId="05872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椅子</w:t>
            </w:r>
          </w:p>
        </w:tc>
        <w:tc>
          <w:tcPr>
            <w:tcW w:w="8552" w:type="dxa"/>
            <w:gridSpan w:val="8"/>
            <w:tcBorders>
              <w:top w:val="single" w:color="000000" w:sz="4" w:space="0"/>
              <w:left w:val="single" w:color="000000" w:sz="4" w:space="0"/>
              <w:bottom w:val="single" w:color="000000" w:sz="4" w:space="0"/>
              <w:right w:val="single" w:color="000000" w:sz="4" w:space="0"/>
            </w:tcBorders>
            <w:noWrap w:val="0"/>
            <w:vAlign w:val="center"/>
          </w:tcPr>
          <w:p w14:paraId="420DB5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常规；四平八稳,椅身、座板、框架均为棕红色橡木，椅面采用优质西皮，高密度PU气泡海绵。</w:t>
            </w:r>
          </w:p>
        </w:tc>
        <w:tc>
          <w:tcPr>
            <w:tcW w:w="1023" w:type="dxa"/>
            <w:gridSpan w:val="4"/>
            <w:tcBorders>
              <w:top w:val="single" w:color="000000" w:sz="4" w:space="0"/>
              <w:left w:val="single" w:color="000000" w:sz="4" w:space="0"/>
              <w:bottom w:val="single" w:color="000000" w:sz="4" w:space="0"/>
              <w:right w:val="single" w:color="000000" w:sz="4" w:space="0"/>
            </w:tcBorders>
            <w:noWrap w:val="0"/>
            <w:vAlign w:val="center"/>
          </w:tcPr>
          <w:p w14:paraId="7EAA0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17" w:type="dxa"/>
            <w:gridSpan w:val="6"/>
            <w:tcBorders>
              <w:top w:val="single" w:color="000000" w:sz="4" w:space="0"/>
              <w:left w:val="single" w:color="000000" w:sz="4" w:space="0"/>
              <w:bottom w:val="single" w:color="000000" w:sz="4" w:space="0"/>
              <w:right w:val="single" w:color="000000" w:sz="4" w:space="0"/>
            </w:tcBorders>
            <w:noWrap w:val="0"/>
            <w:vAlign w:val="center"/>
          </w:tcPr>
          <w:p w14:paraId="17D6D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394CA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025" w:hRule="atLeast"/>
        </w:trPr>
        <w:tc>
          <w:tcPr>
            <w:tcW w:w="568" w:type="dxa"/>
            <w:gridSpan w:val="2"/>
            <w:tcBorders>
              <w:top w:val="single" w:color="000000" w:sz="4" w:space="0"/>
              <w:left w:val="single" w:color="000000" w:sz="4" w:space="0"/>
              <w:bottom w:val="single" w:color="000000" w:sz="4" w:space="0"/>
              <w:right w:val="single" w:color="000000" w:sz="4" w:space="0"/>
            </w:tcBorders>
            <w:noWrap w:val="0"/>
            <w:vAlign w:val="center"/>
          </w:tcPr>
          <w:p w14:paraId="48AE7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0" w:type="dxa"/>
            <w:gridSpan w:val="5"/>
            <w:tcBorders>
              <w:top w:val="single" w:color="000000" w:sz="4" w:space="0"/>
              <w:left w:val="single" w:color="000000" w:sz="4" w:space="0"/>
              <w:bottom w:val="single" w:color="000000" w:sz="4" w:space="0"/>
              <w:right w:val="single" w:color="000000" w:sz="4" w:space="0"/>
            </w:tcBorders>
            <w:noWrap w:val="0"/>
            <w:vAlign w:val="center"/>
          </w:tcPr>
          <w:p w14:paraId="72387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大三匹柜式空调</w:t>
            </w:r>
          </w:p>
        </w:tc>
        <w:tc>
          <w:tcPr>
            <w:tcW w:w="8552" w:type="dxa"/>
            <w:gridSpan w:val="8"/>
            <w:tcBorders>
              <w:top w:val="single" w:color="000000" w:sz="4" w:space="0"/>
              <w:left w:val="single" w:color="000000" w:sz="4" w:space="0"/>
              <w:bottom w:val="single" w:color="000000" w:sz="4" w:space="0"/>
              <w:right w:val="single" w:color="000000" w:sz="4" w:space="0"/>
            </w:tcBorders>
            <w:noWrap w:val="0"/>
            <w:vAlign w:val="center"/>
          </w:tcPr>
          <w:p w14:paraId="3BE4D6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KFR-72LW/BDN8Y-PA401(3)A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颜色 白色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能效信息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控制方式 遥控式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能力名称 制冷量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能力数值 7290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能力单位 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能效等级 三级(2019版)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电源电压 220V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电源频率 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变频/定频 变频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内机规格信息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包装尺寸(mm) 长510*宽315*高1750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包装体积(m3) 0.464820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机身尺寸(mm) 长510*宽315*高1750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机身体积(m3) 0.281138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净重(Kg) 36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毛重 (Kg) 44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包装数量 1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堆码层数极限 9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装修规格 纸箱包装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外机规格信息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包装尺寸(mm) 长890*宽342*高673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包装体积(m3) 0.33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机身尺寸(mm) 长890*宽342*高673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机身体积(m3) 0.204848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净重(Kg) 40</w:t>
            </w:r>
          </w:p>
        </w:tc>
        <w:tc>
          <w:tcPr>
            <w:tcW w:w="1023" w:type="dxa"/>
            <w:gridSpan w:val="4"/>
            <w:tcBorders>
              <w:top w:val="single" w:color="000000" w:sz="4" w:space="0"/>
              <w:left w:val="single" w:color="000000" w:sz="4" w:space="0"/>
              <w:bottom w:val="single" w:color="000000" w:sz="4" w:space="0"/>
              <w:right w:val="single" w:color="000000" w:sz="4" w:space="0"/>
            </w:tcBorders>
            <w:noWrap w:val="0"/>
            <w:vAlign w:val="center"/>
          </w:tcPr>
          <w:p w14:paraId="058EE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7" w:type="dxa"/>
            <w:gridSpan w:val="6"/>
            <w:tcBorders>
              <w:top w:val="single" w:color="000000" w:sz="4" w:space="0"/>
              <w:left w:val="single" w:color="000000" w:sz="4" w:space="0"/>
              <w:bottom w:val="single" w:color="000000" w:sz="4" w:space="0"/>
              <w:right w:val="single" w:color="000000" w:sz="4" w:space="0"/>
            </w:tcBorders>
            <w:noWrap w:val="0"/>
            <w:vAlign w:val="center"/>
          </w:tcPr>
          <w:p w14:paraId="1C774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ADD9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740" w:hRule="atLeast"/>
        </w:trPr>
        <w:tc>
          <w:tcPr>
            <w:tcW w:w="568" w:type="dxa"/>
            <w:gridSpan w:val="2"/>
            <w:tcBorders>
              <w:top w:val="single" w:color="000000" w:sz="4" w:space="0"/>
              <w:left w:val="single" w:color="000000" w:sz="4" w:space="0"/>
              <w:bottom w:val="single" w:color="000000" w:sz="4" w:space="0"/>
              <w:right w:val="single" w:color="000000" w:sz="4" w:space="0"/>
            </w:tcBorders>
            <w:noWrap w:val="0"/>
            <w:vAlign w:val="center"/>
          </w:tcPr>
          <w:p w14:paraId="0E99C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00" w:type="dxa"/>
            <w:gridSpan w:val="5"/>
            <w:tcBorders>
              <w:top w:val="single" w:color="000000" w:sz="4" w:space="0"/>
              <w:left w:val="single" w:color="000000" w:sz="4" w:space="0"/>
              <w:bottom w:val="single" w:color="000000" w:sz="4" w:space="0"/>
              <w:right w:val="single" w:color="000000" w:sz="4" w:space="0"/>
            </w:tcBorders>
            <w:noWrap w:val="0"/>
            <w:vAlign w:val="center"/>
          </w:tcPr>
          <w:p w14:paraId="5B9AF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茶吧机</w:t>
            </w:r>
          </w:p>
        </w:tc>
        <w:tc>
          <w:tcPr>
            <w:tcW w:w="8552" w:type="dxa"/>
            <w:gridSpan w:val="8"/>
            <w:tcBorders>
              <w:top w:val="single" w:color="000000" w:sz="4" w:space="0"/>
              <w:left w:val="single" w:color="000000" w:sz="4" w:space="0"/>
              <w:bottom w:val="single" w:color="000000" w:sz="4" w:space="0"/>
              <w:right w:val="single" w:color="000000" w:sz="4" w:space="0"/>
            </w:tcBorders>
            <w:noWrap w:val="0"/>
            <w:vAlign w:val="center"/>
          </w:tcPr>
          <w:p w14:paraId="27C87A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颜色 奶白咖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产品型号 YCR-2366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额定功率(W) 1350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包装信息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饮水机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产品尺寸(mm): 长320x宽332x高1016产品净重(kg): 8.2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包装尺寸(mm): 长415x宽399x高816包装重量(kg): 9.85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1.高原模式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2.五档调温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3.家居融合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4.100℃真沸腾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5.55℃保温</w:t>
            </w:r>
          </w:p>
        </w:tc>
        <w:tc>
          <w:tcPr>
            <w:tcW w:w="1023" w:type="dxa"/>
            <w:gridSpan w:val="4"/>
            <w:tcBorders>
              <w:top w:val="single" w:color="000000" w:sz="4" w:space="0"/>
              <w:left w:val="single" w:color="000000" w:sz="4" w:space="0"/>
              <w:bottom w:val="single" w:color="000000" w:sz="4" w:space="0"/>
              <w:right w:val="single" w:color="000000" w:sz="4" w:space="0"/>
            </w:tcBorders>
            <w:noWrap w:val="0"/>
            <w:vAlign w:val="center"/>
          </w:tcPr>
          <w:p w14:paraId="03BCA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7" w:type="dxa"/>
            <w:gridSpan w:val="6"/>
            <w:tcBorders>
              <w:top w:val="single" w:color="000000" w:sz="4" w:space="0"/>
              <w:left w:val="single" w:color="000000" w:sz="4" w:space="0"/>
              <w:bottom w:val="single" w:color="000000" w:sz="4" w:space="0"/>
              <w:right w:val="single" w:color="000000" w:sz="4" w:space="0"/>
            </w:tcBorders>
            <w:noWrap w:val="0"/>
            <w:vAlign w:val="center"/>
          </w:tcPr>
          <w:p w14:paraId="460CA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C888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12760" w:type="dxa"/>
            <w:gridSpan w:val="25"/>
            <w:tcBorders>
              <w:top w:val="single" w:color="000000" w:sz="4" w:space="0"/>
              <w:left w:val="single" w:color="000000" w:sz="4" w:space="0"/>
              <w:bottom w:val="single" w:color="000000" w:sz="4" w:space="0"/>
              <w:right w:val="single" w:color="000000" w:sz="4" w:space="0"/>
            </w:tcBorders>
            <w:noWrap/>
            <w:vAlign w:val="center"/>
          </w:tcPr>
          <w:p w14:paraId="5B2D6041">
            <w:pPr>
              <w:jc w:val="left"/>
              <w:rPr>
                <w:rFonts w:hint="eastAsia" w:ascii="Arial" w:hAnsi="Arial" w:eastAsia="宋体" w:cs="Arial"/>
                <w:b/>
                <w:bCs/>
                <w:i w:val="0"/>
                <w:iCs w:val="0"/>
                <w:color w:val="000000"/>
                <w:sz w:val="20"/>
                <w:szCs w:val="20"/>
                <w:u w:val="none"/>
              </w:rPr>
            </w:pPr>
            <w:r>
              <w:rPr>
                <w:rFonts w:hint="eastAsia" w:ascii="宋体" w:hAnsi="宋体" w:eastAsia="宋体" w:cs="宋体"/>
                <w:b/>
                <w:bCs/>
                <w:i w:val="0"/>
                <w:iCs w:val="0"/>
                <w:color w:val="000000"/>
                <w:kern w:val="0"/>
                <w:sz w:val="24"/>
                <w:szCs w:val="24"/>
                <w:u w:val="none"/>
                <w:lang w:val="en-US" w:eastAsia="zh-CN" w:bidi="ar"/>
              </w:rPr>
              <w:t>一、音箱扩声系统</w:t>
            </w:r>
          </w:p>
        </w:tc>
      </w:tr>
      <w:tr w14:paraId="5588D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568" w:type="dxa"/>
            <w:gridSpan w:val="2"/>
            <w:tcBorders>
              <w:top w:val="single" w:color="000000" w:sz="4" w:space="0"/>
              <w:left w:val="single" w:color="000000" w:sz="4" w:space="0"/>
              <w:bottom w:val="single" w:color="000000" w:sz="4" w:space="0"/>
              <w:right w:val="single" w:color="000000" w:sz="4" w:space="0"/>
            </w:tcBorders>
            <w:noWrap w:val="0"/>
            <w:vAlign w:val="center"/>
          </w:tcPr>
          <w:p w14:paraId="2E5C0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00" w:type="dxa"/>
            <w:gridSpan w:val="5"/>
            <w:tcBorders>
              <w:top w:val="single" w:color="000000" w:sz="4" w:space="0"/>
              <w:left w:val="single" w:color="000000" w:sz="4" w:space="0"/>
              <w:bottom w:val="single" w:color="000000" w:sz="4" w:space="0"/>
              <w:right w:val="single" w:color="000000" w:sz="4" w:space="0"/>
            </w:tcBorders>
            <w:noWrap w:val="0"/>
            <w:vAlign w:val="center"/>
          </w:tcPr>
          <w:p w14:paraId="09241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线性音柱</w:t>
            </w:r>
          </w:p>
        </w:tc>
        <w:tc>
          <w:tcPr>
            <w:tcW w:w="8552" w:type="dxa"/>
            <w:gridSpan w:val="8"/>
            <w:tcBorders>
              <w:top w:val="single" w:color="000000" w:sz="4" w:space="0"/>
              <w:left w:val="single" w:color="000000" w:sz="4" w:space="0"/>
              <w:bottom w:val="single" w:color="000000" w:sz="4" w:space="0"/>
              <w:right w:val="single" w:color="000000" w:sz="4" w:space="0"/>
            </w:tcBorders>
            <w:noWrap w:val="0"/>
            <w:vAlign w:val="center"/>
          </w:tcPr>
          <w:p w14:paraId="07719B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产品描述：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2x4.5"低音钕磁单元，1×1"高音单元，灵敏度高、中频特性好。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具有频率响应宽、清晰度高、水平覆盖角度宽、辐射距离远等特点。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喇叭单元采用优质材料，对人声、音乐有还原真实的放大特性。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箱体表面采用持久耐用的金刚砂涂料，有良好的防潮性。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频率响应：（-10dB）70Hz-20KHz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灵敏度：95dB （1W/1M）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标称抗阻：8Ω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输入功率：80W（额定）/320W（峰值）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低音单元：2×4.5＂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高音单元：1×1"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扩散角度：90°×50°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连续声压级：114dB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峰值声压级：120dB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连接插座：2×Speakon NL4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箱体板材：15mm 桦木夹板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面网：1.5mm 钢网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产品尺寸（W×D×H）：143×180×380mm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净重：4.65kg</w:t>
            </w:r>
          </w:p>
        </w:tc>
        <w:tc>
          <w:tcPr>
            <w:tcW w:w="1023" w:type="dxa"/>
            <w:gridSpan w:val="4"/>
            <w:tcBorders>
              <w:top w:val="single" w:color="000000" w:sz="4" w:space="0"/>
              <w:left w:val="single" w:color="000000" w:sz="4" w:space="0"/>
              <w:bottom w:val="single" w:color="000000" w:sz="4" w:space="0"/>
              <w:right w:val="single" w:color="000000" w:sz="4" w:space="0"/>
            </w:tcBorders>
            <w:noWrap w:val="0"/>
            <w:vAlign w:val="center"/>
          </w:tcPr>
          <w:p w14:paraId="77F43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7" w:type="dxa"/>
            <w:gridSpan w:val="6"/>
            <w:tcBorders>
              <w:top w:val="single" w:color="000000" w:sz="4" w:space="0"/>
              <w:left w:val="single" w:color="000000" w:sz="4" w:space="0"/>
              <w:bottom w:val="single" w:color="000000" w:sz="4" w:space="0"/>
              <w:right w:val="single" w:color="000000" w:sz="4" w:space="0"/>
            </w:tcBorders>
            <w:noWrap w:val="0"/>
            <w:vAlign w:val="center"/>
          </w:tcPr>
          <w:p w14:paraId="2EDA9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615AE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568" w:type="dxa"/>
            <w:gridSpan w:val="2"/>
            <w:tcBorders>
              <w:top w:val="single" w:color="000000" w:sz="4" w:space="0"/>
              <w:left w:val="single" w:color="000000" w:sz="4" w:space="0"/>
              <w:bottom w:val="single" w:color="000000" w:sz="4" w:space="0"/>
              <w:right w:val="single" w:color="000000" w:sz="4" w:space="0"/>
            </w:tcBorders>
            <w:noWrap w:val="0"/>
            <w:vAlign w:val="center"/>
          </w:tcPr>
          <w:p w14:paraId="4EB0A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0" w:type="dxa"/>
            <w:gridSpan w:val="5"/>
            <w:tcBorders>
              <w:top w:val="single" w:color="000000" w:sz="4" w:space="0"/>
              <w:left w:val="single" w:color="000000" w:sz="4" w:space="0"/>
              <w:bottom w:val="single" w:color="000000" w:sz="4" w:space="0"/>
              <w:right w:val="single" w:color="000000" w:sz="4" w:space="0"/>
            </w:tcBorders>
            <w:noWrap w:val="0"/>
            <w:vAlign w:val="center"/>
          </w:tcPr>
          <w:p w14:paraId="56240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专业功放(含专业功放控制软件V1.0)</w:t>
            </w:r>
          </w:p>
        </w:tc>
        <w:tc>
          <w:tcPr>
            <w:tcW w:w="8552" w:type="dxa"/>
            <w:gridSpan w:val="8"/>
            <w:tcBorders>
              <w:top w:val="single" w:color="000000" w:sz="4" w:space="0"/>
              <w:left w:val="single" w:color="000000" w:sz="4" w:space="0"/>
              <w:bottom w:val="single" w:color="000000" w:sz="4" w:space="0"/>
              <w:right w:val="single" w:color="000000" w:sz="4" w:space="0"/>
            </w:tcBorders>
            <w:noWrap w:val="0"/>
            <w:vAlign w:val="center"/>
          </w:tcPr>
          <w:p w14:paraId="269AD9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产品描述：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1U机柜式设计，双层双色双拼面板，彰显立体美感；前面板采用隐藏式条形出气口及弧形进风口设计，设备散热均匀，有效延长使用寿命； 电源开关采用防触碰设计，安全省心。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输入采用平衡XLR连接，输出为PSZ外接线柱，方便线材扩展链接。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支持STEREO立体声、PARALLEL并机两种模式选择，可以更为灵活搭配其它设备，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设有7个信号指示灯，包括1个电源指示，2个信号通道指示，2个限幅通道指示，2个保护通道指示，可实时显示设备工作状态，直观方便。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设有动态压限控制功率电路，保证设备安全稳定运行。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内置D类功率放大电路，采用高集成度数字芯片替代传统变压器，高数字化电路集成，绿色、稳定、高效。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支持交流保护和直流保护功能。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内置削波限幅器，可有效防止严重削波的波形到达扬声器，同时维持全峰值电源输出功率。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支持超高频保护，防止听不见的强烈非音乐高频信号到达扬声器。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支持短路保护功能，自动保护重置功能，防止功放发生短路，或输出电路发生其它应激故障。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设有限幅器，信号峰值过大自动限幅过大输出到达扬声器，最高限幅可达到10V。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支持过热保护，输出级操作温度过高，温控连续变速风扇，从前到后的空气流动。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支持过载保护，峰值负反馈保护，当信号输入输出出现失真、冲击、或线电压严重过压时，能有效地对功放进行保护。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内设保护电路，软启动，输入浪涌限制，输出短路、直流，开关机哑音保护，射频干扰保护。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输出功率@立体声8Ω（失真≤1%时）：2×250W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输出功率@立体声4Ω（失真≤1%时）：2×320W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输出功率@立体声2Ω（失真≤1%时）：2×450W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供电：AC 150V-240V 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频率响应（1W 8Ω）：20Hz～20KHz±0.5dB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灵敏度（8Ω 1KHz）：1V/32dB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输入阻抗：20KΩ平衡输入；10KΩ非平衡输入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信噪比( A计权，额定功率8Ω )：≥105dB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阻尼系数 ( 1KHz &amp; 8Ω )：≥900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互调失真( 20Hz-20KHz，半功率 )：≤0.02%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总谐波失真( 20Hz-20KHz，半功率 )：≤0.03%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相位响应( 1W &amp; 8Ω，20Hz-20KHz )：≤±1.5°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转换速率：≥60V / us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输出电路类型：CLASS-D 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前面板指示：电源，削波，压限，信号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后面板接口：并机输入：母3针XLR×2，输出：公3针XLR×2；PSZ信号输出外接线柱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冷却系统：全智能系统随温度变化自动调节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外形尺寸（W×D×H）：483 x 317x 45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重量：3.6kg</w:t>
            </w:r>
          </w:p>
        </w:tc>
        <w:tc>
          <w:tcPr>
            <w:tcW w:w="1023" w:type="dxa"/>
            <w:gridSpan w:val="4"/>
            <w:tcBorders>
              <w:top w:val="single" w:color="000000" w:sz="4" w:space="0"/>
              <w:left w:val="single" w:color="000000" w:sz="4" w:space="0"/>
              <w:bottom w:val="single" w:color="000000" w:sz="4" w:space="0"/>
              <w:right w:val="single" w:color="000000" w:sz="4" w:space="0"/>
            </w:tcBorders>
            <w:noWrap w:val="0"/>
            <w:vAlign w:val="center"/>
          </w:tcPr>
          <w:p w14:paraId="42DBD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7" w:type="dxa"/>
            <w:gridSpan w:val="6"/>
            <w:tcBorders>
              <w:top w:val="single" w:color="000000" w:sz="4" w:space="0"/>
              <w:left w:val="single" w:color="000000" w:sz="4" w:space="0"/>
              <w:bottom w:val="single" w:color="000000" w:sz="4" w:space="0"/>
              <w:right w:val="single" w:color="000000" w:sz="4" w:space="0"/>
            </w:tcBorders>
            <w:noWrap w:val="0"/>
            <w:vAlign w:val="center"/>
          </w:tcPr>
          <w:p w14:paraId="72404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E942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568" w:type="dxa"/>
            <w:gridSpan w:val="2"/>
            <w:tcBorders>
              <w:top w:val="single" w:color="000000" w:sz="4" w:space="0"/>
              <w:left w:val="single" w:color="000000" w:sz="4" w:space="0"/>
              <w:bottom w:val="single" w:color="000000" w:sz="4" w:space="0"/>
              <w:right w:val="single" w:color="000000" w:sz="4" w:space="0"/>
            </w:tcBorders>
            <w:noWrap w:val="0"/>
            <w:vAlign w:val="center"/>
          </w:tcPr>
          <w:p w14:paraId="6A586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00" w:type="dxa"/>
            <w:gridSpan w:val="5"/>
            <w:tcBorders>
              <w:top w:val="single" w:color="000000" w:sz="4" w:space="0"/>
              <w:left w:val="single" w:color="000000" w:sz="4" w:space="0"/>
              <w:bottom w:val="single" w:color="000000" w:sz="4" w:space="0"/>
              <w:right w:val="single" w:color="000000" w:sz="4" w:space="0"/>
            </w:tcBorders>
            <w:noWrap w:val="0"/>
            <w:vAlign w:val="center"/>
          </w:tcPr>
          <w:p w14:paraId="0EA54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音频处理器(含音频处理器软件V1.0.3)</w:t>
            </w:r>
          </w:p>
        </w:tc>
        <w:tc>
          <w:tcPr>
            <w:tcW w:w="8552" w:type="dxa"/>
            <w:gridSpan w:val="8"/>
            <w:tcBorders>
              <w:top w:val="single" w:color="000000" w:sz="4" w:space="0"/>
              <w:left w:val="single" w:color="000000" w:sz="4" w:space="0"/>
              <w:bottom w:val="single" w:color="000000" w:sz="4" w:space="0"/>
              <w:right w:val="single" w:color="000000" w:sz="4" w:space="0"/>
            </w:tcBorders>
            <w:noWrap w:val="0"/>
            <w:vAlign w:val="center"/>
          </w:tcPr>
          <w:p w14:paraId="6A2C8E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产品描述：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1U机柜式设计，双层双色双拼面板，彰显立体美感；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96KHz采样频率，40-bit DSP处理器，24-bitA/D及D/A转换。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2输入4输出，可灵活组合多种分频模式，高、低通分频点均可达20Hz-20KHz。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每个输入通道具备15段独立的参量均衡，调节增益范围可达±20dB，均衡类型可选择PEQ、Lo-shelf、Hi-shelf、APL1阶全通滤波器、APL2阶全通滤波器。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每个输出通道具备10段独立的参量均衡，调节增益范围可达±20dB，均衡类型可选择PEQ、Lo-shelf、Hi-shelf、APL1阶全通滤波器、APL2阶全通滤波器。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每个输入和输出均有延时和相位控制及静音设置，延时最长可达1000ms，延时单位可选择毫秒(ms)、米(m)、英尺(ft)三种。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每个输入通道支持低切功能，低切频率范围为20Hz-200Hz。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每个输入通道具备可调噪声门，并且每个输入通道支持自动增益控制（AGC）。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每个输出通道具备增益控制、压限及选择输入通道信号。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输入通道之间、输出通道之间支持通道联调。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可以通过面板的功能键和拔轮、PC客户端进行功能设置，直观和简洁。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可通过USB、WIFI、有线网络连接电脑实现远程控制。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可以通过RS-485接口连接中控主机来实现主要参数的修改和程序的调用。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可通过面板的SYSTEM按键来设定密码锁定面板控制功能，以防止参数被修改。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内置信号发生器，支持正弦波、白噪声、粉红噪声，在不需要外部输入信号的情况下，即可对扩声系统进行测试；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单机可存储16种用户程序。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PC客户端内置中控控制代码文件、并支持实现一键中英文切换。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输入通道及插座：2路XLR母卡侬座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输出通道及插座：4路XLR公卡侬座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输入阻抗：平衡：20KΩ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输出阻抗：平衡：100Ω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PC接口：面板1个USB接口、后板1个TCP/IP接口(RJ-45座)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共模拟制比：&gt;70dB(1KHz)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输入范围：≤+18dBu。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频率响应：20Hz-20KHz(-0.5dB)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信噪比：&gt;108dB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底噪水平：≤-85dBu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失真度：&lt;0.01% OUTPUT=0dBu/1KHz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通道分离度：&gt;110dB(1KHz)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输入通道功能: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静音：每个通道设立单独静音控制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增益：调节范围：-60dB - +12dB、步距为1dB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延时：每个输入通道有单独延时控制，调节范围0-1000ms，小于10ms，步距21us。10ms-20ms，步距42us。大于20ms，步距1ms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相位：同相(+) 或反相(-)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均衡：15个参量均衡，中心频率点：20Hz-20KHz、滤波器类型：PEQ、Lo-shelf、Hi-shelf、APL1阶、APL2、增益：-20dB-+20dB、步距0.1dB"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输出通道功能: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静音：每个通道设立单独静音控制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路由：每个输出通道可单独选择不同的输入通道，也可以选择输入通道的任意组合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增益：调节范围：-60dB - +12dB、步距为1dB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延时：每个输出通道有单独延时控制，调节范围0-1000ms，小于10ms，步距为21us。10ms- 20ms，步距为84us。大于20ms，步距为0.5ms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相位：同相(+) 或反相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分频器：每个输出通道可单独设置低通滤波器（LPF）和高通滤波器（HPF），可调整参数为：滤波器类型：Linkwitz-Riley/Bessel/Butterworth，频率转折点：20Hz-20KHz、衰减斜率：12dB/oct、18dB/oct、24dB/oct、36dB/oct、48dB/oct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限幅器：每个输出通道可单独设置限幅器，可调整参数为：门限值：-12dBu - +20dBu、步距为0.1dBu ，步距为1ms 释放时间：可设定为2倍、4倍、6倍、8倍、16倍起动时间。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输出均衡：每个输出通道可设10个均衡，滤波器类型可选择PEQ、Lo-shelf、Hi-shelf、APL1阶、APL2。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处理器：192KHz采样频率，40-bit DSP处理器，24-bit A/D及D/A转换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显示：2×24 LCD蓝色背光显示设置，8段LED显示输入/输出的精确数字电平表、静音及编辑状态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功耗：≤25W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电源：AC110V/220V 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尺寸(W×D×H)：484×270×44mm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重量：3.48kg</w:t>
            </w:r>
          </w:p>
        </w:tc>
        <w:tc>
          <w:tcPr>
            <w:tcW w:w="1023" w:type="dxa"/>
            <w:gridSpan w:val="4"/>
            <w:tcBorders>
              <w:top w:val="single" w:color="000000" w:sz="4" w:space="0"/>
              <w:left w:val="single" w:color="000000" w:sz="4" w:space="0"/>
              <w:bottom w:val="single" w:color="000000" w:sz="4" w:space="0"/>
              <w:right w:val="single" w:color="000000" w:sz="4" w:space="0"/>
            </w:tcBorders>
            <w:noWrap w:val="0"/>
            <w:vAlign w:val="center"/>
          </w:tcPr>
          <w:p w14:paraId="39C2E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7" w:type="dxa"/>
            <w:gridSpan w:val="6"/>
            <w:tcBorders>
              <w:top w:val="single" w:color="000000" w:sz="4" w:space="0"/>
              <w:left w:val="single" w:color="000000" w:sz="4" w:space="0"/>
              <w:bottom w:val="single" w:color="000000" w:sz="4" w:space="0"/>
              <w:right w:val="single" w:color="000000" w:sz="4" w:space="0"/>
            </w:tcBorders>
            <w:noWrap w:val="0"/>
            <w:vAlign w:val="center"/>
          </w:tcPr>
          <w:p w14:paraId="72A69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3FBE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568" w:type="dxa"/>
            <w:gridSpan w:val="2"/>
            <w:tcBorders>
              <w:top w:val="single" w:color="000000" w:sz="4" w:space="0"/>
              <w:left w:val="single" w:color="000000" w:sz="4" w:space="0"/>
              <w:bottom w:val="single" w:color="000000" w:sz="4" w:space="0"/>
              <w:right w:val="single" w:color="000000" w:sz="4" w:space="0"/>
            </w:tcBorders>
            <w:noWrap w:val="0"/>
            <w:vAlign w:val="center"/>
          </w:tcPr>
          <w:p w14:paraId="02BD2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00" w:type="dxa"/>
            <w:gridSpan w:val="5"/>
            <w:tcBorders>
              <w:top w:val="single" w:color="000000" w:sz="4" w:space="0"/>
              <w:left w:val="single" w:color="000000" w:sz="4" w:space="0"/>
              <w:bottom w:val="single" w:color="000000" w:sz="4" w:space="0"/>
              <w:right w:val="single" w:color="000000" w:sz="4" w:space="0"/>
            </w:tcBorders>
            <w:noWrap w:val="0"/>
            <w:vAlign w:val="center"/>
          </w:tcPr>
          <w:p w14:paraId="0988B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反馈抑制器(含音频处理器软件V1.0.3)</w:t>
            </w:r>
          </w:p>
        </w:tc>
        <w:tc>
          <w:tcPr>
            <w:tcW w:w="8552" w:type="dxa"/>
            <w:gridSpan w:val="8"/>
            <w:tcBorders>
              <w:top w:val="single" w:color="000000" w:sz="4" w:space="0"/>
              <w:left w:val="single" w:color="000000" w:sz="4" w:space="0"/>
              <w:bottom w:val="single" w:color="000000" w:sz="4" w:space="0"/>
              <w:right w:val="single" w:color="000000" w:sz="4" w:space="0"/>
            </w:tcBorders>
            <w:noWrap w:val="0"/>
            <w:vAlign w:val="center"/>
          </w:tcPr>
          <w:p w14:paraId="2C3F6B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产品描述：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1U机柜式设计，双层双色双拼面板，彰显立体美感；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高性能 8核DSP处理器、24Bit数据带宽、48KHz采样率，可精准、快速找到啸叫频点；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内置双通道各24段高精度数字自动陷波器，并进行快速滤波消除；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内置6挡移频移相功能，可在复杂的声场环境中协助陷波器快速抑制啸叫；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采用2寸分辨率为240*320的高清真彩TFT屏，支持中英文双语切换，主页面可实时显示通道啸叫频点数量、当前音量等，直观明了；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可实现10组场景调用、保存功能，关机自动调用最后一次调用的数据。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内置双通道各24段全参数均衡PEQ、高低通分频器Xover，进而可以通过手动调节对不同的声学环境缺陷进行修正，快速抑制啸叫。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具有48V幻象电源供电，可开启/关闭，支持幻象供电的电容鹅颈话筒直连。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具有压缩控制功能，可有效避免信号输入过大造成功率设备损坏。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具有一键打开关闭啸叫抑制功能。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通道独立处理，一键控制，也支持双通道联调；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内置噪声门功能，通过设定阀值可以滤除部分环境噪声；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专业PC调试控制工具，针对现场的声学环境进行个性化、专业化的设置，满足啸叫抑制的需求。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100V-240V超宽电源设计，适当不同电压需求。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输入通道及插座：2路卡侬XLR母，2路6.35TRS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输出通道及插座：2路卡侬XLR公，2路6.35TRS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灵敏度：0dBu(@Out=0dBu)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信号比 &gt;110dB（A计权）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失真度 &lt; 0.05%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频率响应：+/- 0.5dB (20Hz to 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动态增益提升：5-10dBu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最大输入电平：15dBu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工作电源：AC100-240V/50-60Hz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尺寸（W*D*H）： 485*216*45mm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净重：2.5kg</w:t>
            </w:r>
          </w:p>
        </w:tc>
        <w:tc>
          <w:tcPr>
            <w:tcW w:w="1023" w:type="dxa"/>
            <w:gridSpan w:val="4"/>
            <w:tcBorders>
              <w:top w:val="single" w:color="000000" w:sz="4" w:space="0"/>
              <w:left w:val="single" w:color="000000" w:sz="4" w:space="0"/>
              <w:bottom w:val="single" w:color="000000" w:sz="4" w:space="0"/>
              <w:right w:val="single" w:color="000000" w:sz="4" w:space="0"/>
            </w:tcBorders>
            <w:noWrap w:val="0"/>
            <w:vAlign w:val="center"/>
          </w:tcPr>
          <w:p w14:paraId="5A424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7" w:type="dxa"/>
            <w:gridSpan w:val="6"/>
            <w:tcBorders>
              <w:top w:val="single" w:color="000000" w:sz="4" w:space="0"/>
              <w:left w:val="single" w:color="000000" w:sz="4" w:space="0"/>
              <w:bottom w:val="single" w:color="000000" w:sz="4" w:space="0"/>
              <w:right w:val="single" w:color="000000" w:sz="4" w:space="0"/>
            </w:tcBorders>
            <w:noWrap w:val="0"/>
            <w:vAlign w:val="center"/>
          </w:tcPr>
          <w:p w14:paraId="70E64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9C93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568" w:type="dxa"/>
            <w:gridSpan w:val="2"/>
            <w:tcBorders>
              <w:top w:val="single" w:color="000000" w:sz="4" w:space="0"/>
              <w:left w:val="single" w:color="000000" w:sz="4" w:space="0"/>
              <w:bottom w:val="single" w:color="000000" w:sz="4" w:space="0"/>
              <w:right w:val="single" w:color="000000" w:sz="4" w:space="0"/>
            </w:tcBorders>
            <w:noWrap w:val="0"/>
            <w:vAlign w:val="center"/>
          </w:tcPr>
          <w:p w14:paraId="0EC0F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0" w:type="dxa"/>
            <w:gridSpan w:val="5"/>
            <w:tcBorders>
              <w:top w:val="single" w:color="000000" w:sz="4" w:space="0"/>
              <w:left w:val="single" w:color="000000" w:sz="4" w:space="0"/>
              <w:bottom w:val="single" w:color="000000" w:sz="4" w:space="0"/>
              <w:right w:val="single" w:color="000000" w:sz="4" w:space="0"/>
            </w:tcBorders>
            <w:noWrap w:val="0"/>
            <w:vAlign w:val="center"/>
          </w:tcPr>
          <w:p w14:paraId="112A6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调音台(含音效处理软件V1.0)</w:t>
            </w:r>
          </w:p>
        </w:tc>
        <w:tc>
          <w:tcPr>
            <w:tcW w:w="8552" w:type="dxa"/>
            <w:gridSpan w:val="8"/>
            <w:tcBorders>
              <w:top w:val="single" w:color="000000" w:sz="4" w:space="0"/>
              <w:left w:val="single" w:color="000000" w:sz="4" w:space="0"/>
              <w:bottom w:val="single" w:color="000000" w:sz="4" w:space="0"/>
              <w:right w:val="single" w:color="000000" w:sz="4" w:space="0"/>
            </w:tcBorders>
            <w:noWrap w:val="0"/>
            <w:vAlign w:val="center"/>
          </w:tcPr>
          <w:p w14:paraId="05A8AF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产品描述：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纯正的3段均衡器，具准确的音乐控制能力。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具一个48V幻象电源总开关，一键控制所有通道幻象电源打开关闭。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每通道有增益开关、输入三段均衡高中低、效果、辅助旋钮。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每通道具有编组1、2的控制开关。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每通道都有独立的静音按钮来控制每路的输入信号开关。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每一路通道有独立的PFL（推子前监听）按钮开关，可以监听通道推子前声道信号，而不影响主输出信号。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调音台还带有7段均衡器可以统一调节高中低频，优化音乐表现和调整室内声学参数。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内置MP3功能，兼容多音频格式，SD/USB接口，可以接SD卡和U盘。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具录音功能，可录制任意时段主输出音频信号至SD卡/U盘，具有双轨录放机或CD的输入输出连接莲花接口。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标准蓝牙系统，连接蓝牙设备进行音频播放。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2路主输出，2路编组输出，1路监听输出，2辅助发送/返回。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60毫米对数型推子电位器和密封控制旋转电位器，精密地调节通道的匹配电平。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麦克风输入：6路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立体声输入：2组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最大输入电平：麦克风 +22dBu，线路 +20dBu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最大输出电平：主输出 +28dBu，其它输出 +22dBu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灵敏度：0VU=+4dBu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频率响应：±1dB，20Hz-30KHz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麦克风共模抑制比@1KHz：&gt;80dB 典型值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THD+N @14dBu，1KHz：&lt;0.01%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串扰 @1KHz：&gt;82dB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单声道/立体声均衡：高音 ±15dB，12KHz，中音 ±15dB，2.5 KHz，低音 ±15dB，80Hz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电源：220VAC，50/60Hz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产品尺寸（W×D×H）：414×322×78mm</w:t>
            </w:r>
          </w:p>
        </w:tc>
        <w:tc>
          <w:tcPr>
            <w:tcW w:w="1023" w:type="dxa"/>
            <w:gridSpan w:val="4"/>
            <w:tcBorders>
              <w:top w:val="single" w:color="000000" w:sz="4" w:space="0"/>
              <w:left w:val="single" w:color="000000" w:sz="4" w:space="0"/>
              <w:bottom w:val="single" w:color="000000" w:sz="4" w:space="0"/>
              <w:right w:val="single" w:color="000000" w:sz="4" w:space="0"/>
            </w:tcBorders>
            <w:noWrap w:val="0"/>
            <w:vAlign w:val="center"/>
          </w:tcPr>
          <w:p w14:paraId="4C87C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7" w:type="dxa"/>
            <w:gridSpan w:val="6"/>
            <w:tcBorders>
              <w:top w:val="single" w:color="000000" w:sz="4" w:space="0"/>
              <w:left w:val="single" w:color="000000" w:sz="4" w:space="0"/>
              <w:bottom w:val="single" w:color="000000" w:sz="4" w:space="0"/>
              <w:right w:val="single" w:color="000000" w:sz="4" w:space="0"/>
            </w:tcBorders>
            <w:noWrap w:val="0"/>
            <w:vAlign w:val="center"/>
          </w:tcPr>
          <w:p w14:paraId="337C0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DFCE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568" w:type="dxa"/>
            <w:gridSpan w:val="2"/>
            <w:tcBorders>
              <w:top w:val="single" w:color="000000" w:sz="4" w:space="0"/>
              <w:left w:val="single" w:color="000000" w:sz="4" w:space="0"/>
              <w:bottom w:val="single" w:color="000000" w:sz="4" w:space="0"/>
              <w:right w:val="single" w:color="000000" w:sz="4" w:space="0"/>
            </w:tcBorders>
            <w:noWrap w:val="0"/>
            <w:vAlign w:val="center"/>
          </w:tcPr>
          <w:p w14:paraId="3E8CB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00" w:type="dxa"/>
            <w:gridSpan w:val="5"/>
            <w:tcBorders>
              <w:top w:val="single" w:color="000000" w:sz="4" w:space="0"/>
              <w:left w:val="single" w:color="000000" w:sz="4" w:space="0"/>
              <w:bottom w:val="single" w:color="000000" w:sz="4" w:space="0"/>
              <w:right w:val="single" w:color="000000" w:sz="4" w:space="0"/>
            </w:tcBorders>
            <w:noWrap w:val="0"/>
            <w:vAlign w:val="center"/>
          </w:tcPr>
          <w:p w14:paraId="144BF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电源时序器(含电源时序控制器软件V2.0)</w:t>
            </w:r>
          </w:p>
        </w:tc>
        <w:tc>
          <w:tcPr>
            <w:tcW w:w="8552" w:type="dxa"/>
            <w:gridSpan w:val="8"/>
            <w:tcBorders>
              <w:top w:val="single" w:color="000000" w:sz="4" w:space="0"/>
              <w:left w:val="single" w:color="000000" w:sz="4" w:space="0"/>
              <w:bottom w:val="single" w:color="000000" w:sz="4" w:space="0"/>
              <w:right w:val="single" w:color="000000" w:sz="4" w:space="0"/>
            </w:tcBorders>
            <w:noWrap w:val="0"/>
            <w:vAlign w:val="center"/>
          </w:tcPr>
          <w:p w14:paraId="5D69F2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产品描述：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1U机柜式设计，双层双色双拼面板，彰显立体美感；前面板采用隐藏式条形出气口及弧形进风口设计，设备散热均匀，有效延长使用寿命； 电源开关采用防触碰设计，安全省心。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大电流三芯电源输入缆线，电源输入连接方便，带负载最大电流可达50A。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配置1只安全空气开关及1个时序开启/关闭按键开关，保障设备安全的同时，又便于操控。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面板开关设计符合设备安全要求，顺序开启时序通道，逆序关闭时序通道。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带8个LED指示灯显示，实时查看每个通道的工作状态。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支持PC端安装软件，通过软件操控修改时间，可设置定时程序，实现无人值守，并且可编辑任意通道的开启或关闭。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内含CPU控制芯片，可自定义顺序开机和逆序关机，并且可根据使用场所不同，自定议设置开关机间隔时间（0-254秒）。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后面板带8路多功能标准插座输出，通用于国际多种类型插头。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前面板配1路直通220V电源座，2路USB DC 5V座供电接口，用于调试照明或手机/平板充电。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带485智能化控制接口，具有标准串口控制功能，可连接电脑控制。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带USB级联输入和输出接口，可拓展更多电源时序器关联控制。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最大电流：50A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每通道最大电流：16A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通道数：8路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电源供应：AC 220V 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装机高度：1U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电源指示：LED指示灯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接口：前面板1个万能插座、1个空气开关、2个USB口、后面板8个万能插座、1个485口、2个级联端口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产品尺寸（W×D×H）：484×317×45mm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重量：5kg</w:t>
            </w:r>
          </w:p>
        </w:tc>
        <w:tc>
          <w:tcPr>
            <w:tcW w:w="1023" w:type="dxa"/>
            <w:gridSpan w:val="4"/>
            <w:tcBorders>
              <w:top w:val="single" w:color="000000" w:sz="4" w:space="0"/>
              <w:left w:val="single" w:color="000000" w:sz="4" w:space="0"/>
              <w:bottom w:val="single" w:color="000000" w:sz="4" w:space="0"/>
              <w:right w:val="single" w:color="000000" w:sz="4" w:space="0"/>
            </w:tcBorders>
            <w:noWrap w:val="0"/>
            <w:vAlign w:val="center"/>
          </w:tcPr>
          <w:p w14:paraId="3E269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7" w:type="dxa"/>
            <w:gridSpan w:val="6"/>
            <w:tcBorders>
              <w:top w:val="single" w:color="000000" w:sz="4" w:space="0"/>
              <w:left w:val="single" w:color="000000" w:sz="4" w:space="0"/>
              <w:bottom w:val="single" w:color="000000" w:sz="4" w:space="0"/>
              <w:right w:val="single" w:color="000000" w:sz="4" w:space="0"/>
            </w:tcBorders>
            <w:noWrap w:val="0"/>
            <w:vAlign w:val="center"/>
          </w:tcPr>
          <w:p w14:paraId="5EA2C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F4CA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8640" w:type="dxa"/>
            <w:gridSpan w:val="13"/>
            <w:tcBorders>
              <w:top w:val="single" w:color="000000" w:sz="4" w:space="0"/>
              <w:left w:val="single" w:color="000000" w:sz="4" w:space="0"/>
              <w:bottom w:val="single" w:color="000000" w:sz="4" w:space="0"/>
              <w:right w:val="single" w:color="000000" w:sz="4" w:space="0"/>
            </w:tcBorders>
            <w:noWrap/>
            <w:vAlign w:val="center"/>
          </w:tcPr>
          <w:p w14:paraId="4791BA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二、会议发言系统</w:t>
            </w:r>
          </w:p>
        </w:tc>
        <w:tc>
          <w:tcPr>
            <w:tcW w:w="4120" w:type="dxa"/>
            <w:gridSpan w:val="12"/>
            <w:tcBorders>
              <w:top w:val="single" w:color="000000" w:sz="4" w:space="0"/>
              <w:left w:val="single" w:color="000000" w:sz="4" w:space="0"/>
              <w:bottom w:val="single" w:color="000000" w:sz="4" w:space="0"/>
              <w:right w:val="single" w:color="000000" w:sz="4" w:space="0"/>
            </w:tcBorders>
            <w:noWrap/>
            <w:vAlign w:val="center"/>
          </w:tcPr>
          <w:p w14:paraId="65868395">
            <w:pPr>
              <w:jc w:val="center"/>
              <w:rPr>
                <w:rFonts w:hint="eastAsia" w:ascii="宋体" w:hAnsi="宋体" w:eastAsia="宋体" w:cs="宋体"/>
                <w:i w:val="0"/>
                <w:iCs w:val="0"/>
                <w:color w:val="000000"/>
                <w:sz w:val="22"/>
                <w:szCs w:val="22"/>
                <w:u w:val="none"/>
              </w:rPr>
            </w:pPr>
          </w:p>
        </w:tc>
      </w:tr>
      <w:tr w14:paraId="018AD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568" w:type="dxa"/>
            <w:gridSpan w:val="2"/>
            <w:tcBorders>
              <w:top w:val="single" w:color="000000" w:sz="4" w:space="0"/>
              <w:left w:val="single" w:color="000000" w:sz="4" w:space="0"/>
              <w:bottom w:val="single" w:color="000000" w:sz="4" w:space="0"/>
              <w:right w:val="single" w:color="000000" w:sz="4" w:space="0"/>
            </w:tcBorders>
            <w:noWrap w:val="0"/>
            <w:vAlign w:val="center"/>
          </w:tcPr>
          <w:p w14:paraId="10C7F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00" w:type="dxa"/>
            <w:gridSpan w:val="5"/>
            <w:tcBorders>
              <w:top w:val="single" w:color="000000" w:sz="4" w:space="0"/>
              <w:left w:val="single" w:color="000000" w:sz="4" w:space="0"/>
              <w:bottom w:val="single" w:color="000000" w:sz="4" w:space="0"/>
              <w:right w:val="single" w:color="000000" w:sz="4" w:space="0"/>
            </w:tcBorders>
            <w:noWrap w:val="0"/>
            <w:vAlign w:val="center"/>
          </w:tcPr>
          <w:p w14:paraId="22B98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会议主机(含全数字网络会议系统管理控制软件V2.0)</w:t>
            </w:r>
          </w:p>
        </w:tc>
        <w:tc>
          <w:tcPr>
            <w:tcW w:w="8552" w:type="dxa"/>
            <w:gridSpan w:val="8"/>
            <w:tcBorders>
              <w:top w:val="single" w:color="000000" w:sz="4" w:space="0"/>
              <w:left w:val="single" w:color="000000" w:sz="4" w:space="0"/>
              <w:bottom w:val="single" w:color="000000" w:sz="4" w:space="0"/>
              <w:right w:val="single" w:color="000000" w:sz="4" w:space="0"/>
            </w:tcBorders>
            <w:noWrap w:val="0"/>
            <w:vAlign w:val="center"/>
          </w:tcPr>
          <w:p w14:paraId="4EE38A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产品描述：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标准1U机柜式设计，双层双色双拼面板，彰显立体美感。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设有2.0寸TFT真彩屏，搭配十字浏览健以及数字编码轮，可实现快捷的人机交互操作。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主机主界面可以显示当前会议模式、最大话筒数量、模式调用，MIC输出增益-60~+12dB、LINE输出增益-60~+12dB。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设有3路专用8芯航空插孔，可实现话筒单元与主机间"手拉手"或"T型"连接，牢固可靠，抗腐蚀抗干扰能力强。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具备多种音频信号输入/输出，包括RCA立体声LINE输入/输出各1路，XLR平衡式LINE输入/输出各1路，1路XLR平衡式纯MIC输出（对接远程视频会议终端系统）。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设有1路RS-232控制接口，开放式控制协议，兼容ANE、AMX、CRESTRON等知名控制厂商的中央控制设备。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设有消防联动接口，可实现消防触发信号输出。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内置数字音频处理DSP： 可对单元MIC信号进行静音、相位、音量、噪声门、低切、PEQ、压限等音色设定；可对本地LINE输入信号进行静音、相位、音量、PEQ、压限等音色设定。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内置USB录音模块，可实现轻便化录音。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系统单机支持128台会议单元连接。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发言单元开启数量1/2/4/8可调。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支持FIFO（先进先出）、NORMAL（定量）等会议模式。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支持摄像跟踪功能，可实现多台摄像机控制、自动切换、自动跟踪。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支持系统主机与PC连接升级固件。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支持保存12种场景模式进行调用。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屏幕：2.0寸TFT真彩屏，分辨率220 * 176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信噪比：MIC ≥75dB(A加权)；LINE ≥100dB(A加权)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失真：LINE &lt;0.05% @1K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灵敏度：LINE 0dBu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最大输入电平：LINE +15dBu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最大输出电平：LINE +15dBu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频响：MIC +0.5dBu@100HZ-16KHZ；LINE 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输入阻抗：平衡式 4.7KΩ；非平衡 2.3KΩ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输出阻抗：平衡式 100Ω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底噪水平：≤-83dBu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静音：静音/开音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相位：正相（0度）/反相（180度）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噪声门：阀值：-120dBu ~ -20dBu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PEQ：5段，增益调节范围：-20dB ~ 20dB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低切：截止频率：20Hz ~ 200Hz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压限：压限阀值： -36dBu ~ 0dBu （Step：0.1dBu）；压限启动时间： 1ms~200ms；压限释放时间：200ms~500ms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音频输入接口：XLR(母)*1；RCA*2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音频输出接口：XLR(公)*2；RCA*2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通讯接口：USB*2；RS232*2；RS485*1；ALARM*2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电源输入：AC180-240V宽电压，50/60Hz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工作温度：0-40℃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功耗：100W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净重：4.1Kg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尺寸（W×D×H）：483*317*45mm</w:t>
            </w:r>
          </w:p>
        </w:tc>
        <w:tc>
          <w:tcPr>
            <w:tcW w:w="1023" w:type="dxa"/>
            <w:gridSpan w:val="4"/>
            <w:tcBorders>
              <w:top w:val="single" w:color="000000" w:sz="4" w:space="0"/>
              <w:left w:val="single" w:color="000000" w:sz="4" w:space="0"/>
              <w:bottom w:val="single" w:color="000000" w:sz="4" w:space="0"/>
              <w:right w:val="single" w:color="000000" w:sz="4" w:space="0"/>
            </w:tcBorders>
            <w:noWrap w:val="0"/>
            <w:vAlign w:val="center"/>
          </w:tcPr>
          <w:p w14:paraId="4F9A2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7" w:type="dxa"/>
            <w:gridSpan w:val="6"/>
            <w:tcBorders>
              <w:top w:val="single" w:color="000000" w:sz="4" w:space="0"/>
              <w:left w:val="single" w:color="000000" w:sz="4" w:space="0"/>
              <w:bottom w:val="single" w:color="000000" w:sz="4" w:space="0"/>
              <w:right w:val="single" w:color="000000" w:sz="4" w:space="0"/>
            </w:tcBorders>
            <w:noWrap w:val="0"/>
            <w:vAlign w:val="center"/>
          </w:tcPr>
          <w:p w14:paraId="7F9EB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151D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568" w:type="dxa"/>
            <w:gridSpan w:val="2"/>
            <w:tcBorders>
              <w:top w:val="single" w:color="000000" w:sz="4" w:space="0"/>
              <w:left w:val="single" w:color="000000" w:sz="4" w:space="0"/>
              <w:bottom w:val="single" w:color="000000" w:sz="4" w:space="0"/>
              <w:right w:val="single" w:color="000000" w:sz="4" w:space="0"/>
            </w:tcBorders>
            <w:noWrap w:val="0"/>
            <w:vAlign w:val="center"/>
          </w:tcPr>
          <w:p w14:paraId="5EB27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0" w:type="dxa"/>
            <w:gridSpan w:val="5"/>
            <w:tcBorders>
              <w:top w:val="single" w:color="000000" w:sz="4" w:space="0"/>
              <w:left w:val="single" w:color="000000" w:sz="4" w:space="0"/>
              <w:bottom w:val="single" w:color="000000" w:sz="4" w:space="0"/>
              <w:right w:val="single" w:color="000000" w:sz="4" w:space="0"/>
            </w:tcBorders>
            <w:noWrap w:val="0"/>
            <w:vAlign w:val="center"/>
          </w:tcPr>
          <w:p w14:paraId="0CADE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主席单元(含全数字网络型话筒单元控制软件V1.0)</w:t>
            </w:r>
          </w:p>
        </w:tc>
        <w:tc>
          <w:tcPr>
            <w:tcW w:w="8552" w:type="dxa"/>
            <w:gridSpan w:val="8"/>
            <w:tcBorders>
              <w:top w:val="single" w:color="000000" w:sz="4" w:space="0"/>
              <w:left w:val="single" w:color="000000" w:sz="4" w:space="0"/>
              <w:bottom w:val="single" w:color="000000" w:sz="4" w:space="0"/>
              <w:right w:val="single" w:color="000000" w:sz="4" w:space="0"/>
            </w:tcBorders>
            <w:noWrap w:val="0"/>
            <w:vAlign w:val="center"/>
          </w:tcPr>
          <w:p w14:paraId="739A99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产品描述：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新颖、时尚外观，人体工学设计，支持纯讨论发言功能。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采用心型指向性电容式拾音器，420mm话筒咪杆，高灵敏度咪芯设计，拾音距离远。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采用双色指示灯指示，发言为红色，等待发言为绿色，可实时指示话筒单元工作状态。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设有∮3.5mm立体声耳机插口，可用于连接耳机，音量可调。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采用专用8芯高密航空接头，自带2米连接电缆，"T型"连接模式，保证可靠的连接。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单元为无源设备，由系统主机供电，输入电压为DC24V。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主席单元具备强行关闭正在发言的代表发言单元，不受发言人数，发言模式的限制，可自由开启，不受安装位置的限制。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输入电源：主机供电 DC24V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单元接口：航空8芯专用接口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静态功耗：2W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动态功耗：3.5W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耳机：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接口：3.5mm jack stereo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负载：8-32Ω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功率：10mW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频率响应：60Hz －18KHz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信噪比（S/N）：&gt;75dB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谐波失真：&lt;0.05%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串扰衰减：&gt;80dB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尺寸（W×D×H）: 129*150*58mm</w:t>
            </w:r>
          </w:p>
        </w:tc>
        <w:tc>
          <w:tcPr>
            <w:tcW w:w="1023" w:type="dxa"/>
            <w:gridSpan w:val="4"/>
            <w:tcBorders>
              <w:top w:val="single" w:color="000000" w:sz="4" w:space="0"/>
              <w:left w:val="single" w:color="000000" w:sz="4" w:space="0"/>
              <w:bottom w:val="single" w:color="000000" w:sz="4" w:space="0"/>
              <w:right w:val="single" w:color="000000" w:sz="4" w:space="0"/>
            </w:tcBorders>
            <w:noWrap w:val="0"/>
            <w:vAlign w:val="center"/>
          </w:tcPr>
          <w:p w14:paraId="2C505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7" w:type="dxa"/>
            <w:gridSpan w:val="6"/>
            <w:tcBorders>
              <w:top w:val="single" w:color="000000" w:sz="4" w:space="0"/>
              <w:left w:val="single" w:color="000000" w:sz="4" w:space="0"/>
              <w:bottom w:val="single" w:color="000000" w:sz="4" w:space="0"/>
              <w:right w:val="single" w:color="000000" w:sz="4" w:space="0"/>
            </w:tcBorders>
            <w:noWrap w:val="0"/>
            <w:vAlign w:val="center"/>
          </w:tcPr>
          <w:p w14:paraId="7888F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111DD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568" w:type="dxa"/>
            <w:gridSpan w:val="2"/>
            <w:tcBorders>
              <w:top w:val="single" w:color="000000" w:sz="4" w:space="0"/>
              <w:left w:val="single" w:color="000000" w:sz="4" w:space="0"/>
              <w:bottom w:val="single" w:color="000000" w:sz="4" w:space="0"/>
              <w:right w:val="single" w:color="000000" w:sz="4" w:space="0"/>
            </w:tcBorders>
            <w:noWrap w:val="0"/>
            <w:vAlign w:val="center"/>
          </w:tcPr>
          <w:p w14:paraId="038C6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00" w:type="dxa"/>
            <w:gridSpan w:val="5"/>
            <w:tcBorders>
              <w:top w:val="single" w:color="000000" w:sz="4" w:space="0"/>
              <w:left w:val="single" w:color="000000" w:sz="4" w:space="0"/>
              <w:bottom w:val="single" w:color="000000" w:sz="4" w:space="0"/>
              <w:right w:val="single" w:color="000000" w:sz="4" w:space="0"/>
            </w:tcBorders>
            <w:noWrap w:val="0"/>
            <w:vAlign w:val="center"/>
          </w:tcPr>
          <w:p w14:paraId="24E96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代表单元(含全数字网络型话筒单元控制软件V1.0)</w:t>
            </w:r>
          </w:p>
        </w:tc>
        <w:tc>
          <w:tcPr>
            <w:tcW w:w="8552" w:type="dxa"/>
            <w:gridSpan w:val="8"/>
            <w:tcBorders>
              <w:top w:val="single" w:color="000000" w:sz="4" w:space="0"/>
              <w:left w:val="single" w:color="000000" w:sz="4" w:space="0"/>
              <w:bottom w:val="single" w:color="000000" w:sz="4" w:space="0"/>
              <w:right w:val="single" w:color="000000" w:sz="4" w:space="0"/>
            </w:tcBorders>
            <w:noWrap w:val="0"/>
            <w:vAlign w:val="center"/>
          </w:tcPr>
          <w:p w14:paraId="11F9F8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产品描述：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新颖、时尚外观，人体工学设计，支持纯讨论发言功能。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采用心型指向性电容式拾音器，420mm话筒咪杆，高灵敏度咪芯设计，拾音距离远。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采用双色指示灯指示，发言为红色，等待发言为绿色，可实时指示话筒单元工作状态。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设有∮3.5mm立体声耳机插口，可用于连接耳机，音量可调。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采用专用8芯高密航空接头，自带2米连接电缆，"T型"连接模式，保证可靠的连接。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单元为无源设备，由系统主机供电，输入电压为DC24V。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输入电源：主机供电 DC24V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单元接口：航空8芯专用接口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静态功耗：2W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动态功耗：3.5W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耳机：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接口：3.5mm jack stereo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负载：8-32Ω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功率：10mW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频率响应：60Hz －18KHz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信噪比（S/N）：&gt;75dB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谐波失真：&lt;0.05%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串扰衰减：&gt;80dB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尺寸（W×D×H）: 129*150*58mm</w:t>
            </w:r>
          </w:p>
        </w:tc>
        <w:tc>
          <w:tcPr>
            <w:tcW w:w="1023" w:type="dxa"/>
            <w:gridSpan w:val="4"/>
            <w:tcBorders>
              <w:top w:val="single" w:color="000000" w:sz="4" w:space="0"/>
              <w:left w:val="single" w:color="000000" w:sz="4" w:space="0"/>
              <w:bottom w:val="single" w:color="000000" w:sz="4" w:space="0"/>
              <w:right w:val="single" w:color="000000" w:sz="4" w:space="0"/>
            </w:tcBorders>
            <w:noWrap w:val="0"/>
            <w:vAlign w:val="center"/>
          </w:tcPr>
          <w:p w14:paraId="7A60C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17" w:type="dxa"/>
            <w:gridSpan w:val="6"/>
            <w:tcBorders>
              <w:top w:val="single" w:color="000000" w:sz="4" w:space="0"/>
              <w:left w:val="single" w:color="000000" w:sz="4" w:space="0"/>
              <w:bottom w:val="single" w:color="000000" w:sz="4" w:space="0"/>
              <w:right w:val="single" w:color="000000" w:sz="4" w:space="0"/>
            </w:tcBorders>
            <w:noWrap w:val="0"/>
            <w:vAlign w:val="center"/>
          </w:tcPr>
          <w:p w14:paraId="1827C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2A473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568" w:type="dxa"/>
            <w:gridSpan w:val="2"/>
            <w:tcBorders>
              <w:top w:val="single" w:color="000000" w:sz="4" w:space="0"/>
              <w:left w:val="single" w:color="000000" w:sz="4" w:space="0"/>
              <w:bottom w:val="single" w:color="000000" w:sz="4" w:space="0"/>
              <w:right w:val="single" w:color="000000" w:sz="4" w:space="0"/>
            </w:tcBorders>
            <w:noWrap w:val="0"/>
            <w:vAlign w:val="center"/>
          </w:tcPr>
          <w:p w14:paraId="0F573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00" w:type="dxa"/>
            <w:gridSpan w:val="5"/>
            <w:tcBorders>
              <w:top w:val="single" w:color="000000" w:sz="4" w:space="0"/>
              <w:left w:val="single" w:color="000000" w:sz="4" w:space="0"/>
              <w:bottom w:val="single" w:color="000000" w:sz="4" w:space="0"/>
              <w:right w:val="single" w:color="000000" w:sz="4" w:space="0"/>
            </w:tcBorders>
            <w:noWrap w:val="0"/>
            <w:vAlign w:val="center"/>
          </w:tcPr>
          <w:p w14:paraId="08888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会议线缆</w:t>
            </w:r>
          </w:p>
        </w:tc>
        <w:tc>
          <w:tcPr>
            <w:tcW w:w="8552" w:type="dxa"/>
            <w:gridSpan w:val="8"/>
            <w:tcBorders>
              <w:top w:val="single" w:color="000000" w:sz="4" w:space="0"/>
              <w:left w:val="single" w:color="000000" w:sz="4" w:space="0"/>
              <w:bottom w:val="single" w:color="000000" w:sz="4" w:space="0"/>
              <w:right w:val="single" w:color="000000" w:sz="4" w:space="0"/>
            </w:tcBorders>
            <w:noWrap w:val="0"/>
            <w:vAlign w:val="center"/>
          </w:tcPr>
          <w:p w14:paraId="257605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产品描述：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航空8芯手拉手会议系统专用延长线，20米标准长度</w:t>
            </w:r>
          </w:p>
        </w:tc>
        <w:tc>
          <w:tcPr>
            <w:tcW w:w="1023" w:type="dxa"/>
            <w:gridSpan w:val="4"/>
            <w:tcBorders>
              <w:top w:val="single" w:color="000000" w:sz="4" w:space="0"/>
              <w:left w:val="single" w:color="000000" w:sz="4" w:space="0"/>
              <w:bottom w:val="single" w:color="000000" w:sz="4" w:space="0"/>
              <w:right w:val="single" w:color="000000" w:sz="4" w:space="0"/>
            </w:tcBorders>
            <w:noWrap w:val="0"/>
            <w:vAlign w:val="center"/>
          </w:tcPr>
          <w:p w14:paraId="7CECE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7" w:type="dxa"/>
            <w:gridSpan w:val="6"/>
            <w:tcBorders>
              <w:top w:val="single" w:color="000000" w:sz="4" w:space="0"/>
              <w:left w:val="single" w:color="000000" w:sz="4" w:space="0"/>
              <w:bottom w:val="single" w:color="000000" w:sz="4" w:space="0"/>
              <w:right w:val="single" w:color="000000" w:sz="4" w:space="0"/>
            </w:tcBorders>
            <w:noWrap w:val="0"/>
            <w:vAlign w:val="center"/>
          </w:tcPr>
          <w:p w14:paraId="58783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r>
      <w:tr w14:paraId="6F45B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568" w:type="dxa"/>
            <w:gridSpan w:val="2"/>
            <w:tcBorders>
              <w:top w:val="single" w:color="000000" w:sz="4" w:space="0"/>
              <w:left w:val="single" w:color="000000" w:sz="4" w:space="0"/>
              <w:bottom w:val="single" w:color="000000" w:sz="4" w:space="0"/>
              <w:right w:val="single" w:color="000000" w:sz="4" w:space="0"/>
            </w:tcBorders>
            <w:noWrap w:val="0"/>
            <w:vAlign w:val="center"/>
          </w:tcPr>
          <w:p w14:paraId="23036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0" w:type="dxa"/>
            <w:gridSpan w:val="5"/>
            <w:tcBorders>
              <w:top w:val="single" w:color="000000" w:sz="4" w:space="0"/>
              <w:left w:val="single" w:color="000000" w:sz="4" w:space="0"/>
              <w:bottom w:val="single" w:color="000000" w:sz="4" w:space="0"/>
              <w:right w:val="single" w:color="000000" w:sz="4" w:space="0"/>
            </w:tcBorders>
            <w:noWrap w:val="0"/>
            <w:vAlign w:val="center"/>
          </w:tcPr>
          <w:p w14:paraId="69BD3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会议地插</w:t>
            </w:r>
          </w:p>
        </w:tc>
        <w:tc>
          <w:tcPr>
            <w:tcW w:w="8552" w:type="dxa"/>
            <w:gridSpan w:val="8"/>
            <w:tcBorders>
              <w:top w:val="single" w:color="000000" w:sz="4" w:space="0"/>
              <w:left w:val="single" w:color="000000" w:sz="4" w:space="0"/>
              <w:bottom w:val="single" w:color="000000" w:sz="4" w:space="0"/>
              <w:right w:val="single" w:color="000000" w:sz="4" w:space="0"/>
            </w:tcBorders>
            <w:noWrap w:val="0"/>
            <w:vAlign w:val="center"/>
          </w:tcPr>
          <w:p w14:paraId="7B8744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产品描述：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航空8芯会议专用地插手拉手专用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供电：1路AC 220V 50Hz输出，标准2位插孔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单元接口：航空8芯专用接口，1进2出；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外壳材质：锌/铝合金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底盒尺寸：100*100*55mm</w:t>
            </w:r>
          </w:p>
        </w:tc>
        <w:tc>
          <w:tcPr>
            <w:tcW w:w="1023" w:type="dxa"/>
            <w:gridSpan w:val="4"/>
            <w:tcBorders>
              <w:top w:val="single" w:color="000000" w:sz="4" w:space="0"/>
              <w:left w:val="single" w:color="000000" w:sz="4" w:space="0"/>
              <w:bottom w:val="single" w:color="000000" w:sz="4" w:space="0"/>
              <w:right w:val="single" w:color="000000" w:sz="4" w:space="0"/>
            </w:tcBorders>
            <w:noWrap w:val="0"/>
            <w:vAlign w:val="center"/>
          </w:tcPr>
          <w:p w14:paraId="28867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7" w:type="dxa"/>
            <w:gridSpan w:val="6"/>
            <w:tcBorders>
              <w:top w:val="single" w:color="000000" w:sz="4" w:space="0"/>
              <w:left w:val="single" w:color="000000" w:sz="4" w:space="0"/>
              <w:bottom w:val="single" w:color="000000" w:sz="4" w:space="0"/>
              <w:right w:val="single" w:color="000000" w:sz="4" w:space="0"/>
            </w:tcBorders>
            <w:noWrap w:val="0"/>
            <w:vAlign w:val="center"/>
          </w:tcPr>
          <w:p w14:paraId="37E09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33DA6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568" w:type="dxa"/>
            <w:gridSpan w:val="2"/>
            <w:tcBorders>
              <w:top w:val="single" w:color="000000" w:sz="4" w:space="0"/>
              <w:left w:val="single" w:color="000000" w:sz="4" w:space="0"/>
              <w:bottom w:val="single" w:color="000000" w:sz="4" w:space="0"/>
              <w:right w:val="single" w:color="000000" w:sz="4" w:space="0"/>
            </w:tcBorders>
            <w:noWrap w:val="0"/>
            <w:vAlign w:val="center"/>
          </w:tcPr>
          <w:p w14:paraId="2B390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00" w:type="dxa"/>
            <w:gridSpan w:val="5"/>
            <w:tcBorders>
              <w:top w:val="single" w:color="000000" w:sz="4" w:space="0"/>
              <w:left w:val="single" w:color="000000" w:sz="4" w:space="0"/>
              <w:bottom w:val="single" w:color="000000" w:sz="4" w:space="0"/>
              <w:right w:val="single" w:color="000000" w:sz="4" w:space="0"/>
            </w:tcBorders>
            <w:noWrap w:val="0"/>
            <w:vAlign w:val="center"/>
          </w:tcPr>
          <w:p w14:paraId="4D554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无线话筒(含无线话筒控制软件V1.0)</w:t>
            </w:r>
          </w:p>
        </w:tc>
        <w:tc>
          <w:tcPr>
            <w:tcW w:w="8552" w:type="dxa"/>
            <w:gridSpan w:val="8"/>
            <w:tcBorders>
              <w:top w:val="single" w:color="000000" w:sz="4" w:space="0"/>
              <w:left w:val="single" w:color="000000" w:sz="4" w:space="0"/>
              <w:bottom w:val="single" w:color="000000" w:sz="4" w:space="0"/>
              <w:right w:val="single" w:color="000000" w:sz="4" w:space="0"/>
            </w:tcBorders>
            <w:noWrap w:val="0"/>
            <w:vAlign w:val="center"/>
          </w:tcPr>
          <w:p w14:paraId="0F8E5B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产品描述：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LED液晶显示可同时显示RF/AF信号强度，自动选讯，可设定频道/频率。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采用窄带滤波器，可有效减小外界信号干扰。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全新独特ID编码功能，对解决周围环境或是多套使用的干扰都非常有效。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天线分集，接收距离无阻隔理想状态下160米。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天线座带DC9V供电，可直接接放大天线使用，也可接天线放大器主机使用。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接收机有7档SQ，可调节接收机灵敏度，可适配更多环境；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发射器表面高温烤漆工艺技术，能在各种恶劣的使用环境下保持表面的美观。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发射器圆弧边缘设计，符合人体工程学，相比普通产品的菱角边缘，更易于单手持握。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还原性好，声音清晰，适用于企事业单位，各大中小会议室。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接收机参数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频道组数： 双频道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装配方式： 固定式接收模组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面板显示： LCD液晶显示可同时显示RF/AF信号强度,自动选讯,可设定频道/频率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振荡模式： PLL相位锁定频率合成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射频稳定度： ±0.005%(-5~50°C)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载波频段： UHF：640.125MHz -690.000MHz；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频带宽度： 50MHz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频率间隔：125KHz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可切换频率数： 400组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操作方式： 手动调整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接收方式： 双调谐器自动选讯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灵敏度： 在偏移度等于40KHz,输入6dBμ V时，S/N&gt;80dB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最大偏移度： ±68KHz具有音量扩展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综合S/N比： ±105dB(1KHz-A)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综合失真度： &lt;0.5% @ 1KHz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综合频率响应： 50Hz-18KHz±3dB具低频衰减滤频电路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最大输出电压： 平衡式MIC-LEVEL-0dBV/600Ω,非平衡式0dBV/600Ω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输出插座： XLR平衡式插座独立输出及Φ6.3不平衡式插座混合输出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音量输出调整： 输出电平可随意调整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静音控制模式： 独立“音码及杂讯锁定”双重静音控制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DC电源供应： 0.5A  12-15VDC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产品尺寸(W*D*H)： 426*185*50mm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话筒参数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振荡模式： PLL相位锁定频率合成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载波频率： UHF频段（640.125~690.000 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频带宽度： 50 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可调频率：400组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输出功率： 30MW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射频稳定性： ±0.005%（-5~50℃）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最大偏移： ±70KHz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拾音头： 电容式/动圈式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供电方式： 2节AA电池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电池寿命： 约8小时</w:t>
            </w:r>
          </w:p>
        </w:tc>
        <w:tc>
          <w:tcPr>
            <w:tcW w:w="1023" w:type="dxa"/>
            <w:gridSpan w:val="4"/>
            <w:tcBorders>
              <w:top w:val="single" w:color="000000" w:sz="4" w:space="0"/>
              <w:left w:val="single" w:color="000000" w:sz="4" w:space="0"/>
              <w:bottom w:val="single" w:color="000000" w:sz="4" w:space="0"/>
              <w:right w:val="single" w:color="000000" w:sz="4" w:space="0"/>
            </w:tcBorders>
            <w:noWrap w:val="0"/>
            <w:vAlign w:val="center"/>
          </w:tcPr>
          <w:p w14:paraId="00736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7" w:type="dxa"/>
            <w:gridSpan w:val="6"/>
            <w:tcBorders>
              <w:top w:val="single" w:color="000000" w:sz="4" w:space="0"/>
              <w:left w:val="single" w:color="000000" w:sz="4" w:space="0"/>
              <w:bottom w:val="single" w:color="000000" w:sz="4" w:space="0"/>
              <w:right w:val="single" w:color="000000" w:sz="4" w:space="0"/>
            </w:tcBorders>
            <w:noWrap w:val="0"/>
            <w:vAlign w:val="center"/>
          </w:tcPr>
          <w:p w14:paraId="541EE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40F2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12760" w:type="dxa"/>
            <w:gridSpan w:val="25"/>
            <w:tcBorders>
              <w:top w:val="single" w:color="000000" w:sz="4" w:space="0"/>
              <w:left w:val="single" w:color="000000" w:sz="4" w:space="0"/>
              <w:bottom w:val="single" w:color="000000" w:sz="4" w:space="0"/>
              <w:right w:val="single" w:color="000000" w:sz="4" w:space="0"/>
            </w:tcBorders>
            <w:noWrap/>
            <w:vAlign w:val="center"/>
          </w:tcPr>
          <w:p w14:paraId="4DB290CE">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辅材</w:t>
            </w:r>
          </w:p>
        </w:tc>
      </w:tr>
      <w:tr w14:paraId="3060A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568" w:type="dxa"/>
            <w:gridSpan w:val="2"/>
            <w:tcBorders>
              <w:top w:val="single" w:color="000000" w:sz="4" w:space="0"/>
              <w:left w:val="single" w:color="000000" w:sz="4" w:space="0"/>
              <w:bottom w:val="single" w:color="000000" w:sz="4" w:space="0"/>
              <w:right w:val="single" w:color="000000" w:sz="4" w:space="0"/>
            </w:tcBorders>
            <w:noWrap w:val="0"/>
            <w:vAlign w:val="center"/>
          </w:tcPr>
          <w:p w14:paraId="51C1D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00" w:type="dxa"/>
            <w:gridSpan w:val="5"/>
            <w:tcBorders>
              <w:top w:val="single" w:color="000000" w:sz="4" w:space="0"/>
              <w:left w:val="single" w:color="000000" w:sz="4" w:space="0"/>
              <w:bottom w:val="single" w:color="000000" w:sz="4" w:space="0"/>
              <w:right w:val="single" w:color="000000" w:sz="4" w:space="0"/>
            </w:tcBorders>
            <w:noWrap w:val="0"/>
            <w:vAlign w:val="center"/>
          </w:tcPr>
          <w:p w14:paraId="09226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8552" w:type="dxa"/>
            <w:gridSpan w:val="8"/>
            <w:tcBorders>
              <w:top w:val="single" w:color="000000" w:sz="4" w:space="0"/>
              <w:left w:val="single" w:color="000000" w:sz="4" w:space="0"/>
              <w:bottom w:val="single" w:color="000000" w:sz="4" w:space="0"/>
              <w:right w:val="single" w:color="000000" w:sz="4" w:space="0"/>
            </w:tcBorders>
            <w:noWrap w:val="0"/>
            <w:vAlign w:val="center"/>
          </w:tcPr>
          <w:p w14:paraId="7F846B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22U机柜，600*440*1035mm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8口PDU国标电源插排×1，固定板部件×1,风扇×4,2"重型脚轮×4，M12支脚×4，M6方螺母螺钉×20，内六角扳手×1</w:t>
            </w:r>
          </w:p>
        </w:tc>
        <w:tc>
          <w:tcPr>
            <w:tcW w:w="1030" w:type="dxa"/>
            <w:gridSpan w:val="6"/>
            <w:tcBorders>
              <w:top w:val="single" w:color="000000" w:sz="4" w:space="0"/>
              <w:left w:val="single" w:color="000000" w:sz="4" w:space="0"/>
              <w:bottom w:val="single" w:color="000000" w:sz="4" w:space="0"/>
              <w:right w:val="single" w:color="000000" w:sz="4" w:space="0"/>
            </w:tcBorders>
            <w:noWrap w:val="0"/>
            <w:vAlign w:val="center"/>
          </w:tcPr>
          <w:p w14:paraId="2B6DA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483C2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7036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568" w:type="dxa"/>
            <w:gridSpan w:val="2"/>
            <w:tcBorders>
              <w:top w:val="single" w:color="000000" w:sz="4" w:space="0"/>
              <w:left w:val="single" w:color="000000" w:sz="4" w:space="0"/>
              <w:bottom w:val="single" w:color="000000" w:sz="4" w:space="0"/>
              <w:right w:val="single" w:color="000000" w:sz="4" w:space="0"/>
            </w:tcBorders>
            <w:noWrap w:val="0"/>
            <w:vAlign w:val="center"/>
          </w:tcPr>
          <w:p w14:paraId="05156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0" w:type="dxa"/>
            <w:gridSpan w:val="5"/>
            <w:tcBorders>
              <w:top w:val="single" w:color="000000" w:sz="4" w:space="0"/>
              <w:left w:val="single" w:color="000000" w:sz="4" w:space="0"/>
              <w:bottom w:val="single" w:color="000000" w:sz="4" w:space="0"/>
              <w:right w:val="single" w:color="000000" w:sz="4" w:space="0"/>
            </w:tcBorders>
            <w:noWrap w:val="0"/>
            <w:vAlign w:val="center"/>
          </w:tcPr>
          <w:p w14:paraId="6C692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音频线</w:t>
            </w:r>
          </w:p>
        </w:tc>
        <w:tc>
          <w:tcPr>
            <w:tcW w:w="8552" w:type="dxa"/>
            <w:gridSpan w:val="8"/>
            <w:tcBorders>
              <w:top w:val="single" w:color="000000" w:sz="4" w:space="0"/>
              <w:left w:val="single" w:color="000000" w:sz="4" w:space="0"/>
              <w:bottom w:val="single" w:color="000000" w:sz="4" w:space="0"/>
              <w:right w:val="single" w:color="000000" w:sz="4" w:space="0"/>
            </w:tcBorders>
            <w:noWrap w:val="0"/>
            <w:vAlign w:val="center"/>
          </w:tcPr>
          <w:p w14:paraId="41537F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1.8米音频连接线：卡侬公对母延长线</w:t>
            </w:r>
          </w:p>
        </w:tc>
        <w:tc>
          <w:tcPr>
            <w:tcW w:w="1030" w:type="dxa"/>
            <w:gridSpan w:val="6"/>
            <w:tcBorders>
              <w:top w:val="single" w:color="000000" w:sz="4" w:space="0"/>
              <w:left w:val="single" w:color="000000" w:sz="4" w:space="0"/>
              <w:bottom w:val="single" w:color="000000" w:sz="4" w:space="0"/>
              <w:right w:val="single" w:color="000000" w:sz="4" w:space="0"/>
            </w:tcBorders>
            <w:noWrap w:val="0"/>
            <w:vAlign w:val="center"/>
          </w:tcPr>
          <w:p w14:paraId="489AB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0EF96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r>
      <w:tr w14:paraId="1C163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568" w:type="dxa"/>
            <w:gridSpan w:val="2"/>
            <w:tcBorders>
              <w:top w:val="single" w:color="000000" w:sz="4" w:space="0"/>
              <w:left w:val="single" w:color="000000" w:sz="4" w:space="0"/>
              <w:bottom w:val="single" w:color="000000" w:sz="4" w:space="0"/>
              <w:right w:val="single" w:color="000000" w:sz="4" w:space="0"/>
            </w:tcBorders>
            <w:noWrap w:val="0"/>
            <w:vAlign w:val="center"/>
          </w:tcPr>
          <w:p w14:paraId="4ADCB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00" w:type="dxa"/>
            <w:gridSpan w:val="5"/>
            <w:tcBorders>
              <w:top w:val="single" w:color="000000" w:sz="4" w:space="0"/>
              <w:left w:val="single" w:color="000000" w:sz="4" w:space="0"/>
              <w:bottom w:val="single" w:color="000000" w:sz="4" w:space="0"/>
              <w:right w:val="single" w:color="000000" w:sz="4" w:space="0"/>
            </w:tcBorders>
            <w:noWrap w:val="0"/>
            <w:vAlign w:val="center"/>
          </w:tcPr>
          <w:p w14:paraId="291F1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音频线</w:t>
            </w:r>
          </w:p>
        </w:tc>
        <w:tc>
          <w:tcPr>
            <w:tcW w:w="8552" w:type="dxa"/>
            <w:gridSpan w:val="8"/>
            <w:tcBorders>
              <w:top w:val="single" w:color="000000" w:sz="4" w:space="0"/>
              <w:left w:val="single" w:color="000000" w:sz="4" w:space="0"/>
              <w:bottom w:val="single" w:color="000000" w:sz="4" w:space="0"/>
              <w:right w:val="single" w:color="000000" w:sz="4" w:space="0"/>
            </w:tcBorders>
            <w:noWrap w:val="0"/>
            <w:vAlign w:val="center"/>
          </w:tcPr>
          <w:p w14:paraId="012FBF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1.8米音频连接线：3.5转双6.35公延长线</w:t>
            </w:r>
          </w:p>
        </w:tc>
        <w:tc>
          <w:tcPr>
            <w:tcW w:w="1030" w:type="dxa"/>
            <w:gridSpan w:val="6"/>
            <w:tcBorders>
              <w:top w:val="single" w:color="000000" w:sz="4" w:space="0"/>
              <w:left w:val="single" w:color="000000" w:sz="4" w:space="0"/>
              <w:bottom w:val="single" w:color="000000" w:sz="4" w:space="0"/>
              <w:right w:val="single" w:color="000000" w:sz="4" w:space="0"/>
            </w:tcBorders>
            <w:noWrap w:val="0"/>
            <w:vAlign w:val="center"/>
          </w:tcPr>
          <w:p w14:paraId="556B2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0A681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r>
      <w:tr w14:paraId="65459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568" w:type="dxa"/>
            <w:gridSpan w:val="2"/>
            <w:tcBorders>
              <w:top w:val="single" w:color="000000" w:sz="4" w:space="0"/>
              <w:left w:val="single" w:color="000000" w:sz="4" w:space="0"/>
              <w:bottom w:val="single" w:color="000000" w:sz="4" w:space="0"/>
              <w:right w:val="single" w:color="000000" w:sz="4" w:space="0"/>
            </w:tcBorders>
            <w:noWrap w:val="0"/>
            <w:vAlign w:val="center"/>
          </w:tcPr>
          <w:p w14:paraId="0707F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00" w:type="dxa"/>
            <w:gridSpan w:val="5"/>
            <w:tcBorders>
              <w:top w:val="single" w:color="000000" w:sz="4" w:space="0"/>
              <w:left w:val="single" w:color="000000" w:sz="4" w:space="0"/>
              <w:bottom w:val="single" w:color="000000" w:sz="4" w:space="0"/>
              <w:right w:val="single" w:color="000000" w:sz="4" w:space="0"/>
            </w:tcBorders>
            <w:noWrap w:val="0"/>
            <w:vAlign w:val="center"/>
          </w:tcPr>
          <w:p w14:paraId="0D9C1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多媒体地插</w:t>
            </w:r>
          </w:p>
        </w:tc>
        <w:tc>
          <w:tcPr>
            <w:tcW w:w="8552" w:type="dxa"/>
            <w:gridSpan w:val="8"/>
            <w:tcBorders>
              <w:top w:val="single" w:color="000000" w:sz="4" w:space="0"/>
              <w:left w:val="single" w:color="000000" w:sz="4" w:space="0"/>
              <w:bottom w:val="single" w:color="000000" w:sz="4" w:space="0"/>
              <w:right w:val="single" w:color="000000" w:sz="4" w:space="0"/>
            </w:tcBorders>
            <w:noWrap w:val="0"/>
            <w:vAlign w:val="center"/>
          </w:tcPr>
          <w:p w14:paraId="62D775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含1个电源口、1个网口、1个HDMI口、1个音频口</w:t>
            </w:r>
          </w:p>
        </w:tc>
        <w:tc>
          <w:tcPr>
            <w:tcW w:w="1023" w:type="dxa"/>
            <w:gridSpan w:val="4"/>
            <w:tcBorders>
              <w:top w:val="single" w:color="000000" w:sz="4" w:space="0"/>
              <w:left w:val="single" w:color="000000" w:sz="4" w:space="0"/>
              <w:bottom w:val="single" w:color="000000" w:sz="4" w:space="0"/>
              <w:right w:val="single" w:color="000000" w:sz="4" w:space="0"/>
            </w:tcBorders>
            <w:noWrap w:val="0"/>
            <w:vAlign w:val="center"/>
          </w:tcPr>
          <w:p w14:paraId="6FD9C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7" w:type="dxa"/>
            <w:gridSpan w:val="6"/>
            <w:tcBorders>
              <w:top w:val="single" w:color="000000" w:sz="4" w:space="0"/>
              <w:left w:val="single" w:color="000000" w:sz="4" w:space="0"/>
              <w:bottom w:val="single" w:color="000000" w:sz="4" w:space="0"/>
              <w:right w:val="single" w:color="000000" w:sz="4" w:space="0"/>
            </w:tcBorders>
            <w:noWrap w:val="0"/>
            <w:vAlign w:val="center"/>
          </w:tcPr>
          <w:p w14:paraId="5B717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738F6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568" w:type="dxa"/>
            <w:gridSpan w:val="2"/>
            <w:tcBorders>
              <w:top w:val="single" w:color="000000" w:sz="4" w:space="0"/>
              <w:left w:val="single" w:color="000000" w:sz="4" w:space="0"/>
              <w:bottom w:val="single" w:color="000000" w:sz="4" w:space="0"/>
              <w:right w:val="single" w:color="000000" w:sz="4" w:space="0"/>
            </w:tcBorders>
            <w:noWrap w:val="0"/>
            <w:vAlign w:val="center"/>
          </w:tcPr>
          <w:p w14:paraId="493F0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0" w:type="dxa"/>
            <w:gridSpan w:val="5"/>
            <w:tcBorders>
              <w:top w:val="single" w:color="000000" w:sz="4" w:space="0"/>
              <w:left w:val="single" w:color="000000" w:sz="4" w:space="0"/>
              <w:bottom w:val="single" w:color="000000" w:sz="4" w:space="0"/>
              <w:right w:val="single" w:color="000000" w:sz="4" w:space="0"/>
            </w:tcBorders>
            <w:noWrap w:val="0"/>
            <w:vAlign w:val="center"/>
          </w:tcPr>
          <w:p w14:paraId="04410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视频线</w:t>
            </w:r>
          </w:p>
        </w:tc>
        <w:tc>
          <w:tcPr>
            <w:tcW w:w="8552" w:type="dxa"/>
            <w:gridSpan w:val="8"/>
            <w:tcBorders>
              <w:top w:val="single" w:color="000000" w:sz="4" w:space="0"/>
              <w:left w:val="single" w:color="000000" w:sz="4" w:space="0"/>
              <w:bottom w:val="single" w:color="000000" w:sz="4" w:space="0"/>
              <w:right w:val="single" w:color="000000" w:sz="4" w:space="0"/>
            </w:tcBorders>
            <w:noWrap w:val="0"/>
            <w:vAlign w:val="center"/>
          </w:tcPr>
          <w:p w14:paraId="3576B0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15米视频连接线：HDMI2.0版高清线</w:t>
            </w:r>
          </w:p>
        </w:tc>
        <w:tc>
          <w:tcPr>
            <w:tcW w:w="1023" w:type="dxa"/>
            <w:gridSpan w:val="4"/>
            <w:tcBorders>
              <w:top w:val="single" w:color="000000" w:sz="4" w:space="0"/>
              <w:left w:val="single" w:color="000000" w:sz="4" w:space="0"/>
              <w:bottom w:val="single" w:color="000000" w:sz="4" w:space="0"/>
              <w:right w:val="single" w:color="000000" w:sz="4" w:space="0"/>
            </w:tcBorders>
            <w:noWrap w:val="0"/>
            <w:vAlign w:val="center"/>
          </w:tcPr>
          <w:p w14:paraId="71AD8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7" w:type="dxa"/>
            <w:gridSpan w:val="6"/>
            <w:tcBorders>
              <w:top w:val="single" w:color="000000" w:sz="4" w:space="0"/>
              <w:left w:val="single" w:color="000000" w:sz="4" w:space="0"/>
              <w:bottom w:val="single" w:color="000000" w:sz="4" w:space="0"/>
              <w:right w:val="single" w:color="000000" w:sz="4" w:space="0"/>
            </w:tcBorders>
            <w:noWrap w:val="0"/>
            <w:vAlign w:val="center"/>
          </w:tcPr>
          <w:p w14:paraId="77723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r>
      <w:tr w14:paraId="11EC0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568" w:type="dxa"/>
            <w:gridSpan w:val="2"/>
            <w:tcBorders>
              <w:top w:val="single" w:color="000000" w:sz="4" w:space="0"/>
              <w:left w:val="single" w:color="000000" w:sz="4" w:space="0"/>
              <w:bottom w:val="single" w:color="000000" w:sz="4" w:space="0"/>
              <w:right w:val="single" w:color="000000" w:sz="4" w:space="0"/>
            </w:tcBorders>
            <w:noWrap w:val="0"/>
            <w:vAlign w:val="center"/>
          </w:tcPr>
          <w:p w14:paraId="312F5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00" w:type="dxa"/>
            <w:gridSpan w:val="5"/>
            <w:tcBorders>
              <w:top w:val="single" w:color="000000" w:sz="4" w:space="0"/>
              <w:left w:val="single" w:color="000000" w:sz="4" w:space="0"/>
              <w:bottom w:val="single" w:color="000000" w:sz="4" w:space="0"/>
              <w:right w:val="single" w:color="000000" w:sz="4" w:space="0"/>
            </w:tcBorders>
            <w:noWrap w:val="0"/>
            <w:vAlign w:val="center"/>
          </w:tcPr>
          <w:p w14:paraId="79070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音箱线</w:t>
            </w:r>
          </w:p>
        </w:tc>
        <w:tc>
          <w:tcPr>
            <w:tcW w:w="8552" w:type="dxa"/>
            <w:gridSpan w:val="8"/>
            <w:tcBorders>
              <w:top w:val="single" w:color="000000" w:sz="4" w:space="0"/>
              <w:left w:val="single" w:color="000000" w:sz="4" w:space="0"/>
              <w:bottom w:val="single" w:color="000000" w:sz="4" w:space="0"/>
              <w:right w:val="single" w:color="000000" w:sz="4" w:space="0"/>
            </w:tcBorders>
            <w:noWrap w:val="0"/>
            <w:vAlign w:val="center"/>
          </w:tcPr>
          <w:p w14:paraId="066C3A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音响金银喇叭线纯铜2*300芯，100米/卷</w:t>
            </w:r>
          </w:p>
        </w:tc>
        <w:tc>
          <w:tcPr>
            <w:tcW w:w="1023" w:type="dxa"/>
            <w:gridSpan w:val="4"/>
            <w:tcBorders>
              <w:top w:val="single" w:color="000000" w:sz="4" w:space="0"/>
              <w:left w:val="single" w:color="000000" w:sz="4" w:space="0"/>
              <w:bottom w:val="single" w:color="000000" w:sz="4" w:space="0"/>
              <w:right w:val="single" w:color="000000" w:sz="4" w:space="0"/>
            </w:tcBorders>
            <w:noWrap w:val="0"/>
            <w:vAlign w:val="center"/>
          </w:tcPr>
          <w:p w14:paraId="6D6C8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7" w:type="dxa"/>
            <w:gridSpan w:val="6"/>
            <w:tcBorders>
              <w:top w:val="single" w:color="000000" w:sz="4" w:space="0"/>
              <w:left w:val="single" w:color="000000" w:sz="4" w:space="0"/>
              <w:bottom w:val="single" w:color="000000" w:sz="4" w:space="0"/>
              <w:right w:val="single" w:color="000000" w:sz="4" w:space="0"/>
            </w:tcBorders>
            <w:noWrap w:val="0"/>
            <w:vAlign w:val="center"/>
          </w:tcPr>
          <w:p w14:paraId="7148F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r>
      <w:tr w14:paraId="2857A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568" w:type="dxa"/>
            <w:gridSpan w:val="2"/>
            <w:tcBorders>
              <w:top w:val="single" w:color="000000" w:sz="4" w:space="0"/>
              <w:left w:val="single" w:color="000000" w:sz="4" w:space="0"/>
              <w:bottom w:val="single" w:color="000000" w:sz="4" w:space="0"/>
              <w:right w:val="single" w:color="000000" w:sz="4" w:space="0"/>
            </w:tcBorders>
            <w:noWrap w:val="0"/>
            <w:vAlign w:val="center"/>
          </w:tcPr>
          <w:p w14:paraId="449EC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00" w:type="dxa"/>
            <w:gridSpan w:val="5"/>
            <w:tcBorders>
              <w:top w:val="single" w:color="000000" w:sz="4" w:space="0"/>
              <w:left w:val="single" w:color="000000" w:sz="4" w:space="0"/>
              <w:bottom w:val="single" w:color="000000" w:sz="4" w:space="0"/>
              <w:right w:val="single" w:color="000000" w:sz="4" w:space="0"/>
            </w:tcBorders>
            <w:noWrap w:val="0"/>
            <w:vAlign w:val="center"/>
          </w:tcPr>
          <w:p w14:paraId="2BB5F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音频话筒线</w:t>
            </w:r>
          </w:p>
        </w:tc>
        <w:tc>
          <w:tcPr>
            <w:tcW w:w="8552" w:type="dxa"/>
            <w:gridSpan w:val="8"/>
            <w:tcBorders>
              <w:top w:val="single" w:color="000000" w:sz="4" w:space="0"/>
              <w:left w:val="single" w:color="000000" w:sz="4" w:space="0"/>
              <w:bottom w:val="single" w:color="000000" w:sz="4" w:space="0"/>
              <w:right w:val="single" w:color="000000" w:sz="4" w:space="0"/>
            </w:tcBorders>
            <w:noWrap w:val="0"/>
            <w:vAlign w:val="center"/>
          </w:tcPr>
          <w:p w14:paraId="18BE44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双芯咪卡侬线RVPE2*0.5平方，100米/卷</w:t>
            </w:r>
          </w:p>
        </w:tc>
        <w:tc>
          <w:tcPr>
            <w:tcW w:w="1023" w:type="dxa"/>
            <w:gridSpan w:val="4"/>
            <w:tcBorders>
              <w:top w:val="single" w:color="000000" w:sz="4" w:space="0"/>
              <w:left w:val="single" w:color="000000" w:sz="4" w:space="0"/>
              <w:bottom w:val="single" w:color="000000" w:sz="4" w:space="0"/>
              <w:right w:val="single" w:color="000000" w:sz="4" w:space="0"/>
            </w:tcBorders>
            <w:noWrap w:val="0"/>
            <w:vAlign w:val="center"/>
          </w:tcPr>
          <w:p w14:paraId="2116B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7" w:type="dxa"/>
            <w:gridSpan w:val="6"/>
            <w:tcBorders>
              <w:top w:val="single" w:color="000000" w:sz="4" w:space="0"/>
              <w:left w:val="single" w:color="000000" w:sz="4" w:space="0"/>
              <w:bottom w:val="single" w:color="000000" w:sz="4" w:space="0"/>
              <w:right w:val="single" w:color="000000" w:sz="4" w:space="0"/>
            </w:tcBorders>
            <w:noWrap w:val="0"/>
            <w:vAlign w:val="center"/>
          </w:tcPr>
          <w:p w14:paraId="13238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r>
      <w:tr w14:paraId="690FB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568" w:type="dxa"/>
            <w:gridSpan w:val="2"/>
            <w:tcBorders>
              <w:top w:val="single" w:color="000000" w:sz="4" w:space="0"/>
              <w:left w:val="single" w:color="000000" w:sz="4" w:space="0"/>
              <w:bottom w:val="single" w:color="000000" w:sz="4" w:space="0"/>
              <w:right w:val="single" w:color="000000" w:sz="4" w:space="0"/>
            </w:tcBorders>
            <w:noWrap w:val="0"/>
            <w:vAlign w:val="center"/>
          </w:tcPr>
          <w:p w14:paraId="22497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00" w:type="dxa"/>
            <w:gridSpan w:val="5"/>
            <w:tcBorders>
              <w:top w:val="single" w:color="000000" w:sz="4" w:space="0"/>
              <w:left w:val="single" w:color="000000" w:sz="4" w:space="0"/>
              <w:bottom w:val="single" w:color="000000" w:sz="4" w:space="0"/>
              <w:right w:val="single" w:color="000000" w:sz="4" w:space="0"/>
            </w:tcBorders>
            <w:noWrap w:val="0"/>
            <w:vAlign w:val="center"/>
          </w:tcPr>
          <w:p w14:paraId="0FE57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w:t>
            </w:r>
          </w:p>
        </w:tc>
        <w:tc>
          <w:tcPr>
            <w:tcW w:w="8552" w:type="dxa"/>
            <w:gridSpan w:val="8"/>
            <w:tcBorders>
              <w:top w:val="single" w:color="000000" w:sz="4" w:space="0"/>
              <w:left w:val="single" w:color="000000" w:sz="4" w:space="0"/>
              <w:bottom w:val="single" w:color="000000" w:sz="4" w:space="0"/>
              <w:right w:val="single" w:color="000000" w:sz="4" w:space="0"/>
            </w:tcBorders>
            <w:noWrap w:val="0"/>
            <w:vAlign w:val="center"/>
          </w:tcPr>
          <w:p w14:paraId="0BBDA4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超五类网线，200米/卷</w:t>
            </w:r>
          </w:p>
        </w:tc>
        <w:tc>
          <w:tcPr>
            <w:tcW w:w="1023" w:type="dxa"/>
            <w:gridSpan w:val="4"/>
            <w:tcBorders>
              <w:top w:val="single" w:color="000000" w:sz="4" w:space="0"/>
              <w:left w:val="single" w:color="000000" w:sz="4" w:space="0"/>
              <w:bottom w:val="single" w:color="000000" w:sz="4" w:space="0"/>
              <w:right w:val="single" w:color="000000" w:sz="4" w:space="0"/>
            </w:tcBorders>
            <w:noWrap w:val="0"/>
            <w:vAlign w:val="center"/>
          </w:tcPr>
          <w:p w14:paraId="4D51A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7" w:type="dxa"/>
            <w:gridSpan w:val="6"/>
            <w:tcBorders>
              <w:top w:val="single" w:color="000000" w:sz="4" w:space="0"/>
              <w:left w:val="single" w:color="000000" w:sz="4" w:space="0"/>
              <w:bottom w:val="single" w:color="000000" w:sz="4" w:space="0"/>
              <w:right w:val="single" w:color="000000" w:sz="4" w:space="0"/>
            </w:tcBorders>
            <w:noWrap w:val="0"/>
            <w:vAlign w:val="center"/>
          </w:tcPr>
          <w:p w14:paraId="0EC69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r>
      <w:tr w14:paraId="74C5F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568" w:type="dxa"/>
            <w:gridSpan w:val="2"/>
            <w:tcBorders>
              <w:top w:val="single" w:color="000000" w:sz="4" w:space="0"/>
              <w:left w:val="single" w:color="000000" w:sz="4" w:space="0"/>
              <w:bottom w:val="single" w:color="000000" w:sz="4" w:space="0"/>
              <w:right w:val="single" w:color="000000" w:sz="4" w:space="0"/>
            </w:tcBorders>
            <w:noWrap w:val="0"/>
            <w:vAlign w:val="center"/>
          </w:tcPr>
          <w:p w14:paraId="2E176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00" w:type="dxa"/>
            <w:gridSpan w:val="5"/>
            <w:tcBorders>
              <w:top w:val="single" w:color="000000" w:sz="4" w:space="0"/>
              <w:left w:val="single" w:color="000000" w:sz="4" w:space="0"/>
              <w:bottom w:val="single" w:color="000000" w:sz="4" w:space="0"/>
              <w:right w:val="single" w:color="000000" w:sz="4" w:space="0"/>
            </w:tcBorders>
            <w:noWrap w:val="0"/>
            <w:vAlign w:val="center"/>
          </w:tcPr>
          <w:p w14:paraId="604E7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水晶头</w:t>
            </w:r>
          </w:p>
        </w:tc>
        <w:tc>
          <w:tcPr>
            <w:tcW w:w="8552" w:type="dxa"/>
            <w:gridSpan w:val="8"/>
            <w:tcBorders>
              <w:top w:val="single" w:color="000000" w:sz="4" w:space="0"/>
              <w:left w:val="single" w:color="000000" w:sz="4" w:space="0"/>
              <w:bottom w:val="single" w:color="000000" w:sz="4" w:space="0"/>
              <w:right w:val="single" w:color="000000" w:sz="4" w:space="0"/>
            </w:tcBorders>
            <w:noWrap w:val="0"/>
            <w:vAlign w:val="center"/>
          </w:tcPr>
          <w:p w14:paraId="404B80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超五类水晶头，100个/盒</w:t>
            </w:r>
          </w:p>
        </w:tc>
        <w:tc>
          <w:tcPr>
            <w:tcW w:w="1023" w:type="dxa"/>
            <w:gridSpan w:val="4"/>
            <w:tcBorders>
              <w:top w:val="single" w:color="000000" w:sz="4" w:space="0"/>
              <w:left w:val="single" w:color="000000" w:sz="4" w:space="0"/>
              <w:bottom w:val="single" w:color="000000" w:sz="4" w:space="0"/>
              <w:right w:val="single" w:color="000000" w:sz="4" w:space="0"/>
            </w:tcBorders>
            <w:noWrap w:val="0"/>
            <w:vAlign w:val="center"/>
          </w:tcPr>
          <w:p w14:paraId="596B6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7" w:type="dxa"/>
            <w:gridSpan w:val="6"/>
            <w:tcBorders>
              <w:top w:val="single" w:color="000000" w:sz="4" w:space="0"/>
              <w:left w:val="single" w:color="000000" w:sz="4" w:space="0"/>
              <w:bottom w:val="single" w:color="000000" w:sz="4" w:space="0"/>
              <w:right w:val="single" w:color="000000" w:sz="4" w:space="0"/>
            </w:tcBorders>
            <w:noWrap w:val="0"/>
            <w:vAlign w:val="center"/>
          </w:tcPr>
          <w:p w14:paraId="16F78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r w14:paraId="638EA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568" w:type="dxa"/>
            <w:gridSpan w:val="2"/>
            <w:tcBorders>
              <w:top w:val="single" w:color="000000" w:sz="4" w:space="0"/>
              <w:left w:val="single" w:color="000000" w:sz="4" w:space="0"/>
              <w:bottom w:val="single" w:color="000000" w:sz="4" w:space="0"/>
              <w:right w:val="single" w:color="000000" w:sz="4" w:space="0"/>
            </w:tcBorders>
            <w:noWrap w:val="0"/>
            <w:vAlign w:val="center"/>
          </w:tcPr>
          <w:p w14:paraId="0114D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00" w:type="dxa"/>
            <w:gridSpan w:val="5"/>
            <w:tcBorders>
              <w:top w:val="single" w:color="000000" w:sz="4" w:space="0"/>
              <w:left w:val="single" w:color="000000" w:sz="4" w:space="0"/>
              <w:bottom w:val="single" w:color="000000" w:sz="4" w:space="0"/>
              <w:right w:val="single" w:color="000000" w:sz="4" w:space="0"/>
            </w:tcBorders>
            <w:noWrap w:val="0"/>
            <w:vAlign w:val="center"/>
          </w:tcPr>
          <w:p w14:paraId="3ED95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电缆线</w:t>
            </w:r>
          </w:p>
        </w:tc>
        <w:tc>
          <w:tcPr>
            <w:tcW w:w="8552" w:type="dxa"/>
            <w:gridSpan w:val="8"/>
            <w:tcBorders>
              <w:top w:val="single" w:color="000000" w:sz="4" w:space="0"/>
              <w:left w:val="single" w:color="000000" w:sz="4" w:space="0"/>
              <w:bottom w:val="single" w:color="000000" w:sz="4" w:space="0"/>
              <w:right w:val="single" w:color="000000" w:sz="4" w:space="0"/>
            </w:tcBorders>
            <w:noWrap w:val="0"/>
            <w:vAlign w:val="center"/>
          </w:tcPr>
          <w:p w14:paraId="3A6C70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带屏蔽国标电源线/通信控制线RVVP3*1.5平方，100米/卷</w:t>
            </w:r>
          </w:p>
        </w:tc>
        <w:tc>
          <w:tcPr>
            <w:tcW w:w="1023" w:type="dxa"/>
            <w:gridSpan w:val="4"/>
            <w:tcBorders>
              <w:top w:val="single" w:color="000000" w:sz="4" w:space="0"/>
              <w:left w:val="single" w:color="000000" w:sz="4" w:space="0"/>
              <w:bottom w:val="single" w:color="000000" w:sz="4" w:space="0"/>
              <w:right w:val="single" w:color="auto" w:sz="4" w:space="0"/>
            </w:tcBorders>
            <w:noWrap w:val="0"/>
            <w:vAlign w:val="center"/>
          </w:tcPr>
          <w:p w14:paraId="0284C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7" w:type="dxa"/>
            <w:gridSpan w:val="6"/>
            <w:tcBorders>
              <w:top w:val="single" w:color="000000" w:sz="4" w:space="0"/>
              <w:left w:val="single" w:color="auto" w:sz="4" w:space="0"/>
              <w:bottom w:val="single" w:color="000000" w:sz="4" w:space="0"/>
              <w:right w:val="single" w:color="000000" w:sz="4" w:space="0"/>
            </w:tcBorders>
            <w:noWrap w:val="0"/>
            <w:vAlign w:val="center"/>
          </w:tcPr>
          <w:p w14:paraId="00C2B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r>
      <w:tr w14:paraId="1C4A0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568" w:type="dxa"/>
            <w:gridSpan w:val="2"/>
            <w:tcBorders>
              <w:top w:val="single" w:color="000000" w:sz="4" w:space="0"/>
              <w:left w:val="single" w:color="000000" w:sz="4" w:space="0"/>
              <w:bottom w:val="single" w:color="000000" w:sz="4" w:space="0"/>
              <w:right w:val="single" w:color="000000" w:sz="4" w:space="0"/>
            </w:tcBorders>
            <w:noWrap w:val="0"/>
            <w:vAlign w:val="center"/>
          </w:tcPr>
          <w:p w14:paraId="5599F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00" w:type="dxa"/>
            <w:gridSpan w:val="5"/>
            <w:tcBorders>
              <w:top w:val="single" w:color="000000" w:sz="4" w:space="0"/>
              <w:left w:val="single" w:color="000000" w:sz="4" w:space="0"/>
              <w:bottom w:val="single" w:color="000000" w:sz="4" w:space="0"/>
              <w:right w:val="single" w:color="000000" w:sz="4" w:space="0"/>
            </w:tcBorders>
            <w:noWrap w:val="0"/>
            <w:vAlign w:val="center"/>
          </w:tcPr>
          <w:p w14:paraId="2CDC1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管材</w:t>
            </w:r>
          </w:p>
        </w:tc>
        <w:tc>
          <w:tcPr>
            <w:tcW w:w="8552" w:type="dxa"/>
            <w:gridSpan w:val="8"/>
            <w:tcBorders>
              <w:top w:val="single" w:color="000000" w:sz="4" w:space="0"/>
              <w:left w:val="single" w:color="000000" w:sz="4" w:space="0"/>
              <w:bottom w:val="single" w:color="000000" w:sz="4" w:space="0"/>
              <w:right w:val="single" w:color="000000" w:sz="4" w:space="0"/>
            </w:tcBorders>
            <w:noWrap w:val="0"/>
            <w:vAlign w:val="center"/>
          </w:tcPr>
          <w:p w14:paraId="61BF46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DN=25mm，厚度：2.0mm，每支钢管通常定尺长度为6000mm</w:t>
            </w:r>
          </w:p>
        </w:tc>
        <w:tc>
          <w:tcPr>
            <w:tcW w:w="1028" w:type="dxa"/>
            <w:gridSpan w:val="5"/>
            <w:tcBorders>
              <w:top w:val="single" w:color="000000" w:sz="4" w:space="0"/>
              <w:left w:val="single" w:color="000000" w:sz="4" w:space="0"/>
              <w:bottom w:val="single" w:color="000000" w:sz="4" w:space="0"/>
              <w:right w:val="single" w:color="auto" w:sz="4" w:space="0"/>
            </w:tcBorders>
            <w:noWrap w:val="0"/>
            <w:vAlign w:val="center"/>
          </w:tcPr>
          <w:p w14:paraId="69C9F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2" w:type="dxa"/>
            <w:gridSpan w:val="5"/>
            <w:tcBorders>
              <w:top w:val="single" w:color="000000" w:sz="4" w:space="0"/>
              <w:left w:val="single" w:color="auto" w:sz="4" w:space="0"/>
              <w:bottom w:val="single" w:color="000000" w:sz="4" w:space="0"/>
              <w:right w:val="single" w:color="000000" w:sz="4" w:space="0"/>
            </w:tcBorders>
            <w:noWrap w:val="0"/>
            <w:vAlign w:val="center"/>
          </w:tcPr>
          <w:p w14:paraId="10F514F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批</w:t>
            </w:r>
          </w:p>
        </w:tc>
      </w:tr>
      <w:tr w14:paraId="01460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3217" w:type="dxa"/>
          <w:trHeight w:val="580" w:hRule="atLeast"/>
        </w:trPr>
        <w:tc>
          <w:tcPr>
            <w:tcW w:w="9548" w:type="dxa"/>
            <w:gridSpan w:val="14"/>
            <w:tcBorders>
              <w:top w:val="single" w:color="000000" w:sz="4" w:space="0"/>
              <w:left w:val="single" w:color="000000" w:sz="4" w:space="0"/>
              <w:bottom w:val="single" w:color="000000" w:sz="4" w:space="0"/>
              <w:right w:val="nil"/>
            </w:tcBorders>
            <w:noWrap w:val="0"/>
            <w:vAlign w:val="center"/>
          </w:tcPr>
          <w:p w14:paraId="29D09C29">
            <w:pPr>
              <w:jc w:val="center"/>
              <w:rPr>
                <w:rFonts w:hint="eastAsia"/>
                <w:b/>
                <w:color w:val="auto"/>
                <w:sz w:val="24"/>
              </w:rPr>
            </w:pPr>
            <w:r>
              <w:rPr>
                <w:rFonts w:hint="eastAsia"/>
                <w:b/>
                <w:color w:val="auto"/>
                <w:sz w:val="24"/>
                <w:lang w:val="en-US" w:eastAsia="zh-CN"/>
              </w:rPr>
              <w:t>党员活动室</w:t>
            </w:r>
          </w:p>
        </w:tc>
      </w:tr>
      <w:tr w14:paraId="57EF0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29349FD7">
            <w:pPr>
              <w:rPr>
                <w:rFonts w:hint="eastAsia"/>
                <w:b/>
                <w:color w:val="auto"/>
                <w:sz w:val="24"/>
              </w:rPr>
            </w:pPr>
            <w:r>
              <w:rPr>
                <w:rFonts w:hint="eastAsia"/>
                <w:b/>
                <w:color w:val="auto"/>
                <w:sz w:val="24"/>
                <w:lang w:val="en-US" w:eastAsia="zh-CN"/>
              </w:rPr>
              <w:t>序号</w:t>
            </w:r>
          </w:p>
        </w:tc>
        <w:tc>
          <w:tcPr>
            <w:tcW w:w="1249" w:type="dxa"/>
            <w:gridSpan w:val="3"/>
            <w:tcBorders>
              <w:top w:val="single" w:color="000000" w:sz="4" w:space="0"/>
              <w:left w:val="single" w:color="000000" w:sz="4" w:space="0"/>
              <w:bottom w:val="single" w:color="000000" w:sz="4" w:space="0"/>
              <w:right w:val="single" w:color="000000" w:sz="4" w:space="0"/>
            </w:tcBorders>
            <w:noWrap w:val="0"/>
            <w:vAlign w:val="center"/>
          </w:tcPr>
          <w:p w14:paraId="45997275">
            <w:pPr>
              <w:rPr>
                <w:rFonts w:hint="eastAsia"/>
                <w:b/>
                <w:color w:val="auto"/>
                <w:sz w:val="24"/>
              </w:rPr>
            </w:pPr>
            <w:r>
              <w:rPr>
                <w:rFonts w:hint="eastAsia"/>
                <w:b/>
                <w:color w:val="auto"/>
                <w:sz w:val="24"/>
                <w:lang w:val="en-US" w:eastAsia="zh-CN"/>
              </w:rPr>
              <w:t>名称</w:t>
            </w:r>
          </w:p>
        </w:tc>
        <w:tc>
          <w:tcPr>
            <w:tcW w:w="8771" w:type="dxa"/>
            <w:gridSpan w:val="9"/>
            <w:tcBorders>
              <w:top w:val="single" w:color="000000" w:sz="4" w:space="0"/>
              <w:left w:val="single" w:color="000000" w:sz="4" w:space="0"/>
              <w:bottom w:val="single" w:color="000000" w:sz="4" w:space="0"/>
              <w:right w:val="single" w:color="000000" w:sz="4" w:space="0"/>
            </w:tcBorders>
            <w:noWrap w:val="0"/>
            <w:vAlign w:val="center"/>
          </w:tcPr>
          <w:p w14:paraId="207BBE41">
            <w:pPr>
              <w:rPr>
                <w:rFonts w:hint="eastAsia"/>
                <w:b/>
                <w:color w:val="auto"/>
                <w:sz w:val="24"/>
              </w:rPr>
            </w:pPr>
            <w:r>
              <w:rPr>
                <w:rFonts w:hint="eastAsia"/>
                <w:b/>
                <w:color w:val="auto"/>
                <w:sz w:val="24"/>
                <w:lang w:val="en-US" w:eastAsia="zh-CN"/>
              </w:rPr>
              <w:t>功能描述&amp;技术参数</w:t>
            </w:r>
          </w:p>
        </w:tc>
        <w:tc>
          <w:tcPr>
            <w:tcW w:w="1065" w:type="dxa"/>
            <w:gridSpan w:val="7"/>
            <w:tcBorders>
              <w:top w:val="single" w:color="000000" w:sz="4" w:space="0"/>
              <w:left w:val="single" w:color="000000" w:sz="4" w:space="0"/>
              <w:bottom w:val="single" w:color="000000" w:sz="4" w:space="0"/>
              <w:right w:val="single" w:color="auto" w:sz="4" w:space="0"/>
            </w:tcBorders>
            <w:noWrap w:val="0"/>
            <w:vAlign w:val="center"/>
          </w:tcPr>
          <w:p w14:paraId="5A04C275">
            <w:pPr>
              <w:rPr>
                <w:rFonts w:hint="eastAsia"/>
                <w:b/>
                <w:color w:val="auto"/>
                <w:sz w:val="24"/>
              </w:rPr>
            </w:pPr>
            <w:r>
              <w:rPr>
                <w:rFonts w:hint="eastAsia"/>
                <w:b/>
                <w:color w:val="auto"/>
                <w:sz w:val="24"/>
                <w:lang w:val="en-US" w:eastAsia="zh-CN"/>
              </w:rPr>
              <w:t>数量</w:t>
            </w:r>
          </w:p>
        </w:tc>
        <w:tc>
          <w:tcPr>
            <w:tcW w:w="1075" w:type="dxa"/>
            <w:gridSpan w:val="3"/>
            <w:tcBorders>
              <w:top w:val="single" w:color="000000" w:sz="4" w:space="0"/>
              <w:left w:val="single" w:color="auto" w:sz="4" w:space="0"/>
              <w:bottom w:val="single" w:color="000000" w:sz="4" w:space="0"/>
              <w:right w:val="single" w:color="000000" w:sz="4" w:space="0"/>
            </w:tcBorders>
            <w:noWrap w:val="0"/>
            <w:vAlign w:val="center"/>
          </w:tcPr>
          <w:p w14:paraId="7B637175">
            <w:pPr>
              <w:rPr>
                <w:rFonts w:hint="default"/>
                <w:b/>
                <w:color w:val="auto"/>
                <w:sz w:val="24"/>
                <w:lang w:val="en-US" w:eastAsia="zh-CN"/>
              </w:rPr>
            </w:pPr>
            <w:r>
              <w:rPr>
                <w:rFonts w:hint="eastAsia"/>
                <w:b/>
                <w:color w:val="auto"/>
                <w:sz w:val="24"/>
                <w:lang w:val="en-US" w:eastAsia="zh-CN"/>
              </w:rPr>
              <w:t>单位</w:t>
            </w:r>
          </w:p>
        </w:tc>
      </w:tr>
      <w:tr w14:paraId="4B9AB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74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4F1765E5">
            <w:pPr>
              <w:rPr>
                <w:rFonts w:hint="eastAsia"/>
                <w:b w:val="0"/>
                <w:bCs/>
                <w:color w:val="auto"/>
                <w:sz w:val="22"/>
                <w:szCs w:val="21"/>
              </w:rPr>
            </w:pPr>
            <w:r>
              <w:rPr>
                <w:rFonts w:hint="eastAsia"/>
                <w:b w:val="0"/>
                <w:bCs/>
                <w:color w:val="auto"/>
                <w:sz w:val="22"/>
                <w:szCs w:val="21"/>
                <w:lang w:val="en-US" w:eastAsia="zh-CN"/>
              </w:rPr>
              <w:t>1</w:t>
            </w:r>
          </w:p>
        </w:tc>
        <w:tc>
          <w:tcPr>
            <w:tcW w:w="1249" w:type="dxa"/>
            <w:gridSpan w:val="3"/>
            <w:tcBorders>
              <w:top w:val="single" w:color="000000" w:sz="4" w:space="0"/>
              <w:left w:val="single" w:color="000000" w:sz="4" w:space="0"/>
              <w:bottom w:val="single" w:color="000000" w:sz="4" w:space="0"/>
              <w:right w:val="single" w:color="000000" w:sz="4" w:space="0"/>
            </w:tcBorders>
            <w:noWrap w:val="0"/>
            <w:vAlign w:val="center"/>
          </w:tcPr>
          <w:p w14:paraId="0C346904">
            <w:pPr>
              <w:rPr>
                <w:rFonts w:hint="eastAsia"/>
                <w:b w:val="0"/>
                <w:bCs/>
                <w:color w:val="auto"/>
                <w:sz w:val="22"/>
                <w:szCs w:val="21"/>
              </w:rPr>
            </w:pPr>
            <w:r>
              <w:rPr>
                <w:rFonts w:hint="eastAsia"/>
                <w:b w:val="0"/>
                <w:bCs/>
                <w:color w:val="auto"/>
                <w:sz w:val="22"/>
                <w:szCs w:val="21"/>
                <w:lang w:val="en-US" w:eastAsia="zh-CN"/>
              </w:rPr>
              <w:t>椭圆形大办公桌</w:t>
            </w:r>
          </w:p>
        </w:tc>
        <w:tc>
          <w:tcPr>
            <w:tcW w:w="8771" w:type="dxa"/>
            <w:gridSpan w:val="9"/>
            <w:tcBorders>
              <w:top w:val="single" w:color="000000" w:sz="4" w:space="0"/>
              <w:left w:val="single" w:color="000000" w:sz="4" w:space="0"/>
              <w:bottom w:val="single" w:color="000000" w:sz="4" w:space="0"/>
              <w:right w:val="single" w:color="000000" w:sz="4" w:space="0"/>
            </w:tcBorders>
            <w:noWrap w:val="0"/>
            <w:vAlign w:val="center"/>
          </w:tcPr>
          <w:p w14:paraId="16D6589C">
            <w:pPr>
              <w:rPr>
                <w:rFonts w:hint="eastAsia"/>
                <w:b w:val="0"/>
                <w:bCs/>
                <w:color w:val="auto"/>
                <w:sz w:val="22"/>
                <w:szCs w:val="21"/>
              </w:rPr>
            </w:pPr>
            <w:r>
              <w:rPr>
                <w:rFonts w:hint="eastAsia"/>
                <w:b w:val="0"/>
                <w:bCs/>
                <w:color w:val="auto"/>
                <w:sz w:val="22"/>
                <w:szCs w:val="21"/>
                <w:lang w:val="en-US" w:eastAsia="zh-CN"/>
              </w:rPr>
              <w:t>3500*1500*760mm；1.面材：采用实木皮饰面，符合 GB/T 3324-2017《木家具通用技术条件》和 GB 18584-2001</w:t>
            </w:r>
            <w:r>
              <w:rPr>
                <w:rFonts w:hint="eastAsia"/>
                <w:b w:val="0"/>
                <w:bCs/>
                <w:color w:val="auto"/>
                <w:sz w:val="22"/>
                <w:szCs w:val="21"/>
                <w:lang w:val="en-US" w:eastAsia="zh-CN"/>
              </w:rPr>
              <w:br w:type="textWrapping"/>
            </w:r>
            <w:r>
              <w:rPr>
                <w:rFonts w:hint="eastAsia"/>
                <w:b w:val="0"/>
                <w:bCs/>
                <w:color w:val="auto"/>
                <w:sz w:val="22"/>
                <w:szCs w:val="21"/>
                <w:lang w:val="en-US" w:eastAsia="zh-CN"/>
              </w:rPr>
              <w:t>《室内装饰装修材料木家具中有害物质限量》标准，甲醛释放量 0.07mg/L，木材含水率 9.0%。</w:t>
            </w:r>
            <w:r>
              <w:rPr>
                <w:rFonts w:hint="eastAsia"/>
                <w:b w:val="0"/>
                <w:bCs/>
                <w:color w:val="auto"/>
                <w:sz w:val="22"/>
                <w:szCs w:val="21"/>
                <w:lang w:val="en-US" w:eastAsia="zh-CN"/>
              </w:rPr>
              <w:br w:type="textWrapping"/>
            </w:r>
            <w:r>
              <w:rPr>
                <w:rFonts w:hint="eastAsia"/>
                <w:b w:val="0"/>
                <w:bCs/>
                <w:color w:val="auto"/>
                <w:sz w:val="22"/>
                <w:szCs w:val="21"/>
                <w:lang w:val="en-US" w:eastAsia="zh-CN"/>
              </w:rPr>
              <w:t>2.基材：采用 E0 级优质中密度环保纤维板，符合 GB/T11718-2009《中密度纤维板》和</w:t>
            </w:r>
            <w:r>
              <w:rPr>
                <w:rFonts w:hint="eastAsia"/>
                <w:b w:val="0"/>
                <w:bCs/>
                <w:color w:val="auto"/>
                <w:sz w:val="22"/>
                <w:szCs w:val="21"/>
                <w:lang w:val="en-US" w:eastAsia="zh-CN"/>
              </w:rPr>
              <w:br w:type="textWrapping"/>
            </w:r>
            <w:r>
              <w:rPr>
                <w:rFonts w:hint="eastAsia"/>
                <w:b w:val="0"/>
                <w:bCs/>
                <w:color w:val="auto"/>
                <w:sz w:val="22"/>
                <w:szCs w:val="21"/>
                <w:lang w:val="en-US" w:eastAsia="zh-CN"/>
              </w:rPr>
              <w:t>GB 18580-2017《室内装饰装修材料人造板及其制品中甲醛释放量》标准，密度 0.76g/cm³，</w:t>
            </w:r>
            <w:r>
              <w:rPr>
                <w:rFonts w:hint="eastAsia"/>
                <w:b w:val="0"/>
                <w:bCs/>
                <w:color w:val="auto"/>
                <w:sz w:val="22"/>
                <w:szCs w:val="21"/>
                <w:lang w:val="en-US" w:eastAsia="zh-CN"/>
              </w:rPr>
              <w:br w:type="textWrapping"/>
            </w:r>
            <w:r>
              <w:rPr>
                <w:rFonts w:hint="eastAsia"/>
                <w:b w:val="0"/>
                <w:bCs/>
                <w:color w:val="auto"/>
                <w:sz w:val="22"/>
                <w:szCs w:val="21"/>
                <w:lang w:val="en-US" w:eastAsia="zh-CN"/>
              </w:rPr>
              <w:t>含水率 3~13%，静曲强度 37MPa，弹性模量 3320MPa，内结合强度 0.65MPa，吸水厚度膨</w:t>
            </w:r>
            <w:r>
              <w:rPr>
                <w:rFonts w:hint="eastAsia"/>
                <w:b w:val="0"/>
                <w:bCs/>
                <w:color w:val="auto"/>
                <w:sz w:val="22"/>
                <w:szCs w:val="21"/>
                <w:lang w:val="en-US" w:eastAsia="zh-CN"/>
              </w:rPr>
              <w:br w:type="textWrapping"/>
            </w:r>
            <w:r>
              <w:rPr>
                <w:rFonts w:hint="eastAsia"/>
                <w:b w:val="0"/>
                <w:bCs/>
                <w:color w:val="auto"/>
                <w:sz w:val="22"/>
                <w:szCs w:val="21"/>
                <w:lang w:val="en-US" w:eastAsia="zh-CN"/>
              </w:rPr>
              <w:t>胀率 1.8%，表面结合强度 1.08MPa，甲醛释放量 0.019mg/m³。</w:t>
            </w:r>
            <w:r>
              <w:rPr>
                <w:rFonts w:hint="eastAsia"/>
                <w:b w:val="0"/>
                <w:bCs/>
                <w:color w:val="auto"/>
                <w:sz w:val="22"/>
                <w:szCs w:val="21"/>
                <w:lang w:val="en-US" w:eastAsia="zh-CN"/>
              </w:rPr>
              <w:br w:type="textWrapping"/>
            </w:r>
            <w:r>
              <w:rPr>
                <w:rFonts w:hint="eastAsia"/>
                <w:b w:val="0"/>
                <w:bCs/>
                <w:color w:val="auto"/>
                <w:sz w:val="22"/>
                <w:szCs w:val="21"/>
                <w:lang w:val="en-US" w:eastAsia="zh-CN"/>
              </w:rPr>
              <w:t>3.油漆：符合 GB 18581-2009《室内装饰装修材料 溶剂型木器涂料中有害物质限量》挥</w:t>
            </w:r>
            <w:r>
              <w:rPr>
                <w:rFonts w:hint="eastAsia"/>
                <w:b w:val="0"/>
                <w:bCs/>
                <w:color w:val="auto"/>
                <w:sz w:val="22"/>
                <w:szCs w:val="21"/>
                <w:lang w:val="en-US" w:eastAsia="zh-CN"/>
              </w:rPr>
              <w:br w:type="textWrapping"/>
            </w:r>
            <w:r>
              <w:rPr>
                <w:rFonts w:hint="eastAsia"/>
                <w:b w:val="0"/>
                <w:bCs/>
                <w:color w:val="auto"/>
                <w:sz w:val="22"/>
                <w:szCs w:val="21"/>
                <w:lang w:val="en-US" w:eastAsia="zh-CN"/>
              </w:rPr>
              <w:t>发性有机化合物（VOC）含量 563.4g/L，苯：未检出，甲苯、二甲苯、乙苯含量总和：1.7%，</w:t>
            </w:r>
            <w:r>
              <w:rPr>
                <w:rFonts w:hint="eastAsia"/>
                <w:b w:val="0"/>
                <w:bCs/>
                <w:color w:val="auto"/>
                <w:sz w:val="22"/>
                <w:szCs w:val="21"/>
                <w:lang w:val="en-US" w:eastAsia="zh-CN"/>
              </w:rPr>
              <w:br w:type="textWrapping"/>
            </w:r>
            <w:r>
              <w:rPr>
                <w:rFonts w:hint="eastAsia"/>
                <w:b w:val="0"/>
                <w:bCs/>
                <w:color w:val="auto"/>
                <w:sz w:val="22"/>
                <w:szCs w:val="21"/>
                <w:lang w:val="en-US" w:eastAsia="zh-CN"/>
              </w:rPr>
              <w:t>游离二异氰酸酯含量总和：未检出，卤代烃含量：未检出，可溶性重金属含量：铅：1.6mg/kg，</w:t>
            </w:r>
            <w:r>
              <w:rPr>
                <w:rFonts w:hint="eastAsia"/>
                <w:b w:val="0"/>
                <w:bCs/>
                <w:color w:val="auto"/>
                <w:sz w:val="22"/>
                <w:szCs w:val="21"/>
                <w:lang w:val="en-US" w:eastAsia="zh-CN"/>
              </w:rPr>
              <w:br w:type="textWrapping"/>
            </w:r>
            <w:r>
              <w:rPr>
                <w:rFonts w:hint="eastAsia"/>
                <w:b w:val="0"/>
                <w:bCs/>
                <w:color w:val="auto"/>
                <w:sz w:val="22"/>
                <w:szCs w:val="21"/>
                <w:lang w:val="en-US" w:eastAsia="zh-CN"/>
              </w:rPr>
              <w:t>镉：未检出 铬：0.04mg/kg，汞：0.0006mg/kg</w:t>
            </w:r>
            <w:r>
              <w:rPr>
                <w:rFonts w:hint="eastAsia"/>
                <w:b w:val="0"/>
                <w:bCs/>
                <w:color w:val="auto"/>
                <w:sz w:val="22"/>
                <w:szCs w:val="21"/>
                <w:lang w:val="en-US" w:eastAsia="zh-CN"/>
              </w:rPr>
              <w:br w:type="textWrapping"/>
            </w:r>
            <w:r>
              <w:rPr>
                <w:rFonts w:hint="eastAsia"/>
                <w:b w:val="0"/>
                <w:bCs/>
                <w:color w:val="auto"/>
                <w:sz w:val="22"/>
                <w:szCs w:val="21"/>
                <w:lang w:val="en-US" w:eastAsia="zh-CN"/>
              </w:rPr>
              <w:t>4.五金配件：采用优质五金配件；符合 QB/T 3832-1999(2009)《轻工产品金属镀层腐蚀试</w:t>
            </w:r>
            <w:r>
              <w:rPr>
                <w:rFonts w:hint="eastAsia"/>
                <w:b w:val="0"/>
                <w:bCs/>
                <w:color w:val="auto"/>
                <w:sz w:val="22"/>
                <w:szCs w:val="21"/>
                <w:lang w:val="en-US" w:eastAsia="zh-CN"/>
              </w:rPr>
              <w:br w:type="textWrapping"/>
            </w:r>
            <w:r>
              <w:rPr>
                <w:rFonts w:hint="eastAsia"/>
                <w:b w:val="0"/>
                <w:bCs/>
                <w:color w:val="auto"/>
                <w:sz w:val="22"/>
                <w:szCs w:val="21"/>
                <w:lang w:val="en-US" w:eastAsia="zh-CN"/>
              </w:rPr>
              <w:t>验结果的评价》标准，150h 乙酸盐雾试验：耐蚀等级达到 10 级。</w:t>
            </w:r>
            <w:r>
              <w:rPr>
                <w:rFonts w:hint="eastAsia"/>
                <w:b w:val="0"/>
                <w:bCs/>
                <w:color w:val="auto"/>
                <w:sz w:val="22"/>
                <w:szCs w:val="21"/>
                <w:lang w:val="en-US" w:eastAsia="zh-CN"/>
              </w:rPr>
              <w:br w:type="textWrapping"/>
            </w:r>
            <w:r>
              <w:rPr>
                <w:rFonts w:hint="eastAsia"/>
                <w:b w:val="0"/>
                <w:bCs/>
                <w:color w:val="auto"/>
                <w:sz w:val="22"/>
                <w:szCs w:val="21"/>
                <w:lang w:val="en-US" w:eastAsia="zh-CN"/>
              </w:rPr>
              <w:t>5.胶粘剂：白乳胶符合 GB 18583-2008《室内装饰装修材料胶粘剂中有害物质限量》标准，</w:t>
            </w:r>
            <w:r>
              <w:rPr>
                <w:rFonts w:hint="eastAsia"/>
                <w:b w:val="0"/>
                <w:bCs/>
                <w:color w:val="auto"/>
                <w:sz w:val="22"/>
                <w:szCs w:val="21"/>
                <w:lang w:val="en-US" w:eastAsia="zh-CN"/>
              </w:rPr>
              <w:br w:type="textWrapping"/>
            </w:r>
            <w:r>
              <w:rPr>
                <w:rFonts w:hint="eastAsia"/>
                <w:b w:val="0"/>
                <w:bCs/>
                <w:color w:val="auto"/>
                <w:sz w:val="22"/>
                <w:szCs w:val="21"/>
                <w:lang w:val="en-US" w:eastAsia="zh-CN"/>
              </w:rPr>
              <w:t>总挥发性有机物 47.2g/L，苯未检出，甲苯和二甲苯总和未检出，游离甲醛 0.07g/kg。</w:t>
            </w:r>
          </w:p>
        </w:tc>
        <w:tc>
          <w:tcPr>
            <w:tcW w:w="1030" w:type="dxa"/>
            <w:gridSpan w:val="6"/>
            <w:tcBorders>
              <w:top w:val="single" w:color="000000" w:sz="4" w:space="0"/>
              <w:left w:val="single" w:color="000000" w:sz="4" w:space="0"/>
              <w:bottom w:val="single" w:color="000000" w:sz="4" w:space="0"/>
              <w:right w:val="single" w:color="000000" w:sz="4" w:space="0"/>
            </w:tcBorders>
            <w:noWrap w:val="0"/>
            <w:vAlign w:val="center"/>
          </w:tcPr>
          <w:p w14:paraId="52FDCA7C">
            <w:pPr>
              <w:rPr>
                <w:rFonts w:hint="eastAsia"/>
                <w:b w:val="0"/>
                <w:bCs/>
                <w:color w:val="auto"/>
                <w:sz w:val="22"/>
                <w:szCs w:val="21"/>
              </w:rPr>
            </w:pPr>
            <w:r>
              <w:rPr>
                <w:rFonts w:hint="eastAsia"/>
                <w:b w:val="0"/>
                <w:bCs/>
                <w:color w:val="auto"/>
                <w:sz w:val="22"/>
                <w:szCs w:val="21"/>
                <w:lang w:val="en-US" w:eastAsia="zh-CN"/>
              </w:rPr>
              <w:t>1</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0DFC23CA">
            <w:pPr>
              <w:rPr>
                <w:rFonts w:hint="eastAsia"/>
                <w:b w:val="0"/>
                <w:bCs/>
                <w:color w:val="auto"/>
                <w:sz w:val="22"/>
                <w:szCs w:val="21"/>
              </w:rPr>
            </w:pPr>
            <w:r>
              <w:rPr>
                <w:rFonts w:hint="eastAsia"/>
                <w:b w:val="0"/>
                <w:bCs/>
                <w:color w:val="auto"/>
                <w:sz w:val="22"/>
                <w:szCs w:val="21"/>
                <w:lang w:val="en-US" w:eastAsia="zh-CN"/>
              </w:rPr>
              <w:t>张</w:t>
            </w:r>
          </w:p>
        </w:tc>
      </w:tr>
      <w:tr w14:paraId="0AB6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74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7CFC924D">
            <w:pPr>
              <w:rPr>
                <w:rFonts w:hint="eastAsia"/>
                <w:b w:val="0"/>
                <w:bCs/>
                <w:color w:val="auto"/>
                <w:sz w:val="22"/>
                <w:szCs w:val="21"/>
              </w:rPr>
            </w:pPr>
            <w:r>
              <w:rPr>
                <w:rFonts w:hint="eastAsia"/>
                <w:b w:val="0"/>
                <w:bCs/>
                <w:color w:val="auto"/>
                <w:sz w:val="22"/>
                <w:szCs w:val="21"/>
                <w:lang w:val="en-US" w:eastAsia="zh-CN"/>
              </w:rPr>
              <w:t>2</w:t>
            </w:r>
          </w:p>
        </w:tc>
        <w:tc>
          <w:tcPr>
            <w:tcW w:w="1249" w:type="dxa"/>
            <w:gridSpan w:val="3"/>
            <w:tcBorders>
              <w:top w:val="single" w:color="000000" w:sz="4" w:space="0"/>
              <w:left w:val="single" w:color="000000" w:sz="4" w:space="0"/>
              <w:bottom w:val="single" w:color="000000" w:sz="4" w:space="0"/>
              <w:right w:val="single" w:color="000000" w:sz="4" w:space="0"/>
            </w:tcBorders>
            <w:noWrap w:val="0"/>
            <w:vAlign w:val="center"/>
          </w:tcPr>
          <w:p w14:paraId="22A7D18E">
            <w:pPr>
              <w:rPr>
                <w:rFonts w:hint="eastAsia"/>
                <w:b w:val="0"/>
                <w:bCs/>
                <w:color w:val="auto"/>
                <w:sz w:val="22"/>
                <w:szCs w:val="21"/>
              </w:rPr>
            </w:pPr>
            <w:r>
              <w:rPr>
                <w:rFonts w:hint="eastAsia"/>
                <w:b w:val="0"/>
                <w:bCs/>
                <w:color w:val="auto"/>
                <w:sz w:val="22"/>
                <w:szCs w:val="21"/>
                <w:lang w:val="en-US" w:eastAsia="zh-CN"/>
              </w:rPr>
              <w:t>椅子</w:t>
            </w:r>
          </w:p>
        </w:tc>
        <w:tc>
          <w:tcPr>
            <w:tcW w:w="8771" w:type="dxa"/>
            <w:gridSpan w:val="9"/>
            <w:tcBorders>
              <w:top w:val="single" w:color="000000" w:sz="4" w:space="0"/>
              <w:left w:val="single" w:color="000000" w:sz="4" w:space="0"/>
              <w:bottom w:val="single" w:color="000000" w:sz="4" w:space="0"/>
              <w:right w:val="single" w:color="000000" w:sz="4" w:space="0"/>
            </w:tcBorders>
            <w:noWrap w:val="0"/>
            <w:vAlign w:val="center"/>
          </w:tcPr>
          <w:p w14:paraId="3F8F9A7F">
            <w:pPr>
              <w:rPr>
                <w:rFonts w:hint="eastAsia"/>
                <w:b w:val="0"/>
                <w:bCs/>
                <w:color w:val="auto"/>
                <w:sz w:val="22"/>
                <w:szCs w:val="21"/>
              </w:rPr>
            </w:pPr>
            <w:r>
              <w:rPr>
                <w:rFonts w:hint="eastAsia"/>
                <w:b w:val="0"/>
                <w:bCs/>
                <w:color w:val="auto"/>
                <w:sz w:val="22"/>
                <w:szCs w:val="21"/>
                <w:lang w:val="en-US" w:eastAsia="zh-CN"/>
              </w:rPr>
              <w:t>常规；四平八稳,椅身、座板、框架均为棕红色橡木，椅面采用优质西皮，高密度PU气泡海绵。</w:t>
            </w:r>
          </w:p>
        </w:tc>
        <w:tc>
          <w:tcPr>
            <w:tcW w:w="1030" w:type="dxa"/>
            <w:gridSpan w:val="6"/>
            <w:tcBorders>
              <w:top w:val="single" w:color="000000" w:sz="4" w:space="0"/>
              <w:left w:val="single" w:color="000000" w:sz="4" w:space="0"/>
              <w:bottom w:val="single" w:color="000000" w:sz="4" w:space="0"/>
              <w:right w:val="single" w:color="000000" w:sz="4" w:space="0"/>
            </w:tcBorders>
            <w:noWrap w:val="0"/>
            <w:vAlign w:val="center"/>
          </w:tcPr>
          <w:p w14:paraId="49B8A0FD">
            <w:pPr>
              <w:rPr>
                <w:rFonts w:hint="eastAsia"/>
                <w:b w:val="0"/>
                <w:bCs/>
                <w:color w:val="auto"/>
                <w:sz w:val="22"/>
                <w:szCs w:val="21"/>
              </w:rPr>
            </w:pPr>
            <w:r>
              <w:rPr>
                <w:rFonts w:hint="eastAsia"/>
                <w:b w:val="0"/>
                <w:bCs/>
                <w:color w:val="auto"/>
                <w:sz w:val="22"/>
                <w:szCs w:val="21"/>
                <w:lang w:val="en-US" w:eastAsia="zh-CN"/>
              </w:rPr>
              <w:t>12</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2C2AFB12">
            <w:pPr>
              <w:rPr>
                <w:rFonts w:hint="eastAsia"/>
                <w:b w:val="0"/>
                <w:bCs/>
                <w:color w:val="auto"/>
                <w:sz w:val="22"/>
                <w:szCs w:val="21"/>
              </w:rPr>
            </w:pPr>
            <w:r>
              <w:rPr>
                <w:rFonts w:hint="eastAsia"/>
                <w:b w:val="0"/>
                <w:bCs/>
                <w:color w:val="auto"/>
                <w:sz w:val="22"/>
                <w:szCs w:val="21"/>
                <w:lang w:val="en-US" w:eastAsia="zh-CN"/>
              </w:rPr>
              <w:t>把</w:t>
            </w:r>
          </w:p>
        </w:tc>
      </w:tr>
      <w:tr w14:paraId="12E71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74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65A7AF7C">
            <w:pPr>
              <w:rPr>
                <w:rFonts w:hint="eastAsia"/>
                <w:b w:val="0"/>
                <w:bCs/>
                <w:color w:val="auto"/>
                <w:sz w:val="22"/>
                <w:szCs w:val="21"/>
              </w:rPr>
            </w:pPr>
            <w:r>
              <w:rPr>
                <w:rFonts w:hint="eastAsia"/>
                <w:b w:val="0"/>
                <w:bCs/>
                <w:color w:val="auto"/>
                <w:sz w:val="22"/>
                <w:szCs w:val="21"/>
                <w:lang w:val="en-US" w:eastAsia="zh-CN"/>
              </w:rPr>
              <w:t>3</w:t>
            </w:r>
          </w:p>
        </w:tc>
        <w:tc>
          <w:tcPr>
            <w:tcW w:w="1249" w:type="dxa"/>
            <w:gridSpan w:val="3"/>
            <w:tcBorders>
              <w:top w:val="single" w:color="000000" w:sz="4" w:space="0"/>
              <w:left w:val="single" w:color="000000" w:sz="4" w:space="0"/>
              <w:bottom w:val="single" w:color="000000" w:sz="4" w:space="0"/>
              <w:right w:val="single" w:color="000000" w:sz="4" w:space="0"/>
            </w:tcBorders>
            <w:noWrap w:val="0"/>
            <w:vAlign w:val="center"/>
          </w:tcPr>
          <w:p w14:paraId="115A0FCC">
            <w:pPr>
              <w:rPr>
                <w:rFonts w:hint="eastAsia"/>
                <w:b w:val="0"/>
                <w:bCs/>
                <w:color w:val="auto"/>
                <w:sz w:val="22"/>
                <w:szCs w:val="21"/>
              </w:rPr>
            </w:pPr>
            <w:r>
              <w:rPr>
                <w:rFonts w:hint="eastAsia"/>
                <w:b w:val="0"/>
                <w:bCs/>
                <w:color w:val="auto"/>
                <w:sz w:val="22"/>
                <w:szCs w:val="21"/>
                <w:lang w:val="en-US" w:eastAsia="zh-CN"/>
              </w:rPr>
              <w:t>条桌</w:t>
            </w:r>
          </w:p>
        </w:tc>
        <w:tc>
          <w:tcPr>
            <w:tcW w:w="8771" w:type="dxa"/>
            <w:gridSpan w:val="9"/>
            <w:tcBorders>
              <w:top w:val="single" w:color="000000" w:sz="4" w:space="0"/>
              <w:left w:val="single" w:color="000000" w:sz="4" w:space="0"/>
              <w:bottom w:val="single" w:color="000000" w:sz="4" w:space="0"/>
              <w:right w:val="single" w:color="000000" w:sz="4" w:space="0"/>
            </w:tcBorders>
            <w:noWrap w:val="0"/>
            <w:vAlign w:val="center"/>
          </w:tcPr>
          <w:p w14:paraId="1987442E">
            <w:pPr>
              <w:rPr>
                <w:rFonts w:hint="eastAsia"/>
                <w:b w:val="0"/>
                <w:bCs/>
                <w:color w:val="auto"/>
                <w:sz w:val="22"/>
                <w:szCs w:val="21"/>
              </w:rPr>
            </w:pPr>
            <w:r>
              <w:rPr>
                <w:rFonts w:hint="eastAsia"/>
                <w:b w:val="0"/>
                <w:bCs/>
                <w:color w:val="auto"/>
                <w:sz w:val="22"/>
                <w:szCs w:val="21"/>
                <w:lang w:val="en-US" w:eastAsia="zh-CN"/>
              </w:rPr>
              <w:t>1200*400*760mm；1.面材：采用实木皮饰面，符合 GB/T 3324-2017《木家具通用技术条件》和 GB 18584-2001</w:t>
            </w:r>
            <w:r>
              <w:rPr>
                <w:rFonts w:hint="eastAsia"/>
                <w:b w:val="0"/>
                <w:bCs/>
                <w:color w:val="auto"/>
                <w:sz w:val="22"/>
                <w:szCs w:val="21"/>
                <w:lang w:val="en-US" w:eastAsia="zh-CN"/>
              </w:rPr>
              <w:br w:type="textWrapping"/>
            </w:r>
            <w:r>
              <w:rPr>
                <w:rFonts w:hint="eastAsia"/>
                <w:b w:val="0"/>
                <w:bCs/>
                <w:color w:val="auto"/>
                <w:sz w:val="22"/>
                <w:szCs w:val="21"/>
                <w:lang w:val="en-US" w:eastAsia="zh-CN"/>
              </w:rPr>
              <w:t>《室内装饰装修材料木家具中有害物质限量》标准，甲醛释放量 0.07mg/L，木材含水率 9.0%。</w:t>
            </w:r>
            <w:r>
              <w:rPr>
                <w:rFonts w:hint="eastAsia"/>
                <w:b w:val="0"/>
                <w:bCs/>
                <w:color w:val="auto"/>
                <w:sz w:val="22"/>
                <w:szCs w:val="21"/>
                <w:lang w:val="en-US" w:eastAsia="zh-CN"/>
              </w:rPr>
              <w:br w:type="textWrapping"/>
            </w:r>
            <w:r>
              <w:rPr>
                <w:rFonts w:hint="eastAsia"/>
                <w:b w:val="0"/>
                <w:bCs/>
                <w:color w:val="auto"/>
                <w:sz w:val="22"/>
                <w:szCs w:val="21"/>
                <w:lang w:val="en-US" w:eastAsia="zh-CN"/>
              </w:rPr>
              <w:t>2.基材：采用 E0 级优质中密度环保纤维板，符合 GB/T11718-2009《中密度纤维板》和</w:t>
            </w:r>
            <w:r>
              <w:rPr>
                <w:rFonts w:hint="eastAsia"/>
                <w:b w:val="0"/>
                <w:bCs/>
                <w:color w:val="auto"/>
                <w:sz w:val="22"/>
                <w:szCs w:val="21"/>
                <w:lang w:val="en-US" w:eastAsia="zh-CN"/>
              </w:rPr>
              <w:br w:type="textWrapping"/>
            </w:r>
            <w:r>
              <w:rPr>
                <w:rFonts w:hint="eastAsia"/>
                <w:b w:val="0"/>
                <w:bCs/>
                <w:color w:val="auto"/>
                <w:sz w:val="22"/>
                <w:szCs w:val="21"/>
                <w:lang w:val="en-US" w:eastAsia="zh-CN"/>
              </w:rPr>
              <w:t>GB 18580-2017《室内装饰装修材料人造板及其制品中甲醛释放量》标准，密度 0.76g/cm³，</w:t>
            </w:r>
            <w:r>
              <w:rPr>
                <w:rFonts w:hint="eastAsia"/>
                <w:b w:val="0"/>
                <w:bCs/>
                <w:color w:val="auto"/>
                <w:sz w:val="22"/>
                <w:szCs w:val="21"/>
                <w:lang w:val="en-US" w:eastAsia="zh-CN"/>
              </w:rPr>
              <w:br w:type="textWrapping"/>
            </w:r>
            <w:r>
              <w:rPr>
                <w:rFonts w:hint="eastAsia"/>
                <w:b w:val="0"/>
                <w:bCs/>
                <w:color w:val="auto"/>
                <w:sz w:val="22"/>
                <w:szCs w:val="21"/>
                <w:lang w:val="en-US" w:eastAsia="zh-CN"/>
              </w:rPr>
              <w:t>含水率 3~13%，静曲强度 37MPa，弹性模量 3320MPa，内结合强度 0.65MPa，吸水厚度膨</w:t>
            </w:r>
            <w:r>
              <w:rPr>
                <w:rFonts w:hint="eastAsia"/>
                <w:b w:val="0"/>
                <w:bCs/>
                <w:color w:val="auto"/>
                <w:sz w:val="22"/>
                <w:szCs w:val="21"/>
                <w:lang w:val="en-US" w:eastAsia="zh-CN"/>
              </w:rPr>
              <w:br w:type="textWrapping"/>
            </w:r>
            <w:r>
              <w:rPr>
                <w:rFonts w:hint="eastAsia"/>
                <w:b w:val="0"/>
                <w:bCs/>
                <w:color w:val="auto"/>
                <w:sz w:val="22"/>
                <w:szCs w:val="21"/>
                <w:lang w:val="en-US" w:eastAsia="zh-CN"/>
              </w:rPr>
              <w:t>胀率 1.8%，表面结合强度 1.08MPa，甲醛释放量 0.019mg/m³。</w:t>
            </w:r>
            <w:r>
              <w:rPr>
                <w:rFonts w:hint="eastAsia"/>
                <w:b w:val="0"/>
                <w:bCs/>
                <w:color w:val="auto"/>
                <w:sz w:val="22"/>
                <w:szCs w:val="21"/>
                <w:lang w:val="en-US" w:eastAsia="zh-CN"/>
              </w:rPr>
              <w:br w:type="textWrapping"/>
            </w:r>
            <w:r>
              <w:rPr>
                <w:rFonts w:hint="eastAsia"/>
                <w:b w:val="0"/>
                <w:bCs/>
                <w:color w:val="auto"/>
                <w:sz w:val="22"/>
                <w:szCs w:val="21"/>
                <w:lang w:val="en-US" w:eastAsia="zh-CN"/>
              </w:rPr>
              <w:t>3.油漆：符合 GB 18581-2009《室内装饰装修材料 溶剂型木器涂料中有害物质限量》挥</w:t>
            </w:r>
            <w:r>
              <w:rPr>
                <w:rFonts w:hint="eastAsia"/>
                <w:b w:val="0"/>
                <w:bCs/>
                <w:color w:val="auto"/>
                <w:sz w:val="22"/>
                <w:szCs w:val="21"/>
                <w:lang w:val="en-US" w:eastAsia="zh-CN"/>
              </w:rPr>
              <w:br w:type="textWrapping"/>
            </w:r>
            <w:r>
              <w:rPr>
                <w:rFonts w:hint="eastAsia"/>
                <w:b w:val="0"/>
                <w:bCs/>
                <w:color w:val="auto"/>
                <w:sz w:val="22"/>
                <w:szCs w:val="21"/>
                <w:lang w:val="en-US" w:eastAsia="zh-CN"/>
              </w:rPr>
              <w:t>发性有机化合物（VOC）含量 563.4g/L，苯：未检出，甲苯、二甲苯、乙苯含量总和：1.7%，</w:t>
            </w:r>
            <w:r>
              <w:rPr>
                <w:rFonts w:hint="eastAsia"/>
                <w:b w:val="0"/>
                <w:bCs/>
                <w:color w:val="auto"/>
                <w:sz w:val="22"/>
                <w:szCs w:val="21"/>
                <w:lang w:val="en-US" w:eastAsia="zh-CN"/>
              </w:rPr>
              <w:br w:type="textWrapping"/>
            </w:r>
            <w:r>
              <w:rPr>
                <w:rFonts w:hint="eastAsia"/>
                <w:b w:val="0"/>
                <w:bCs/>
                <w:color w:val="auto"/>
                <w:sz w:val="22"/>
                <w:szCs w:val="21"/>
                <w:lang w:val="en-US" w:eastAsia="zh-CN"/>
              </w:rPr>
              <w:t>游离二异氰酸酯含量总和：未检出，卤代烃含量：未检出，可溶性重金属含量：铅：1.6mg/kg，</w:t>
            </w:r>
            <w:r>
              <w:rPr>
                <w:rFonts w:hint="eastAsia"/>
                <w:b w:val="0"/>
                <w:bCs/>
                <w:color w:val="auto"/>
                <w:sz w:val="22"/>
                <w:szCs w:val="21"/>
                <w:lang w:val="en-US" w:eastAsia="zh-CN"/>
              </w:rPr>
              <w:br w:type="textWrapping"/>
            </w:r>
            <w:r>
              <w:rPr>
                <w:rFonts w:hint="eastAsia"/>
                <w:b w:val="0"/>
                <w:bCs/>
                <w:color w:val="auto"/>
                <w:sz w:val="22"/>
                <w:szCs w:val="21"/>
                <w:lang w:val="en-US" w:eastAsia="zh-CN"/>
              </w:rPr>
              <w:t>镉：未检出 铬：0.04mg/kg，汞：0.0006mg/kg</w:t>
            </w:r>
            <w:r>
              <w:rPr>
                <w:rFonts w:hint="eastAsia"/>
                <w:b w:val="0"/>
                <w:bCs/>
                <w:color w:val="auto"/>
                <w:sz w:val="22"/>
                <w:szCs w:val="21"/>
                <w:lang w:val="en-US" w:eastAsia="zh-CN"/>
              </w:rPr>
              <w:br w:type="textWrapping"/>
            </w:r>
            <w:r>
              <w:rPr>
                <w:rFonts w:hint="eastAsia"/>
                <w:b w:val="0"/>
                <w:bCs/>
                <w:color w:val="auto"/>
                <w:sz w:val="22"/>
                <w:szCs w:val="21"/>
                <w:lang w:val="en-US" w:eastAsia="zh-CN"/>
              </w:rPr>
              <w:t>4.五金配件：采用优质五金配件；符合 QB/T 3832-1999(2009)《轻工产品金属镀层腐蚀试</w:t>
            </w:r>
            <w:r>
              <w:rPr>
                <w:rFonts w:hint="eastAsia"/>
                <w:b w:val="0"/>
                <w:bCs/>
                <w:color w:val="auto"/>
                <w:sz w:val="22"/>
                <w:szCs w:val="21"/>
                <w:lang w:val="en-US" w:eastAsia="zh-CN"/>
              </w:rPr>
              <w:br w:type="textWrapping"/>
            </w:r>
            <w:r>
              <w:rPr>
                <w:rFonts w:hint="eastAsia"/>
                <w:b w:val="0"/>
                <w:bCs/>
                <w:color w:val="auto"/>
                <w:sz w:val="22"/>
                <w:szCs w:val="21"/>
                <w:lang w:val="en-US" w:eastAsia="zh-CN"/>
              </w:rPr>
              <w:t>验结果的评价》标准，150h 乙酸盐雾试验：耐蚀等级达到 10 级。</w:t>
            </w:r>
            <w:r>
              <w:rPr>
                <w:rFonts w:hint="eastAsia"/>
                <w:b w:val="0"/>
                <w:bCs/>
                <w:color w:val="auto"/>
                <w:sz w:val="22"/>
                <w:szCs w:val="21"/>
                <w:lang w:val="en-US" w:eastAsia="zh-CN"/>
              </w:rPr>
              <w:br w:type="textWrapping"/>
            </w:r>
            <w:r>
              <w:rPr>
                <w:rFonts w:hint="eastAsia"/>
                <w:b w:val="0"/>
                <w:bCs/>
                <w:color w:val="auto"/>
                <w:sz w:val="22"/>
                <w:szCs w:val="21"/>
                <w:lang w:val="en-US" w:eastAsia="zh-CN"/>
              </w:rPr>
              <w:t>5.胶粘剂：白乳胶符合 GB 18583-2008《室内装饰装修材料胶粘剂中有害物质限量》标准，</w:t>
            </w:r>
            <w:r>
              <w:rPr>
                <w:rFonts w:hint="eastAsia"/>
                <w:b w:val="0"/>
                <w:bCs/>
                <w:color w:val="auto"/>
                <w:sz w:val="22"/>
                <w:szCs w:val="21"/>
                <w:lang w:val="en-US" w:eastAsia="zh-CN"/>
              </w:rPr>
              <w:br w:type="textWrapping"/>
            </w:r>
            <w:r>
              <w:rPr>
                <w:rFonts w:hint="eastAsia"/>
                <w:b w:val="0"/>
                <w:bCs/>
                <w:color w:val="auto"/>
                <w:sz w:val="22"/>
                <w:szCs w:val="21"/>
                <w:lang w:val="en-US" w:eastAsia="zh-CN"/>
              </w:rPr>
              <w:t>总挥发性有机物 47.2g/L，苯未检出，甲苯和二甲苯总和未检出，游离甲醛 0.07g/kg。</w:t>
            </w:r>
          </w:p>
        </w:tc>
        <w:tc>
          <w:tcPr>
            <w:tcW w:w="1030" w:type="dxa"/>
            <w:gridSpan w:val="6"/>
            <w:tcBorders>
              <w:top w:val="single" w:color="000000" w:sz="4" w:space="0"/>
              <w:left w:val="single" w:color="000000" w:sz="4" w:space="0"/>
              <w:bottom w:val="single" w:color="000000" w:sz="4" w:space="0"/>
              <w:right w:val="single" w:color="000000" w:sz="4" w:space="0"/>
            </w:tcBorders>
            <w:noWrap w:val="0"/>
            <w:vAlign w:val="center"/>
          </w:tcPr>
          <w:p w14:paraId="05B62510">
            <w:pPr>
              <w:rPr>
                <w:rFonts w:hint="eastAsia"/>
                <w:b w:val="0"/>
                <w:bCs/>
                <w:color w:val="auto"/>
                <w:sz w:val="22"/>
                <w:szCs w:val="21"/>
              </w:rPr>
            </w:pPr>
            <w:r>
              <w:rPr>
                <w:rFonts w:hint="eastAsia"/>
                <w:b w:val="0"/>
                <w:bCs/>
                <w:color w:val="auto"/>
                <w:sz w:val="22"/>
                <w:szCs w:val="21"/>
                <w:lang w:val="en-US" w:eastAsia="zh-CN"/>
              </w:rPr>
              <w:t>10</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51DCABE9">
            <w:pPr>
              <w:rPr>
                <w:rFonts w:hint="eastAsia"/>
                <w:b w:val="0"/>
                <w:bCs/>
                <w:color w:val="auto"/>
                <w:sz w:val="22"/>
                <w:szCs w:val="21"/>
              </w:rPr>
            </w:pPr>
            <w:r>
              <w:rPr>
                <w:rFonts w:hint="eastAsia"/>
                <w:b w:val="0"/>
                <w:bCs/>
                <w:color w:val="auto"/>
                <w:sz w:val="22"/>
                <w:szCs w:val="21"/>
                <w:lang w:val="en-US" w:eastAsia="zh-CN"/>
              </w:rPr>
              <w:t>张</w:t>
            </w:r>
          </w:p>
        </w:tc>
      </w:tr>
      <w:tr w14:paraId="7AC4E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74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1BB55374">
            <w:pPr>
              <w:rPr>
                <w:rFonts w:hint="eastAsia"/>
                <w:b w:val="0"/>
                <w:bCs/>
                <w:color w:val="auto"/>
                <w:sz w:val="22"/>
                <w:szCs w:val="21"/>
              </w:rPr>
            </w:pPr>
            <w:r>
              <w:rPr>
                <w:rFonts w:hint="eastAsia"/>
                <w:b w:val="0"/>
                <w:bCs/>
                <w:color w:val="auto"/>
                <w:sz w:val="22"/>
                <w:szCs w:val="21"/>
                <w:lang w:val="en-US" w:eastAsia="zh-CN"/>
              </w:rPr>
              <w:t>4</w:t>
            </w:r>
          </w:p>
        </w:tc>
        <w:tc>
          <w:tcPr>
            <w:tcW w:w="1249" w:type="dxa"/>
            <w:gridSpan w:val="3"/>
            <w:tcBorders>
              <w:top w:val="single" w:color="000000" w:sz="4" w:space="0"/>
              <w:left w:val="single" w:color="000000" w:sz="4" w:space="0"/>
              <w:bottom w:val="single" w:color="000000" w:sz="4" w:space="0"/>
              <w:right w:val="single" w:color="000000" w:sz="4" w:space="0"/>
            </w:tcBorders>
            <w:noWrap w:val="0"/>
            <w:vAlign w:val="center"/>
          </w:tcPr>
          <w:p w14:paraId="2F68CD09">
            <w:pPr>
              <w:rPr>
                <w:rFonts w:hint="eastAsia"/>
                <w:b w:val="0"/>
                <w:bCs/>
                <w:color w:val="auto"/>
                <w:sz w:val="22"/>
                <w:szCs w:val="21"/>
              </w:rPr>
            </w:pPr>
            <w:r>
              <w:rPr>
                <w:rFonts w:hint="eastAsia"/>
                <w:b w:val="0"/>
                <w:bCs/>
                <w:color w:val="auto"/>
                <w:sz w:val="22"/>
                <w:szCs w:val="21"/>
                <w:lang w:val="en-US" w:eastAsia="zh-CN"/>
              </w:rPr>
              <w:t>椅子</w:t>
            </w:r>
          </w:p>
        </w:tc>
        <w:tc>
          <w:tcPr>
            <w:tcW w:w="8771" w:type="dxa"/>
            <w:gridSpan w:val="9"/>
            <w:tcBorders>
              <w:top w:val="single" w:color="000000" w:sz="4" w:space="0"/>
              <w:left w:val="single" w:color="000000" w:sz="4" w:space="0"/>
              <w:bottom w:val="single" w:color="000000" w:sz="4" w:space="0"/>
              <w:right w:val="single" w:color="000000" w:sz="4" w:space="0"/>
            </w:tcBorders>
            <w:noWrap w:val="0"/>
            <w:vAlign w:val="center"/>
          </w:tcPr>
          <w:p w14:paraId="03DB4159">
            <w:pPr>
              <w:rPr>
                <w:rFonts w:hint="eastAsia"/>
                <w:b w:val="0"/>
                <w:bCs/>
                <w:color w:val="auto"/>
                <w:sz w:val="22"/>
                <w:szCs w:val="21"/>
              </w:rPr>
            </w:pPr>
            <w:r>
              <w:rPr>
                <w:rFonts w:hint="eastAsia"/>
                <w:b w:val="0"/>
                <w:bCs/>
                <w:color w:val="auto"/>
                <w:sz w:val="22"/>
                <w:szCs w:val="21"/>
                <w:lang w:val="en-US" w:eastAsia="zh-CN"/>
              </w:rPr>
              <w:t>常规；四平八稳,椅身、座板、框架均为棕红色橡木，椅面采用优质西皮，高密度PU气泡海绵。</w:t>
            </w:r>
          </w:p>
        </w:tc>
        <w:tc>
          <w:tcPr>
            <w:tcW w:w="1030" w:type="dxa"/>
            <w:gridSpan w:val="6"/>
            <w:tcBorders>
              <w:top w:val="single" w:color="000000" w:sz="4" w:space="0"/>
              <w:left w:val="single" w:color="000000" w:sz="4" w:space="0"/>
              <w:bottom w:val="single" w:color="000000" w:sz="4" w:space="0"/>
              <w:right w:val="single" w:color="000000" w:sz="4" w:space="0"/>
            </w:tcBorders>
            <w:noWrap w:val="0"/>
            <w:vAlign w:val="center"/>
          </w:tcPr>
          <w:p w14:paraId="51444C73">
            <w:pPr>
              <w:rPr>
                <w:rFonts w:hint="eastAsia"/>
                <w:b w:val="0"/>
                <w:bCs/>
                <w:color w:val="auto"/>
                <w:sz w:val="22"/>
                <w:szCs w:val="21"/>
              </w:rPr>
            </w:pPr>
            <w:r>
              <w:rPr>
                <w:rFonts w:hint="eastAsia"/>
                <w:b w:val="0"/>
                <w:bCs/>
                <w:color w:val="auto"/>
                <w:sz w:val="22"/>
                <w:szCs w:val="21"/>
                <w:lang w:val="en-US" w:eastAsia="zh-CN"/>
              </w:rPr>
              <w:t>20</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38DB9F07">
            <w:pPr>
              <w:rPr>
                <w:rFonts w:hint="eastAsia"/>
                <w:b w:val="0"/>
                <w:bCs/>
                <w:color w:val="auto"/>
                <w:sz w:val="22"/>
                <w:szCs w:val="21"/>
              </w:rPr>
            </w:pPr>
            <w:r>
              <w:rPr>
                <w:rFonts w:hint="eastAsia"/>
                <w:b w:val="0"/>
                <w:bCs/>
                <w:color w:val="auto"/>
                <w:sz w:val="22"/>
                <w:szCs w:val="21"/>
                <w:lang w:val="en-US" w:eastAsia="zh-CN"/>
              </w:rPr>
              <w:t>根</w:t>
            </w:r>
          </w:p>
        </w:tc>
      </w:tr>
      <w:tr w14:paraId="00450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74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27A64176">
            <w:pPr>
              <w:rPr>
                <w:rFonts w:hint="eastAsia"/>
                <w:b w:val="0"/>
                <w:bCs/>
                <w:color w:val="auto"/>
                <w:sz w:val="22"/>
                <w:szCs w:val="21"/>
              </w:rPr>
            </w:pPr>
            <w:r>
              <w:rPr>
                <w:rFonts w:hint="eastAsia"/>
                <w:b w:val="0"/>
                <w:bCs/>
                <w:color w:val="auto"/>
                <w:sz w:val="22"/>
                <w:szCs w:val="21"/>
                <w:lang w:val="en-US" w:eastAsia="zh-CN"/>
              </w:rPr>
              <w:t>5</w:t>
            </w:r>
          </w:p>
        </w:tc>
        <w:tc>
          <w:tcPr>
            <w:tcW w:w="1249" w:type="dxa"/>
            <w:gridSpan w:val="3"/>
            <w:tcBorders>
              <w:top w:val="single" w:color="000000" w:sz="4" w:space="0"/>
              <w:left w:val="single" w:color="000000" w:sz="4" w:space="0"/>
              <w:bottom w:val="single" w:color="000000" w:sz="4" w:space="0"/>
              <w:right w:val="single" w:color="000000" w:sz="4" w:space="0"/>
            </w:tcBorders>
            <w:noWrap w:val="0"/>
            <w:vAlign w:val="center"/>
          </w:tcPr>
          <w:p w14:paraId="00269737">
            <w:pPr>
              <w:rPr>
                <w:rFonts w:hint="eastAsia"/>
                <w:b w:val="0"/>
                <w:bCs/>
                <w:color w:val="auto"/>
                <w:sz w:val="22"/>
                <w:szCs w:val="21"/>
              </w:rPr>
            </w:pPr>
            <w:r>
              <w:rPr>
                <w:rFonts w:hint="eastAsia"/>
                <w:b w:val="0"/>
                <w:bCs/>
                <w:color w:val="auto"/>
                <w:sz w:val="22"/>
                <w:szCs w:val="21"/>
                <w:lang w:val="en-US" w:eastAsia="zh-CN"/>
              </w:rPr>
              <w:t>大三匹柜式空调</w:t>
            </w:r>
          </w:p>
        </w:tc>
        <w:tc>
          <w:tcPr>
            <w:tcW w:w="8771" w:type="dxa"/>
            <w:gridSpan w:val="9"/>
            <w:tcBorders>
              <w:top w:val="single" w:color="000000" w:sz="4" w:space="0"/>
              <w:left w:val="single" w:color="000000" w:sz="4" w:space="0"/>
              <w:bottom w:val="single" w:color="000000" w:sz="4" w:space="0"/>
              <w:right w:val="single" w:color="000000" w:sz="4" w:space="0"/>
            </w:tcBorders>
            <w:noWrap w:val="0"/>
            <w:vAlign w:val="center"/>
          </w:tcPr>
          <w:p w14:paraId="0FADA353">
            <w:pPr>
              <w:rPr>
                <w:rFonts w:hint="eastAsia"/>
                <w:b w:val="0"/>
                <w:bCs/>
                <w:color w:val="auto"/>
                <w:sz w:val="22"/>
                <w:szCs w:val="21"/>
              </w:rPr>
            </w:pPr>
            <w:r>
              <w:rPr>
                <w:rFonts w:hint="eastAsia"/>
                <w:b w:val="0"/>
                <w:bCs/>
                <w:color w:val="auto"/>
                <w:sz w:val="22"/>
                <w:szCs w:val="21"/>
                <w:lang w:val="en-US" w:eastAsia="zh-CN"/>
              </w:rPr>
              <w:t>KFR-72LW/BDN8Y-PA401(3)A</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颜色 白色 </w:t>
            </w:r>
            <w:r>
              <w:rPr>
                <w:rFonts w:hint="eastAsia"/>
                <w:b w:val="0"/>
                <w:bCs/>
                <w:color w:val="auto"/>
                <w:sz w:val="22"/>
                <w:szCs w:val="21"/>
                <w:lang w:val="en-US" w:eastAsia="zh-CN"/>
              </w:rPr>
              <w:br w:type="textWrapping"/>
            </w:r>
            <w:r>
              <w:rPr>
                <w:rFonts w:hint="eastAsia"/>
                <w:b w:val="0"/>
                <w:bCs/>
                <w:color w:val="auto"/>
                <w:sz w:val="22"/>
                <w:szCs w:val="21"/>
                <w:lang w:val="en-US" w:eastAsia="zh-CN"/>
              </w:rPr>
              <w:t>能效信息</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控制方式 遥控式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能力名称 制冷量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能力数值 7290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能力单位 W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能效等级 三级(2019版)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电源电压 220V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电源频率 50Hz </w:t>
            </w:r>
            <w:r>
              <w:rPr>
                <w:rFonts w:hint="eastAsia"/>
                <w:b w:val="0"/>
                <w:bCs/>
                <w:color w:val="auto"/>
                <w:sz w:val="22"/>
                <w:szCs w:val="21"/>
                <w:lang w:val="en-US" w:eastAsia="zh-CN"/>
              </w:rPr>
              <w:br w:type="textWrapping"/>
            </w:r>
            <w:r>
              <w:rPr>
                <w:rFonts w:hint="eastAsia"/>
                <w:b w:val="0"/>
                <w:bCs/>
                <w:color w:val="auto"/>
                <w:sz w:val="22"/>
                <w:szCs w:val="21"/>
                <w:lang w:val="en-US" w:eastAsia="zh-CN"/>
              </w:rPr>
              <w:t>变频/定频 变频</w:t>
            </w:r>
            <w:r>
              <w:rPr>
                <w:rFonts w:hint="eastAsia"/>
                <w:b w:val="0"/>
                <w:bCs/>
                <w:color w:val="auto"/>
                <w:sz w:val="22"/>
                <w:szCs w:val="21"/>
                <w:lang w:val="en-US" w:eastAsia="zh-CN"/>
              </w:rPr>
              <w:br w:type="textWrapping"/>
            </w:r>
            <w:r>
              <w:rPr>
                <w:rFonts w:hint="eastAsia"/>
                <w:b w:val="0"/>
                <w:bCs/>
                <w:color w:val="auto"/>
                <w:sz w:val="22"/>
                <w:szCs w:val="21"/>
                <w:lang w:val="en-US" w:eastAsia="zh-CN"/>
              </w:rPr>
              <w:t>内机规格信息</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包装尺寸(mm) 长510*宽315*高1750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包装体积(m3) 0.464820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机身尺寸(mm) 长510*宽315*高1750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机身体积(m3) 0.281138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净重(Kg) 36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毛重 (Kg) 44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包装数量 1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堆码层数极限 9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装修规格 纸箱包装 </w:t>
            </w:r>
            <w:r>
              <w:rPr>
                <w:rFonts w:hint="eastAsia"/>
                <w:b w:val="0"/>
                <w:bCs/>
                <w:color w:val="auto"/>
                <w:sz w:val="22"/>
                <w:szCs w:val="21"/>
                <w:lang w:val="en-US" w:eastAsia="zh-CN"/>
              </w:rPr>
              <w:br w:type="textWrapping"/>
            </w:r>
            <w:r>
              <w:rPr>
                <w:rFonts w:hint="eastAsia"/>
                <w:b w:val="0"/>
                <w:bCs/>
                <w:color w:val="auto"/>
                <w:sz w:val="22"/>
                <w:szCs w:val="21"/>
                <w:lang w:val="en-US" w:eastAsia="zh-CN"/>
              </w:rPr>
              <w:t>外机规格信息</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包装尺寸(mm) 长890*宽342*高673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包装体积(m3) 0.33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机身尺寸(mm) 长890*宽342*高673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机身体积(m3) 0.204848 </w:t>
            </w:r>
            <w:r>
              <w:rPr>
                <w:rFonts w:hint="eastAsia"/>
                <w:b w:val="0"/>
                <w:bCs/>
                <w:color w:val="auto"/>
                <w:sz w:val="22"/>
                <w:szCs w:val="21"/>
                <w:lang w:val="en-US" w:eastAsia="zh-CN"/>
              </w:rPr>
              <w:br w:type="textWrapping"/>
            </w:r>
            <w:r>
              <w:rPr>
                <w:rFonts w:hint="eastAsia"/>
                <w:b w:val="0"/>
                <w:bCs/>
                <w:color w:val="auto"/>
                <w:sz w:val="22"/>
                <w:szCs w:val="21"/>
                <w:lang w:val="en-US" w:eastAsia="zh-CN"/>
              </w:rPr>
              <w:t>净重(Kg) 40</w:t>
            </w:r>
          </w:p>
        </w:tc>
        <w:tc>
          <w:tcPr>
            <w:tcW w:w="1030" w:type="dxa"/>
            <w:gridSpan w:val="6"/>
            <w:tcBorders>
              <w:top w:val="single" w:color="000000" w:sz="4" w:space="0"/>
              <w:left w:val="single" w:color="000000" w:sz="4" w:space="0"/>
              <w:bottom w:val="single" w:color="000000" w:sz="4" w:space="0"/>
              <w:right w:val="single" w:color="000000" w:sz="4" w:space="0"/>
            </w:tcBorders>
            <w:noWrap w:val="0"/>
            <w:vAlign w:val="center"/>
          </w:tcPr>
          <w:p w14:paraId="60FEA2CA">
            <w:pPr>
              <w:rPr>
                <w:rFonts w:hint="eastAsia"/>
                <w:b w:val="0"/>
                <w:bCs/>
                <w:color w:val="auto"/>
                <w:sz w:val="22"/>
                <w:szCs w:val="21"/>
              </w:rPr>
            </w:pPr>
            <w:r>
              <w:rPr>
                <w:rFonts w:hint="eastAsia"/>
                <w:b w:val="0"/>
                <w:bCs/>
                <w:color w:val="auto"/>
                <w:sz w:val="22"/>
                <w:szCs w:val="21"/>
                <w:lang w:val="en-US" w:eastAsia="zh-CN"/>
              </w:rPr>
              <w:t>2</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3362797B">
            <w:pPr>
              <w:rPr>
                <w:rFonts w:hint="eastAsia"/>
                <w:b w:val="0"/>
                <w:bCs/>
                <w:color w:val="auto"/>
                <w:sz w:val="22"/>
                <w:szCs w:val="21"/>
              </w:rPr>
            </w:pPr>
            <w:r>
              <w:rPr>
                <w:rFonts w:hint="eastAsia"/>
                <w:b w:val="0"/>
                <w:bCs/>
                <w:color w:val="auto"/>
                <w:sz w:val="22"/>
                <w:szCs w:val="21"/>
                <w:lang w:val="en-US" w:eastAsia="zh-CN"/>
              </w:rPr>
              <w:t>台</w:t>
            </w:r>
          </w:p>
        </w:tc>
      </w:tr>
      <w:tr w14:paraId="4163F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74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4F5667A4">
            <w:pPr>
              <w:rPr>
                <w:rFonts w:hint="eastAsia"/>
                <w:b w:val="0"/>
                <w:bCs/>
                <w:color w:val="auto"/>
                <w:sz w:val="22"/>
                <w:szCs w:val="21"/>
              </w:rPr>
            </w:pPr>
            <w:r>
              <w:rPr>
                <w:rFonts w:hint="eastAsia"/>
                <w:b w:val="0"/>
                <w:bCs/>
                <w:color w:val="auto"/>
                <w:sz w:val="22"/>
                <w:szCs w:val="21"/>
                <w:lang w:val="en-US" w:eastAsia="zh-CN"/>
              </w:rPr>
              <w:t>6</w:t>
            </w:r>
          </w:p>
        </w:tc>
        <w:tc>
          <w:tcPr>
            <w:tcW w:w="1249" w:type="dxa"/>
            <w:gridSpan w:val="3"/>
            <w:tcBorders>
              <w:top w:val="single" w:color="000000" w:sz="4" w:space="0"/>
              <w:left w:val="single" w:color="000000" w:sz="4" w:space="0"/>
              <w:bottom w:val="single" w:color="000000" w:sz="4" w:space="0"/>
              <w:right w:val="single" w:color="000000" w:sz="4" w:space="0"/>
            </w:tcBorders>
            <w:noWrap w:val="0"/>
            <w:vAlign w:val="center"/>
          </w:tcPr>
          <w:p w14:paraId="7149CE3F">
            <w:pPr>
              <w:rPr>
                <w:rFonts w:hint="eastAsia"/>
                <w:b w:val="0"/>
                <w:bCs/>
                <w:color w:val="auto"/>
                <w:sz w:val="22"/>
                <w:szCs w:val="21"/>
              </w:rPr>
            </w:pPr>
            <w:r>
              <w:rPr>
                <w:rFonts w:hint="eastAsia"/>
                <w:b w:val="0"/>
                <w:bCs/>
                <w:color w:val="auto"/>
                <w:sz w:val="22"/>
                <w:szCs w:val="21"/>
                <w:lang w:val="en-US" w:eastAsia="zh-CN"/>
              </w:rPr>
              <w:t>茶吧机</w:t>
            </w:r>
          </w:p>
        </w:tc>
        <w:tc>
          <w:tcPr>
            <w:tcW w:w="8771" w:type="dxa"/>
            <w:gridSpan w:val="9"/>
            <w:tcBorders>
              <w:top w:val="single" w:color="000000" w:sz="4" w:space="0"/>
              <w:left w:val="single" w:color="000000" w:sz="4" w:space="0"/>
              <w:bottom w:val="single" w:color="000000" w:sz="4" w:space="0"/>
              <w:right w:val="single" w:color="000000" w:sz="4" w:space="0"/>
            </w:tcBorders>
            <w:noWrap w:val="0"/>
            <w:vAlign w:val="center"/>
          </w:tcPr>
          <w:p w14:paraId="58EC4EDE">
            <w:pPr>
              <w:rPr>
                <w:rFonts w:hint="eastAsia"/>
                <w:b w:val="0"/>
                <w:bCs/>
                <w:color w:val="auto"/>
                <w:sz w:val="22"/>
                <w:szCs w:val="21"/>
              </w:rPr>
            </w:pPr>
            <w:r>
              <w:rPr>
                <w:rFonts w:hint="eastAsia"/>
                <w:b w:val="0"/>
                <w:bCs/>
                <w:color w:val="auto"/>
                <w:sz w:val="22"/>
                <w:szCs w:val="21"/>
                <w:lang w:val="en-US" w:eastAsia="zh-CN"/>
              </w:rPr>
              <w:t xml:space="preserve">颜色 奶白咖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产品型号 YCR-2366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额定功率(W) 1350 </w:t>
            </w:r>
            <w:r>
              <w:rPr>
                <w:rFonts w:hint="eastAsia"/>
                <w:b w:val="0"/>
                <w:bCs/>
                <w:color w:val="auto"/>
                <w:sz w:val="22"/>
                <w:szCs w:val="21"/>
                <w:lang w:val="en-US" w:eastAsia="zh-CN"/>
              </w:rPr>
              <w:br w:type="textWrapping"/>
            </w:r>
            <w:r>
              <w:rPr>
                <w:rFonts w:hint="eastAsia"/>
                <w:b w:val="0"/>
                <w:bCs/>
                <w:color w:val="auto"/>
                <w:sz w:val="22"/>
                <w:szCs w:val="21"/>
                <w:lang w:val="en-US" w:eastAsia="zh-CN"/>
              </w:rPr>
              <w:t>包装信息</w:t>
            </w:r>
            <w:r>
              <w:rPr>
                <w:rFonts w:hint="eastAsia"/>
                <w:b w:val="0"/>
                <w:bCs/>
                <w:color w:val="auto"/>
                <w:sz w:val="22"/>
                <w:szCs w:val="21"/>
                <w:lang w:val="en-US" w:eastAsia="zh-CN"/>
              </w:rPr>
              <w:br w:type="textWrapping"/>
            </w:r>
            <w:r>
              <w:rPr>
                <w:rFonts w:hint="eastAsia"/>
                <w:b w:val="0"/>
                <w:bCs/>
                <w:color w:val="auto"/>
                <w:sz w:val="22"/>
                <w:szCs w:val="21"/>
                <w:lang w:val="en-US" w:eastAsia="zh-CN"/>
              </w:rPr>
              <w:t>饮水机</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产品尺寸(mm): 长320x宽332x高1016产品净重(kg): 8.2 </w:t>
            </w:r>
            <w:r>
              <w:rPr>
                <w:rFonts w:hint="eastAsia"/>
                <w:b w:val="0"/>
                <w:bCs/>
                <w:color w:val="auto"/>
                <w:sz w:val="22"/>
                <w:szCs w:val="21"/>
                <w:lang w:val="en-US" w:eastAsia="zh-CN"/>
              </w:rPr>
              <w:br w:type="textWrapping"/>
            </w:r>
            <w:r>
              <w:rPr>
                <w:rFonts w:hint="eastAsia"/>
                <w:b w:val="0"/>
                <w:bCs/>
                <w:color w:val="auto"/>
                <w:sz w:val="22"/>
                <w:szCs w:val="21"/>
                <w:lang w:val="en-US" w:eastAsia="zh-CN"/>
              </w:rPr>
              <w:t>包装尺寸(mm): 长415x宽399x高816包装重量(kg): 9.85</w:t>
            </w:r>
            <w:r>
              <w:rPr>
                <w:rFonts w:hint="eastAsia"/>
                <w:b w:val="0"/>
                <w:bCs/>
                <w:color w:val="auto"/>
                <w:sz w:val="22"/>
                <w:szCs w:val="21"/>
                <w:lang w:val="en-US" w:eastAsia="zh-CN"/>
              </w:rPr>
              <w:br w:type="textWrapping"/>
            </w:r>
            <w:r>
              <w:rPr>
                <w:rFonts w:hint="eastAsia"/>
                <w:b w:val="0"/>
                <w:bCs/>
                <w:color w:val="auto"/>
                <w:sz w:val="22"/>
                <w:szCs w:val="21"/>
                <w:lang w:val="en-US" w:eastAsia="zh-CN"/>
              </w:rPr>
              <w:t>1.高原模式</w:t>
            </w:r>
            <w:r>
              <w:rPr>
                <w:rFonts w:hint="eastAsia"/>
                <w:b w:val="0"/>
                <w:bCs/>
                <w:color w:val="auto"/>
                <w:sz w:val="22"/>
                <w:szCs w:val="21"/>
                <w:lang w:val="en-US" w:eastAsia="zh-CN"/>
              </w:rPr>
              <w:br w:type="textWrapping"/>
            </w:r>
            <w:r>
              <w:rPr>
                <w:rFonts w:hint="eastAsia"/>
                <w:b w:val="0"/>
                <w:bCs/>
                <w:color w:val="auto"/>
                <w:sz w:val="22"/>
                <w:szCs w:val="21"/>
                <w:lang w:val="en-US" w:eastAsia="zh-CN"/>
              </w:rPr>
              <w:t>2.五档调温</w:t>
            </w:r>
            <w:r>
              <w:rPr>
                <w:rFonts w:hint="eastAsia"/>
                <w:b w:val="0"/>
                <w:bCs/>
                <w:color w:val="auto"/>
                <w:sz w:val="22"/>
                <w:szCs w:val="21"/>
                <w:lang w:val="en-US" w:eastAsia="zh-CN"/>
              </w:rPr>
              <w:br w:type="textWrapping"/>
            </w:r>
            <w:r>
              <w:rPr>
                <w:rFonts w:hint="eastAsia"/>
                <w:b w:val="0"/>
                <w:bCs/>
                <w:color w:val="auto"/>
                <w:sz w:val="22"/>
                <w:szCs w:val="21"/>
                <w:lang w:val="en-US" w:eastAsia="zh-CN"/>
              </w:rPr>
              <w:t>3.家居融合</w:t>
            </w:r>
            <w:r>
              <w:rPr>
                <w:rFonts w:hint="eastAsia"/>
                <w:b w:val="0"/>
                <w:bCs/>
                <w:color w:val="auto"/>
                <w:sz w:val="22"/>
                <w:szCs w:val="21"/>
                <w:lang w:val="en-US" w:eastAsia="zh-CN"/>
              </w:rPr>
              <w:br w:type="textWrapping"/>
            </w:r>
            <w:r>
              <w:rPr>
                <w:rFonts w:hint="eastAsia"/>
                <w:b w:val="0"/>
                <w:bCs/>
                <w:color w:val="auto"/>
                <w:sz w:val="22"/>
                <w:szCs w:val="21"/>
                <w:lang w:val="en-US" w:eastAsia="zh-CN"/>
              </w:rPr>
              <w:t>4.100℃真沸腾</w:t>
            </w:r>
            <w:r>
              <w:rPr>
                <w:rFonts w:hint="eastAsia"/>
                <w:b w:val="0"/>
                <w:bCs/>
                <w:color w:val="auto"/>
                <w:sz w:val="22"/>
                <w:szCs w:val="21"/>
                <w:lang w:val="en-US" w:eastAsia="zh-CN"/>
              </w:rPr>
              <w:br w:type="textWrapping"/>
            </w:r>
            <w:r>
              <w:rPr>
                <w:rFonts w:hint="eastAsia"/>
                <w:b w:val="0"/>
                <w:bCs/>
                <w:color w:val="auto"/>
                <w:sz w:val="22"/>
                <w:szCs w:val="21"/>
                <w:lang w:val="en-US" w:eastAsia="zh-CN"/>
              </w:rPr>
              <w:t>5.55℃保温</w:t>
            </w:r>
          </w:p>
        </w:tc>
        <w:tc>
          <w:tcPr>
            <w:tcW w:w="1030" w:type="dxa"/>
            <w:gridSpan w:val="6"/>
            <w:tcBorders>
              <w:top w:val="single" w:color="000000" w:sz="4" w:space="0"/>
              <w:left w:val="single" w:color="000000" w:sz="4" w:space="0"/>
              <w:bottom w:val="single" w:color="000000" w:sz="4" w:space="0"/>
              <w:right w:val="single" w:color="000000" w:sz="4" w:space="0"/>
            </w:tcBorders>
            <w:noWrap w:val="0"/>
            <w:vAlign w:val="center"/>
          </w:tcPr>
          <w:p w14:paraId="3ECAA7A3">
            <w:pPr>
              <w:rPr>
                <w:rFonts w:hint="eastAsia"/>
                <w:b w:val="0"/>
                <w:bCs/>
                <w:color w:val="auto"/>
                <w:sz w:val="22"/>
                <w:szCs w:val="21"/>
              </w:rPr>
            </w:pPr>
            <w:r>
              <w:rPr>
                <w:rFonts w:hint="eastAsia"/>
                <w:b w:val="0"/>
                <w:bCs/>
                <w:color w:val="auto"/>
                <w:sz w:val="22"/>
                <w:szCs w:val="21"/>
                <w:lang w:val="en-US" w:eastAsia="zh-CN"/>
              </w:rPr>
              <w:t>1</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0F07DE3E">
            <w:pPr>
              <w:rPr>
                <w:rFonts w:hint="eastAsia"/>
                <w:b w:val="0"/>
                <w:bCs/>
                <w:color w:val="auto"/>
                <w:sz w:val="22"/>
                <w:szCs w:val="21"/>
              </w:rPr>
            </w:pPr>
            <w:r>
              <w:rPr>
                <w:rFonts w:hint="eastAsia"/>
                <w:b w:val="0"/>
                <w:bCs/>
                <w:color w:val="auto"/>
                <w:sz w:val="22"/>
                <w:szCs w:val="21"/>
                <w:lang w:val="en-US" w:eastAsia="zh-CN"/>
              </w:rPr>
              <w:t>台</w:t>
            </w:r>
          </w:p>
        </w:tc>
      </w:tr>
      <w:tr w14:paraId="27265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12760" w:type="dxa"/>
            <w:gridSpan w:val="25"/>
            <w:tcBorders>
              <w:top w:val="single" w:color="000000" w:sz="4" w:space="0"/>
              <w:left w:val="single" w:color="000000" w:sz="4" w:space="0"/>
              <w:bottom w:val="single" w:color="000000" w:sz="4" w:space="0"/>
              <w:right w:val="single" w:color="000000" w:sz="4" w:space="0"/>
            </w:tcBorders>
            <w:noWrap/>
            <w:vAlign w:val="center"/>
          </w:tcPr>
          <w:p w14:paraId="5FCA2853">
            <w:pPr>
              <w:rPr>
                <w:rFonts w:hint="eastAsia"/>
                <w:b w:val="0"/>
                <w:bCs/>
                <w:color w:val="auto"/>
                <w:sz w:val="22"/>
                <w:szCs w:val="21"/>
              </w:rPr>
            </w:pPr>
            <w:r>
              <w:rPr>
                <w:rFonts w:hint="eastAsia"/>
                <w:b w:val="0"/>
                <w:bCs/>
                <w:color w:val="auto"/>
                <w:sz w:val="22"/>
                <w:szCs w:val="21"/>
                <w:lang w:val="en-US" w:eastAsia="zh-CN"/>
              </w:rPr>
              <w:t>一、音箱扩声系统</w:t>
            </w:r>
          </w:p>
        </w:tc>
      </w:tr>
      <w:tr w14:paraId="566AA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42739E5B">
            <w:pPr>
              <w:rPr>
                <w:rFonts w:hint="eastAsia"/>
                <w:b w:val="0"/>
                <w:bCs/>
                <w:color w:val="auto"/>
                <w:sz w:val="22"/>
                <w:szCs w:val="21"/>
              </w:rPr>
            </w:pPr>
            <w:r>
              <w:rPr>
                <w:rFonts w:hint="eastAsia"/>
                <w:b w:val="0"/>
                <w:bCs/>
                <w:color w:val="auto"/>
                <w:sz w:val="22"/>
                <w:szCs w:val="21"/>
                <w:lang w:val="en-US" w:eastAsia="zh-CN"/>
              </w:rPr>
              <w:t>1</w:t>
            </w:r>
          </w:p>
        </w:tc>
        <w:tc>
          <w:tcPr>
            <w:tcW w:w="1249" w:type="dxa"/>
            <w:gridSpan w:val="3"/>
            <w:tcBorders>
              <w:top w:val="single" w:color="000000" w:sz="4" w:space="0"/>
              <w:left w:val="single" w:color="000000" w:sz="4" w:space="0"/>
              <w:bottom w:val="single" w:color="000000" w:sz="4" w:space="0"/>
              <w:right w:val="single" w:color="000000" w:sz="4" w:space="0"/>
            </w:tcBorders>
            <w:noWrap w:val="0"/>
            <w:vAlign w:val="center"/>
          </w:tcPr>
          <w:p w14:paraId="4CC52424">
            <w:pPr>
              <w:rPr>
                <w:rFonts w:hint="eastAsia"/>
                <w:b w:val="0"/>
                <w:bCs/>
                <w:color w:val="auto"/>
                <w:sz w:val="22"/>
                <w:szCs w:val="21"/>
              </w:rPr>
            </w:pPr>
            <w:r>
              <w:rPr>
                <w:rFonts w:hint="eastAsia"/>
                <w:b w:val="0"/>
                <w:bCs/>
                <w:color w:val="auto"/>
                <w:sz w:val="22"/>
                <w:szCs w:val="21"/>
                <w:lang w:val="en-US" w:eastAsia="zh-CN"/>
              </w:rPr>
              <w:t>线性音柱</w:t>
            </w:r>
          </w:p>
        </w:tc>
        <w:tc>
          <w:tcPr>
            <w:tcW w:w="8771" w:type="dxa"/>
            <w:gridSpan w:val="9"/>
            <w:tcBorders>
              <w:top w:val="single" w:color="000000" w:sz="4" w:space="0"/>
              <w:left w:val="single" w:color="000000" w:sz="4" w:space="0"/>
              <w:bottom w:val="single" w:color="000000" w:sz="4" w:space="0"/>
              <w:right w:val="single" w:color="000000" w:sz="4" w:space="0"/>
            </w:tcBorders>
            <w:noWrap w:val="0"/>
            <w:vAlign w:val="center"/>
          </w:tcPr>
          <w:p w14:paraId="51F3C0A2">
            <w:pPr>
              <w:rPr>
                <w:rFonts w:hint="eastAsia"/>
                <w:b w:val="0"/>
                <w:bCs/>
                <w:color w:val="auto"/>
                <w:sz w:val="22"/>
                <w:szCs w:val="21"/>
              </w:rPr>
            </w:pPr>
            <w:r>
              <w:rPr>
                <w:rFonts w:hint="eastAsia"/>
                <w:b w:val="0"/>
                <w:bCs/>
                <w:color w:val="auto"/>
                <w:sz w:val="22"/>
                <w:szCs w:val="21"/>
                <w:lang w:val="en-US" w:eastAsia="zh-CN"/>
              </w:rPr>
              <w:t>产品描述：</w:t>
            </w:r>
            <w:r>
              <w:rPr>
                <w:rFonts w:hint="eastAsia"/>
                <w:b w:val="0"/>
                <w:bCs/>
                <w:color w:val="auto"/>
                <w:sz w:val="22"/>
                <w:szCs w:val="21"/>
                <w:lang w:val="en-US" w:eastAsia="zh-CN"/>
              </w:rPr>
              <w:br w:type="textWrapping"/>
            </w:r>
            <w:r>
              <w:rPr>
                <w:rFonts w:hint="eastAsia"/>
                <w:b w:val="0"/>
                <w:bCs/>
                <w:color w:val="auto"/>
                <w:sz w:val="22"/>
                <w:szCs w:val="21"/>
                <w:lang w:val="en-US" w:eastAsia="zh-CN"/>
              </w:rPr>
              <w:t>2x4.5"低音钕磁单元，1×1"高音单元，灵敏度高、中频特性好。</w:t>
            </w:r>
            <w:r>
              <w:rPr>
                <w:rFonts w:hint="eastAsia"/>
                <w:b w:val="0"/>
                <w:bCs/>
                <w:color w:val="auto"/>
                <w:sz w:val="22"/>
                <w:szCs w:val="21"/>
                <w:lang w:val="en-US" w:eastAsia="zh-CN"/>
              </w:rPr>
              <w:br w:type="textWrapping"/>
            </w:r>
            <w:r>
              <w:rPr>
                <w:rFonts w:hint="eastAsia"/>
                <w:b w:val="0"/>
                <w:bCs/>
                <w:color w:val="auto"/>
                <w:sz w:val="22"/>
                <w:szCs w:val="21"/>
                <w:lang w:val="en-US" w:eastAsia="zh-CN"/>
              </w:rPr>
              <w:t>具有频率响应宽、清晰度高、水平覆盖角度宽、辐射距离远等特点。</w:t>
            </w:r>
            <w:r>
              <w:rPr>
                <w:rFonts w:hint="eastAsia"/>
                <w:b w:val="0"/>
                <w:bCs/>
                <w:color w:val="auto"/>
                <w:sz w:val="22"/>
                <w:szCs w:val="21"/>
                <w:lang w:val="en-US" w:eastAsia="zh-CN"/>
              </w:rPr>
              <w:br w:type="textWrapping"/>
            </w:r>
            <w:r>
              <w:rPr>
                <w:rFonts w:hint="eastAsia"/>
                <w:b w:val="0"/>
                <w:bCs/>
                <w:color w:val="auto"/>
                <w:sz w:val="22"/>
                <w:szCs w:val="21"/>
                <w:lang w:val="en-US" w:eastAsia="zh-CN"/>
              </w:rPr>
              <w:t>喇叭单元采用优质材料，对人声、音乐有还原真实的放大特性。</w:t>
            </w:r>
            <w:r>
              <w:rPr>
                <w:rFonts w:hint="eastAsia"/>
                <w:b w:val="0"/>
                <w:bCs/>
                <w:color w:val="auto"/>
                <w:sz w:val="22"/>
                <w:szCs w:val="21"/>
                <w:lang w:val="en-US" w:eastAsia="zh-CN"/>
              </w:rPr>
              <w:br w:type="textWrapping"/>
            </w:r>
            <w:r>
              <w:rPr>
                <w:rFonts w:hint="eastAsia"/>
                <w:b w:val="0"/>
                <w:bCs/>
                <w:color w:val="auto"/>
                <w:sz w:val="22"/>
                <w:szCs w:val="21"/>
                <w:lang w:val="en-US" w:eastAsia="zh-CN"/>
              </w:rPr>
              <w:t>箱体表面采用持久耐用的金刚砂涂料，有良好的防潮性。</w:t>
            </w:r>
            <w:r>
              <w:rPr>
                <w:rFonts w:hint="eastAsia"/>
                <w:b w:val="0"/>
                <w:bCs/>
                <w:color w:val="auto"/>
                <w:sz w:val="22"/>
                <w:szCs w:val="21"/>
                <w:lang w:val="en-US" w:eastAsia="zh-CN"/>
              </w:rPr>
              <w:br w:type="textWrapping"/>
            </w:r>
            <w:r>
              <w:rPr>
                <w:rFonts w:hint="eastAsia"/>
                <w:b w:val="0"/>
                <w:bCs/>
                <w:color w:val="auto"/>
                <w:sz w:val="22"/>
                <w:szCs w:val="21"/>
                <w:lang w:val="en-US" w:eastAsia="zh-CN"/>
              </w:rPr>
              <w:t>技术参数：</w:t>
            </w:r>
            <w:r>
              <w:rPr>
                <w:rFonts w:hint="eastAsia"/>
                <w:b w:val="0"/>
                <w:bCs/>
                <w:color w:val="auto"/>
                <w:sz w:val="22"/>
                <w:szCs w:val="21"/>
                <w:lang w:val="en-US" w:eastAsia="zh-CN"/>
              </w:rPr>
              <w:br w:type="textWrapping"/>
            </w:r>
            <w:r>
              <w:rPr>
                <w:rFonts w:hint="eastAsia"/>
                <w:b w:val="0"/>
                <w:bCs/>
                <w:color w:val="auto"/>
                <w:sz w:val="22"/>
                <w:szCs w:val="21"/>
                <w:lang w:val="en-US" w:eastAsia="zh-CN"/>
              </w:rPr>
              <w:t>频率响应：（-10dB）70Hz-20KHz</w:t>
            </w:r>
            <w:r>
              <w:rPr>
                <w:rFonts w:hint="eastAsia"/>
                <w:b w:val="0"/>
                <w:bCs/>
                <w:color w:val="auto"/>
                <w:sz w:val="22"/>
                <w:szCs w:val="21"/>
                <w:lang w:val="en-US" w:eastAsia="zh-CN"/>
              </w:rPr>
              <w:br w:type="textWrapping"/>
            </w:r>
            <w:r>
              <w:rPr>
                <w:rFonts w:hint="eastAsia"/>
                <w:b w:val="0"/>
                <w:bCs/>
                <w:color w:val="auto"/>
                <w:sz w:val="22"/>
                <w:szCs w:val="21"/>
                <w:lang w:val="en-US" w:eastAsia="zh-CN"/>
              </w:rPr>
              <w:t>灵敏度：95dB （1W/1M）</w:t>
            </w:r>
            <w:r>
              <w:rPr>
                <w:rFonts w:hint="eastAsia"/>
                <w:b w:val="0"/>
                <w:bCs/>
                <w:color w:val="auto"/>
                <w:sz w:val="22"/>
                <w:szCs w:val="21"/>
                <w:lang w:val="en-US" w:eastAsia="zh-CN"/>
              </w:rPr>
              <w:br w:type="textWrapping"/>
            </w:r>
            <w:r>
              <w:rPr>
                <w:rFonts w:hint="eastAsia"/>
                <w:b w:val="0"/>
                <w:bCs/>
                <w:color w:val="auto"/>
                <w:sz w:val="22"/>
                <w:szCs w:val="21"/>
                <w:lang w:val="en-US" w:eastAsia="zh-CN"/>
              </w:rPr>
              <w:t>标称抗阻：8Ω</w:t>
            </w:r>
            <w:r>
              <w:rPr>
                <w:rFonts w:hint="eastAsia"/>
                <w:b w:val="0"/>
                <w:bCs/>
                <w:color w:val="auto"/>
                <w:sz w:val="22"/>
                <w:szCs w:val="21"/>
                <w:lang w:val="en-US" w:eastAsia="zh-CN"/>
              </w:rPr>
              <w:br w:type="textWrapping"/>
            </w:r>
            <w:r>
              <w:rPr>
                <w:rFonts w:hint="eastAsia"/>
                <w:b w:val="0"/>
                <w:bCs/>
                <w:color w:val="auto"/>
                <w:sz w:val="22"/>
                <w:szCs w:val="21"/>
                <w:lang w:val="en-US" w:eastAsia="zh-CN"/>
              </w:rPr>
              <w:t>输入功率：80W（额定）/320W（峰值）</w:t>
            </w:r>
            <w:r>
              <w:rPr>
                <w:rFonts w:hint="eastAsia"/>
                <w:b w:val="0"/>
                <w:bCs/>
                <w:color w:val="auto"/>
                <w:sz w:val="22"/>
                <w:szCs w:val="21"/>
                <w:lang w:val="en-US" w:eastAsia="zh-CN"/>
              </w:rPr>
              <w:br w:type="textWrapping"/>
            </w:r>
            <w:r>
              <w:rPr>
                <w:rFonts w:hint="eastAsia"/>
                <w:b w:val="0"/>
                <w:bCs/>
                <w:color w:val="auto"/>
                <w:sz w:val="22"/>
                <w:szCs w:val="21"/>
                <w:lang w:val="en-US" w:eastAsia="zh-CN"/>
              </w:rPr>
              <w:t>低音单元：2×4.5＂</w:t>
            </w:r>
            <w:r>
              <w:rPr>
                <w:rFonts w:hint="eastAsia"/>
                <w:b w:val="0"/>
                <w:bCs/>
                <w:color w:val="auto"/>
                <w:sz w:val="22"/>
                <w:szCs w:val="21"/>
                <w:lang w:val="en-US" w:eastAsia="zh-CN"/>
              </w:rPr>
              <w:br w:type="textWrapping"/>
            </w:r>
            <w:r>
              <w:rPr>
                <w:rFonts w:hint="eastAsia"/>
                <w:b w:val="0"/>
                <w:bCs/>
                <w:color w:val="auto"/>
                <w:sz w:val="22"/>
                <w:szCs w:val="21"/>
                <w:lang w:val="en-US" w:eastAsia="zh-CN"/>
              </w:rPr>
              <w:t>高音单元：1×1"</w:t>
            </w:r>
            <w:r>
              <w:rPr>
                <w:rFonts w:hint="eastAsia"/>
                <w:b w:val="0"/>
                <w:bCs/>
                <w:color w:val="auto"/>
                <w:sz w:val="22"/>
                <w:szCs w:val="21"/>
                <w:lang w:val="en-US" w:eastAsia="zh-CN"/>
              </w:rPr>
              <w:br w:type="textWrapping"/>
            </w:r>
            <w:r>
              <w:rPr>
                <w:rFonts w:hint="eastAsia"/>
                <w:b w:val="0"/>
                <w:bCs/>
                <w:color w:val="auto"/>
                <w:sz w:val="22"/>
                <w:szCs w:val="21"/>
                <w:lang w:val="en-US" w:eastAsia="zh-CN"/>
              </w:rPr>
              <w:t>扩散角度：90°×50°</w:t>
            </w:r>
            <w:r>
              <w:rPr>
                <w:rFonts w:hint="eastAsia"/>
                <w:b w:val="0"/>
                <w:bCs/>
                <w:color w:val="auto"/>
                <w:sz w:val="22"/>
                <w:szCs w:val="21"/>
                <w:lang w:val="en-US" w:eastAsia="zh-CN"/>
              </w:rPr>
              <w:br w:type="textWrapping"/>
            </w:r>
            <w:r>
              <w:rPr>
                <w:rFonts w:hint="eastAsia"/>
                <w:b w:val="0"/>
                <w:bCs/>
                <w:color w:val="auto"/>
                <w:sz w:val="22"/>
                <w:szCs w:val="21"/>
                <w:lang w:val="en-US" w:eastAsia="zh-CN"/>
              </w:rPr>
              <w:t>连续声压级：114dB</w:t>
            </w:r>
            <w:r>
              <w:rPr>
                <w:rFonts w:hint="eastAsia"/>
                <w:b w:val="0"/>
                <w:bCs/>
                <w:color w:val="auto"/>
                <w:sz w:val="22"/>
                <w:szCs w:val="21"/>
                <w:lang w:val="en-US" w:eastAsia="zh-CN"/>
              </w:rPr>
              <w:br w:type="textWrapping"/>
            </w:r>
            <w:r>
              <w:rPr>
                <w:rFonts w:hint="eastAsia"/>
                <w:b w:val="0"/>
                <w:bCs/>
                <w:color w:val="auto"/>
                <w:sz w:val="22"/>
                <w:szCs w:val="21"/>
                <w:lang w:val="en-US" w:eastAsia="zh-CN"/>
              </w:rPr>
              <w:t>峰值声压级：120dB</w:t>
            </w:r>
            <w:r>
              <w:rPr>
                <w:rFonts w:hint="eastAsia"/>
                <w:b w:val="0"/>
                <w:bCs/>
                <w:color w:val="auto"/>
                <w:sz w:val="22"/>
                <w:szCs w:val="21"/>
                <w:lang w:val="en-US" w:eastAsia="zh-CN"/>
              </w:rPr>
              <w:br w:type="textWrapping"/>
            </w:r>
            <w:r>
              <w:rPr>
                <w:rFonts w:hint="eastAsia"/>
                <w:b w:val="0"/>
                <w:bCs/>
                <w:color w:val="auto"/>
                <w:sz w:val="22"/>
                <w:szCs w:val="21"/>
                <w:lang w:val="en-US" w:eastAsia="zh-CN"/>
              </w:rPr>
              <w:t>连接插座：2×Speakon NL4</w:t>
            </w:r>
            <w:r>
              <w:rPr>
                <w:rFonts w:hint="eastAsia"/>
                <w:b w:val="0"/>
                <w:bCs/>
                <w:color w:val="auto"/>
                <w:sz w:val="22"/>
                <w:szCs w:val="21"/>
                <w:lang w:val="en-US" w:eastAsia="zh-CN"/>
              </w:rPr>
              <w:br w:type="textWrapping"/>
            </w:r>
            <w:r>
              <w:rPr>
                <w:rFonts w:hint="eastAsia"/>
                <w:b w:val="0"/>
                <w:bCs/>
                <w:color w:val="auto"/>
                <w:sz w:val="22"/>
                <w:szCs w:val="21"/>
                <w:lang w:val="en-US" w:eastAsia="zh-CN"/>
              </w:rPr>
              <w:t>箱体板材：15mm 桦木夹板</w:t>
            </w:r>
            <w:r>
              <w:rPr>
                <w:rFonts w:hint="eastAsia"/>
                <w:b w:val="0"/>
                <w:bCs/>
                <w:color w:val="auto"/>
                <w:sz w:val="22"/>
                <w:szCs w:val="21"/>
                <w:lang w:val="en-US" w:eastAsia="zh-CN"/>
              </w:rPr>
              <w:br w:type="textWrapping"/>
            </w:r>
            <w:r>
              <w:rPr>
                <w:rFonts w:hint="eastAsia"/>
                <w:b w:val="0"/>
                <w:bCs/>
                <w:color w:val="auto"/>
                <w:sz w:val="22"/>
                <w:szCs w:val="21"/>
                <w:lang w:val="en-US" w:eastAsia="zh-CN"/>
              </w:rPr>
              <w:t>面网：1.5mm 钢网</w:t>
            </w:r>
            <w:r>
              <w:rPr>
                <w:rFonts w:hint="eastAsia"/>
                <w:b w:val="0"/>
                <w:bCs/>
                <w:color w:val="auto"/>
                <w:sz w:val="22"/>
                <w:szCs w:val="21"/>
                <w:lang w:val="en-US" w:eastAsia="zh-CN"/>
              </w:rPr>
              <w:br w:type="textWrapping"/>
            </w:r>
            <w:r>
              <w:rPr>
                <w:rFonts w:hint="eastAsia"/>
                <w:b w:val="0"/>
                <w:bCs/>
                <w:color w:val="auto"/>
                <w:sz w:val="22"/>
                <w:szCs w:val="21"/>
                <w:lang w:val="en-US" w:eastAsia="zh-CN"/>
              </w:rPr>
              <w:t>产品尺寸（W×D×H）：143×180×380mm</w:t>
            </w:r>
            <w:r>
              <w:rPr>
                <w:rFonts w:hint="eastAsia"/>
                <w:b w:val="0"/>
                <w:bCs/>
                <w:color w:val="auto"/>
                <w:sz w:val="22"/>
                <w:szCs w:val="21"/>
                <w:lang w:val="en-US" w:eastAsia="zh-CN"/>
              </w:rPr>
              <w:br w:type="textWrapping"/>
            </w:r>
            <w:r>
              <w:rPr>
                <w:rFonts w:hint="eastAsia"/>
                <w:b w:val="0"/>
                <w:bCs/>
                <w:color w:val="auto"/>
                <w:sz w:val="22"/>
                <w:szCs w:val="21"/>
                <w:lang w:val="en-US" w:eastAsia="zh-CN"/>
              </w:rPr>
              <w:t>净重：4.65kg</w:t>
            </w:r>
          </w:p>
        </w:tc>
        <w:tc>
          <w:tcPr>
            <w:tcW w:w="1030" w:type="dxa"/>
            <w:gridSpan w:val="6"/>
            <w:tcBorders>
              <w:top w:val="single" w:color="000000" w:sz="4" w:space="0"/>
              <w:left w:val="single" w:color="000000" w:sz="4" w:space="0"/>
              <w:bottom w:val="single" w:color="000000" w:sz="4" w:space="0"/>
              <w:right w:val="single" w:color="000000" w:sz="4" w:space="0"/>
            </w:tcBorders>
            <w:noWrap w:val="0"/>
            <w:vAlign w:val="center"/>
          </w:tcPr>
          <w:p w14:paraId="2506728F">
            <w:pPr>
              <w:rPr>
                <w:rFonts w:hint="eastAsia"/>
                <w:b w:val="0"/>
                <w:bCs/>
                <w:color w:val="auto"/>
                <w:sz w:val="22"/>
                <w:szCs w:val="21"/>
              </w:rPr>
            </w:pPr>
            <w:r>
              <w:rPr>
                <w:rFonts w:hint="eastAsia"/>
                <w:b w:val="0"/>
                <w:bCs/>
                <w:color w:val="auto"/>
                <w:sz w:val="22"/>
                <w:szCs w:val="21"/>
                <w:lang w:val="en-US" w:eastAsia="zh-CN"/>
              </w:rPr>
              <w:t>4</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496CBDF5">
            <w:pPr>
              <w:rPr>
                <w:rFonts w:hint="eastAsia"/>
                <w:b w:val="0"/>
                <w:bCs/>
                <w:color w:val="auto"/>
                <w:sz w:val="22"/>
                <w:szCs w:val="21"/>
              </w:rPr>
            </w:pPr>
            <w:r>
              <w:rPr>
                <w:rFonts w:hint="eastAsia"/>
                <w:b w:val="0"/>
                <w:bCs/>
                <w:color w:val="auto"/>
                <w:sz w:val="22"/>
                <w:szCs w:val="21"/>
                <w:lang w:val="en-US" w:eastAsia="zh-CN"/>
              </w:rPr>
              <w:t>只</w:t>
            </w:r>
          </w:p>
        </w:tc>
      </w:tr>
      <w:tr w14:paraId="1D56D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1512B2AD">
            <w:pPr>
              <w:rPr>
                <w:rFonts w:hint="eastAsia"/>
                <w:b w:val="0"/>
                <w:bCs/>
                <w:color w:val="auto"/>
                <w:sz w:val="22"/>
                <w:szCs w:val="21"/>
              </w:rPr>
            </w:pPr>
            <w:r>
              <w:rPr>
                <w:rFonts w:hint="eastAsia"/>
                <w:b w:val="0"/>
                <w:bCs/>
                <w:color w:val="auto"/>
                <w:sz w:val="22"/>
                <w:szCs w:val="21"/>
                <w:lang w:val="en-US" w:eastAsia="zh-CN"/>
              </w:rPr>
              <w:t>2</w:t>
            </w:r>
          </w:p>
        </w:tc>
        <w:tc>
          <w:tcPr>
            <w:tcW w:w="1249" w:type="dxa"/>
            <w:gridSpan w:val="3"/>
            <w:tcBorders>
              <w:top w:val="single" w:color="000000" w:sz="4" w:space="0"/>
              <w:left w:val="single" w:color="000000" w:sz="4" w:space="0"/>
              <w:bottom w:val="single" w:color="000000" w:sz="4" w:space="0"/>
              <w:right w:val="single" w:color="000000" w:sz="4" w:space="0"/>
            </w:tcBorders>
            <w:noWrap w:val="0"/>
            <w:vAlign w:val="center"/>
          </w:tcPr>
          <w:p w14:paraId="0A02294F">
            <w:pPr>
              <w:rPr>
                <w:rFonts w:hint="eastAsia"/>
                <w:b w:val="0"/>
                <w:bCs/>
                <w:color w:val="auto"/>
                <w:sz w:val="22"/>
                <w:szCs w:val="21"/>
              </w:rPr>
            </w:pPr>
            <w:r>
              <w:rPr>
                <w:rFonts w:hint="eastAsia"/>
                <w:b w:val="0"/>
                <w:bCs/>
                <w:color w:val="auto"/>
                <w:sz w:val="22"/>
                <w:szCs w:val="21"/>
                <w:lang w:val="en-US" w:eastAsia="zh-CN"/>
              </w:rPr>
              <w:t>专业功放(含专业功放控制软件V1.0)</w:t>
            </w:r>
          </w:p>
        </w:tc>
        <w:tc>
          <w:tcPr>
            <w:tcW w:w="8771" w:type="dxa"/>
            <w:gridSpan w:val="9"/>
            <w:tcBorders>
              <w:top w:val="single" w:color="000000" w:sz="4" w:space="0"/>
              <w:left w:val="single" w:color="000000" w:sz="4" w:space="0"/>
              <w:bottom w:val="single" w:color="000000" w:sz="4" w:space="0"/>
              <w:right w:val="single" w:color="000000" w:sz="4" w:space="0"/>
            </w:tcBorders>
            <w:noWrap w:val="0"/>
            <w:vAlign w:val="center"/>
          </w:tcPr>
          <w:p w14:paraId="2BDAF1C3">
            <w:pPr>
              <w:rPr>
                <w:rFonts w:hint="eastAsia"/>
                <w:b w:val="0"/>
                <w:bCs/>
                <w:color w:val="auto"/>
                <w:sz w:val="22"/>
                <w:szCs w:val="21"/>
              </w:rPr>
            </w:pPr>
            <w:r>
              <w:rPr>
                <w:rFonts w:hint="eastAsia"/>
                <w:b w:val="0"/>
                <w:bCs/>
                <w:color w:val="auto"/>
                <w:sz w:val="22"/>
                <w:szCs w:val="21"/>
                <w:lang w:val="en-US" w:eastAsia="zh-CN"/>
              </w:rPr>
              <w:t>产品描述：</w:t>
            </w:r>
            <w:r>
              <w:rPr>
                <w:rFonts w:hint="eastAsia"/>
                <w:b w:val="0"/>
                <w:bCs/>
                <w:color w:val="auto"/>
                <w:sz w:val="22"/>
                <w:szCs w:val="21"/>
                <w:lang w:val="en-US" w:eastAsia="zh-CN"/>
              </w:rPr>
              <w:br w:type="textWrapping"/>
            </w:r>
            <w:r>
              <w:rPr>
                <w:rFonts w:hint="eastAsia"/>
                <w:b w:val="0"/>
                <w:bCs/>
                <w:color w:val="auto"/>
                <w:sz w:val="22"/>
                <w:szCs w:val="21"/>
                <w:lang w:val="en-US" w:eastAsia="zh-CN"/>
              </w:rPr>
              <w:t>1U机柜式设计，双层双色双拼面板，彰显立体美感；前面板采用隐藏式条形出气口及弧形进风口设计，设备散热均匀，有效延长使用寿命； 电源开关采用防触碰设计，安全省心。</w:t>
            </w:r>
            <w:r>
              <w:rPr>
                <w:rFonts w:hint="eastAsia"/>
                <w:b w:val="0"/>
                <w:bCs/>
                <w:color w:val="auto"/>
                <w:sz w:val="22"/>
                <w:szCs w:val="21"/>
                <w:lang w:val="en-US" w:eastAsia="zh-CN"/>
              </w:rPr>
              <w:br w:type="textWrapping"/>
            </w:r>
            <w:r>
              <w:rPr>
                <w:rFonts w:hint="eastAsia"/>
                <w:b w:val="0"/>
                <w:bCs/>
                <w:color w:val="auto"/>
                <w:sz w:val="22"/>
                <w:szCs w:val="21"/>
                <w:lang w:val="en-US" w:eastAsia="zh-CN"/>
              </w:rPr>
              <w:t>输入采用平衡XLR连接，输出为PSZ外接线柱，方便线材扩展链接。</w:t>
            </w:r>
            <w:r>
              <w:rPr>
                <w:rFonts w:hint="eastAsia"/>
                <w:b w:val="0"/>
                <w:bCs/>
                <w:color w:val="auto"/>
                <w:sz w:val="22"/>
                <w:szCs w:val="21"/>
                <w:lang w:val="en-US" w:eastAsia="zh-CN"/>
              </w:rPr>
              <w:br w:type="textWrapping"/>
            </w:r>
            <w:r>
              <w:rPr>
                <w:rFonts w:hint="eastAsia"/>
                <w:b w:val="0"/>
                <w:bCs/>
                <w:color w:val="auto"/>
                <w:sz w:val="22"/>
                <w:szCs w:val="21"/>
                <w:lang w:val="en-US" w:eastAsia="zh-CN"/>
              </w:rPr>
              <w:t>支持STEREO立体声、PARALLEL并机两种模式选择，可以更为灵活搭配其它设备，</w:t>
            </w:r>
            <w:r>
              <w:rPr>
                <w:rFonts w:hint="eastAsia"/>
                <w:b w:val="0"/>
                <w:bCs/>
                <w:color w:val="auto"/>
                <w:sz w:val="22"/>
                <w:szCs w:val="21"/>
                <w:lang w:val="en-US" w:eastAsia="zh-CN"/>
              </w:rPr>
              <w:br w:type="textWrapping"/>
            </w:r>
            <w:r>
              <w:rPr>
                <w:rFonts w:hint="eastAsia"/>
                <w:b w:val="0"/>
                <w:bCs/>
                <w:color w:val="auto"/>
                <w:sz w:val="22"/>
                <w:szCs w:val="21"/>
                <w:lang w:val="en-US" w:eastAsia="zh-CN"/>
              </w:rPr>
              <w:t>设有7个信号指示灯，包括1个电源指示，2个信号通道指示，2个限幅通道指示，2个保护通道指示，可实时显示设备工作状态，直观方便。</w:t>
            </w:r>
            <w:r>
              <w:rPr>
                <w:rFonts w:hint="eastAsia"/>
                <w:b w:val="0"/>
                <w:bCs/>
                <w:color w:val="auto"/>
                <w:sz w:val="22"/>
                <w:szCs w:val="21"/>
                <w:lang w:val="en-US" w:eastAsia="zh-CN"/>
              </w:rPr>
              <w:br w:type="textWrapping"/>
            </w:r>
            <w:r>
              <w:rPr>
                <w:rFonts w:hint="eastAsia"/>
                <w:b w:val="0"/>
                <w:bCs/>
                <w:color w:val="auto"/>
                <w:sz w:val="22"/>
                <w:szCs w:val="21"/>
                <w:lang w:val="en-US" w:eastAsia="zh-CN"/>
              </w:rPr>
              <w:t>设有动态压限控制功率电路，保证设备安全稳定运行。</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内置D类功率放大电路，采用高集成度数字芯片替代传统变压器，高数字化电路集成，绿色、稳定、高效。 </w:t>
            </w:r>
            <w:r>
              <w:rPr>
                <w:rFonts w:hint="eastAsia"/>
                <w:b w:val="0"/>
                <w:bCs/>
                <w:color w:val="auto"/>
                <w:sz w:val="22"/>
                <w:szCs w:val="21"/>
                <w:lang w:val="en-US" w:eastAsia="zh-CN"/>
              </w:rPr>
              <w:br w:type="textWrapping"/>
            </w:r>
            <w:r>
              <w:rPr>
                <w:rFonts w:hint="eastAsia"/>
                <w:b w:val="0"/>
                <w:bCs/>
                <w:color w:val="auto"/>
                <w:sz w:val="22"/>
                <w:szCs w:val="21"/>
                <w:lang w:val="en-US" w:eastAsia="zh-CN"/>
              </w:rPr>
              <w:t>支持交流保护和直流保护功能。</w:t>
            </w:r>
            <w:r>
              <w:rPr>
                <w:rFonts w:hint="eastAsia"/>
                <w:b w:val="0"/>
                <w:bCs/>
                <w:color w:val="auto"/>
                <w:sz w:val="22"/>
                <w:szCs w:val="21"/>
                <w:lang w:val="en-US" w:eastAsia="zh-CN"/>
              </w:rPr>
              <w:br w:type="textWrapping"/>
            </w:r>
            <w:r>
              <w:rPr>
                <w:rFonts w:hint="eastAsia"/>
                <w:b w:val="0"/>
                <w:bCs/>
                <w:color w:val="auto"/>
                <w:sz w:val="22"/>
                <w:szCs w:val="21"/>
                <w:lang w:val="en-US" w:eastAsia="zh-CN"/>
              </w:rPr>
              <w:t>内置削波限幅器，可有效防止严重削波的波形到达扬声器，同时维持全峰值电源输出功率。</w:t>
            </w:r>
            <w:r>
              <w:rPr>
                <w:rFonts w:hint="eastAsia"/>
                <w:b w:val="0"/>
                <w:bCs/>
                <w:color w:val="auto"/>
                <w:sz w:val="22"/>
                <w:szCs w:val="21"/>
                <w:lang w:val="en-US" w:eastAsia="zh-CN"/>
              </w:rPr>
              <w:br w:type="textWrapping"/>
            </w:r>
            <w:r>
              <w:rPr>
                <w:rFonts w:hint="eastAsia"/>
                <w:b w:val="0"/>
                <w:bCs/>
                <w:color w:val="auto"/>
                <w:sz w:val="22"/>
                <w:szCs w:val="21"/>
                <w:lang w:val="en-US" w:eastAsia="zh-CN"/>
              </w:rPr>
              <w:t>支持超高频保护，防止听不见的强烈非音乐高频信号到达扬声器。</w:t>
            </w:r>
            <w:r>
              <w:rPr>
                <w:rFonts w:hint="eastAsia"/>
                <w:b w:val="0"/>
                <w:bCs/>
                <w:color w:val="auto"/>
                <w:sz w:val="22"/>
                <w:szCs w:val="21"/>
                <w:lang w:val="en-US" w:eastAsia="zh-CN"/>
              </w:rPr>
              <w:br w:type="textWrapping"/>
            </w:r>
            <w:r>
              <w:rPr>
                <w:rFonts w:hint="eastAsia"/>
                <w:b w:val="0"/>
                <w:bCs/>
                <w:color w:val="auto"/>
                <w:sz w:val="22"/>
                <w:szCs w:val="21"/>
                <w:lang w:val="en-US" w:eastAsia="zh-CN"/>
              </w:rPr>
              <w:t>支持短路保护功能，自动保护重置功能，防止功放发生短路，或输出电路发生其它应激故障。</w:t>
            </w:r>
            <w:r>
              <w:rPr>
                <w:rFonts w:hint="eastAsia"/>
                <w:b w:val="0"/>
                <w:bCs/>
                <w:color w:val="auto"/>
                <w:sz w:val="22"/>
                <w:szCs w:val="21"/>
                <w:lang w:val="en-US" w:eastAsia="zh-CN"/>
              </w:rPr>
              <w:br w:type="textWrapping"/>
            </w:r>
            <w:r>
              <w:rPr>
                <w:rFonts w:hint="eastAsia"/>
                <w:b w:val="0"/>
                <w:bCs/>
                <w:color w:val="auto"/>
                <w:sz w:val="22"/>
                <w:szCs w:val="21"/>
                <w:lang w:val="en-US" w:eastAsia="zh-CN"/>
              </w:rPr>
              <w:t>设有限幅器，信号峰值过大自动限幅过大输出到达扬声器，最高限幅可达到10V。</w:t>
            </w:r>
            <w:r>
              <w:rPr>
                <w:rFonts w:hint="eastAsia"/>
                <w:b w:val="0"/>
                <w:bCs/>
                <w:color w:val="auto"/>
                <w:sz w:val="22"/>
                <w:szCs w:val="21"/>
                <w:lang w:val="en-US" w:eastAsia="zh-CN"/>
              </w:rPr>
              <w:br w:type="textWrapping"/>
            </w:r>
            <w:r>
              <w:rPr>
                <w:rFonts w:hint="eastAsia"/>
                <w:b w:val="0"/>
                <w:bCs/>
                <w:color w:val="auto"/>
                <w:sz w:val="22"/>
                <w:szCs w:val="21"/>
                <w:lang w:val="en-US" w:eastAsia="zh-CN"/>
              </w:rPr>
              <w:t>支持过热保护，输出级操作温度过高，温控连续变速风扇，从前到后的空气流动。</w:t>
            </w:r>
            <w:r>
              <w:rPr>
                <w:rFonts w:hint="eastAsia"/>
                <w:b w:val="0"/>
                <w:bCs/>
                <w:color w:val="auto"/>
                <w:sz w:val="22"/>
                <w:szCs w:val="21"/>
                <w:lang w:val="en-US" w:eastAsia="zh-CN"/>
              </w:rPr>
              <w:br w:type="textWrapping"/>
            </w:r>
            <w:r>
              <w:rPr>
                <w:rFonts w:hint="eastAsia"/>
                <w:b w:val="0"/>
                <w:bCs/>
                <w:color w:val="auto"/>
                <w:sz w:val="22"/>
                <w:szCs w:val="21"/>
                <w:lang w:val="en-US" w:eastAsia="zh-CN"/>
              </w:rPr>
              <w:t>支持过载保护，峰值负反馈保护，当信号输入输出出现失真、冲击、或线电压严重过压时，能有效地对功放进行保护。</w:t>
            </w:r>
            <w:r>
              <w:rPr>
                <w:rFonts w:hint="eastAsia"/>
                <w:b w:val="0"/>
                <w:bCs/>
                <w:color w:val="auto"/>
                <w:sz w:val="22"/>
                <w:szCs w:val="21"/>
                <w:lang w:val="en-US" w:eastAsia="zh-CN"/>
              </w:rPr>
              <w:br w:type="textWrapping"/>
            </w:r>
            <w:r>
              <w:rPr>
                <w:rFonts w:hint="eastAsia"/>
                <w:b w:val="0"/>
                <w:bCs/>
                <w:color w:val="auto"/>
                <w:sz w:val="22"/>
                <w:szCs w:val="21"/>
                <w:lang w:val="en-US" w:eastAsia="zh-CN"/>
              </w:rPr>
              <w:t>内设保护电路，软启动，输入浪涌限制，输出短路、直流，开关机哑音保护，射频干扰保护。</w:t>
            </w:r>
            <w:r>
              <w:rPr>
                <w:rFonts w:hint="eastAsia"/>
                <w:b w:val="0"/>
                <w:bCs/>
                <w:color w:val="auto"/>
                <w:sz w:val="22"/>
                <w:szCs w:val="21"/>
                <w:lang w:val="en-US" w:eastAsia="zh-CN"/>
              </w:rPr>
              <w:br w:type="textWrapping"/>
            </w:r>
            <w:r>
              <w:rPr>
                <w:rFonts w:hint="eastAsia"/>
                <w:b w:val="0"/>
                <w:bCs/>
                <w:color w:val="auto"/>
                <w:sz w:val="22"/>
                <w:szCs w:val="21"/>
                <w:lang w:val="en-US" w:eastAsia="zh-CN"/>
              </w:rPr>
              <w:t>技术参数：</w:t>
            </w:r>
            <w:r>
              <w:rPr>
                <w:rFonts w:hint="eastAsia"/>
                <w:b w:val="0"/>
                <w:bCs/>
                <w:color w:val="auto"/>
                <w:sz w:val="22"/>
                <w:szCs w:val="21"/>
                <w:lang w:val="en-US" w:eastAsia="zh-CN"/>
              </w:rPr>
              <w:br w:type="textWrapping"/>
            </w:r>
            <w:r>
              <w:rPr>
                <w:rFonts w:hint="eastAsia"/>
                <w:b w:val="0"/>
                <w:bCs/>
                <w:color w:val="auto"/>
                <w:sz w:val="22"/>
                <w:szCs w:val="21"/>
                <w:lang w:val="en-US" w:eastAsia="zh-CN"/>
              </w:rPr>
              <w:t>输出功率@立体声8Ω（失真≤1%时）：2×250W</w:t>
            </w:r>
            <w:r>
              <w:rPr>
                <w:rFonts w:hint="eastAsia"/>
                <w:b w:val="0"/>
                <w:bCs/>
                <w:color w:val="auto"/>
                <w:sz w:val="22"/>
                <w:szCs w:val="21"/>
                <w:lang w:val="en-US" w:eastAsia="zh-CN"/>
              </w:rPr>
              <w:br w:type="textWrapping"/>
            </w:r>
            <w:r>
              <w:rPr>
                <w:rFonts w:hint="eastAsia"/>
                <w:b w:val="0"/>
                <w:bCs/>
                <w:color w:val="auto"/>
                <w:sz w:val="22"/>
                <w:szCs w:val="21"/>
                <w:lang w:val="en-US" w:eastAsia="zh-CN"/>
              </w:rPr>
              <w:t>输出功率@立体声4Ω（失真≤1%时）：2×320W</w:t>
            </w:r>
            <w:r>
              <w:rPr>
                <w:rFonts w:hint="eastAsia"/>
                <w:b w:val="0"/>
                <w:bCs/>
                <w:color w:val="auto"/>
                <w:sz w:val="22"/>
                <w:szCs w:val="21"/>
                <w:lang w:val="en-US" w:eastAsia="zh-CN"/>
              </w:rPr>
              <w:br w:type="textWrapping"/>
            </w:r>
            <w:r>
              <w:rPr>
                <w:rFonts w:hint="eastAsia"/>
                <w:b w:val="0"/>
                <w:bCs/>
                <w:color w:val="auto"/>
                <w:sz w:val="22"/>
                <w:szCs w:val="21"/>
                <w:lang w:val="en-US" w:eastAsia="zh-CN"/>
              </w:rPr>
              <w:t>输出功率@立体声2Ω（失真≤1%时）：2×450W</w:t>
            </w:r>
            <w:r>
              <w:rPr>
                <w:rFonts w:hint="eastAsia"/>
                <w:b w:val="0"/>
                <w:bCs/>
                <w:color w:val="auto"/>
                <w:sz w:val="22"/>
                <w:szCs w:val="21"/>
                <w:lang w:val="en-US" w:eastAsia="zh-CN"/>
              </w:rPr>
              <w:br w:type="textWrapping"/>
            </w:r>
            <w:r>
              <w:rPr>
                <w:rFonts w:hint="eastAsia"/>
                <w:b w:val="0"/>
                <w:bCs/>
                <w:color w:val="auto"/>
                <w:sz w:val="22"/>
                <w:szCs w:val="21"/>
                <w:lang w:val="en-US" w:eastAsia="zh-CN"/>
              </w:rPr>
              <w:t>供电：AC 150V-240V 50/60Hz</w:t>
            </w:r>
            <w:r>
              <w:rPr>
                <w:rFonts w:hint="eastAsia"/>
                <w:b w:val="0"/>
                <w:bCs/>
                <w:color w:val="auto"/>
                <w:sz w:val="22"/>
                <w:szCs w:val="21"/>
                <w:lang w:val="en-US" w:eastAsia="zh-CN"/>
              </w:rPr>
              <w:br w:type="textWrapping"/>
            </w:r>
            <w:r>
              <w:rPr>
                <w:rFonts w:hint="eastAsia"/>
                <w:b w:val="0"/>
                <w:bCs/>
                <w:color w:val="auto"/>
                <w:sz w:val="22"/>
                <w:szCs w:val="21"/>
                <w:lang w:val="en-US" w:eastAsia="zh-CN"/>
              </w:rPr>
              <w:t>频率响应（1W 8Ω）：20Hz～20KHz±0.5dB</w:t>
            </w:r>
            <w:r>
              <w:rPr>
                <w:rFonts w:hint="eastAsia"/>
                <w:b w:val="0"/>
                <w:bCs/>
                <w:color w:val="auto"/>
                <w:sz w:val="22"/>
                <w:szCs w:val="21"/>
                <w:lang w:val="en-US" w:eastAsia="zh-CN"/>
              </w:rPr>
              <w:br w:type="textWrapping"/>
            </w:r>
            <w:r>
              <w:rPr>
                <w:rFonts w:hint="eastAsia"/>
                <w:b w:val="0"/>
                <w:bCs/>
                <w:color w:val="auto"/>
                <w:sz w:val="22"/>
                <w:szCs w:val="21"/>
                <w:lang w:val="en-US" w:eastAsia="zh-CN"/>
              </w:rPr>
              <w:t>灵敏度（8Ω 1KHz）：1V/32dB</w:t>
            </w:r>
            <w:r>
              <w:rPr>
                <w:rFonts w:hint="eastAsia"/>
                <w:b w:val="0"/>
                <w:bCs/>
                <w:color w:val="auto"/>
                <w:sz w:val="22"/>
                <w:szCs w:val="21"/>
                <w:lang w:val="en-US" w:eastAsia="zh-CN"/>
              </w:rPr>
              <w:br w:type="textWrapping"/>
            </w:r>
            <w:r>
              <w:rPr>
                <w:rFonts w:hint="eastAsia"/>
                <w:b w:val="0"/>
                <w:bCs/>
                <w:color w:val="auto"/>
                <w:sz w:val="22"/>
                <w:szCs w:val="21"/>
                <w:lang w:val="en-US" w:eastAsia="zh-CN"/>
              </w:rPr>
              <w:t>输入阻抗：20KΩ平衡输入；10KΩ非平衡输入</w:t>
            </w:r>
            <w:r>
              <w:rPr>
                <w:rFonts w:hint="eastAsia"/>
                <w:b w:val="0"/>
                <w:bCs/>
                <w:color w:val="auto"/>
                <w:sz w:val="22"/>
                <w:szCs w:val="21"/>
                <w:lang w:val="en-US" w:eastAsia="zh-CN"/>
              </w:rPr>
              <w:br w:type="textWrapping"/>
            </w:r>
            <w:r>
              <w:rPr>
                <w:rFonts w:hint="eastAsia"/>
                <w:b w:val="0"/>
                <w:bCs/>
                <w:color w:val="auto"/>
                <w:sz w:val="22"/>
                <w:szCs w:val="21"/>
                <w:lang w:val="en-US" w:eastAsia="zh-CN"/>
              </w:rPr>
              <w:t>信噪比( A计权，额定功率8Ω )：≥105dB</w:t>
            </w:r>
            <w:r>
              <w:rPr>
                <w:rFonts w:hint="eastAsia"/>
                <w:b w:val="0"/>
                <w:bCs/>
                <w:color w:val="auto"/>
                <w:sz w:val="22"/>
                <w:szCs w:val="21"/>
                <w:lang w:val="en-US" w:eastAsia="zh-CN"/>
              </w:rPr>
              <w:br w:type="textWrapping"/>
            </w:r>
            <w:r>
              <w:rPr>
                <w:rFonts w:hint="eastAsia"/>
                <w:b w:val="0"/>
                <w:bCs/>
                <w:color w:val="auto"/>
                <w:sz w:val="22"/>
                <w:szCs w:val="21"/>
                <w:lang w:val="en-US" w:eastAsia="zh-CN"/>
              </w:rPr>
              <w:t>阻尼系数 ( 1KHz &amp; 8Ω )：≥900</w:t>
            </w:r>
            <w:r>
              <w:rPr>
                <w:rFonts w:hint="eastAsia"/>
                <w:b w:val="0"/>
                <w:bCs/>
                <w:color w:val="auto"/>
                <w:sz w:val="22"/>
                <w:szCs w:val="21"/>
                <w:lang w:val="en-US" w:eastAsia="zh-CN"/>
              </w:rPr>
              <w:br w:type="textWrapping"/>
            </w:r>
            <w:r>
              <w:rPr>
                <w:rFonts w:hint="eastAsia"/>
                <w:b w:val="0"/>
                <w:bCs/>
                <w:color w:val="auto"/>
                <w:sz w:val="22"/>
                <w:szCs w:val="21"/>
                <w:lang w:val="en-US" w:eastAsia="zh-CN"/>
              </w:rPr>
              <w:t>互调失真( 20Hz-20KHz，半功率 )：≤0.02%</w:t>
            </w:r>
            <w:r>
              <w:rPr>
                <w:rFonts w:hint="eastAsia"/>
                <w:b w:val="0"/>
                <w:bCs/>
                <w:color w:val="auto"/>
                <w:sz w:val="22"/>
                <w:szCs w:val="21"/>
                <w:lang w:val="en-US" w:eastAsia="zh-CN"/>
              </w:rPr>
              <w:br w:type="textWrapping"/>
            </w:r>
            <w:r>
              <w:rPr>
                <w:rFonts w:hint="eastAsia"/>
                <w:b w:val="0"/>
                <w:bCs/>
                <w:color w:val="auto"/>
                <w:sz w:val="22"/>
                <w:szCs w:val="21"/>
                <w:lang w:val="en-US" w:eastAsia="zh-CN"/>
              </w:rPr>
              <w:t>总谐波失真( 20Hz-20KHz，半功率 )：≤0.03%</w:t>
            </w:r>
            <w:r>
              <w:rPr>
                <w:rFonts w:hint="eastAsia"/>
                <w:b w:val="0"/>
                <w:bCs/>
                <w:color w:val="auto"/>
                <w:sz w:val="22"/>
                <w:szCs w:val="21"/>
                <w:lang w:val="en-US" w:eastAsia="zh-CN"/>
              </w:rPr>
              <w:br w:type="textWrapping"/>
            </w:r>
            <w:r>
              <w:rPr>
                <w:rFonts w:hint="eastAsia"/>
                <w:b w:val="0"/>
                <w:bCs/>
                <w:color w:val="auto"/>
                <w:sz w:val="22"/>
                <w:szCs w:val="21"/>
                <w:lang w:val="en-US" w:eastAsia="zh-CN"/>
              </w:rPr>
              <w:t>相位响应( 1W &amp; 8Ω，20Hz-20KHz )：≤±1.5°</w:t>
            </w:r>
            <w:r>
              <w:rPr>
                <w:rFonts w:hint="eastAsia"/>
                <w:b w:val="0"/>
                <w:bCs/>
                <w:color w:val="auto"/>
                <w:sz w:val="22"/>
                <w:szCs w:val="21"/>
                <w:lang w:val="en-US" w:eastAsia="zh-CN"/>
              </w:rPr>
              <w:br w:type="textWrapping"/>
            </w:r>
            <w:r>
              <w:rPr>
                <w:rFonts w:hint="eastAsia"/>
                <w:b w:val="0"/>
                <w:bCs/>
                <w:color w:val="auto"/>
                <w:sz w:val="22"/>
                <w:szCs w:val="21"/>
                <w:lang w:val="en-US" w:eastAsia="zh-CN"/>
              </w:rPr>
              <w:t>转换速率：≥60V / us</w:t>
            </w:r>
            <w:r>
              <w:rPr>
                <w:rFonts w:hint="eastAsia"/>
                <w:b w:val="0"/>
                <w:bCs/>
                <w:color w:val="auto"/>
                <w:sz w:val="22"/>
                <w:szCs w:val="21"/>
                <w:lang w:val="en-US" w:eastAsia="zh-CN"/>
              </w:rPr>
              <w:br w:type="textWrapping"/>
            </w:r>
            <w:r>
              <w:rPr>
                <w:rFonts w:hint="eastAsia"/>
                <w:b w:val="0"/>
                <w:bCs/>
                <w:color w:val="auto"/>
                <w:sz w:val="22"/>
                <w:szCs w:val="21"/>
                <w:lang w:val="en-US" w:eastAsia="zh-CN"/>
              </w:rPr>
              <w:t>输出电路类型：CLASS-D 类</w:t>
            </w:r>
            <w:r>
              <w:rPr>
                <w:rFonts w:hint="eastAsia"/>
                <w:b w:val="0"/>
                <w:bCs/>
                <w:color w:val="auto"/>
                <w:sz w:val="22"/>
                <w:szCs w:val="21"/>
                <w:lang w:val="en-US" w:eastAsia="zh-CN"/>
              </w:rPr>
              <w:br w:type="textWrapping"/>
            </w:r>
            <w:r>
              <w:rPr>
                <w:rFonts w:hint="eastAsia"/>
                <w:b w:val="0"/>
                <w:bCs/>
                <w:color w:val="auto"/>
                <w:sz w:val="22"/>
                <w:szCs w:val="21"/>
                <w:lang w:val="en-US" w:eastAsia="zh-CN"/>
              </w:rPr>
              <w:t>前面板指示：电源，削波，压限，信号</w:t>
            </w:r>
            <w:r>
              <w:rPr>
                <w:rFonts w:hint="eastAsia"/>
                <w:b w:val="0"/>
                <w:bCs/>
                <w:color w:val="auto"/>
                <w:sz w:val="22"/>
                <w:szCs w:val="21"/>
                <w:lang w:val="en-US" w:eastAsia="zh-CN"/>
              </w:rPr>
              <w:br w:type="textWrapping"/>
            </w:r>
            <w:r>
              <w:rPr>
                <w:rFonts w:hint="eastAsia"/>
                <w:b w:val="0"/>
                <w:bCs/>
                <w:color w:val="auto"/>
                <w:sz w:val="22"/>
                <w:szCs w:val="21"/>
                <w:lang w:val="en-US" w:eastAsia="zh-CN"/>
              </w:rPr>
              <w:t>后面板接口：并机输入：母3针XLR×2，输出：公3针XLR×2；PSZ信号输出外接线柱</w:t>
            </w:r>
            <w:r>
              <w:rPr>
                <w:rFonts w:hint="eastAsia"/>
                <w:b w:val="0"/>
                <w:bCs/>
                <w:color w:val="auto"/>
                <w:sz w:val="22"/>
                <w:szCs w:val="21"/>
                <w:lang w:val="en-US" w:eastAsia="zh-CN"/>
              </w:rPr>
              <w:br w:type="textWrapping"/>
            </w:r>
            <w:r>
              <w:rPr>
                <w:rFonts w:hint="eastAsia"/>
                <w:b w:val="0"/>
                <w:bCs/>
                <w:color w:val="auto"/>
                <w:sz w:val="22"/>
                <w:szCs w:val="21"/>
                <w:lang w:val="en-US" w:eastAsia="zh-CN"/>
              </w:rPr>
              <w:t>冷却系统：全智能系统随温度变化自动调节</w:t>
            </w:r>
            <w:r>
              <w:rPr>
                <w:rFonts w:hint="eastAsia"/>
                <w:b w:val="0"/>
                <w:bCs/>
                <w:color w:val="auto"/>
                <w:sz w:val="22"/>
                <w:szCs w:val="21"/>
                <w:lang w:val="en-US" w:eastAsia="zh-CN"/>
              </w:rPr>
              <w:br w:type="textWrapping"/>
            </w:r>
            <w:r>
              <w:rPr>
                <w:rFonts w:hint="eastAsia"/>
                <w:b w:val="0"/>
                <w:bCs/>
                <w:color w:val="auto"/>
                <w:sz w:val="22"/>
                <w:szCs w:val="21"/>
                <w:lang w:val="en-US" w:eastAsia="zh-CN"/>
              </w:rPr>
              <w:t>外形尺寸（W×D×H）：483 x 317x 45 mm</w:t>
            </w:r>
            <w:r>
              <w:rPr>
                <w:rFonts w:hint="eastAsia"/>
                <w:b w:val="0"/>
                <w:bCs/>
                <w:color w:val="auto"/>
                <w:sz w:val="22"/>
                <w:szCs w:val="21"/>
                <w:lang w:val="en-US" w:eastAsia="zh-CN"/>
              </w:rPr>
              <w:br w:type="textWrapping"/>
            </w:r>
            <w:r>
              <w:rPr>
                <w:rFonts w:hint="eastAsia"/>
                <w:b w:val="0"/>
                <w:bCs/>
                <w:color w:val="auto"/>
                <w:sz w:val="22"/>
                <w:szCs w:val="21"/>
                <w:lang w:val="en-US" w:eastAsia="zh-CN"/>
              </w:rPr>
              <w:t>重量：3.6kg</w:t>
            </w:r>
          </w:p>
        </w:tc>
        <w:tc>
          <w:tcPr>
            <w:tcW w:w="1030" w:type="dxa"/>
            <w:gridSpan w:val="6"/>
            <w:tcBorders>
              <w:top w:val="single" w:color="000000" w:sz="4" w:space="0"/>
              <w:left w:val="single" w:color="000000" w:sz="4" w:space="0"/>
              <w:bottom w:val="single" w:color="000000" w:sz="4" w:space="0"/>
              <w:right w:val="single" w:color="000000" w:sz="4" w:space="0"/>
            </w:tcBorders>
            <w:noWrap w:val="0"/>
            <w:vAlign w:val="center"/>
          </w:tcPr>
          <w:p w14:paraId="33805D40">
            <w:pPr>
              <w:rPr>
                <w:rFonts w:hint="eastAsia"/>
                <w:b w:val="0"/>
                <w:bCs/>
                <w:color w:val="auto"/>
                <w:sz w:val="22"/>
                <w:szCs w:val="21"/>
              </w:rPr>
            </w:pPr>
            <w:r>
              <w:rPr>
                <w:rFonts w:hint="eastAsia"/>
                <w:b w:val="0"/>
                <w:bCs/>
                <w:color w:val="auto"/>
                <w:sz w:val="22"/>
                <w:szCs w:val="21"/>
                <w:lang w:val="en-US" w:eastAsia="zh-CN"/>
              </w:rPr>
              <w:t>1</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1820407A">
            <w:pPr>
              <w:rPr>
                <w:rFonts w:hint="eastAsia"/>
                <w:b w:val="0"/>
                <w:bCs/>
                <w:color w:val="auto"/>
                <w:sz w:val="22"/>
                <w:szCs w:val="21"/>
              </w:rPr>
            </w:pPr>
            <w:r>
              <w:rPr>
                <w:rFonts w:hint="eastAsia"/>
                <w:b w:val="0"/>
                <w:bCs/>
                <w:color w:val="auto"/>
                <w:sz w:val="22"/>
                <w:szCs w:val="21"/>
                <w:lang w:val="en-US" w:eastAsia="zh-CN"/>
              </w:rPr>
              <w:t>台</w:t>
            </w:r>
          </w:p>
        </w:tc>
      </w:tr>
      <w:tr w14:paraId="08933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1653B693">
            <w:pPr>
              <w:rPr>
                <w:rFonts w:hint="eastAsia"/>
                <w:b w:val="0"/>
                <w:bCs/>
                <w:color w:val="auto"/>
                <w:sz w:val="22"/>
                <w:szCs w:val="21"/>
              </w:rPr>
            </w:pPr>
            <w:r>
              <w:rPr>
                <w:rFonts w:hint="eastAsia"/>
                <w:b w:val="0"/>
                <w:bCs/>
                <w:color w:val="auto"/>
                <w:sz w:val="22"/>
                <w:szCs w:val="21"/>
                <w:lang w:val="en-US" w:eastAsia="zh-CN"/>
              </w:rPr>
              <w:t>3</w:t>
            </w:r>
          </w:p>
        </w:tc>
        <w:tc>
          <w:tcPr>
            <w:tcW w:w="1249" w:type="dxa"/>
            <w:gridSpan w:val="3"/>
            <w:tcBorders>
              <w:top w:val="single" w:color="000000" w:sz="4" w:space="0"/>
              <w:left w:val="single" w:color="000000" w:sz="4" w:space="0"/>
              <w:bottom w:val="single" w:color="000000" w:sz="4" w:space="0"/>
              <w:right w:val="single" w:color="000000" w:sz="4" w:space="0"/>
            </w:tcBorders>
            <w:noWrap w:val="0"/>
            <w:vAlign w:val="center"/>
          </w:tcPr>
          <w:p w14:paraId="67F17444">
            <w:pPr>
              <w:rPr>
                <w:rFonts w:hint="eastAsia"/>
                <w:b w:val="0"/>
                <w:bCs/>
                <w:color w:val="auto"/>
                <w:sz w:val="22"/>
                <w:szCs w:val="21"/>
              </w:rPr>
            </w:pPr>
            <w:r>
              <w:rPr>
                <w:rFonts w:hint="eastAsia"/>
                <w:b w:val="0"/>
                <w:bCs/>
                <w:color w:val="auto"/>
                <w:sz w:val="22"/>
                <w:szCs w:val="21"/>
                <w:lang w:val="en-US" w:eastAsia="zh-CN"/>
              </w:rPr>
              <w:t>音频处理器(含音频处理器软件V1.0.3)</w:t>
            </w:r>
          </w:p>
        </w:tc>
        <w:tc>
          <w:tcPr>
            <w:tcW w:w="8771" w:type="dxa"/>
            <w:gridSpan w:val="9"/>
            <w:tcBorders>
              <w:top w:val="single" w:color="000000" w:sz="4" w:space="0"/>
              <w:left w:val="single" w:color="000000" w:sz="4" w:space="0"/>
              <w:bottom w:val="single" w:color="000000" w:sz="4" w:space="0"/>
              <w:right w:val="single" w:color="000000" w:sz="4" w:space="0"/>
            </w:tcBorders>
            <w:noWrap w:val="0"/>
            <w:vAlign w:val="center"/>
          </w:tcPr>
          <w:p w14:paraId="5275668B">
            <w:pPr>
              <w:rPr>
                <w:rFonts w:hint="eastAsia"/>
                <w:b w:val="0"/>
                <w:bCs/>
                <w:color w:val="auto"/>
                <w:sz w:val="22"/>
                <w:szCs w:val="21"/>
              </w:rPr>
            </w:pPr>
            <w:r>
              <w:rPr>
                <w:rFonts w:hint="eastAsia"/>
                <w:b w:val="0"/>
                <w:bCs/>
                <w:color w:val="auto"/>
                <w:sz w:val="22"/>
                <w:szCs w:val="21"/>
                <w:lang w:val="en-US" w:eastAsia="zh-CN"/>
              </w:rPr>
              <w:t>产品描述：</w:t>
            </w:r>
            <w:r>
              <w:rPr>
                <w:rFonts w:hint="eastAsia"/>
                <w:b w:val="0"/>
                <w:bCs/>
                <w:color w:val="auto"/>
                <w:sz w:val="22"/>
                <w:szCs w:val="21"/>
                <w:lang w:val="en-US" w:eastAsia="zh-CN"/>
              </w:rPr>
              <w:br w:type="textWrapping"/>
            </w:r>
            <w:r>
              <w:rPr>
                <w:rFonts w:hint="eastAsia"/>
                <w:b w:val="0"/>
                <w:bCs/>
                <w:color w:val="auto"/>
                <w:sz w:val="22"/>
                <w:szCs w:val="21"/>
                <w:lang w:val="en-US" w:eastAsia="zh-CN"/>
              </w:rPr>
              <w:t>1U机柜式设计，双层双色双拼面板，彰显立体美感；</w:t>
            </w:r>
            <w:r>
              <w:rPr>
                <w:rFonts w:hint="eastAsia"/>
                <w:b w:val="0"/>
                <w:bCs/>
                <w:color w:val="auto"/>
                <w:sz w:val="22"/>
                <w:szCs w:val="21"/>
                <w:lang w:val="en-US" w:eastAsia="zh-CN"/>
              </w:rPr>
              <w:br w:type="textWrapping"/>
            </w:r>
            <w:r>
              <w:rPr>
                <w:rFonts w:hint="eastAsia"/>
                <w:b w:val="0"/>
                <w:bCs/>
                <w:color w:val="auto"/>
                <w:sz w:val="22"/>
                <w:szCs w:val="21"/>
                <w:lang w:val="en-US" w:eastAsia="zh-CN"/>
              </w:rPr>
              <w:t>96KHz采样频率，40-bit DSP处理器，24-bitA/D及D/A转换。</w:t>
            </w:r>
            <w:r>
              <w:rPr>
                <w:rFonts w:hint="eastAsia"/>
                <w:b w:val="0"/>
                <w:bCs/>
                <w:color w:val="auto"/>
                <w:sz w:val="22"/>
                <w:szCs w:val="21"/>
                <w:lang w:val="en-US" w:eastAsia="zh-CN"/>
              </w:rPr>
              <w:br w:type="textWrapping"/>
            </w:r>
            <w:r>
              <w:rPr>
                <w:rFonts w:hint="eastAsia"/>
                <w:b w:val="0"/>
                <w:bCs/>
                <w:color w:val="auto"/>
                <w:sz w:val="22"/>
                <w:szCs w:val="21"/>
                <w:lang w:val="en-US" w:eastAsia="zh-CN"/>
              </w:rPr>
              <w:t>2输入4输出，可灵活组合多种分频模式，高、低通分频点均可达20Hz-20KHz。</w:t>
            </w:r>
            <w:r>
              <w:rPr>
                <w:rFonts w:hint="eastAsia"/>
                <w:b w:val="0"/>
                <w:bCs/>
                <w:color w:val="auto"/>
                <w:sz w:val="22"/>
                <w:szCs w:val="21"/>
                <w:lang w:val="en-US" w:eastAsia="zh-CN"/>
              </w:rPr>
              <w:br w:type="textWrapping"/>
            </w:r>
            <w:r>
              <w:rPr>
                <w:rFonts w:hint="eastAsia"/>
                <w:b w:val="0"/>
                <w:bCs/>
                <w:color w:val="auto"/>
                <w:sz w:val="22"/>
                <w:szCs w:val="21"/>
                <w:lang w:val="en-US" w:eastAsia="zh-CN"/>
              </w:rPr>
              <w:t>每个输入通道具备15段独立的参量均衡，调节增益范围可达±20dB，均衡类型可选择PEQ、Lo-shelf、Hi-shelf、APL1阶全通滤波器、APL2阶全通滤波器。</w:t>
            </w:r>
            <w:r>
              <w:rPr>
                <w:rFonts w:hint="eastAsia"/>
                <w:b w:val="0"/>
                <w:bCs/>
                <w:color w:val="auto"/>
                <w:sz w:val="22"/>
                <w:szCs w:val="21"/>
                <w:lang w:val="en-US" w:eastAsia="zh-CN"/>
              </w:rPr>
              <w:br w:type="textWrapping"/>
            </w:r>
            <w:r>
              <w:rPr>
                <w:rFonts w:hint="eastAsia"/>
                <w:b w:val="0"/>
                <w:bCs/>
                <w:color w:val="auto"/>
                <w:sz w:val="22"/>
                <w:szCs w:val="21"/>
                <w:lang w:val="en-US" w:eastAsia="zh-CN"/>
              </w:rPr>
              <w:t>每个输出通道具备10段独立的参量均衡，调节增益范围可达±20dB，均衡类型可选择PEQ、Lo-shelf、Hi-shelf、APL1阶全通滤波器、APL2阶全通滤波器。</w:t>
            </w:r>
            <w:r>
              <w:rPr>
                <w:rFonts w:hint="eastAsia"/>
                <w:b w:val="0"/>
                <w:bCs/>
                <w:color w:val="auto"/>
                <w:sz w:val="22"/>
                <w:szCs w:val="21"/>
                <w:lang w:val="en-US" w:eastAsia="zh-CN"/>
              </w:rPr>
              <w:br w:type="textWrapping"/>
            </w:r>
            <w:r>
              <w:rPr>
                <w:rFonts w:hint="eastAsia"/>
                <w:b w:val="0"/>
                <w:bCs/>
                <w:color w:val="auto"/>
                <w:sz w:val="22"/>
                <w:szCs w:val="21"/>
                <w:lang w:val="en-US" w:eastAsia="zh-CN"/>
              </w:rPr>
              <w:t>每个输入和输出均有延时和相位控制及静音设置，延时最长可达1000ms，延时单位可选择毫秒(ms)、米(m)、英尺(ft)三种。</w:t>
            </w:r>
            <w:r>
              <w:rPr>
                <w:rFonts w:hint="eastAsia"/>
                <w:b w:val="0"/>
                <w:bCs/>
                <w:color w:val="auto"/>
                <w:sz w:val="22"/>
                <w:szCs w:val="21"/>
                <w:lang w:val="en-US" w:eastAsia="zh-CN"/>
              </w:rPr>
              <w:br w:type="textWrapping"/>
            </w:r>
            <w:r>
              <w:rPr>
                <w:rFonts w:hint="eastAsia"/>
                <w:b w:val="0"/>
                <w:bCs/>
                <w:color w:val="auto"/>
                <w:sz w:val="22"/>
                <w:szCs w:val="21"/>
                <w:lang w:val="en-US" w:eastAsia="zh-CN"/>
              </w:rPr>
              <w:t>每个输入通道支持低切功能，低切频率范围为20Hz-200Hz。</w:t>
            </w:r>
            <w:r>
              <w:rPr>
                <w:rFonts w:hint="eastAsia"/>
                <w:b w:val="0"/>
                <w:bCs/>
                <w:color w:val="auto"/>
                <w:sz w:val="22"/>
                <w:szCs w:val="21"/>
                <w:lang w:val="en-US" w:eastAsia="zh-CN"/>
              </w:rPr>
              <w:br w:type="textWrapping"/>
            </w:r>
            <w:r>
              <w:rPr>
                <w:rFonts w:hint="eastAsia"/>
                <w:b w:val="0"/>
                <w:bCs/>
                <w:color w:val="auto"/>
                <w:sz w:val="22"/>
                <w:szCs w:val="21"/>
                <w:lang w:val="en-US" w:eastAsia="zh-CN"/>
              </w:rPr>
              <w:t>每个输入通道具备可调噪声门，并且每个输入通道支持自动增益控制（AGC）。</w:t>
            </w:r>
            <w:r>
              <w:rPr>
                <w:rFonts w:hint="eastAsia"/>
                <w:b w:val="0"/>
                <w:bCs/>
                <w:color w:val="auto"/>
                <w:sz w:val="22"/>
                <w:szCs w:val="21"/>
                <w:lang w:val="en-US" w:eastAsia="zh-CN"/>
              </w:rPr>
              <w:br w:type="textWrapping"/>
            </w:r>
            <w:r>
              <w:rPr>
                <w:rFonts w:hint="eastAsia"/>
                <w:b w:val="0"/>
                <w:bCs/>
                <w:color w:val="auto"/>
                <w:sz w:val="22"/>
                <w:szCs w:val="21"/>
                <w:lang w:val="en-US" w:eastAsia="zh-CN"/>
              </w:rPr>
              <w:t>每个输出通道具备增益控制、压限及选择输入通道信号。</w:t>
            </w:r>
            <w:r>
              <w:rPr>
                <w:rFonts w:hint="eastAsia"/>
                <w:b w:val="0"/>
                <w:bCs/>
                <w:color w:val="auto"/>
                <w:sz w:val="22"/>
                <w:szCs w:val="21"/>
                <w:lang w:val="en-US" w:eastAsia="zh-CN"/>
              </w:rPr>
              <w:br w:type="textWrapping"/>
            </w:r>
            <w:r>
              <w:rPr>
                <w:rFonts w:hint="eastAsia"/>
                <w:b w:val="0"/>
                <w:bCs/>
                <w:color w:val="auto"/>
                <w:sz w:val="22"/>
                <w:szCs w:val="21"/>
                <w:lang w:val="en-US" w:eastAsia="zh-CN"/>
              </w:rPr>
              <w:t>输入通道之间、输出通道之间支持通道联调。</w:t>
            </w:r>
            <w:r>
              <w:rPr>
                <w:rFonts w:hint="eastAsia"/>
                <w:b w:val="0"/>
                <w:bCs/>
                <w:color w:val="auto"/>
                <w:sz w:val="22"/>
                <w:szCs w:val="21"/>
                <w:lang w:val="en-US" w:eastAsia="zh-CN"/>
              </w:rPr>
              <w:br w:type="textWrapping"/>
            </w:r>
            <w:r>
              <w:rPr>
                <w:rFonts w:hint="eastAsia"/>
                <w:b w:val="0"/>
                <w:bCs/>
                <w:color w:val="auto"/>
                <w:sz w:val="22"/>
                <w:szCs w:val="21"/>
                <w:lang w:val="en-US" w:eastAsia="zh-CN"/>
              </w:rPr>
              <w:t>可以通过面板的功能键和拔轮、PC客户端进行功能设置，直观和简洁。</w:t>
            </w:r>
            <w:r>
              <w:rPr>
                <w:rFonts w:hint="eastAsia"/>
                <w:b w:val="0"/>
                <w:bCs/>
                <w:color w:val="auto"/>
                <w:sz w:val="22"/>
                <w:szCs w:val="21"/>
                <w:lang w:val="en-US" w:eastAsia="zh-CN"/>
              </w:rPr>
              <w:br w:type="textWrapping"/>
            </w:r>
            <w:r>
              <w:rPr>
                <w:rFonts w:hint="eastAsia"/>
                <w:b w:val="0"/>
                <w:bCs/>
                <w:color w:val="auto"/>
                <w:sz w:val="22"/>
                <w:szCs w:val="21"/>
                <w:lang w:val="en-US" w:eastAsia="zh-CN"/>
              </w:rPr>
              <w:t>可通过USB、WIFI、有线网络连接电脑实现远程控制。</w:t>
            </w:r>
            <w:r>
              <w:rPr>
                <w:rFonts w:hint="eastAsia"/>
                <w:b w:val="0"/>
                <w:bCs/>
                <w:color w:val="auto"/>
                <w:sz w:val="22"/>
                <w:szCs w:val="21"/>
                <w:lang w:val="en-US" w:eastAsia="zh-CN"/>
              </w:rPr>
              <w:br w:type="textWrapping"/>
            </w:r>
            <w:r>
              <w:rPr>
                <w:rFonts w:hint="eastAsia"/>
                <w:b w:val="0"/>
                <w:bCs/>
                <w:color w:val="auto"/>
                <w:sz w:val="22"/>
                <w:szCs w:val="21"/>
                <w:lang w:val="en-US" w:eastAsia="zh-CN"/>
              </w:rPr>
              <w:t>可以通过RS-485接口连接中控主机来实现主要参数的修改和程序的调用。</w:t>
            </w:r>
            <w:r>
              <w:rPr>
                <w:rFonts w:hint="eastAsia"/>
                <w:b w:val="0"/>
                <w:bCs/>
                <w:color w:val="auto"/>
                <w:sz w:val="22"/>
                <w:szCs w:val="21"/>
                <w:lang w:val="en-US" w:eastAsia="zh-CN"/>
              </w:rPr>
              <w:br w:type="textWrapping"/>
            </w:r>
            <w:r>
              <w:rPr>
                <w:rFonts w:hint="eastAsia"/>
                <w:b w:val="0"/>
                <w:bCs/>
                <w:color w:val="auto"/>
                <w:sz w:val="22"/>
                <w:szCs w:val="21"/>
                <w:lang w:val="en-US" w:eastAsia="zh-CN"/>
              </w:rPr>
              <w:t>可通过面板的SYSTEM按键来设定密码锁定面板控制功能，以防止参数被修改。</w:t>
            </w:r>
            <w:r>
              <w:rPr>
                <w:rFonts w:hint="eastAsia"/>
                <w:b w:val="0"/>
                <w:bCs/>
                <w:color w:val="auto"/>
                <w:sz w:val="22"/>
                <w:szCs w:val="21"/>
                <w:lang w:val="en-US" w:eastAsia="zh-CN"/>
              </w:rPr>
              <w:br w:type="textWrapping"/>
            </w:r>
            <w:r>
              <w:rPr>
                <w:rFonts w:hint="eastAsia"/>
                <w:b w:val="0"/>
                <w:bCs/>
                <w:color w:val="auto"/>
                <w:sz w:val="22"/>
                <w:szCs w:val="21"/>
                <w:lang w:val="en-US" w:eastAsia="zh-CN"/>
              </w:rPr>
              <w:t>内置信号发生器，支持正弦波、白噪声、粉红噪声，在不需要外部输入信号的情况下，即可对扩声系统进行测试；</w:t>
            </w:r>
            <w:r>
              <w:rPr>
                <w:rFonts w:hint="eastAsia"/>
                <w:b w:val="0"/>
                <w:bCs/>
                <w:color w:val="auto"/>
                <w:sz w:val="22"/>
                <w:szCs w:val="21"/>
                <w:lang w:val="en-US" w:eastAsia="zh-CN"/>
              </w:rPr>
              <w:br w:type="textWrapping"/>
            </w:r>
            <w:r>
              <w:rPr>
                <w:rFonts w:hint="eastAsia"/>
                <w:b w:val="0"/>
                <w:bCs/>
                <w:color w:val="auto"/>
                <w:sz w:val="22"/>
                <w:szCs w:val="21"/>
                <w:lang w:val="en-US" w:eastAsia="zh-CN"/>
              </w:rPr>
              <w:t>单机可存储16种用户程序。</w:t>
            </w:r>
            <w:r>
              <w:rPr>
                <w:rFonts w:hint="eastAsia"/>
                <w:b w:val="0"/>
                <w:bCs/>
                <w:color w:val="auto"/>
                <w:sz w:val="22"/>
                <w:szCs w:val="21"/>
                <w:lang w:val="en-US" w:eastAsia="zh-CN"/>
              </w:rPr>
              <w:br w:type="textWrapping"/>
            </w:r>
            <w:r>
              <w:rPr>
                <w:rFonts w:hint="eastAsia"/>
                <w:b w:val="0"/>
                <w:bCs/>
                <w:color w:val="auto"/>
                <w:sz w:val="22"/>
                <w:szCs w:val="21"/>
                <w:lang w:val="en-US" w:eastAsia="zh-CN"/>
              </w:rPr>
              <w:t>PC客户端内置中控控制代码文件、并支持实现一键中英文切换。</w:t>
            </w:r>
            <w:r>
              <w:rPr>
                <w:rFonts w:hint="eastAsia"/>
                <w:b w:val="0"/>
                <w:bCs/>
                <w:color w:val="auto"/>
                <w:sz w:val="22"/>
                <w:szCs w:val="21"/>
                <w:lang w:val="en-US" w:eastAsia="zh-CN"/>
              </w:rPr>
              <w:br w:type="textWrapping"/>
            </w:r>
            <w:r>
              <w:rPr>
                <w:rFonts w:hint="eastAsia"/>
                <w:b w:val="0"/>
                <w:bCs/>
                <w:color w:val="auto"/>
                <w:sz w:val="22"/>
                <w:szCs w:val="21"/>
                <w:lang w:val="en-US" w:eastAsia="zh-CN"/>
              </w:rPr>
              <w:t>技术参数：</w:t>
            </w:r>
            <w:r>
              <w:rPr>
                <w:rFonts w:hint="eastAsia"/>
                <w:b w:val="0"/>
                <w:bCs/>
                <w:color w:val="auto"/>
                <w:sz w:val="22"/>
                <w:szCs w:val="21"/>
                <w:lang w:val="en-US" w:eastAsia="zh-CN"/>
              </w:rPr>
              <w:br w:type="textWrapping"/>
            </w:r>
            <w:r>
              <w:rPr>
                <w:rFonts w:hint="eastAsia"/>
                <w:b w:val="0"/>
                <w:bCs/>
                <w:color w:val="auto"/>
                <w:sz w:val="22"/>
                <w:szCs w:val="21"/>
                <w:lang w:val="en-US" w:eastAsia="zh-CN"/>
              </w:rPr>
              <w:t>输入通道及插座：2路XLR母卡侬座</w:t>
            </w:r>
            <w:r>
              <w:rPr>
                <w:rFonts w:hint="eastAsia"/>
                <w:b w:val="0"/>
                <w:bCs/>
                <w:color w:val="auto"/>
                <w:sz w:val="22"/>
                <w:szCs w:val="21"/>
                <w:lang w:val="en-US" w:eastAsia="zh-CN"/>
              </w:rPr>
              <w:br w:type="textWrapping"/>
            </w:r>
            <w:r>
              <w:rPr>
                <w:rFonts w:hint="eastAsia"/>
                <w:b w:val="0"/>
                <w:bCs/>
                <w:color w:val="auto"/>
                <w:sz w:val="22"/>
                <w:szCs w:val="21"/>
                <w:lang w:val="en-US" w:eastAsia="zh-CN"/>
              </w:rPr>
              <w:t>输出通道及插座：4路XLR公卡侬座</w:t>
            </w:r>
            <w:r>
              <w:rPr>
                <w:rFonts w:hint="eastAsia"/>
                <w:b w:val="0"/>
                <w:bCs/>
                <w:color w:val="auto"/>
                <w:sz w:val="22"/>
                <w:szCs w:val="21"/>
                <w:lang w:val="en-US" w:eastAsia="zh-CN"/>
              </w:rPr>
              <w:br w:type="textWrapping"/>
            </w:r>
            <w:r>
              <w:rPr>
                <w:rFonts w:hint="eastAsia"/>
                <w:b w:val="0"/>
                <w:bCs/>
                <w:color w:val="auto"/>
                <w:sz w:val="22"/>
                <w:szCs w:val="21"/>
                <w:lang w:val="en-US" w:eastAsia="zh-CN"/>
              </w:rPr>
              <w:t>输入阻抗：平衡：20KΩ</w:t>
            </w:r>
            <w:r>
              <w:rPr>
                <w:rFonts w:hint="eastAsia"/>
                <w:b w:val="0"/>
                <w:bCs/>
                <w:color w:val="auto"/>
                <w:sz w:val="22"/>
                <w:szCs w:val="21"/>
                <w:lang w:val="en-US" w:eastAsia="zh-CN"/>
              </w:rPr>
              <w:br w:type="textWrapping"/>
            </w:r>
            <w:r>
              <w:rPr>
                <w:rFonts w:hint="eastAsia"/>
                <w:b w:val="0"/>
                <w:bCs/>
                <w:color w:val="auto"/>
                <w:sz w:val="22"/>
                <w:szCs w:val="21"/>
                <w:lang w:val="en-US" w:eastAsia="zh-CN"/>
              </w:rPr>
              <w:t>输出阻抗：平衡：100Ω</w:t>
            </w:r>
            <w:r>
              <w:rPr>
                <w:rFonts w:hint="eastAsia"/>
                <w:b w:val="0"/>
                <w:bCs/>
                <w:color w:val="auto"/>
                <w:sz w:val="22"/>
                <w:szCs w:val="21"/>
                <w:lang w:val="en-US" w:eastAsia="zh-CN"/>
              </w:rPr>
              <w:br w:type="textWrapping"/>
            </w:r>
            <w:r>
              <w:rPr>
                <w:rFonts w:hint="eastAsia"/>
                <w:b w:val="0"/>
                <w:bCs/>
                <w:color w:val="auto"/>
                <w:sz w:val="22"/>
                <w:szCs w:val="21"/>
                <w:lang w:val="en-US" w:eastAsia="zh-CN"/>
              </w:rPr>
              <w:t>PC接口：面板1个USB接口、后板1个TCP/IP接口(RJ-45座)</w:t>
            </w:r>
            <w:r>
              <w:rPr>
                <w:rFonts w:hint="eastAsia"/>
                <w:b w:val="0"/>
                <w:bCs/>
                <w:color w:val="auto"/>
                <w:sz w:val="22"/>
                <w:szCs w:val="21"/>
                <w:lang w:val="en-US" w:eastAsia="zh-CN"/>
              </w:rPr>
              <w:br w:type="textWrapping"/>
            </w:r>
            <w:r>
              <w:rPr>
                <w:rFonts w:hint="eastAsia"/>
                <w:b w:val="0"/>
                <w:bCs/>
                <w:color w:val="auto"/>
                <w:sz w:val="22"/>
                <w:szCs w:val="21"/>
                <w:lang w:val="en-US" w:eastAsia="zh-CN"/>
              </w:rPr>
              <w:t>共模拟制比：&gt;70dB(1KHz)</w:t>
            </w:r>
            <w:r>
              <w:rPr>
                <w:rFonts w:hint="eastAsia"/>
                <w:b w:val="0"/>
                <w:bCs/>
                <w:color w:val="auto"/>
                <w:sz w:val="22"/>
                <w:szCs w:val="21"/>
                <w:lang w:val="en-US" w:eastAsia="zh-CN"/>
              </w:rPr>
              <w:br w:type="textWrapping"/>
            </w:r>
            <w:r>
              <w:rPr>
                <w:rFonts w:hint="eastAsia"/>
                <w:b w:val="0"/>
                <w:bCs/>
                <w:color w:val="auto"/>
                <w:sz w:val="22"/>
                <w:szCs w:val="21"/>
                <w:lang w:val="en-US" w:eastAsia="zh-CN"/>
              </w:rPr>
              <w:t>输入范围：≤+18dBu。</w:t>
            </w:r>
            <w:r>
              <w:rPr>
                <w:rFonts w:hint="eastAsia"/>
                <w:b w:val="0"/>
                <w:bCs/>
                <w:color w:val="auto"/>
                <w:sz w:val="22"/>
                <w:szCs w:val="21"/>
                <w:lang w:val="en-US" w:eastAsia="zh-CN"/>
              </w:rPr>
              <w:br w:type="textWrapping"/>
            </w:r>
            <w:r>
              <w:rPr>
                <w:rFonts w:hint="eastAsia"/>
                <w:b w:val="0"/>
                <w:bCs/>
                <w:color w:val="auto"/>
                <w:sz w:val="22"/>
                <w:szCs w:val="21"/>
                <w:lang w:val="en-US" w:eastAsia="zh-CN"/>
              </w:rPr>
              <w:t>频率响应：20Hz-20KHz(-0.5dB)</w:t>
            </w:r>
            <w:r>
              <w:rPr>
                <w:rFonts w:hint="eastAsia"/>
                <w:b w:val="0"/>
                <w:bCs/>
                <w:color w:val="auto"/>
                <w:sz w:val="22"/>
                <w:szCs w:val="21"/>
                <w:lang w:val="en-US" w:eastAsia="zh-CN"/>
              </w:rPr>
              <w:br w:type="textWrapping"/>
            </w:r>
            <w:r>
              <w:rPr>
                <w:rFonts w:hint="eastAsia"/>
                <w:b w:val="0"/>
                <w:bCs/>
                <w:color w:val="auto"/>
                <w:sz w:val="22"/>
                <w:szCs w:val="21"/>
                <w:lang w:val="en-US" w:eastAsia="zh-CN"/>
              </w:rPr>
              <w:t>信噪比：&gt;108dB</w:t>
            </w:r>
            <w:r>
              <w:rPr>
                <w:rFonts w:hint="eastAsia"/>
                <w:b w:val="0"/>
                <w:bCs/>
                <w:color w:val="auto"/>
                <w:sz w:val="22"/>
                <w:szCs w:val="21"/>
                <w:lang w:val="en-US" w:eastAsia="zh-CN"/>
              </w:rPr>
              <w:br w:type="textWrapping"/>
            </w:r>
            <w:r>
              <w:rPr>
                <w:rFonts w:hint="eastAsia"/>
                <w:b w:val="0"/>
                <w:bCs/>
                <w:color w:val="auto"/>
                <w:sz w:val="22"/>
                <w:szCs w:val="21"/>
                <w:lang w:val="en-US" w:eastAsia="zh-CN"/>
              </w:rPr>
              <w:t>底噪水平：≤-85dBu</w:t>
            </w:r>
            <w:r>
              <w:rPr>
                <w:rFonts w:hint="eastAsia"/>
                <w:b w:val="0"/>
                <w:bCs/>
                <w:color w:val="auto"/>
                <w:sz w:val="22"/>
                <w:szCs w:val="21"/>
                <w:lang w:val="en-US" w:eastAsia="zh-CN"/>
              </w:rPr>
              <w:br w:type="textWrapping"/>
            </w:r>
            <w:r>
              <w:rPr>
                <w:rFonts w:hint="eastAsia"/>
                <w:b w:val="0"/>
                <w:bCs/>
                <w:color w:val="auto"/>
                <w:sz w:val="22"/>
                <w:szCs w:val="21"/>
                <w:lang w:val="en-US" w:eastAsia="zh-CN"/>
              </w:rPr>
              <w:t>失真度：&lt;0.01% OUTPUT=0dBu/1KHz</w:t>
            </w:r>
            <w:r>
              <w:rPr>
                <w:rFonts w:hint="eastAsia"/>
                <w:b w:val="0"/>
                <w:bCs/>
                <w:color w:val="auto"/>
                <w:sz w:val="22"/>
                <w:szCs w:val="21"/>
                <w:lang w:val="en-US" w:eastAsia="zh-CN"/>
              </w:rPr>
              <w:br w:type="textWrapping"/>
            </w:r>
            <w:r>
              <w:rPr>
                <w:rFonts w:hint="eastAsia"/>
                <w:b w:val="0"/>
                <w:bCs/>
                <w:color w:val="auto"/>
                <w:sz w:val="22"/>
                <w:szCs w:val="21"/>
                <w:lang w:val="en-US" w:eastAsia="zh-CN"/>
              </w:rPr>
              <w:t>通道分离度：&gt;110dB(1KHz)</w:t>
            </w:r>
            <w:r>
              <w:rPr>
                <w:rFonts w:hint="eastAsia"/>
                <w:b w:val="0"/>
                <w:bCs/>
                <w:color w:val="auto"/>
                <w:sz w:val="22"/>
                <w:szCs w:val="21"/>
                <w:lang w:val="en-US" w:eastAsia="zh-CN"/>
              </w:rPr>
              <w:br w:type="textWrapping"/>
            </w:r>
            <w:r>
              <w:rPr>
                <w:rFonts w:hint="eastAsia"/>
                <w:b w:val="0"/>
                <w:bCs/>
                <w:color w:val="auto"/>
                <w:sz w:val="22"/>
                <w:szCs w:val="21"/>
                <w:lang w:val="en-US" w:eastAsia="zh-CN"/>
              </w:rPr>
              <w:t>输入通道功能:</w:t>
            </w:r>
            <w:r>
              <w:rPr>
                <w:rFonts w:hint="eastAsia"/>
                <w:b w:val="0"/>
                <w:bCs/>
                <w:color w:val="auto"/>
                <w:sz w:val="22"/>
                <w:szCs w:val="21"/>
                <w:lang w:val="en-US" w:eastAsia="zh-CN"/>
              </w:rPr>
              <w:br w:type="textWrapping"/>
            </w:r>
            <w:r>
              <w:rPr>
                <w:rFonts w:hint="eastAsia"/>
                <w:b w:val="0"/>
                <w:bCs/>
                <w:color w:val="auto"/>
                <w:sz w:val="22"/>
                <w:szCs w:val="21"/>
                <w:lang w:val="en-US" w:eastAsia="zh-CN"/>
              </w:rPr>
              <w:t>静音：每个通道设立单独静音控制</w:t>
            </w:r>
            <w:r>
              <w:rPr>
                <w:rFonts w:hint="eastAsia"/>
                <w:b w:val="0"/>
                <w:bCs/>
                <w:color w:val="auto"/>
                <w:sz w:val="22"/>
                <w:szCs w:val="21"/>
                <w:lang w:val="en-US" w:eastAsia="zh-CN"/>
              </w:rPr>
              <w:br w:type="textWrapping"/>
            </w:r>
            <w:r>
              <w:rPr>
                <w:rFonts w:hint="eastAsia"/>
                <w:b w:val="0"/>
                <w:bCs/>
                <w:color w:val="auto"/>
                <w:sz w:val="22"/>
                <w:szCs w:val="21"/>
                <w:lang w:val="en-US" w:eastAsia="zh-CN"/>
              </w:rPr>
              <w:t>增益：调节范围：-60dB - +12dB、步距为1dB</w:t>
            </w:r>
            <w:r>
              <w:rPr>
                <w:rFonts w:hint="eastAsia"/>
                <w:b w:val="0"/>
                <w:bCs/>
                <w:color w:val="auto"/>
                <w:sz w:val="22"/>
                <w:szCs w:val="21"/>
                <w:lang w:val="en-US" w:eastAsia="zh-CN"/>
              </w:rPr>
              <w:br w:type="textWrapping"/>
            </w:r>
            <w:r>
              <w:rPr>
                <w:rFonts w:hint="eastAsia"/>
                <w:b w:val="0"/>
                <w:bCs/>
                <w:color w:val="auto"/>
                <w:sz w:val="22"/>
                <w:szCs w:val="21"/>
                <w:lang w:val="en-US" w:eastAsia="zh-CN"/>
              </w:rPr>
              <w:t>延时：每个输入通道有单独延时控制，调节范围0-1000ms，小于10ms，步距21us。10ms-20ms，步距42us。大于20ms，步距1ms</w:t>
            </w:r>
            <w:r>
              <w:rPr>
                <w:rFonts w:hint="eastAsia"/>
                <w:b w:val="0"/>
                <w:bCs/>
                <w:color w:val="auto"/>
                <w:sz w:val="22"/>
                <w:szCs w:val="21"/>
                <w:lang w:val="en-US" w:eastAsia="zh-CN"/>
              </w:rPr>
              <w:br w:type="textWrapping"/>
            </w:r>
            <w:r>
              <w:rPr>
                <w:rFonts w:hint="eastAsia"/>
                <w:b w:val="0"/>
                <w:bCs/>
                <w:color w:val="auto"/>
                <w:sz w:val="22"/>
                <w:szCs w:val="21"/>
                <w:lang w:val="en-US" w:eastAsia="zh-CN"/>
              </w:rPr>
              <w:t>相位：同相(+) 或反相(-)</w:t>
            </w:r>
            <w:r>
              <w:rPr>
                <w:rFonts w:hint="eastAsia"/>
                <w:b w:val="0"/>
                <w:bCs/>
                <w:color w:val="auto"/>
                <w:sz w:val="22"/>
                <w:szCs w:val="21"/>
                <w:lang w:val="en-US" w:eastAsia="zh-CN"/>
              </w:rPr>
              <w:br w:type="textWrapping"/>
            </w:r>
            <w:r>
              <w:rPr>
                <w:rFonts w:hint="eastAsia"/>
                <w:b w:val="0"/>
                <w:bCs/>
                <w:color w:val="auto"/>
                <w:sz w:val="22"/>
                <w:szCs w:val="21"/>
                <w:lang w:val="en-US" w:eastAsia="zh-CN"/>
              </w:rPr>
              <w:t>均衡：15个参量均衡，中心频率点：20Hz-20KHz、滤波器类型：PEQ、Lo-shelf、Hi-shelf、APL1阶、APL2、增益：-20dB-+20dB、步距0.1dB"</w:t>
            </w:r>
            <w:r>
              <w:rPr>
                <w:rFonts w:hint="eastAsia"/>
                <w:b w:val="0"/>
                <w:bCs/>
                <w:color w:val="auto"/>
                <w:sz w:val="22"/>
                <w:szCs w:val="21"/>
                <w:lang w:val="en-US" w:eastAsia="zh-CN"/>
              </w:rPr>
              <w:br w:type="textWrapping"/>
            </w:r>
            <w:r>
              <w:rPr>
                <w:rFonts w:hint="eastAsia"/>
                <w:b w:val="0"/>
                <w:bCs/>
                <w:color w:val="auto"/>
                <w:sz w:val="22"/>
                <w:szCs w:val="21"/>
                <w:lang w:val="en-US" w:eastAsia="zh-CN"/>
              </w:rPr>
              <w:t>输出通道功能:</w:t>
            </w:r>
            <w:r>
              <w:rPr>
                <w:rFonts w:hint="eastAsia"/>
                <w:b w:val="0"/>
                <w:bCs/>
                <w:color w:val="auto"/>
                <w:sz w:val="22"/>
                <w:szCs w:val="21"/>
                <w:lang w:val="en-US" w:eastAsia="zh-CN"/>
              </w:rPr>
              <w:br w:type="textWrapping"/>
            </w:r>
            <w:r>
              <w:rPr>
                <w:rFonts w:hint="eastAsia"/>
                <w:b w:val="0"/>
                <w:bCs/>
                <w:color w:val="auto"/>
                <w:sz w:val="22"/>
                <w:szCs w:val="21"/>
                <w:lang w:val="en-US" w:eastAsia="zh-CN"/>
              </w:rPr>
              <w:t>静音：每个通道设立单独静音控制</w:t>
            </w:r>
            <w:r>
              <w:rPr>
                <w:rFonts w:hint="eastAsia"/>
                <w:b w:val="0"/>
                <w:bCs/>
                <w:color w:val="auto"/>
                <w:sz w:val="22"/>
                <w:szCs w:val="21"/>
                <w:lang w:val="en-US" w:eastAsia="zh-CN"/>
              </w:rPr>
              <w:br w:type="textWrapping"/>
            </w:r>
            <w:r>
              <w:rPr>
                <w:rFonts w:hint="eastAsia"/>
                <w:b w:val="0"/>
                <w:bCs/>
                <w:color w:val="auto"/>
                <w:sz w:val="22"/>
                <w:szCs w:val="21"/>
                <w:lang w:val="en-US" w:eastAsia="zh-CN"/>
              </w:rPr>
              <w:t>路由：每个输出通道可单独选择不同的输入通道，也可以选择输入通道的任意组合</w:t>
            </w:r>
            <w:r>
              <w:rPr>
                <w:rFonts w:hint="eastAsia"/>
                <w:b w:val="0"/>
                <w:bCs/>
                <w:color w:val="auto"/>
                <w:sz w:val="22"/>
                <w:szCs w:val="21"/>
                <w:lang w:val="en-US" w:eastAsia="zh-CN"/>
              </w:rPr>
              <w:br w:type="textWrapping"/>
            </w:r>
            <w:r>
              <w:rPr>
                <w:rFonts w:hint="eastAsia"/>
                <w:b w:val="0"/>
                <w:bCs/>
                <w:color w:val="auto"/>
                <w:sz w:val="22"/>
                <w:szCs w:val="21"/>
                <w:lang w:val="en-US" w:eastAsia="zh-CN"/>
              </w:rPr>
              <w:t>增益：调节范围：-60dB - +12dB、步距为1dB</w:t>
            </w:r>
            <w:r>
              <w:rPr>
                <w:rFonts w:hint="eastAsia"/>
                <w:b w:val="0"/>
                <w:bCs/>
                <w:color w:val="auto"/>
                <w:sz w:val="22"/>
                <w:szCs w:val="21"/>
                <w:lang w:val="en-US" w:eastAsia="zh-CN"/>
              </w:rPr>
              <w:br w:type="textWrapping"/>
            </w:r>
            <w:r>
              <w:rPr>
                <w:rFonts w:hint="eastAsia"/>
                <w:b w:val="0"/>
                <w:bCs/>
                <w:color w:val="auto"/>
                <w:sz w:val="22"/>
                <w:szCs w:val="21"/>
                <w:lang w:val="en-US" w:eastAsia="zh-CN"/>
              </w:rPr>
              <w:t>延时：每个输出通道有单独延时控制，调节范围0-1000ms，小于10ms，步距为21us。10ms- 20ms，步距为84us。大于20ms，步距为0.5ms</w:t>
            </w:r>
            <w:r>
              <w:rPr>
                <w:rFonts w:hint="eastAsia"/>
                <w:b w:val="0"/>
                <w:bCs/>
                <w:color w:val="auto"/>
                <w:sz w:val="22"/>
                <w:szCs w:val="21"/>
                <w:lang w:val="en-US" w:eastAsia="zh-CN"/>
              </w:rPr>
              <w:br w:type="textWrapping"/>
            </w:r>
            <w:r>
              <w:rPr>
                <w:rFonts w:hint="eastAsia"/>
                <w:b w:val="0"/>
                <w:bCs/>
                <w:color w:val="auto"/>
                <w:sz w:val="22"/>
                <w:szCs w:val="21"/>
                <w:lang w:val="en-US" w:eastAsia="zh-CN"/>
              </w:rPr>
              <w:t>相位：同相(+) 或反相 (-)</w:t>
            </w:r>
            <w:r>
              <w:rPr>
                <w:rFonts w:hint="eastAsia"/>
                <w:b w:val="0"/>
                <w:bCs/>
                <w:color w:val="auto"/>
                <w:sz w:val="22"/>
                <w:szCs w:val="21"/>
                <w:lang w:val="en-US" w:eastAsia="zh-CN"/>
              </w:rPr>
              <w:br w:type="textWrapping"/>
            </w:r>
            <w:r>
              <w:rPr>
                <w:rFonts w:hint="eastAsia"/>
                <w:b w:val="0"/>
                <w:bCs/>
                <w:color w:val="auto"/>
                <w:sz w:val="22"/>
                <w:szCs w:val="21"/>
                <w:lang w:val="en-US" w:eastAsia="zh-CN"/>
              </w:rPr>
              <w:t>分频器：每个输出通道可单独设置低通滤波器（LPF）和高通滤波器（HPF），可调整参数为：滤波器类型：Linkwitz-Riley/Bessel/Butterworth，频率转折点：20Hz-20KHz、衰减斜率：12dB/oct、18dB/oct、24dB/oct、36dB/oct、48dB/oct</w:t>
            </w:r>
            <w:r>
              <w:rPr>
                <w:rFonts w:hint="eastAsia"/>
                <w:b w:val="0"/>
                <w:bCs/>
                <w:color w:val="auto"/>
                <w:sz w:val="22"/>
                <w:szCs w:val="21"/>
                <w:lang w:val="en-US" w:eastAsia="zh-CN"/>
              </w:rPr>
              <w:br w:type="textWrapping"/>
            </w:r>
            <w:r>
              <w:rPr>
                <w:rFonts w:hint="eastAsia"/>
                <w:b w:val="0"/>
                <w:bCs/>
                <w:color w:val="auto"/>
                <w:sz w:val="22"/>
                <w:szCs w:val="21"/>
                <w:lang w:val="en-US" w:eastAsia="zh-CN"/>
              </w:rPr>
              <w:t>限幅器：每个输出通道可单独设置限幅器，可调整参数为：门限值：-12dBu - +20dBu、步距为0.1dBu ，步距为1ms 释放时间：可设定为2倍、4倍、6倍、8倍、16倍起动时间。</w:t>
            </w:r>
            <w:r>
              <w:rPr>
                <w:rFonts w:hint="eastAsia"/>
                <w:b w:val="0"/>
                <w:bCs/>
                <w:color w:val="auto"/>
                <w:sz w:val="22"/>
                <w:szCs w:val="21"/>
                <w:lang w:val="en-US" w:eastAsia="zh-CN"/>
              </w:rPr>
              <w:br w:type="textWrapping"/>
            </w:r>
            <w:r>
              <w:rPr>
                <w:rFonts w:hint="eastAsia"/>
                <w:b w:val="0"/>
                <w:bCs/>
                <w:color w:val="auto"/>
                <w:sz w:val="22"/>
                <w:szCs w:val="21"/>
                <w:lang w:val="en-US" w:eastAsia="zh-CN"/>
              </w:rPr>
              <w:t>输出均衡：每个输出通道可设10个均衡，滤波器类型可选择PEQ、Lo-shelf、Hi-shelf、APL1阶、APL2。</w:t>
            </w:r>
            <w:r>
              <w:rPr>
                <w:rFonts w:hint="eastAsia"/>
                <w:b w:val="0"/>
                <w:bCs/>
                <w:color w:val="auto"/>
                <w:sz w:val="22"/>
                <w:szCs w:val="21"/>
                <w:lang w:val="en-US" w:eastAsia="zh-CN"/>
              </w:rPr>
              <w:br w:type="textWrapping"/>
            </w:r>
            <w:r>
              <w:rPr>
                <w:rFonts w:hint="eastAsia"/>
                <w:b w:val="0"/>
                <w:bCs/>
                <w:color w:val="auto"/>
                <w:sz w:val="22"/>
                <w:szCs w:val="21"/>
                <w:lang w:val="en-US" w:eastAsia="zh-CN"/>
              </w:rPr>
              <w:t>处理器：192KHz采样频率，40-bit DSP处理器，24-bit A/D及D/A转换</w:t>
            </w:r>
            <w:r>
              <w:rPr>
                <w:rFonts w:hint="eastAsia"/>
                <w:b w:val="0"/>
                <w:bCs/>
                <w:color w:val="auto"/>
                <w:sz w:val="22"/>
                <w:szCs w:val="21"/>
                <w:lang w:val="en-US" w:eastAsia="zh-CN"/>
              </w:rPr>
              <w:br w:type="textWrapping"/>
            </w:r>
            <w:r>
              <w:rPr>
                <w:rFonts w:hint="eastAsia"/>
                <w:b w:val="0"/>
                <w:bCs/>
                <w:color w:val="auto"/>
                <w:sz w:val="22"/>
                <w:szCs w:val="21"/>
                <w:lang w:val="en-US" w:eastAsia="zh-CN"/>
              </w:rPr>
              <w:t>显示：2×24 LCD蓝色背光显示设置，8段LED显示输入/输出的精确数字电平表、静音及编辑状态</w:t>
            </w:r>
            <w:r>
              <w:rPr>
                <w:rFonts w:hint="eastAsia"/>
                <w:b w:val="0"/>
                <w:bCs/>
                <w:color w:val="auto"/>
                <w:sz w:val="22"/>
                <w:szCs w:val="21"/>
                <w:lang w:val="en-US" w:eastAsia="zh-CN"/>
              </w:rPr>
              <w:br w:type="textWrapping"/>
            </w:r>
            <w:r>
              <w:rPr>
                <w:rFonts w:hint="eastAsia"/>
                <w:b w:val="0"/>
                <w:bCs/>
                <w:color w:val="auto"/>
                <w:sz w:val="22"/>
                <w:szCs w:val="21"/>
                <w:lang w:val="en-US" w:eastAsia="zh-CN"/>
              </w:rPr>
              <w:t>功耗：≤25W</w:t>
            </w:r>
            <w:r>
              <w:rPr>
                <w:rFonts w:hint="eastAsia"/>
                <w:b w:val="0"/>
                <w:bCs/>
                <w:color w:val="auto"/>
                <w:sz w:val="22"/>
                <w:szCs w:val="21"/>
                <w:lang w:val="en-US" w:eastAsia="zh-CN"/>
              </w:rPr>
              <w:br w:type="textWrapping"/>
            </w:r>
            <w:r>
              <w:rPr>
                <w:rFonts w:hint="eastAsia"/>
                <w:b w:val="0"/>
                <w:bCs/>
                <w:color w:val="auto"/>
                <w:sz w:val="22"/>
                <w:szCs w:val="21"/>
                <w:lang w:val="en-US" w:eastAsia="zh-CN"/>
              </w:rPr>
              <w:t>电源：AC110V/220V 50/60Hz</w:t>
            </w:r>
            <w:r>
              <w:rPr>
                <w:rFonts w:hint="eastAsia"/>
                <w:b w:val="0"/>
                <w:bCs/>
                <w:color w:val="auto"/>
                <w:sz w:val="22"/>
                <w:szCs w:val="21"/>
                <w:lang w:val="en-US" w:eastAsia="zh-CN"/>
              </w:rPr>
              <w:br w:type="textWrapping"/>
            </w:r>
            <w:r>
              <w:rPr>
                <w:rFonts w:hint="eastAsia"/>
                <w:b w:val="0"/>
                <w:bCs/>
                <w:color w:val="auto"/>
                <w:sz w:val="22"/>
                <w:szCs w:val="21"/>
                <w:lang w:val="en-US" w:eastAsia="zh-CN"/>
              </w:rPr>
              <w:t>尺寸(W×D×H)：484×270×44mm</w:t>
            </w:r>
            <w:r>
              <w:rPr>
                <w:rFonts w:hint="eastAsia"/>
                <w:b w:val="0"/>
                <w:bCs/>
                <w:color w:val="auto"/>
                <w:sz w:val="22"/>
                <w:szCs w:val="21"/>
                <w:lang w:val="en-US" w:eastAsia="zh-CN"/>
              </w:rPr>
              <w:br w:type="textWrapping"/>
            </w:r>
            <w:r>
              <w:rPr>
                <w:rFonts w:hint="eastAsia"/>
                <w:b w:val="0"/>
                <w:bCs/>
                <w:color w:val="auto"/>
                <w:sz w:val="22"/>
                <w:szCs w:val="21"/>
                <w:lang w:val="en-US" w:eastAsia="zh-CN"/>
              </w:rPr>
              <w:t>重量：3.48kg</w:t>
            </w:r>
          </w:p>
        </w:tc>
        <w:tc>
          <w:tcPr>
            <w:tcW w:w="1030" w:type="dxa"/>
            <w:gridSpan w:val="6"/>
            <w:tcBorders>
              <w:top w:val="single" w:color="000000" w:sz="4" w:space="0"/>
              <w:left w:val="single" w:color="000000" w:sz="4" w:space="0"/>
              <w:bottom w:val="single" w:color="000000" w:sz="4" w:space="0"/>
              <w:right w:val="single" w:color="000000" w:sz="4" w:space="0"/>
            </w:tcBorders>
            <w:noWrap w:val="0"/>
            <w:vAlign w:val="center"/>
          </w:tcPr>
          <w:p w14:paraId="1D5BCE22">
            <w:pPr>
              <w:rPr>
                <w:rFonts w:hint="eastAsia"/>
                <w:b w:val="0"/>
                <w:bCs/>
                <w:color w:val="auto"/>
                <w:sz w:val="22"/>
                <w:szCs w:val="21"/>
              </w:rPr>
            </w:pPr>
            <w:r>
              <w:rPr>
                <w:rFonts w:hint="eastAsia"/>
                <w:b w:val="0"/>
                <w:bCs/>
                <w:color w:val="auto"/>
                <w:sz w:val="22"/>
                <w:szCs w:val="21"/>
                <w:lang w:val="en-US" w:eastAsia="zh-CN"/>
              </w:rPr>
              <w:t>1</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48243F64">
            <w:pPr>
              <w:rPr>
                <w:rFonts w:hint="eastAsia"/>
                <w:b w:val="0"/>
                <w:bCs/>
                <w:color w:val="auto"/>
                <w:sz w:val="22"/>
                <w:szCs w:val="21"/>
              </w:rPr>
            </w:pPr>
            <w:r>
              <w:rPr>
                <w:rFonts w:hint="eastAsia"/>
                <w:b w:val="0"/>
                <w:bCs/>
                <w:color w:val="auto"/>
                <w:sz w:val="22"/>
                <w:szCs w:val="21"/>
                <w:lang w:val="en-US" w:eastAsia="zh-CN"/>
              </w:rPr>
              <w:t>台</w:t>
            </w:r>
          </w:p>
        </w:tc>
      </w:tr>
      <w:tr w14:paraId="09918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1A6E4EB2">
            <w:pPr>
              <w:rPr>
                <w:rFonts w:hint="eastAsia"/>
                <w:b w:val="0"/>
                <w:bCs/>
                <w:color w:val="auto"/>
                <w:sz w:val="22"/>
                <w:szCs w:val="21"/>
              </w:rPr>
            </w:pPr>
            <w:r>
              <w:rPr>
                <w:rFonts w:hint="eastAsia"/>
                <w:b w:val="0"/>
                <w:bCs/>
                <w:color w:val="auto"/>
                <w:sz w:val="22"/>
                <w:szCs w:val="21"/>
                <w:lang w:val="en-US" w:eastAsia="zh-CN"/>
              </w:rPr>
              <w:t>4</w:t>
            </w:r>
          </w:p>
        </w:tc>
        <w:tc>
          <w:tcPr>
            <w:tcW w:w="1249" w:type="dxa"/>
            <w:gridSpan w:val="3"/>
            <w:tcBorders>
              <w:top w:val="single" w:color="000000" w:sz="4" w:space="0"/>
              <w:left w:val="single" w:color="000000" w:sz="4" w:space="0"/>
              <w:bottom w:val="single" w:color="000000" w:sz="4" w:space="0"/>
              <w:right w:val="single" w:color="000000" w:sz="4" w:space="0"/>
            </w:tcBorders>
            <w:noWrap w:val="0"/>
            <w:vAlign w:val="center"/>
          </w:tcPr>
          <w:p w14:paraId="10673F99">
            <w:pPr>
              <w:rPr>
                <w:rFonts w:hint="eastAsia"/>
                <w:b w:val="0"/>
                <w:bCs/>
                <w:color w:val="auto"/>
                <w:sz w:val="22"/>
                <w:szCs w:val="21"/>
              </w:rPr>
            </w:pPr>
            <w:r>
              <w:rPr>
                <w:rFonts w:hint="eastAsia"/>
                <w:b w:val="0"/>
                <w:bCs/>
                <w:color w:val="auto"/>
                <w:sz w:val="22"/>
                <w:szCs w:val="21"/>
                <w:lang w:val="en-US" w:eastAsia="zh-CN"/>
              </w:rPr>
              <w:t>反馈抑制器(含音频处理器软件V1.0.3)</w:t>
            </w:r>
          </w:p>
        </w:tc>
        <w:tc>
          <w:tcPr>
            <w:tcW w:w="8771" w:type="dxa"/>
            <w:gridSpan w:val="9"/>
            <w:tcBorders>
              <w:top w:val="single" w:color="000000" w:sz="4" w:space="0"/>
              <w:left w:val="single" w:color="000000" w:sz="4" w:space="0"/>
              <w:bottom w:val="single" w:color="000000" w:sz="4" w:space="0"/>
              <w:right w:val="single" w:color="000000" w:sz="4" w:space="0"/>
            </w:tcBorders>
            <w:noWrap w:val="0"/>
            <w:vAlign w:val="center"/>
          </w:tcPr>
          <w:p w14:paraId="2D598406">
            <w:pPr>
              <w:rPr>
                <w:rFonts w:hint="eastAsia"/>
                <w:b w:val="0"/>
                <w:bCs/>
                <w:color w:val="auto"/>
                <w:sz w:val="22"/>
                <w:szCs w:val="21"/>
              </w:rPr>
            </w:pPr>
            <w:r>
              <w:rPr>
                <w:rFonts w:hint="eastAsia"/>
                <w:b w:val="0"/>
                <w:bCs/>
                <w:color w:val="auto"/>
                <w:sz w:val="22"/>
                <w:szCs w:val="21"/>
                <w:lang w:val="en-US" w:eastAsia="zh-CN"/>
              </w:rPr>
              <w:t>产品描述：</w:t>
            </w:r>
            <w:r>
              <w:rPr>
                <w:rFonts w:hint="eastAsia"/>
                <w:b w:val="0"/>
                <w:bCs/>
                <w:color w:val="auto"/>
                <w:sz w:val="22"/>
                <w:szCs w:val="21"/>
                <w:lang w:val="en-US" w:eastAsia="zh-CN"/>
              </w:rPr>
              <w:br w:type="textWrapping"/>
            </w:r>
            <w:r>
              <w:rPr>
                <w:rFonts w:hint="eastAsia"/>
                <w:b w:val="0"/>
                <w:bCs/>
                <w:color w:val="auto"/>
                <w:sz w:val="22"/>
                <w:szCs w:val="21"/>
                <w:lang w:val="en-US" w:eastAsia="zh-CN"/>
              </w:rPr>
              <w:t>1U机柜式设计，双层双色双拼面板，彰显立体美感；</w:t>
            </w:r>
            <w:r>
              <w:rPr>
                <w:rFonts w:hint="eastAsia"/>
                <w:b w:val="0"/>
                <w:bCs/>
                <w:color w:val="auto"/>
                <w:sz w:val="22"/>
                <w:szCs w:val="21"/>
                <w:lang w:val="en-US" w:eastAsia="zh-CN"/>
              </w:rPr>
              <w:br w:type="textWrapping"/>
            </w:r>
            <w:r>
              <w:rPr>
                <w:rFonts w:hint="eastAsia"/>
                <w:b w:val="0"/>
                <w:bCs/>
                <w:color w:val="auto"/>
                <w:sz w:val="22"/>
                <w:szCs w:val="21"/>
                <w:lang w:val="en-US" w:eastAsia="zh-CN"/>
              </w:rPr>
              <w:t>高性能 8核DSP处理器、24Bit数据带宽、48KHz采样率，可精准、快速找到啸叫频点；</w:t>
            </w:r>
            <w:r>
              <w:rPr>
                <w:rFonts w:hint="eastAsia"/>
                <w:b w:val="0"/>
                <w:bCs/>
                <w:color w:val="auto"/>
                <w:sz w:val="22"/>
                <w:szCs w:val="21"/>
                <w:lang w:val="en-US" w:eastAsia="zh-CN"/>
              </w:rPr>
              <w:br w:type="textWrapping"/>
            </w:r>
            <w:r>
              <w:rPr>
                <w:rFonts w:hint="eastAsia"/>
                <w:b w:val="0"/>
                <w:bCs/>
                <w:color w:val="auto"/>
                <w:sz w:val="22"/>
                <w:szCs w:val="21"/>
                <w:lang w:val="en-US" w:eastAsia="zh-CN"/>
              </w:rPr>
              <w:t>内置双通道各24段高精度数字自动陷波器，并进行快速滤波消除；</w:t>
            </w:r>
            <w:r>
              <w:rPr>
                <w:rFonts w:hint="eastAsia"/>
                <w:b w:val="0"/>
                <w:bCs/>
                <w:color w:val="auto"/>
                <w:sz w:val="22"/>
                <w:szCs w:val="21"/>
                <w:lang w:val="en-US" w:eastAsia="zh-CN"/>
              </w:rPr>
              <w:br w:type="textWrapping"/>
            </w:r>
            <w:r>
              <w:rPr>
                <w:rFonts w:hint="eastAsia"/>
                <w:b w:val="0"/>
                <w:bCs/>
                <w:color w:val="auto"/>
                <w:sz w:val="22"/>
                <w:szCs w:val="21"/>
                <w:lang w:val="en-US" w:eastAsia="zh-CN"/>
              </w:rPr>
              <w:t>内置6挡移频移相功能，可在复杂的声场环境中协助陷波器快速抑制啸叫；</w:t>
            </w:r>
            <w:r>
              <w:rPr>
                <w:rFonts w:hint="eastAsia"/>
                <w:b w:val="0"/>
                <w:bCs/>
                <w:color w:val="auto"/>
                <w:sz w:val="22"/>
                <w:szCs w:val="21"/>
                <w:lang w:val="en-US" w:eastAsia="zh-CN"/>
              </w:rPr>
              <w:br w:type="textWrapping"/>
            </w:r>
            <w:r>
              <w:rPr>
                <w:rFonts w:hint="eastAsia"/>
                <w:b w:val="0"/>
                <w:bCs/>
                <w:color w:val="auto"/>
                <w:sz w:val="22"/>
                <w:szCs w:val="21"/>
                <w:lang w:val="en-US" w:eastAsia="zh-CN"/>
              </w:rPr>
              <w:t>采用2寸分辨率为240*320的高清真彩TFT屏，支持中英文双语切换，主页面可实时显示通道啸叫频点数量、当前音量等，直观明了；</w:t>
            </w:r>
            <w:r>
              <w:rPr>
                <w:rFonts w:hint="eastAsia"/>
                <w:b w:val="0"/>
                <w:bCs/>
                <w:color w:val="auto"/>
                <w:sz w:val="22"/>
                <w:szCs w:val="21"/>
                <w:lang w:val="en-US" w:eastAsia="zh-CN"/>
              </w:rPr>
              <w:br w:type="textWrapping"/>
            </w:r>
            <w:r>
              <w:rPr>
                <w:rFonts w:hint="eastAsia"/>
                <w:b w:val="0"/>
                <w:bCs/>
                <w:color w:val="auto"/>
                <w:sz w:val="22"/>
                <w:szCs w:val="21"/>
                <w:lang w:val="en-US" w:eastAsia="zh-CN"/>
              </w:rPr>
              <w:t>可实现10组场景调用、保存功能，关机自动调用最后一次调用的数据。</w:t>
            </w:r>
            <w:r>
              <w:rPr>
                <w:rFonts w:hint="eastAsia"/>
                <w:b w:val="0"/>
                <w:bCs/>
                <w:color w:val="auto"/>
                <w:sz w:val="22"/>
                <w:szCs w:val="21"/>
                <w:lang w:val="en-US" w:eastAsia="zh-CN"/>
              </w:rPr>
              <w:br w:type="textWrapping"/>
            </w:r>
            <w:r>
              <w:rPr>
                <w:rFonts w:hint="eastAsia"/>
                <w:b w:val="0"/>
                <w:bCs/>
                <w:color w:val="auto"/>
                <w:sz w:val="22"/>
                <w:szCs w:val="21"/>
                <w:lang w:val="en-US" w:eastAsia="zh-CN"/>
              </w:rPr>
              <w:t>内置双通道各24段全参数均衡PEQ、高低通分频器Xover，进而可以通过手动调节对不同的声学环境缺陷进行修正，快速抑制啸叫。</w:t>
            </w:r>
            <w:r>
              <w:rPr>
                <w:rFonts w:hint="eastAsia"/>
                <w:b w:val="0"/>
                <w:bCs/>
                <w:color w:val="auto"/>
                <w:sz w:val="22"/>
                <w:szCs w:val="21"/>
                <w:lang w:val="en-US" w:eastAsia="zh-CN"/>
              </w:rPr>
              <w:br w:type="textWrapping"/>
            </w:r>
            <w:r>
              <w:rPr>
                <w:rFonts w:hint="eastAsia"/>
                <w:b w:val="0"/>
                <w:bCs/>
                <w:color w:val="auto"/>
                <w:sz w:val="22"/>
                <w:szCs w:val="21"/>
                <w:lang w:val="en-US" w:eastAsia="zh-CN"/>
              </w:rPr>
              <w:t>具有48V幻象电源供电，可开启/关闭，支持幻象供电的电容鹅颈话筒直连。</w:t>
            </w:r>
            <w:r>
              <w:rPr>
                <w:rFonts w:hint="eastAsia"/>
                <w:b w:val="0"/>
                <w:bCs/>
                <w:color w:val="auto"/>
                <w:sz w:val="22"/>
                <w:szCs w:val="21"/>
                <w:lang w:val="en-US" w:eastAsia="zh-CN"/>
              </w:rPr>
              <w:br w:type="textWrapping"/>
            </w:r>
            <w:r>
              <w:rPr>
                <w:rFonts w:hint="eastAsia"/>
                <w:b w:val="0"/>
                <w:bCs/>
                <w:color w:val="auto"/>
                <w:sz w:val="22"/>
                <w:szCs w:val="21"/>
                <w:lang w:val="en-US" w:eastAsia="zh-CN"/>
              </w:rPr>
              <w:t>具有压缩控制功能，可有效避免信号输入过大造成功率设备损坏。</w:t>
            </w:r>
            <w:r>
              <w:rPr>
                <w:rFonts w:hint="eastAsia"/>
                <w:b w:val="0"/>
                <w:bCs/>
                <w:color w:val="auto"/>
                <w:sz w:val="22"/>
                <w:szCs w:val="21"/>
                <w:lang w:val="en-US" w:eastAsia="zh-CN"/>
              </w:rPr>
              <w:br w:type="textWrapping"/>
            </w:r>
            <w:r>
              <w:rPr>
                <w:rFonts w:hint="eastAsia"/>
                <w:b w:val="0"/>
                <w:bCs/>
                <w:color w:val="auto"/>
                <w:sz w:val="22"/>
                <w:szCs w:val="21"/>
                <w:lang w:val="en-US" w:eastAsia="zh-CN"/>
              </w:rPr>
              <w:t>具有一键打开关闭啸叫抑制功能。</w:t>
            </w:r>
            <w:r>
              <w:rPr>
                <w:rFonts w:hint="eastAsia"/>
                <w:b w:val="0"/>
                <w:bCs/>
                <w:color w:val="auto"/>
                <w:sz w:val="22"/>
                <w:szCs w:val="21"/>
                <w:lang w:val="en-US" w:eastAsia="zh-CN"/>
              </w:rPr>
              <w:br w:type="textWrapping"/>
            </w:r>
            <w:r>
              <w:rPr>
                <w:rFonts w:hint="eastAsia"/>
                <w:b w:val="0"/>
                <w:bCs/>
                <w:color w:val="auto"/>
                <w:sz w:val="22"/>
                <w:szCs w:val="21"/>
                <w:lang w:val="en-US" w:eastAsia="zh-CN"/>
              </w:rPr>
              <w:t>通道独立处理，一键控制，也支持双通道联调；</w:t>
            </w:r>
            <w:r>
              <w:rPr>
                <w:rFonts w:hint="eastAsia"/>
                <w:b w:val="0"/>
                <w:bCs/>
                <w:color w:val="auto"/>
                <w:sz w:val="22"/>
                <w:szCs w:val="21"/>
                <w:lang w:val="en-US" w:eastAsia="zh-CN"/>
              </w:rPr>
              <w:br w:type="textWrapping"/>
            </w:r>
            <w:r>
              <w:rPr>
                <w:rFonts w:hint="eastAsia"/>
                <w:b w:val="0"/>
                <w:bCs/>
                <w:color w:val="auto"/>
                <w:sz w:val="22"/>
                <w:szCs w:val="21"/>
                <w:lang w:val="en-US" w:eastAsia="zh-CN"/>
              </w:rPr>
              <w:t>内置噪声门功能，通过设定阀值可以滤除部分环境噪声；</w:t>
            </w:r>
            <w:r>
              <w:rPr>
                <w:rFonts w:hint="eastAsia"/>
                <w:b w:val="0"/>
                <w:bCs/>
                <w:color w:val="auto"/>
                <w:sz w:val="22"/>
                <w:szCs w:val="21"/>
                <w:lang w:val="en-US" w:eastAsia="zh-CN"/>
              </w:rPr>
              <w:br w:type="textWrapping"/>
            </w:r>
            <w:r>
              <w:rPr>
                <w:rFonts w:hint="eastAsia"/>
                <w:b w:val="0"/>
                <w:bCs/>
                <w:color w:val="auto"/>
                <w:sz w:val="22"/>
                <w:szCs w:val="21"/>
                <w:lang w:val="en-US" w:eastAsia="zh-CN"/>
              </w:rPr>
              <w:t>专业PC调试控制工具，针对现场的声学环境进行个性化、专业化的设置，满足啸叫抑制的需求。</w:t>
            </w:r>
            <w:r>
              <w:rPr>
                <w:rFonts w:hint="eastAsia"/>
                <w:b w:val="0"/>
                <w:bCs/>
                <w:color w:val="auto"/>
                <w:sz w:val="22"/>
                <w:szCs w:val="21"/>
                <w:lang w:val="en-US" w:eastAsia="zh-CN"/>
              </w:rPr>
              <w:br w:type="textWrapping"/>
            </w:r>
            <w:r>
              <w:rPr>
                <w:rFonts w:hint="eastAsia"/>
                <w:b w:val="0"/>
                <w:bCs/>
                <w:color w:val="auto"/>
                <w:sz w:val="22"/>
                <w:szCs w:val="21"/>
                <w:lang w:val="en-US" w:eastAsia="zh-CN"/>
              </w:rPr>
              <w:t>100V-240V超宽电源设计，适当不同电压需求。</w:t>
            </w:r>
            <w:r>
              <w:rPr>
                <w:rFonts w:hint="eastAsia"/>
                <w:b w:val="0"/>
                <w:bCs/>
                <w:color w:val="auto"/>
                <w:sz w:val="22"/>
                <w:szCs w:val="21"/>
                <w:lang w:val="en-US" w:eastAsia="zh-CN"/>
              </w:rPr>
              <w:br w:type="textWrapping"/>
            </w:r>
            <w:r>
              <w:rPr>
                <w:rFonts w:hint="eastAsia"/>
                <w:b w:val="0"/>
                <w:bCs/>
                <w:color w:val="auto"/>
                <w:sz w:val="22"/>
                <w:szCs w:val="21"/>
                <w:lang w:val="en-US" w:eastAsia="zh-CN"/>
              </w:rPr>
              <w:t>技术参数：</w:t>
            </w:r>
            <w:r>
              <w:rPr>
                <w:rFonts w:hint="eastAsia"/>
                <w:b w:val="0"/>
                <w:bCs/>
                <w:color w:val="auto"/>
                <w:sz w:val="22"/>
                <w:szCs w:val="21"/>
                <w:lang w:val="en-US" w:eastAsia="zh-CN"/>
              </w:rPr>
              <w:br w:type="textWrapping"/>
            </w:r>
            <w:r>
              <w:rPr>
                <w:rFonts w:hint="eastAsia"/>
                <w:b w:val="0"/>
                <w:bCs/>
                <w:color w:val="auto"/>
                <w:sz w:val="22"/>
                <w:szCs w:val="21"/>
                <w:lang w:val="en-US" w:eastAsia="zh-CN"/>
              </w:rPr>
              <w:t>输入通道及插座：2路卡侬XLR母，2路6.35TRS</w:t>
            </w:r>
            <w:r>
              <w:rPr>
                <w:rFonts w:hint="eastAsia"/>
                <w:b w:val="0"/>
                <w:bCs/>
                <w:color w:val="auto"/>
                <w:sz w:val="22"/>
                <w:szCs w:val="21"/>
                <w:lang w:val="en-US" w:eastAsia="zh-CN"/>
              </w:rPr>
              <w:br w:type="textWrapping"/>
            </w:r>
            <w:r>
              <w:rPr>
                <w:rFonts w:hint="eastAsia"/>
                <w:b w:val="0"/>
                <w:bCs/>
                <w:color w:val="auto"/>
                <w:sz w:val="22"/>
                <w:szCs w:val="21"/>
                <w:lang w:val="en-US" w:eastAsia="zh-CN"/>
              </w:rPr>
              <w:t>输出通道及插座：2路卡侬XLR公，2路6.35TRS</w:t>
            </w:r>
            <w:r>
              <w:rPr>
                <w:rFonts w:hint="eastAsia"/>
                <w:b w:val="0"/>
                <w:bCs/>
                <w:color w:val="auto"/>
                <w:sz w:val="22"/>
                <w:szCs w:val="21"/>
                <w:lang w:val="en-US" w:eastAsia="zh-CN"/>
              </w:rPr>
              <w:br w:type="textWrapping"/>
            </w:r>
            <w:r>
              <w:rPr>
                <w:rFonts w:hint="eastAsia"/>
                <w:b w:val="0"/>
                <w:bCs/>
                <w:color w:val="auto"/>
                <w:sz w:val="22"/>
                <w:szCs w:val="21"/>
                <w:lang w:val="en-US" w:eastAsia="zh-CN"/>
              </w:rPr>
              <w:t>灵敏度：0dBu(@Out=0dBu)</w:t>
            </w:r>
            <w:r>
              <w:rPr>
                <w:rFonts w:hint="eastAsia"/>
                <w:b w:val="0"/>
                <w:bCs/>
                <w:color w:val="auto"/>
                <w:sz w:val="22"/>
                <w:szCs w:val="21"/>
                <w:lang w:val="en-US" w:eastAsia="zh-CN"/>
              </w:rPr>
              <w:br w:type="textWrapping"/>
            </w:r>
            <w:r>
              <w:rPr>
                <w:rFonts w:hint="eastAsia"/>
                <w:b w:val="0"/>
                <w:bCs/>
                <w:color w:val="auto"/>
                <w:sz w:val="22"/>
                <w:szCs w:val="21"/>
                <w:lang w:val="en-US" w:eastAsia="zh-CN"/>
              </w:rPr>
              <w:t>信号比 &gt;110dB（A计权）</w:t>
            </w:r>
            <w:r>
              <w:rPr>
                <w:rFonts w:hint="eastAsia"/>
                <w:b w:val="0"/>
                <w:bCs/>
                <w:color w:val="auto"/>
                <w:sz w:val="22"/>
                <w:szCs w:val="21"/>
                <w:lang w:val="en-US" w:eastAsia="zh-CN"/>
              </w:rPr>
              <w:br w:type="textWrapping"/>
            </w:r>
            <w:r>
              <w:rPr>
                <w:rFonts w:hint="eastAsia"/>
                <w:b w:val="0"/>
                <w:bCs/>
                <w:color w:val="auto"/>
                <w:sz w:val="22"/>
                <w:szCs w:val="21"/>
                <w:lang w:val="en-US" w:eastAsia="zh-CN"/>
              </w:rPr>
              <w:t>失真度 &lt; 0.05%</w:t>
            </w:r>
            <w:r>
              <w:rPr>
                <w:rFonts w:hint="eastAsia"/>
                <w:b w:val="0"/>
                <w:bCs/>
                <w:color w:val="auto"/>
                <w:sz w:val="22"/>
                <w:szCs w:val="21"/>
                <w:lang w:val="en-US" w:eastAsia="zh-CN"/>
              </w:rPr>
              <w:br w:type="textWrapping"/>
            </w:r>
            <w:r>
              <w:rPr>
                <w:rFonts w:hint="eastAsia"/>
                <w:b w:val="0"/>
                <w:bCs/>
                <w:color w:val="auto"/>
                <w:sz w:val="22"/>
                <w:szCs w:val="21"/>
                <w:lang w:val="en-US" w:eastAsia="zh-CN"/>
              </w:rPr>
              <w:t>频率响应：+/- 0.5dB (20Hz to 20KHz)</w:t>
            </w:r>
            <w:r>
              <w:rPr>
                <w:rFonts w:hint="eastAsia"/>
                <w:b w:val="0"/>
                <w:bCs/>
                <w:color w:val="auto"/>
                <w:sz w:val="22"/>
                <w:szCs w:val="21"/>
                <w:lang w:val="en-US" w:eastAsia="zh-CN"/>
              </w:rPr>
              <w:br w:type="textWrapping"/>
            </w:r>
            <w:r>
              <w:rPr>
                <w:rFonts w:hint="eastAsia"/>
                <w:b w:val="0"/>
                <w:bCs/>
                <w:color w:val="auto"/>
                <w:sz w:val="22"/>
                <w:szCs w:val="21"/>
                <w:lang w:val="en-US" w:eastAsia="zh-CN"/>
              </w:rPr>
              <w:t>动态增益提升：5-10dBu</w:t>
            </w:r>
            <w:r>
              <w:rPr>
                <w:rFonts w:hint="eastAsia"/>
                <w:b w:val="0"/>
                <w:bCs/>
                <w:color w:val="auto"/>
                <w:sz w:val="22"/>
                <w:szCs w:val="21"/>
                <w:lang w:val="en-US" w:eastAsia="zh-CN"/>
              </w:rPr>
              <w:br w:type="textWrapping"/>
            </w:r>
            <w:r>
              <w:rPr>
                <w:rFonts w:hint="eastAsia"/>
                <w:b w:val="0"/>
                <w:bCs/>
                <w:color w:val="auto"/>
                <w:sz w:val="22"/>
                <w:szCs w:val="21"/>
                <w:lang w:val="en-US" w:eastAsia="zh-CN"/>
              </w:rPr>
              <w:t>最大输入电平：15dBu</w:t>
            </w:r>
            <w:r>
              <w:rPr>
                <w:rFonts w:hint="eastAsia"/>
                <w:b w:val="0"/>
                <w:bCs/>
                <w:color w:val="auto"/>
                <w:sz w:val="22"/>
                <w:szCs w:val="21"/>
                <w:lang w:val="en-US" w:eastAsia="zh-CN"/>
              </w:rPr>
              <w:br w:type="textWrapping"/>
            </w:r>
            <w:r>
              <w:rPr>
                <w:rFonts w:hint="eastAsia"/>
                <w:b w:val="0"/>
                <w:bCs/>
                <w:color w:val="auto"/>
                <w:sz w:val="22"/>
                <w:szCs w:val="21"/>
                <w:lang w:val="en-US" w:eastAsia="zh-CN"/>
              </w:rPr>
              <w:t>工作电源：AC100-240V/50-60Hz</w:t>
            </w:r>
            <w:r>
              <w:rPr>
                <w:rFonts w:hint="eastAsia"/>
                <w:b w:val="0"/>
                <w:bCs/>
                <w:color w:val="auto"/>
                <w:sz w:val="22"/>
                <w:szCs w:val="21"/>
                <w:lang w:val="en-US" w:eastAsia="zh-CN"/>
              </w:rPr>
              <w:br w:type="textWrapping"/>
            </w:r>
            <w:r>
              <w:rPr>
                <w:rFonts w:hint="eastAsia"/>
                <w:b w:val="0"/>
                <w:bCs/>
                <w:color w:val="auto"/>
                <w:sz w:val="22"/>
                <w:szCs w:val="21"/>
                <w:lang w:val="en-US" w:eastAsia="zh-CN"/>
              </w:rPr>
              <w:t>尺寸（W*D*H）： 485*216*45mm</w:t>
            </w:r>
            <w:r>
              <w:rPr>
                <w:rFonts w:hint="eastAsia"/>
                <w:b w:val="0"/>
                <w:bCs/>
                <w:color w:val="auto"/>
                <w:sz w:val="22"/>
                <w:szCs w:val="21"/>
                <w:lang w:val="en-US" w:eastAsia="zh-CN"/>
              </w:rPr>
              <w:br w:type="textWrapping"/>
            </w:r>
            <w:r>
              <w:rPr>
                <w:rFonts w:hint="eastAsia"/>
                <w:b w:val="0"/>
                <w:bCs/>
                <w:color w:val="auto"/>
                <w:sz w:val="22"/>
                <w:szCs w:val="21"/>
                <w:lang w:val="en-US" w:eastAsia="zh-CN"/>
              </w:rPr>
              <w:t>净重：2.5kg</w:t>
            </w:r>
          </w:p>
        </w:tc>
        <w:tc>
          <w:tcPr>
            <w:tcW w:w="1030" w:type="dxa"/>
            <w:gridSpan w:val="6"/>
            <w:tcBorders>
              <w:top w:val="single" w:color="000000" w:sz="4" w:space="0"/>
              <w:left w:val="single" w:color="000000" w:sz="4" w:space="0"/>
              <w:bottom w:val="single" w:color="000000" w:sz="4" w:space="0"/>
              <w:right w:val="single" w:color="000000" w:sz="4" w:space="0"/>
            </w:tcBorders>
            <w:noWrap w:val="0"/>
            <w:vAlign w:val="center"/>
          </w:tcPr>
          <w:p w14:paraId="35B5599E">
            <w:pPr>
              <w:rPr>
                <w:rFonts w:hint="eastAsia"/>
                <w:b w:val="0"/>
                <w:bCs/>
                <w:color w:val="auto"/>
                <w:sz w:val="22"/>
                <w:szCs w:val="21"/>
              </w:rPr>
            </w:pPr>
            <w:r>
              <w:rPr>
                <w:rFonts w:hint="eastAsia"/>
                <w:b w:val="0"/>
                <w:bCs/>
                <w:color w:val="auto"/>
                <w:sz w:val="22"/>
                <w:szCs w:val="21"/>
                <w:lang w:val="en-US" w:eastAsia="zh-CN"/>
              </w:rPr>
              <w:t>1</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6FFAAF68">
            <w:pPr>
              <w:rPr>
                <w:rFonts w:hint="eastAsia"/>
                <w:b w:val="0"/>
                <w:bCs/>
                <w:color w:val="auto"/>
                <w:sz w:val="22"/>
                <w:szCs w:val="21"/>
              </w:rPr>
            </w:pPr>
            <w:r>
              <w:rPr>
                <w:rFonts w:hint="eastAsia"/>
                <w:b w:val="0"/>
                <w:bCs/>
                <w:color w:val="auto"/>
                <w:sz w:val="22"/>
                <w:szCs w:val="21"/>
                <w:lang w:val="en-US" w:eastAsia="zh-CN"/>
              </w:rPr>
              <w:t>台</w:t>
            </w:r>
          </w:p>
        </w:tc>
      </w:tr>
      <w:tr w14:paraId="19425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26FC250B">
            <w:pPr>
              <w:rPr>
                <w:rFonts w:hint="eastAsia"/>
                <w:b w:val="0"/>
                <w:bCs/>
                <w:color w:val="auto"/>
                <w:sz w:val="22"/>
                <w:szCs w:val="21"/>
              </w:rPr>
            </w:pPr>
            <w:r>
              <w:rPr>
                <w:rFonts w:hint="eastAsia"/>
                <w:b w:val="0"/>
                <w:bCs/>
                <w:color w:val="auto"/>
                <w:sz w:val="22"/>
                <w:szCs w:val="21"/>
                <w:lang w:val="en-US" w:eastAsia="zh-CN"/>
              </w:rPr>
              <w:t>5</w:t>
            </w:r>
          </w:p>
        </w:tc>
        <w:tc>
          <w:tcPr>
            <w:tcW w:w="1249" w:type="dxa"/>
            <w:gridSpan w:val="3"/>
            <w:tcBorders>
              <w:top w:val="single" w:color="000000" w:sz="4" w:space="0"/>
              <w:left w:val="single" w:color="000000" w:sz="4" w:space="0"/>
              <w:bottom w:val="single" w:color="000000" w:sz="4" w:space="0"/>
              <w:right w:val="single" w:color="000000" w:sz="4" w:space="0"/>
            </w:tcBorders>
            <w:noWrap w:val="0"/>
            <w:vAlign w:val="center"/>
          </w:tcPr>
          <w:p w14:paraId="70D343BA">
            <w:pPr>
              <w:rPr>
                <w:rFonts w:hint="eastAsia"/>
                <w:b w:val="0"/>
                <w:bCs/>
                <w:color w:val="auto"/>
                <w:sz w:val="22"/>
                <w:szCs w:val="21"/>
              </w:rPr>
            </w:pPr>
            <w:r>
              <w:rPr>
                <w:rFonts w:hint="eastAsia"/>
                <w:b w:val="0"/>
                <w:bCs/>
                <w:color w:val="auto"/>
                <w:sz w:val="22"/>
                <w:szCs w:val="21"/>
                <w:lang w:val="en-US" w:eastAsia="zh-CN"/>
              </w:rPr>
              <w:t>调音台(含音效处理软件V1.0)</w:t>
            </w:r>
          </w:p>
        </w:tc>
        <w:tc>
          <w:tcPr>
            <w:tcW w:w="8771" w:type="dxa"/>
            <w:gridSpan w:val="9"/>
            <w:tcBorders>
              <w:top w:val="single" w:color="000000" w:sz="4" w:space="0"/>
              <w:left w:val="single" w:color="000000" w:sz="4" w:space="0"/>
              <w:bottom w:val="single" w:color="000000" w:sz="4" w:space="0"/>
              <w:right w:val="single" w:color="000000" w:sz="4" w:space="0"/>
            </w:tcBorders>
            <w:noWrap w:val="0"/>
            <w:vAlign w:val="center"/>
          </w:tcPr>
          <w:p w14:paraId="782D2391">
            <w:pPr>
              <w:rPr>
                <w:rFonts w:hint="eastAsia"/>
                <w:b w:val="0"/>
                <w:bCs/>
                <w:color w:val="auto"/>
                <w:sz w:val="22"/>
                <w:szCs w:val="21"/>
              </w:rPr>
            </w:pPr>
            <w:r>
              <w:rPr>
                <w:rFonts w:hint="eastAsia"/>
                <w:b w:val="0"/>
                <w:bCs/>
                <w:color w:val="auto"/>
                <w:sz w:val="22"/>
                <w:szCs w:val="21"/>
                <w:lang w:val="en-US" w:eastAsia="zh-CN"/>
              </w:rPr>
              <w:t>产品描述：</w:t>
            </w:r>
            <w:r>
              <w:rPr>
                <w:rFonts w:hint="eastAsia"/>
                <w:b w:val="0"/>
                <w:bCs/>
                <w:color w:val="auto"/>
                <w:sz w:val="22"/>
                <w:szCs w:val="21"/>
                <w:lang w:val="en-US" w:eastAsia="zh-CN"/>
              </w:rPr>
              <w:br w:type="textWrapping"/>
            </w:r>
            <w:r>
              <w:rPr>
                <w:rFonts w:hint="eastAsia"/>
                <w:b w:val="0"/>
                <w:bCs/>
                <w:color w:val="auto"/>
                <w:sz w:val="22"/>
                <w:szCs w:val="21"/>
                <w:lang w:val="en-US" w:eastAsia="zh-CN"/>
              </w:rPr>
              <w:t>纯正的3段均衡器，具准确的音乐控制能力。</w:t>
            </w:r>
            <w:r>
              <w:rPr>
                <w:rFonts w:hint="eastAsia"/>
                <w:b w:val="0"/>
                <w:bCs/>
                <w:color w:val="auto"/>
                <w:sz w:val="22"/>
                <w:szCs w:val="21"/>
                <w:lang w:val="en-US" w:eastAsia="zh-CN"/>
              </w:rPr>
              <w:br w:type="textWrapping"/>
            </w:r>
            <w:r>
              <w:rPr>
                <w:rFonts w:hint="eastAsia"/>
                <w:b w:val="0"/>
                <w:bCs/>
                <w:color w:val="auto"/>
                <w:sz w:val="22"/>
                <w:szCs w:val="21"/>
                <w:lang w:val="en-US" w:eastAsia="zh-CN"/>
              </w:rPr>
              <w:t>具一个48V幻象电源总开关，一键控制所有通道幻象电源打开关闭。</w:t>
            </w:r>
            <w:r>
              <w:rPr>
                <w:rFonts w:hint="eastAsia"/>
                <w:b w:val="0"/>
                <w:bCs/>
                <w:color w:val="auto"/>
                <w:sz w:val="22"/>
                <w:szCs w:val="21"/>
                <w:lang w:val="en-US" w:eastAsia="zh-CN"/>
              </w:rPr>
              <w:br w:type="textWrapping"/>
            </w:r>
            <w:r>
              <w:rPr>
                <w:rFonts w:hint="eastAsia"/>
                <w:b w:val="0"/>
                <w:bCs/>
                <w:color w:val="auto"/>
                <w:sz w:val="22"/>
                <w:szCs w:val="21"/>
                <w:lang w:val="en-US" w:eastAsia="zh-CN"/>
              </w:rPr>
              <w:t>每通道有增益开关、输入三段均衡高中低、效果、辅助旋钮。</w:t>
            </w:r>
            <w:r>
              <w:rPr>
                <w:rFonts w:hint="eastAsia"/>
                <w:b w:val="0"/>
                <w:bCs/>
                <w:color w:val="auto"/>
                <w:sz w:val="22"/>
                <w:szCs w:val="21"/>
                <w:lang w:val="en-US" w:eastAsia="zh-CN"/>
              </w:rPr>
              <w:br w:type="textWrapping"/>
            </w:r>
            <w:r>
              <w:rPr>
                <w:rFonts w:hint="eastAsia"/>
                <w:b w:val="0"/>
                <w:bCs/>
                <w:color w:val="auto"/>
                <w:sz w:val="22"/>
                <w:szCs w:val="21"/>
                <w:lang w:val="en-US" w:eastAsia="zh-CN"/>
              </w:rPr>
              <w:t>每通道具有编组1、2的控制开关。</w:t>
            </w:r>
            <w:r>
              <w:rPr>
                <w:rFonts w:hint="eastAsia"/>
                <w:b w:val="0"/>
                <w:bCs/>
                <w:color w:val="auto"/>
                <w:sz w:val="22"/>
                <w:szCs w:val="21"/>
                <w:lang w:val="en-US" w:eastAsia="zh-CN"/>
              </w:rPr>
              <w:br w:type="textWrapping"/>
            </w:r>
            <w:r>
              <w:rPr>
                <w:rFonts w:hint="eastAsia"/>
                <w:b w:val="0"/>
                <w:bCs/>
                <w:color w:val="auto"/>
                <w:sz w:val="22"/>
                <w:szCs w:val="21"/>
                <w:lang w:val="en-US" w:eastAsia="zh-CN"/>
              </w:rPr>
              <w:t>每通道都有独立的静音按钮来控制每路的输入信号开关。</w:t>
            </w:r>
            <w:r>
              <w:rPr>
                <w:rFonts w:hint="eastAsia"/>
                <w:b w:val="0"/>
                <w:bCs/>
                <w:color w:val="auto"/>
                <w:sz w:val="22"/>
                <w:szCs w:val="21"/>
                <w:lang w:val="en-US" w:eastAsia="zh-CN"/>
              </w:rPr>
              <w:br w:type="textWrapping"/>
            </w:r>
            <w:r>
              <w:rPr>
                <w:rFonts w:hint="eastAsia"/>
                <w:b w:val="0"/>
                <w:bCs/>
                <w:color w:val="auto"/>
                <w:sz w:val="22"/>
                <w:szCs w:val="21"/>
                <w:lang w:val="en-US" w:eastAsia="zh-CN"/>
              </w:rPr>
              <w:t>每一路通道有独立的PFL（推子前监听）按钮开关，可以监听通道推子前声道信号，而不影响主输出信号。</w:t>
            </w:r>
            <w:r>
              <w:rPr>
                <w:rFonts w:hint="eastAsia"/>
                <w:b w:val="0"/>
                <w:bCs/>
                <w:color w:val="auto"/>
                <w:sz w:val="22"/>
                <w:szCs w:val="21"/>
                <w:lang w:val="en-US" w:eastAsia="zh-CN"/>
              </w:rPr>
              <w:br w:type="textWrapping"/>
            </w:r>
            <w:r>
              <w:rPr>
                <w:rFonts w:hint="eastAsia"/>
                <w:b w:val="0"/>
                <w:bCs/>
                <w:color w:val="auto"/>
                <w:sz w:val="22"/>
                <w:szCs w:val="21"/>
                <w:lang w:val="en-US" w:eastAsia="zh-CN"/>
              </w:rPr>
              <w:t>调音台还带有7段均衡器可以统一调节高中低频，优化音乐表现和调整室内声学参数。</w:t>
            </w:r>
            <w:r>
              <w:rPr>
                <w:rFonts w:hint="eastAsia"/>
                <w:b w:val="0"/>
                <w:bCs/>
                <w:color w:val="auto"/>
                <w:sz w:val="22"/>
                <w:szCs w:val="21"/>
                <w:lang w:val="en-US" w:eastAsia="zh-CN"/>
              </w:rPr>
              <w:br w:type="textWrapping"/>
            </w:r>
            <w:r>
              <w:rPr>
                <w:rFonts w:hint="eastAsia"/>
                <w:b w:val="0"/>
                <w:bCs/>
                <w:color w:val="auto"/>
                <w:sz w:val="22"/>
                <w:szCs w:val="21"/>
                <w:lang w:val="en-US" w:eastAsia="zh-CN"/>
              </w:rPr>
              <w:t>内置MP3功能，兼容多音频格式，SD/USB接口，可以接SD卡和U盘。</w:t>
            </w:r>
            <w:r>
              <w:rPr>
                <w:rFonts w:hint="eastAsia"/>
                <w:b w:val="0"/>
                <w:bCs/>
                <w:color w:val="auto"/>
                <w:sz w:val="22"/>
                <w:szCs w:val="21"/>
                <w:lang w:val="en-US" w:eastAsia="zh-CN"/>
              </w:rPr>
              <w:br w:type="textWrapping"/>
            </w:r>
            <w:r>
              <w:rPr>
                <w:rFonts w:hint="eastAsia"/>
                <w:b w:val="0"/>
                <w:bCs/>
                <w:color w:val="auto"/>
                <w:sz w:val="22"/>
                <w:szCs w:val="21"/>
                <w:lang w:val="en-US" w:eastAsia="zh-CN"/>
              </w:rPr>
              <w:t>具录音功能，可录制任意时段主输出音频信号至SD卡/U盘，具有双轨录放机或CD的输入输出连接莲花接口。</w:t>
            </w:r>
            <w:r>
              <w:rPr>
                <w:rFonts w:hint="eastAsia"/>
                <w:b w:val="0"/>
                <w:bCs/>
                <w:color w:val="auto"/>
                <w:sz w:val="22"/>
                <w:szCs w:val="21"/>
                <w:lang w:val="en-US" w:eastAsia="zh-CN"/>
              </w:rPr>
              <w:br w:type="textWrapping"/>
            </w:r>
            <w:r>
              <w:rPr>
                <w:rFonts w:hint="eastAsia"/>
                <w:b w:val="0"/>
                <w:bCs/>
                <w:color w:val="auto"/>
                <w:sz w:val="22"/>
                <w:szCs w:val="21"/>
                <w:lang w:val="en-US" w:eastAsia="zh-CN"/>
              </w:rPr>
              <w:t>标准蓝牙系统，连接蓝牙设备进行音频播放。</w:t>
            </w:r>
            <w:r>
              <w:rPr>
                <w:rFonts w:hint="eastAsia"/>
                <w:b w:val="0"/>
                <w:bCs/>
                <w:color w:val="auto"/>
                <w:sz w:val="22"/>
                <w:szCs w:val="21"/>
                <w:lang w:val="en-US" w:eastAsia="zh-CN"/>
              </w:rPr>
              <w:br w:type="textWrapping"/>
            </w:r>
            <w:r>
              <w:rPr>
                <w:rFonts w:hint="eastAsia"/>
                <w:b w:val="0"/>
                <w:bCs/>
                <w:color w:val="auto"/>
                <w:sz w:val="22"/>
                <w:szCs w:val="21"/>
                <w:lang w:val="en-US" w:eastAsia="zh-CN"/>
              </w:rPr>
              <w:t>2路主输出，2路编组输出，1路监听输出，2辅助发送/返回。</w:t>
            </w:r>
            <w:r>
              <w:rPr>
                <w:rFonts w:hint="eastAsia"/>
                <w:b w:val="0"/>
                <w:bCs/>
                <w:color w:val="auto"/>
                <w:sz w:val="22"/>
                <w:szCs w:val="21"/>
                <w:lang w:val="en-US" w:eastAsia="zh-CN"/>
              </w:rPr>
              <w:br w:type="textWrapping"/>
            </w:r>
            <w:r>
              <w:rPr>
                <w:rFonts w:hint="eastAsia"/>
                <w:b w:val="0"/>
                <w:bCs/>
                <w:color w:val="auto"/>
                <w:sz w:val="22"/>
                <w:szCs w:val="21"/>
                <w:lang w:val="en-US" w:eastAsia="zh-CN"/>
              </w:rPr>
              <w:t>60毫米对数型推子电位器和密封控制旋转电位器，精密地调节通道的匹配电平。</w:t>
            </w:r>
            <w:r>
              <w:rPr>
                <w:rFonts w:hint="eastAsia"/>
                <w:b w:val="0"/>
                <w:bCs/>
                <w:color w:val="auto"/>
                <w:sz w:val="22"/>
                <w:szCs w:val="21"/>
                <w:lang w:val="en-US" w:eastAsia="zh-CN"/>
              </w:rPr>
              <w:br w:type="textWrapping"/>
            </w:r>
            <w:r>
              <w:rPr>
                <w:rFonts w:hint="eastAsia"/>
                <w:b w:val="0"/>
                <w:bCs/>
                <w:color w:val="auto"/>
                <w:sz w:val="22"/>
                <w:szCs w:val="21"/>
                <w:lang w:val="en-US" w:eastAsia="zh-CN"/>
              </w:rPr>
              <w:t>技术参数：</w:t>
            </w:r>
            <w:r>
              <w:rPr>
                <w:rFonts w:hint="eastAsia"/>
                <w:b w:val="0"/>
                <w:bCs/>
                <w:color w:val="auto"/>
                <w:sz w:val="22"/>
                <w:szCs w:val="21"/>
                <w:lang w:val="en-US" w:eastAsia="zh-CN"/>
              </w:rPr>
              <w:br w:type="textWrapping"/>
            </w:r>
            <w:r>
              <w:rPr>
                <w:rFonts w:hint="eastAsia"/>
                <w:b w:val="0"/>
                <w:bCs/>
                <w:color w:val="auto"/>
                <w:sz w:val="22"/>
                <w:szCs w:val="21"/>
                <w:lang w:val="en-US" w:eastAsia="zh-CN"/>
              </w:rPr>
              <w:t>麦克风输入：6路</w:t>
            </w:r>
            <w:r>
              <w:rPr>
                <w:rFonts w:hint="eastAsia"/>
                <w:b w:val="0"/>
                <w:bCs/>
                <w:color w:val="auto"/>
                <w:sz w:val="22"/>
                <w:szCs w:val="21"/>
                <w:lang w:val="en-US" w:eastAsia="zh-CN"/>
              </w:rPr>
              <w:br w:type="textWrapping"/>
            </w:r>
            <w:r>
              <w:rPr>
                <w:rFonts w:hint="eastAsia"/>
                <w:b w:val="0"/>
                <w:bCs/>
                <w:color w:val="auto"/>
                <w:sz w:val="22"/>
                <w:szCs w:val="21"/>
                <w:lang w:val="en-US" w:eastAsia="zh-CN"/>
              </w:rPr>
              <w:t>立体声输入：2组</w:t>
            </w:r>
            <w:r>
              <w:rPr>
                <w:rFonts w:hint="eastAsia"/>
                <w:b w:val="0"/>
                <w:bCs/>
                <w:color w:val="auto"/>
                <w:sz w:val="22"/>
                <w:szCs w:val="21"/>
                <w:lang w:val="en-US" w:eastAsia="zh-CN"/>
              </w:rPr>
              <w:br w:type="textWrapping"/>
            </w:r>
            <w:r>
              <w:rPr>
                <w:rFonts w:hint="eastAsia"/>
                <w:b w:val="0"/>
                <w:bCs/>
                <w:color w:val="auto"/>
                <w:sz w:val="22"/>
                <w:szCs w:val="21"/>
                <w:lang w:val="en-US" w:eastAsia="zh-CN"/>
              </w:rPr>
              <w:t>最大输入电平：麦克风 +22dBu，线路 +20dBu</w:t>
            </w:r>
            <w:r>
              <w:rPr>
                <w:rFonts w:hint="eastAsia"/>
                <w:b w:val="0"/>
                <w:bCs/>
                <w:color w:val="auto"/>
                <w:sz w:val="22"/>
                <w:szCs w:val="21"/>
                <w:lang w:val="en-US" w:eastAsia="zh-CN"/>
              </w:rPr>
              <w:br w:type="textWrapping"/>
            </w:r>
            <w:r>
              <w:rPr>
                <w:rFonts w:hint="eastAsia"/>
                <w:b w:val="0"/>
                <w:bCs/>
                <w:color w:val="auto"/>
                <w:sz w:val="22"/>
                <w:szCs w:val="21"/>
                <w:lang w:val="en-US" w:eastAsia="zh-CN"/>
              </w:rPr>
              <w:t>最大输出电平：主输出 +28dBu，其它输出 +22dBu</w:t>
            </w:r>
            <w:r>
              <w:rPr>
                <w:rFonts w:hint="eastAsia"/>
                <w:b w:val="0"/>
                <w:bCs/>
                <w:color w:val="auto"/>
                <w:sz w:val="22"/>
                <w:szCs w:val="21"/>
                <w:lang w:val="en-US" w:eastAsia="zh-CN"/>
              </w:rPr>
              <w:br w:type="textWrapping"/>
            </w:r>
            <w:r>
              <w:rPr>
                <w:rFonts w:hint="eastAsia"/>
                <w:b w:val="0"/>
                <w:bCs/>
                <w:color w:val="auto"/>
                <w:sz w:val="22"/>
                <w:szCs w:val="21"/>
                <w:lang w:val="en-US" w:eastAsia="zh-CN"/>
              </w:rPr>
              <w:t>灵敏度：0VU=+4dBu</w:t>
            </w:r>
            <w:r>
              <w:rPr>
                <w:rFonts w:hint="eastAsia"/>
                <w:b w:val="0"/>
                <w:bCs/>
                <w:color w:val="auto"/>
                <w:sz w:val="22"/>
                <w:szCs w:val="21"/>
                <w:lang w:val="en-US" w:eastAsia="zh-CN"/>
              </w:rPr>
              <w:br w:type="textWrapping"/>
            </w:r>
            <w:r>
              <w:rPr>
                <w:rFonts w:hint="eastAsia"/>
                <w:b w:val="0"/>
                <w:bCs/>
                <w:color w:val="auto"/>
                <w:sz w:val="22"/>
                <w:szCs w:val="21"/>
                <w:lang w:val="en-US" w:eastAsia="zh-CN"/>
              </w:rPr>
              <w:t>频率响应：±1dB，20Hz-30KHz</w:t>
            </w:r>
            <w:r>
              <w:rPr>
                <w:rFonts w:hint="eastAsia"/>
                <w:b w:val="0"/>
                <w:bCs/>
                <w:color w:val="auto"/>
                <w:sz w:val="22"/>
                <w:szCs w:val="21"/>
                <w:lang w:val="en-US" w:eastAsia="zh-CN"/>
              </w:rPr>
              <w:br w:type="textWrapping"/>
            </w:r>
            <w:r>
              <w:rPr>
                <w:rFonts w:hint="eastAsia"/>
                <w:b w:val="0"/>
                <w:bCs/>
                <w:color w:val="auto"/>
                <w:sz w:val="22"/>
                <w:szCs w:val="21"/>
                <w:lang w:val="en-US" w:eastAsia="zh-CN"/>
              </w:rPr>
              <w:t>麦克风共模抑制比@1KHz：&gt;80dB 典型值</w:t>
            </w:r>
            <w:r>
              <w:rPr>
                <w:rFonts w:hint="eastAsia"/>
                <w:b w:val="0"/>
                <w:bCs/>
                <w:color w:val="auto"/>
                <w:sz w:val="22"/>
                <w:szCs w:val="21"/>
                <w:lang w:val="en-US" w:eastAsia="zh-CN"/>
              </w:rPr>
              <w:br w:type="textWrapping"/>
            </w:r>
            <w:r>
              <w:rPr>
                <w:rFonts w:hint="eastAsia"/>
                <w:b w:val="0"/>
                <w:bCs/>
                <w:color w:val="auto"/>
                <w:sz w:val="22"/>
                <w:szCs w:val="21"/>
                <w:lang w:val="en-US" w:eastAsia="zh-CN"/>
              </w:rPr>
              <w:t>THD+N @14dBu，1KHz：&lt;0.01%</w:t>
            </w:r>
            <w:r>
              <w:rPr>
                <w:rFonts w:hint="eastAsia"/>
                <w:b w:val="0"/>
                <w:bCs/>
                <w:color w:val="auto"/>
                <w:sz w:val="22"/>
                <w:szCs w:val="21"/>
                <w:lang w:val="en-US" w:eastAsia="zh-CN"/>
              </w:rPr>
              <w:br w:type="textWrapping"/>
            </w:r>
            <w:r>
              <w:rPr>
                <w:rFonts w:hint="eastAsia"/>
                <w:b w:val="0"/>
                <w:bCs/>
                <w:color w:val="auto"/>
                <w:sz w:val="22"/>
                <w:szCs w:val="21"/>
                <w:lang w:val="en-US" w:eastAsia="zh-CN"/>
              </w:rPr>
              <w:t>串扰 @1KHz：&gt;82dB</w:t>
            </w:r>
            <w:r>
              <w:rPr>
                <w:rFonts w:hint="eastAsia"/>
                <w:b w:val="0"/>
                <w:bCs/>
                <w:color w:val="auto"/>
                <w:sz w:val="22"/>
                <w:szCs w:val="21"/>
                <w:lang w:val="en-US" w:eastAsia="zh-CN"/>
              </w:rPr>
              <w:br w:type="textWrapping"/>
            </w:r>
            <w:r>
              <w:rPr>
                <w:rFonts w:hint="eastAsia"/>
                <w:b w:val="0"/>
                <w:bCs/>
                <w:color w:val="auto"/>
                <w:sz w:val="22"/>
                <w:szCs w:val="21"/>
                <w:lang w:val="en-US" w:eastAsia="zh-CN"/>
              </w:rPr>
              <w:t>单声道/立体声均衡：高音 ±15dB，12KHz，中音 ±15dB，2.5 KHz，低音 ±15dB，80Hz</w:t>
            </w:r>
            <w:r>
              <w:rPr>
                <w:rFonts w:hint="eastAsia"/>
                <w:b w:val="0"/>
                <w:bCs/>
                <w:color w:val="auto"/>
                <w:sz w:val="22"/>
                <w:szCs w:val="21"/>
                <w:lang w:val="en-US" w:eastAsia="zh-CN"/>
              </w:rPr>
              <w:br w:type="textWrapping"/>
            </w:r>
            <w:r>
              <w:rPr>
                <w:rFonts w:hint="eastAsia"/>
                <w:b w:val="0"/>
                <w:bCs/>
                <w:color w:val="auto"/>
                <w:sz w:val="22"/>
                <w:szCs w:val="21"/>
                <w:lang w:val="en-US" w:eastAsia="zh-CN"/>
              </w:rPr>
              <w:t>电源：220VAC，50/60Hz</w:t>
            </w:r>
            <w:r>
              <w:rPr>
                <w:rFonts w:hint="eastAsia"/>
                <w:b w:val="0"/>
                <w:bCs/>
                <w:color w:val="auto"/>
                <w:sz w:val="22"/>
                <w:szCs w:val="21"/>
                <w:lang w:val="en-US" w:eastAsia="zh-CN"/>
              </w:rPr>
              <w:br w:type="textWrapping"/>
            </w:r>
            <w:r>
              <w:rPr>
                <w:rFonts w:hint="eastAsia"/>
                <w:b w:val="0"/>
                <w:bCs/>
                <w:color w:val="auto"/>
                <w:sz w:val="22"/>
                <w:szCs w:val="21"/>
                <w:lang w:val="en-US" w:eastAsia="zh-CN"/>
              </w:rPr>
              <w:t>产品尺寸（W×D×H）：414×322×78mm</w:t>
            </w:r>
          </w:p>
        </w:tc>
        <w:tc>
          <w:tcPr>
            <w:tcW w:w="1030" w:type="dxa"/>
            <w:gridSpan w:val="6"/>
            <w:tcBorders>
              <w:top w:val="single" w:color="000000" w:sz="4" w:space="0"/>
              <w:left w:val="single" w:color="000000" w:sz="4" w:space="0"/>
              <w:bottom w:val="single" w:color="000000" w:sz="4" w:space="0"/>
              <w:right w:val="single" w:color="000000" w:sz="4" w:space="0"/>
            </w:tcBorders>
            <w:noWrap w:val="0"/>
            <w:vAlign w:val="center"/>
          </w:tcPr>
          <w:p w14:paraId="25101BA3">
            <w:pPr>
              <w:rPr>
                <w:rFonts w:hint="eastAsia"/>
                <w:b w:val="0"/>
                <w:bCs/>
                <w:color w:val="auto"/>
                <w:sz w:val="22"/>
                <w:szCs w:val="21"/>
              </w:rPr>
            </w:pPr>
            <w:r>
              <w:rPr>
                <w:rFonts w:hint="eastAsia"/>
                <w:b w:val="0"/>
                <w:bCs/>
                <w:color w:val="auto"/>
                <w:sz w:val="22"/>
                <w:szCs w:val="21"/>
                <w:lang w:val="en-US" w:eastAsia="zh-CN"/>
              </w:rPr>
              <w:t>1</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7686DAC9">
            <w:pPr>
              <w:rPr>
                <w:rFonts w:hint="eastAsia"/>
                <w:b w:val="0"/>
                <w:bCs/>
                <w:color w:val="auto"/>
                <w:sz w:val="22"/>
                <w:szCs w:val="21"/>
              </w:rPr>
            </w:pPr>
            <w:r>
              <w:rPr>
                <w:rFonts w:hint="eastAsia"/>
                <w:b w:val="0"/>
                <w:bCs/>
                <w:color w:val="auto"/>
                <w:sz w:val="22"/>
                <w:szCs w:val="21"/>
                <w:lang w:val="en-US" w:eastAsia="zh-CN"/>
              </w:rPr>
              <w:t>台</w:t>
            </w:r>
          </w:p>
        </w:tc>
      </w:tr>
      <w:tr w14:paraId="6CF9E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6049AB56">
            <w:pPr>
              <w:rPr>
                <w:rFonts w:hint="eastAsia"/>
                <w:b w:val="0"/>
                <w:bCs/>
                <w:color w:val="auto"/>
                <w:sz w:val="22"/>
                <w:szCs w:val="21"/>
              </w:rPr>
            </w:pPr>
            <w:r>
              <w:rPr>
                <w:rFonts w:hint="eastAsia"/>
                <w:b w:val="0"/>
                <w:bCs/>
                <w:color w:val="auto"/>
                <w:sz w:val="22"/>
                <w:szCs w:val="21"/>
                <w:lang w:val="en-US" w:eastAsia="zh-CN"/>
              </w:rPr>
              <w:t>6</w:t>
            </w:r>
          </w:p>
        </w:tc>
        <w:tc>
          <w:tcPr>
            <w:tcW w:w="1249" w:type="dxa"/>
            <w:gridSpan w:val="3"/>
            <w:tcBorders>
              <w:top w:val="single" w:color="000000" w:sz="4" w:space="0"/>
              <w:left w:val="single" w:color="000000" w:sz="4" w:space="0"/>
              <w:bottom w:val="single" w:color="000000" w:sz="4" w:space="0"/>
              <w:right w:val="single" w:color="000000" w:sz="4" w:space="0"/>
            </w:tcBorders>
            <w:noWrap w:val="0"/>
            <w:vAlign w:val="center"/>
          </w:tcPr>
          <w:p w14:paraId="631F365C">
            <w:pPr>
              <w:rPr>
                <w:rFonts w:hint="eastAsia"/>
                <w:b w:val="0"/>
                <w:bCs/>
                <w:color w:val="auto"/>
                <w:sz w:val="22"/>
                <w:szCs w:val="21"/>
              </w:rPr>
            </w:pPr>
            <w:r>
              <w:rPr>
                <w:rFonts w:hint="eastAsia"/>
                <w:b w:val="0"/>
                <w:bCs/>
                <w:color w:val="auto"/>
                <w:sz w:val="22"/>
                <w:szCs w:val="21"/>
                <w:lang w:val="en-US" w:eastAsia="zh-CN"/>
              </w:rPr>
              <w:t>电源时序器(含电源时序控制器软件V2.0)</w:t>
            </w:r>
          </w:p>
        </w:tc>
        <w:tc>
          <w:tcPr>
            <w:tcW w:w="8771" w:type="dxa"/>
            <w:gridSpan w:val="9"/>
            <w:tcBorders>
              <w:top w:val="single" w:color="000000" w:sz="4" w:space="0"/>
              <w:left w:val="single" w:color="000000" w:sz="4" w:space="0"/>
              <w:bottom w:val="single" w:color="000000" w:sz="4" w:space="0"/>
              <w:right w:val="single" w:color="000000" w:sz="4" w:space="0"/>
            </w:tcBorders>
            <w:noWrap w:val="0"/>
            <w:vAlign w:val="center"/>
          </w:tcPr>
          <w:p w14:paraId="098F85B0">
            <w:pPr>
              <w:rPr>
                <w:rFonts w:hint="eastAsia"/>
                <w:b w:val="0"/>
                <w:bCs/>
                <w:color w:val="auto"/>
                <w:sz w:val="22"/>
                <w:szCs w:val="21"/>
              </w:rPr>
            </w:pPr>
            <w:r>
              <w:rPr>
                <w:rFonts w:hint="eastAsia"/>
                <w:b w:val="0"/>
                <w:bCs/>
                <w:color w:val="auto"/>
                <w:sz w:val="22"/>
                <w:szCs w:val="21"/>
                <w:lang w:val="en-US" w:eastAsia="zh-CN"/>
              </w:rPr>
              <w:t>产品描述：</w:t>
            </w:r>
            <w:r>
              <w:rPr>
                <w:rFonts w:hint="eastAsia"/>
                <w:b w:val="0"/>
                <w:bCs/>
                <w:color w:val="auto"/>
                <w:sz w:val="22"/>
                <w:szCs w:val="21"/>
                <w:lang w:val="en-US" w:eastAsia="zh-CN"/>
              </w:rPr>
              <w:br w:type="textWrapping"/>
            </w:r>
            <w:r>
              <w:rPr>
                <w:rFonts w:hint="eastAsia"/>
                <w:b w:val="0"/>
                <w:bCs/>
                <w:color w:val="auto"/>
                <w:sz w:val="22"/>
                <w:szCs w:val="21"/>
                <w:lang w:val="en-US" w:eastAsia="zh-CN"/>
              </w:rPr>
              <w:t>1U机柜式设计，双层双色双拼面板，彰显立体美感；前面板采用隐藏式条形出气口及弧形进风口设计，设备散热均匀，有效延长使用寿命； 电源开关采用防触碰设计，安全省心。</w:t>
            </w:r>
            <w:r>
              <w:rPr>
                <w:rFonts w:hint="eastAsia"/>
                <w:b w:val="0"/>
                <w:bCs/>
                <w:color w:val="auto"/>
                <w:sz w:val="22"/>
                <w:szCs w:val="21"/>
                <w:lang w:val="en-US" w:eastAsia="zh-CN"/>
              </w:rPr>
              <w:br w:type="textWrapping"/>
            </w:r>
            <w:r>
              <w:rPr>
                <w:rFonts w:hint="eastAsia"/>
                <w:b w:val="0"/>
                <w:bCs/>
                <w:color w:val="auto"/>
                <w:sz w:val="22"/>
                <w:szCs w:val="21"/>
                <w:lang w:val="en-US" w:eastAsia="zh-CN"/>
              </w:rPr>
              <w:t>大电流三芯电源输入缆线，电源输入连接方便，带负载最大电流可达50A。</w:t>
            </w:r>
            <w:r>
              <w:rPr>
                <w:rFonts w:hint="eastAsia"/>
                <w:b w:val="0"/>
                <w:bCs/>
                <w:color w:val="auto"/>
                <w:sz w:val="22"/>
                <w:szCs w:val="21"/>
                <w:lang w:val="en-US" w:eastAsia="zh-CN"/>
              </w:rPr>
              <w:br w:type="textWrapping"/>
            </w:r>
            <w:r>
              <w:rPr>
                <w:rFonts w:hint="eastAsia"/>
                <w:b w:val="0"/>
                <w:bCs/>
                <w:color w:val="auto"/>
                <w:sz w:val="22"/>
                <w:szCs w:val="21"/>
                <w:lang w:val="en-US" w:eastAsia="zh-CN"/>
              </w:rPr>
              <w:t>配置1只安全空气开关及1个时序开启/关闭按键开关，保障设备安全的同时，又便于操控。</w:t>
            </w:r>
            <w:r>
              <w:rPr>
                <w:rFonts w:hint="eastAsia"/>
                <w:b w:val="0"/>
                <w:bCs/>
                <w:color w:val="auto"/>
                <w:sz w:val="22"/>
                <w:szCs w:val="21"/>
                <w:lang w:val="en-US" w:eastAsia="zh-CN"/>
              </w:rPr>
              <w:br w:type="textWrapping"/>
            </w:r>
            <w:r>
              <w:rPr>
                <w:rFonts w:hint="eastAsia"/>
                <w:b w:val="0"/>
                <w:bCs/>
                <w:color w:val="auto"/>
                <w:sz w:val="22"/>
                <w:szCs w:val="21"/>
                <w:lang w:val="en-US" w:eastAsia="zh-CN"/>
              </w:rPr>
              <w:t>面板开关设计符合设备安全要求，顺序开启时序通道，逆序关闭时序通道。</w:t>
            </w:r>
            <w:r>
              <w:rPr>
                <w:rFonts w:hint="eastAsia"/>
                <w:b w:val="0"/>
                <w:bCs/>
                <w:color w:val="auto"/>
                <w:sz w:val="22"/>
                <w:szCs w:val="21"/>
                <w:lang w:val="en-US" w:eastAsia="zh-CN"/>
              </w:rPr>
              <w:br w:type="textWrapping"/>
            </w:r>
            <w:r>
              <w:rPr>
                <w:rFonts w:hint="eastAsia"/>
                <w:b w:val="0"/>
                <w:bCs/>
                <w:color w:val="auto"/>
                <w:sz w:val="22"/>
                <w:szCs w:val="21"/>
                <w:lang w:val="en-US" w:eastAsia="zh-CN"/>
              </w:rPr>
              <w:t>带8个LED指示灯显示，实时查看每个通道的工作状态。</w:t>
            </w:r>
            <w:r>
              <w:rPr>
                <w:rFonts w:hint="eastAsia"/>
                <w:b w:val="0"/>
                <w:bCs/>
                <w:color w:val="auto"/>
                <w:sz w:val="22"/>
                <w:szCs w:val="21"/>
                <w:lang w:val="en-US" w:eastAsia="zh-CN"/>
              </w:rPr>
              <w:br w:type="textWrapping"/>
            </w:r>
            <w:r>
              <w:rPr>
                <w:rFonts w:hint="eastAsia"/>
                <w:b w:val="0"/>
                <w:bCs/>
                <w:color w:val="auto"/>
                <w:sz w:val="22"/>
                <w:szCs w:val="21"/>
                <w:lang w:val="en-US" w:eastAsia="zh-CN"/>
              </w:rPr>
              <w:t>支持PC端安装软件，通过软件操控修改时间，可设置定时程序，实现无人值守，并且可编辑任意通道的开启或关闭。</w:t>
            </w:r>
            <w:r>
              <w:rPr>
                <w:rFonts w:hint="eastAsia"/>
                <w:b w:val="0"/>
                <w:bCs/>
                <w:color w:val="auto"/>
                <w:sz w:val="22"/>
                <w:szCs w:val="21"/>
                <w:lang w:val="en-US" w:eastAsia="zh-CN"/>
              </w:rPr>
              <w:br w:type="textWrapping"/>
            </w:r>
            <w:r>
              <w:rPr>
                <w:rFonts w:hint="eastAsia"/>
                <w:b w:val="0"/>
                <w:bCs/>
                <w:color w:val="auto"/>
                <w:sz w:val="22"/>
                <w:szCs w:val="21"/>
                <w:lang w:val="en-US" w:eastAsia="zh-CN"/>
              </w:rPr>
              <w:t>内含CPU控制芯片，可自定义顺序开机和逆序关机，并且可根据使用场所不同，自定议设置开关机间隔时间（0-254秒）。</w:t>
            </w:r>
            <w:r>
              <w:rPr>
                <w:rFonts w:hint="eastAsia"/>
                <w:b w:val="0"/>
                <w:bCs/>
                <w:color w:val="auto"/>
                <w:sz w:val="22"/>
                <w:szCs w:val="21"/>
                <w:lang w:val="en-US" w:eastAsia="zh-CN"/>
              </w:rPr>
              <w:br w:type="textWrapping"/>
            </w:r>
            <w:r>
              <w:rPr>
                <w:rFonts w:hint="eastAsia"/>
                <w:b w:val="0"/>
                <w:bCs/>
                <w:color w:val="auto"/>
                <w:sz w:val="22"/>
                <w:szCs w:val="21"/>
                <w:lang w:val="en-US" w:eastAsia="zh-CN"/>
              </w:rPr>
              <w:t>后面板带8路多功能标准插座输出，通用于国际多种类型插头。</w:t>
            </w:r>
            <w:r>
              <w:rPr>
                <w:rFonts w:hint="eastAsia"/>
                <w:b w:val="0"/>
                <w:bCs/>
                <w:color w:val="auto"/>
                <w:sz w:val="22"/>
                <w:szCs w:val="21"/>
                <w:lang w:val="en-US" w:eastAsia="zh-CN"/>
              </w:rPr>
              <w:br w:type="textWrapping"/>
            </w:r>
            <w:r>
              <w:rPr>
                <w:rFonts w:hint="eastAsia"/>
                <w:b w:val="0"/>
                <w:bCs/>
                <w:color w:val="auto"/>
                <w:sz w:val="22"/>
                <w:szCs w:val="21"/>
                <w:lang w:val="en-US" w:eastAsia="zh-CN"/>
              </w:rPr>
              <w:t>前面板配1路直通220V电源座，2路USB DC 5V座供电接口，用于调试照明或手机/平板充电。</w:t>
            </w:r>
            <w:r>
              <w:rPr>
                <w:rFonts w:hint="eastAsia"/>
                <w:b w:val="0"/>
                <w:bCs/>
                <w:color w:val="auto"/>
                <w:sz w:val="22"/>
                <w:szCs w:val="21"/>
                <w:lang w:val="en-US" w:eastAsia="zh-CN"/>
              </w:rPr>
              <w:br w:type="textWrapping"/>
            </w:r>
            <w:r>
              <w:rPr>
                <w:rFonts w:hint="eastAsia"/>
                <w:b w:val="0"/>
                <w:bCs/>
                <w:color w:val="auto"/>
                <w:sz w:val="22"/>
                <w:szCs w:val="21"/>
                <w:lang w:val="en-US" w:eastAsia="zh-CN"/>
              </w:rPr>
              <w:t>带485智能化控制接口，具有标准串口控制功能，可连接电脑控制。</w:t>
            </w:r>
            <w:r>
              <w:rPr>
                <w:rFonts w:hint="eastAsia"/>
                <w:b w:val="0"/>
                <w:bCs/>
                <w:color w:val="auto"/>
                <w:sz w:val="22"/>
                <w:szCs w:val="21"/>
                <w:lang w:val="en-US" w:eastAsia="zh-CN"/>
              </w:rPr>
              <w:br w:type="textWrapping"/>
            </w:r>
            <w:r>
              <w:rPr>
                <w:rFonts w:hint="eastAsia"/>
                <w:b w:val="0"/>
                <w:bCs/>
                <w:color w:val="auto"/>
                <w:sz w:val="22"/>
                <w:szCs w:val="21"/>
                <w:lang w:val="en-US" w:eastAsia="zh-CN"/>
              </w:rPr>
              <w:t>带USB级联输入和输出接口，可拓展更多电源时序器关联控制。</w:t>
            </w:r>
            <w:r>
              <w:rPr>
                <w:rFonts w:hint="eastAsia"/>
                <w:b w:val="0"/>
                <w:bCs/>
                <w:color w:val="auto"/>
                <w:sz w:val="22"/>
                <w:szCs w:val="21"/>
                <w:lang w:val="en-US" w:eastAsia="zh-CN"/>
              </w:rPr>
              <w:br w:type="textWrapping"/>
            </w:r>
            <w:r>
              <w:rPr>
                <w:rFonts w:hint="eastAsia"/>
                <w:b w:val="0"/>
                <w:bCs/>
                <w:color w:val="auto"/>
                <w:sz w:val="22"/>
                <w:szCs w:val="21"/>
                <w:lang w:val="en-US" w:eastAsia="zh-CN"/>
              </w:rPr>
              <w:t>技术参数：</w:t>
            </w:r>
            <w:r>
              <w:rPr>
                <w:rFonts w:hint="eastAsia"/>
                <w:b w:val="0"/>
                <w:bCs/>
                <w:color w:val="auto"/>
                <w:sz w:val="22"/>
                <w:szCs w:val="21"/>
                <w:lang w:val="en-US" w:eastAsia="zh-CN"/>
              </w:rPr>
              <w:br w:type="textWrapping"/>
            </w:r>
            <w:r>
              <w:rPr>
                <w:rFonts w:hint="eastAsia"/>
                <w:b w:val="0"/>
                <w:bCs/>
                <w:color w:val="auto"/>
                <w:sz w:val="22"/>
                <w:szCs w:val="21"/>
                <w:lang w:val="en-US" w:eastAsia="zh-CN"/>
              </w:rPr>
              <w:t>最大电流：50A</w:t>
            </w:r>
            <w:r>
              <w:rPr>
                <w:rFonts w:hint="eastAsia"/>
                <w:b w:val="0"/>
                <w:bCs/>
                <w:color w:val="auto"/>
                <w:sz w:val="22"/>
                <w:szCs w:val="21"/>
                <w:lang w:val="en-US" w:eastAsia="zh-CN"/>
              </w:rPr>
              <w:br w:type="textWrapping"/>
            </w:r>
            <w:r>
              <w:rPr>
                <w:rFonts w:hint="eastAsia"/>
                <w:b w:val="0"/>
                <w:bCs/>
                <w:color w:val="auto"/>
                <w:sz w:val="22"/>
                <w:szCs w:val="21"/>
                <w:lang w:val="en-US" w:eastAsia="zh-CN"/>
              </w:rPr>
              <w:t>每通道最大电流：16A</w:t>
            </w:r>
            <w:r>
              <w:rPr>
                <w:rFonts w:hint="eastAsia"/>
                <w:b w:val="0"/>
                <w:bCs/>
                <w:color w:val="auto"/>
                <w:sz w:val="22"/>
                <w:szCs w:val="21"/>
                <w:lang w:val="en-US" w:eastAsia="zh-CN"/>
              </w:rPr>
              <w:br w:type="textWrapping"/>
            </w:r>
            <w:r>
              <w:rPr>
                <w:rFonts w:hint="eastAsia"/>
                <w:b w:val="0"/>
                <w:bCs/>
                <w:color w:val="auto"/>
                <w:sz w:val="22"/>
                <w:szCs w:val="21"/>
                <w:lang w:val="en-US" w:eastAsia="zh-CN"/>
              </w:rPr>
              <w:t>通道数：8路</w:t>
            </w:r>
            <w:r>
              <w:rPr>
                <w:rFonts w:hint="eastAsia"/>
                <w:b w:val="0"/>
                <w:bCs/>
                <w:color w:val="auto"/>
                <w:sz w:val="22"/>
                <w:szCs w:val="21"/>
                <w:lang w:val="en-US" w:eastAsia="zh-CN"/>
              </w:rPr>
              <w:br w:type="textWrapping"/>
            </w:r>
            <w:r>
              <w:rPr>
                <w:rFonts w:hint="eastAsia"/>
                <w:b w:val="0"/>
                <w:bCs/>
                <w:color w:val="auto"/>
                <w:sz w:val="22"/>
                <w:szCs w:val="21"/>
                <w:lang w:val="en-US" w:eastAsia="zh-CN"/>
              </w:rPr>
              <w:t>电源供应：AC 220V 50/60Hz</w:t>
            </w:r>
            <w:r>
              <w:rPr>
                <w:rFonts w:hint="eastAsia"/>
                <w:b w:val="0"/>
                <w:bCs/>
                <w:color w:val="auto"/>
                <w:sz w:val="22"/>
                <w:szCs w:val="21"/>
                <w:lang w:val="en-US" w:eastAsia="zh-CN"/>
              </w:rPr>
              <w:br w:type="textWrapping"/>
            </w:r>
            <w:r>
              <w:rPr>
                <w:rFonts w:hint="eastAsia"/>
                <w:b w:val="0"/>
                <w:bCs/>
                <w:color w:val="auto"/>
                <w:sz w:val="22"/>
                <w:szCs w:val="21"/>
                <w:lang w:val="en-US" w:eastAsia="zh-CN"/>
              </w:rPr>
              <w:t>装机高度：1U</w:t>
            </w:r>
            <w:r>
              <w:rPr>
                <w:rFonts w:hint="eastAsia"/>
                <w:b w:val="0"/>
                <w:bCs/>
                <w:color w:val="auto"/>
                <w:sz w:val="22"/>
                <w:szCs w:val="21"/>
                <w:lang w:val="en-US" w:eastAsia="zh-CN"/>
              </w:rPr>
              <w:br w:type="textWrapping"/>
            </w:r>
            <w:r>
              <w:rPr>
                <w:rFonts w:hint="eastAsia"/>
                <w:b w:val="0"/>
                <w:bCs/>
                <w:color w:val="auto"/>
                <w:sz w:val="22"/>
                <w:szCs w:val="21"/>
                <w:lang w:val="en-US" w:eastAsia="zh-CN"/>
              </w:rPr>
              <w:t>电源指示：LED指示灯</w:t>
            </w:r>
            <w:r>
              <w:rPr>
                <w:rFonts w:hint="eastAsia"/>
                <w:b w:val="0"/>
                <w:bCs/>
                <w:color w:val="auto"/>
                <w:sz w:val="22"/>
                <w:szCs w:val="21"/>
                <w:lang w:val="en-US" w:eastAsia="zh-CN"/>
              </w:rPr>
              <w:br w:type="textWrapping"/>
            </w:r>
            <w:r>
              <w:rPr>
                <w:rFonts w:hint="eastAsia"/>
                <w:b w:val="0"/>
                <w:bCs/>
                <w:color w:val="auto"/>
                <w:sz w:val="22"/>
                <w:szCs w:val="21"/>
                <w:lang w:val="en-US" w:eastAsia="zh-CN"/>
              </w:rPr>
              <w:t>接口：前面板1个万能插座、1个空气开关、2个USB口、后面板8个万能插座、1个485口、2个级联端口</w:t>
            </w:r>
            <w:r>
              <w:rPr>
                <w:rFonts w:hint="eastAsia"/>
                <w:b w:val="0"/>
                <w:bCs/>
                <w:color w:val="auto"/>
                <w:sz w:val="22"/>
                <w:szCs w:val="21"/>
                <w:lang w:val="en-US" w:eastAsia="zh-CN"/>
              </w:rPr>
              <w:br w:type="textWrapping"/>
            </w:r>
            <w:r>
              <w:rPr>
                <w:rFonts w:hint="eastAsia"/>
                <w:b w:val="0"/>
                <w:bCs/>
                <w:color w:val="auto"/>
                <w:sz w:val="22"/>
                <w:szCs w:val="21"/>
                <w:lang w:val="en-US" w:eastAsia="zh-CN"/>
              </w:rPr>
              <w:t>产品尺寸（W×D×H）：484×317×45mm</w:t>
            </w:r>
            <w:r>
              <w:rPr>
                <w:rFonts w:hint="eastAsia"/>
                <w:b w:val="0"/>
                <w:bCs/>
                <w:color w:val="auto"/>
                <w:sz w:val="22"/>
                <w:szCs w:val="21"/>
                <w:lang w:val="en-US" w:eastAsia="zh-CN"/>
              </w:rPr>
              <w:br w:type="textWrapping"/>
            </w:r>
            <w:r>
              <w:rPr>
                <w:rFonts w:hint="eastAsia"/>
                <w:b w:val="0"/>
                <w:bCs/>
                <w:color w:val="auto"/>
                <w:sz w:val="22"/>
                <w:szCs w:val="21"/>
                <w:lang w:val="en-US" w:eastAsia="zh-CN"/>
              </w:rPr>
              <w:t>重量：5kg</w:t>
            </w:r>
          </w:p>
        </w:tc>
        <w:tc>
          <w:tcPr>
            <w:tcW w:w="1030" w:type="dxa"/>
            <w:gridSpan w:val="6"/>
            <w:tcBorders>
              <w:top w:val="single" w:color="000000" w:sz="4" w:space="0"/>
              <w:left w:val="single" w:color="000000" w:sz="4" w:space="0"/>
              <w:bottom w:val="single" w:color="000000" w:sz="4" w:space="0"/>
              <w:right w:val="single" w:color="000000" w:sz="4" w:space="0"/>
            </w:tcBorders>
            <w:noWrap w:val="0"/>
            <w:vAlign w:val="center"/>
          </w:tcPr>
          <w:p w14:paraId="097B91D1">
            <w:pPr>
              <w:rPr>
                <w:rFonts w:hint="eastAsia"/>
                <w:b w:val="0"/>
                <w:bCs/>
                <w:color w:val="auto"/>
                <w:sz w:val="22"/>
                <w:szCs w:val="21"/>
              </w:rPr>
            </w:pPr>
            <w:r>
              <w:rPr>
                <w:rFonts w:hint="eastAsia"/>
                <w:b w:val="0"/>
                <w:bCs/>
                <w:color w:val="auto"/>
                <w:sz w:val="22"/>
                <w:szCs w:val="21"/>
                <w:lang w:val="en-US" w:eastAsia="zh-CN"/>
              </w:rPr>
              <w:t>1</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2E16136D">
            <w:pPr>
              <w:rPr>
                <w:rFonts w:hint="eastAsia"/>
                <w:b w:val="0"/>
                <w:bCs/>
                <w:color w:val="auto"/>
                <w:sz w:val="22"/>
                <w:szCs w:val="21"/>
              </w:rPr>
            </w:pPr>
            <w:r>
              <w:rPr>
                <w:rFonts w:hint="eastAsia"/>
                <w:b w:val="0"/>
                <w:bCs/>
                <w:color w:val="auto"/>
                <w:sz w:val="22"/>
                <w:szCs w:val="21"/>
                <w:lang w:val="en-US" w:eastAsia="zh-CN"/>
              </w:rPr>
              <w:t>台</w:t>
            </w:r>
          </w:p>
        </w:tc>
      </w:tr>
      <w:tr w14:paraId="3ABF2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3217" w:type="dxa"/>
          <w:trHeight w:val="500" w:hRule="atLeast"/>
        </w:trPr>
        <w:tc>
          <w:tcPr>
            <w:tcW w:w="9548" w:type="dxa"/>
            <w:gridSpan w:val="14"/>
            <w:tcBorders>
              <w:top w:val="single" w:color="000000" w:sz="4" w:space="0"/>
              <w:left w:val="single" w:color="000000" w:sz="4" w:space="0"/>
              <w:bottom w:val="single" w:color="000000" w:sz="4" w:space="0"/>
              <w:right w:val="single" w:color="000000" w:sz="4" w:space="0"/>
            </w:tcBorders>
            <w:noWrap/>
            <w:vAlign w:val="center"/>
          </w:tcPr>
          <w:p w14:paraId="4B2D7EAB">
            <w:pPr>
              <w:rPr>
                <w:rFonts w:hint="eastAsia"/>
                <w:b w:val="0"/>
                <w:bCs/>
                <w:color w:val="auto"/>
                <w:sz w:val="22"/>
                <w:szCs w:val="21"/>
              </w:rPr>
            </w:pPr>
            <w:r>
              <w:rPr>
                <w:rFonts w:hint="eastAsia"/>
                <w:b w:val="0"/>
                <w:bCs/>
                <w:color w:val="auto"/>
                <w:sz w:val="22"/>
                <w:szCs w:val="21"/>
                <w:lang w:val="en-US" w:eastAsia="zh-CN"/>
              </w:rPr>
              <w:t>二、会议发言系统</w:t>
            </w:r>
          </w:p>
        </w:tc>
      </w:tr>
      <w:tr w14:paraId="49ED4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1ACF674B">
            <w:pPr>
              <w:rPr>
                <w:rFonts w:hint="eastAsia"/>
                <w:b w:val="0"/>
                <w:bCs/>
                <w:color w:val="auto"/>
                <w:sz w:val="22"/>
                <w:szCs w:val="21"/>
              </w:rPr>
            </w:pPr>
            <w:r>
              <w:rPr>
                <w:rFonts w:hint="eastAsia"/>
                <w:b w:val="0"/>
                <w:bCs/>
                <w:color w:val="auto"/>
                <w:sz w:val="22"/>
                <w:szCs w:val="21"/>
                <w:lang w:val="en-US" w:eastAsia="zh-CN"/>
              </w:rPr>
              <w:t>1</w:t>
            </w:r>
          </w:p>
        </w:tc>
        <w:tc>
          <w:tcPr>
            <w:tcW w:w="1249" w:type="dxa"/>
            <w:gridSpan w:val="3"/>
            <w:tcBorders>
              <w:top w:val="single" w:color="000000" w:sz="4" w:space="0"/>
              <w:left w:val="single" w:color="000000" w:sz="4" w:space="0"/>
              <w:bottom w:val="single" w:color="000000" w:sz="4" w:space="0"/>
              <w:right w:val="single" w:color="000000" w:sz="4" w:space="0"/>
            </w:tcBorders>
            <w:noWrap w:val="0"/>
            <w:vAlign w:val="center"/>
          </w:tcPr>
          <w:p w14:paraId="5707DAAE">
            <w:pPr>
              <w:rPr>
                <w:rFonts w:hint="eastAsia"/>
                <w:b w:val="0"/>
                <w:bCs/>
                <w:color w:val="auto"/>
                <w:sz w:val="22"/>
                <w:szCs w:val="21"/>
              </w:rPr>
            </w:pPr>
            <w:r>
              <w:rPr>
                <w:rFonts w:hint="eastAsia"/>
                <w:b w:val="0"/>
                <w:bCs/>
                <w:color w:val="auto"/>
                <w:sz w:val="22"/>
                <w:szCs w:val="21"/>
                <w:lang w:val="en-US" w:eastAsia="zh-CN"/>
              </w:rPr>
              <w:t>会议主机(含全数字网络会议系统管理控制软件V2.0)</w:t>
            </w:r>
          </w:p>
        </w:tc>
        <w:tc>
          <w:tcPr>
            <w:tcW w:w="8771" w:type="dxa"/>
            <w:gridSpan w:val="9"/>
            <w:tcBorders>
              <w:top w:val="single" w:color="000000" w:sz="4" w:space="0"/>
              <w:left w:val="single" w:color="000000" w:sz="4" w:space="0"/>
              <w:bottom w:val="single" w:color="000000" w:sz="4" w:space="0"/>
              <w:right w:val="single" w:color="000000" w:sz="4" w:space="0"/>
            </w:tcBorders>
            <w:noWrap w:val="0"/>
            <w:vAlign w:val="center"/>
          </w:tcPr>
          <w:p w14:paraId="2648F511">
            <w:pPr>
              <w:rPr>
                <w:rFonts w:hint="eastAsia"/>
                <w:b w:val="0"/>
                <w:bCs/>
                <w:color w:val="auto"/>
                <w:sz w:val="22"/>
                <w:szCs w:val="21"/>
              </w:rPr>
            </w:pPr>
            <w:r>
              <w:rPr>
                <w:rFonts w:hint="eastAsia"/>
                <w:b w:val="0"/>
                <w:bCs/>
                <w:color w:val="auto"/>
                <w:sz w:val="22"/>
                <w:szCs w:val="21"/>
                <w:lang w:val="en-US" w:eastAsia="zh-CN"/>
              </w:rPr>
              <w:t>产品描述：</w:t>
            </w:r>
            <w:r>
              <w:rPr>
                <w:rFonts w:hint="eastAsia"/>
                <w:b w:val="0"/>
                <w:bCs/>
                <w:color w:val="auto"/>
                <w:sz w:val="22"/>
                <w:szCs w:val="21"/>
                <w:lang w:val="en-US" w:eastAsia="zh-CN"/>
              </w:rPr>
              <w:br w:type="textWrapping"/>
            </w:r>
            <w:r>
              <w:rPr>
                <w:rFonts w:hint="eastAsia"/>
                <w:b w:val="0"/>
                <w:bCs/>
                <w:color w:val="auto"/>
                <w:sz w:val="22"/>
                <w:szCs w:val="21"/>
                <w:lang w:val="en-US" w:eastAsia="zh-CN"/>
              </w:rPr>
              <w:t>标准1U机柜式设计，双层双色双拼面板，彰显立体美感。</w:t>
            </w:r>
            <w:r>
              <w:rPr>
                <w:rFonts w:hint="eastAsia"/>
                <w:b w:val="0"/>
                <w:bCs/>
                <w:color w:val="auto"/>
                <w:sz w:val="22"/>
                <w:szCs w:val="21"/>
                <w:lang w:val="en-US" w:eastAsia="zh-CN"/>
              </w:rPr>
              <w:br w:type="textWrapping"/>
            </w:r>
            <w:r>
              <w:rPr>
                <w:rFonts w:hint="eastAsia"/>
                <w:b w:val="0"/>
                <w:bCs/>
                <w:color w:val="auto"/>
                <w:sz w:val="22"/>
                <w:szCs w:val="21"/>
                <w:lang w:val="en-US" w:eastAsia="zh-CN"/>
              </w:rPr>
              <w:t>设有2.0寸TFT真彩屏，搭配十字浏览健以及数字编码轮，可实现快捷的人机交互操作。</w:t>
            </w:r>
            <w:r>
              <w:rPr>
                <w:rFonts w:hint="eastAsia"/>
                <w:b w:val="0"/>
                <w:bCs/>
                <w:color w:val="auto"/>
                <w:sz w:val="22"/>
                <w:szCs w:val="21"/>
                <w:lang w:val="en-US" w:eastAsia="zh-CN"/>
              </w:rPr>
              <w:br w:type="textWrapping"/>
            </w:r>
            <w:r>
              <w:rPr>
                <w:rFonts w:hint="eastAsia"/>
                <w:b w:val="0"/>
                <w:bCs/>
                <w:color w:val="auto"/>
                <w:sz w:val="22"/>
                <w:szCs w:val="21"/>
                <w:lang w:val="en-US" w:eastAsia="zh-CN"/>
              </w:rPr>
              <w:t>主机主界面可以显示当前会议模式、最大话筒数量、模式调用，MIC输出增益-60~+12dB、LINE输出增益-60~+12dB。</w:t>
            </w:r>
            <w:r>
              <w:rPr>
                <w:rFonts w:hint="eastAsia"/>
                <w:b w:val="0"/>
                <w:bCs/>
                <w:color w:val="auto"/>
                <w:sz w:val="22"/>
                <w:szCs w:val="21"/>
                <w:lang w:val="en-US" w:eastAsia="zh-CN"/>
              </w:rPr>
              <w:br w:type="textWrapping"/>
            </w:r>
            <w:r>
              <w:rPr>
                <w:rFonts w:hint="eastAsia"/>
                <w:b w:val="0"/>
                <w:bCs/>
                <w:color w:val="auto"/>
                <w:sz w:val="22"/>
                <w:szCs w:val="21"/>
                <w:lang w:val="en-US" w:eastAsia="zh-CN"/>
              </w:rPr>
              <w:t>设有3路专用8芯航空插孔，可实现话筒单元与主机间"手拉手"或"T型"连接，牢固可靠，抗腐蚀抗干扰能力强。</w:t>
            </w:r>
            <w:r>
              <w:rPr>
                <w:rFonts w:hint="eastAsia"/>
                <w:b w:val="0"/>
                <w:bCs/>
                <w:color w:val="auto"/>
                <w:sz w:val="22"/>
                <w:szCs w:val="21"/>
                <w:lang w:val="en-US" w:eastAsia="zh-CN"/>
              </w:rPr>
              <w:br w:type="textWrapping"/>
            </w:r>
            <w:r>
              <w:rPr>
                <w:rFonts w:hint="eastAsia"/>
                <w:b w:val="0"/>
                <w:bCs/>
                <w:color w:val="auto"/>
                <w:sz w:val="22"/>
                <w:szCs w:val="21"/>
                <w:lang w:val="en-US" w:eastAsia="zh-CN"/>
              </w:rPr>
              <w:t>具备多种音频信号输入/输出，包括RCA立体声LINE输入/输出各1路，XLR平衡式LINE输入/输出各1路，1路XLR平衡式纯MIC输出（对接远程视频会议终端系统）。</w:t>
            </w:r>
            <w:r>
              <w:rPr>
                <w:rFonts w:hint="eastAsia"/>
                <w:b w:val="0"/>
                <w:bCs/>
                <w:color w:val="auto"/>
                <w:sz w:val="22"/>
                <w:szCs w:val="21"/>
                <w:lang w:val="en-US" w:eastAsia="zh-CN"/>
              </w:rPr>
              <w:br w:type="textWrapping"/>
            </w:r>
            <w:r>
              <w:rPr>
                <w:rFonts w:hint="eastAsia"/>
                <w:b w:val="0"/>
                <w:bCs/>
                <w:color w:val="auto"/>
                <w:sz w:val="22"/>
                <w:szCs w:val="21"/>
                <w:lang w:val="en-US" w:eastAsia="zh-CN"/>
              </w:rPr>
              <w:t>设有1路RS-232控制接口，开放式控制协议，兼容ANE、AMX、CRESTRON等知名控制厂商的中央控制设备。</w:t>
            </w:r>
            <w:r>
              <w:rPr>
                <w:rFonts w:hint="eastAsia"/>
                <w:b w:val="0"/>
                <w:bCs/>
                <w:color w:val="auto"/>
                <w:sz w:val="22"/>
                <w:szCs w:val="21"/>
                <w:lang w:val="en-US" w:eastAsia="zh-CN"/>
              </w:rPr>
              <w:br w:type="textWrapping"/>
            </w:r>
            <w:r>
              <w:rPr>
                <w:rFonts w:hint="eastAsia"/>
                <w:b w:val="0"/>
                <w:bCs/>
                <w:color w:val="auto"/>
                <w:sz w:val="22"/>
                <w:szCs w:val="21"/>
                <w:lang w:val="en-US" w:eastAsia="zh-CN"/>
              </w:rPr>
              <w:t>设有消防联动接口，可实现消防触发信号输出。</w:t>
            </w:r>
            <w:r>
              <w:rPr>
                <w:rFonts w:hint="eastAsia"/>
                <w:b w:val="0"/>
                <w:bCs/>
                <w:color w:val="auto"/>
                <w:sz w:val="22"/>
                <w:szCs w:val="21"/>
                <w:lang w:val="en-US" w:eastAsia="zh-CN"/>
              </w:rPr>
              <w:br w:type="textWrapping"/>
            </w:r>
            <w:r>
              <w:rPr>
                <w:rFonts w:hint="eastAsia"/>
                <w:b w:val="0"/>
                <w:bCs/>
                <w:color w:val="auto"/>
                <w:sz w:val="22"/>
                <w:szCs w:val="21"/>
                <w:lang w:val="en-US" w:eastAsia="zh-CN"/>
              </w:rPr>
              <w:t>内置数字音频处理DSP： 可对单元MIC信号进行静音、相位、音量、噪声门、低切、PEQ、压限等音色设定；可对本地LINE输入信号进行静音、相位、音量、PEQ、压限等音色设定。</w:t>
            </w:r>
            <w:r>
              <w:rPr>
                <w:rFonts w:hint="eastAsia"/>
                <w:b w:val="0"/>
                <w:bCs/>
                <w:color w:val="auto"/>
                <w:sz w:val="22"/>
                <w:szCs w:val="21"/>
                <w:lang w:val="en-US" w:eastAsia="zh-CN"/>
              </w:rPr>
              <w:br w:type="textWrapping"/>
            </w:r>
            <w:r>
              <w:rPr>
                <w:rFonts w:hint="eastAsia"/>
                <w:b w:val="0"/>
                <w:bCs/>
                <w:color w:val="auto"/>
                <w:sz w:val="22"/>
                <w:szCs w:val="21"/>
                <w:lang w:val="en-US" w:eastAsia="zh-CN"/>
              </w:rPr>
              <w:t>内置USB录音模块，可实现轻便化录音。</w:t>
            </w:r>
            <w:r>
              <w:rPr>
                <w:rFonts w:hint="eastAsia"/>
                <w:b w:val="0"/>
                <w:bCs/>
                <w:color w:val="auto"/>
                <w:sz w:val="22"/>
                <w:szCs w:val="21"/>
                <w:lang w:val="en-US" w:eastAsia="zh-CN"/>
              </w:rPr>
              <w:br w:type="textWrapping"/>
            </w:r>
            <w:r>
              <w:rPr>
                <w:rFonts w:hint="eastAsia"/>
                <w:b w:val="0"/>
                <w:bCs/>
                <w:color w:val="auto"/>
                <w:sz w:val="22"/>
                <w:szCs w:val="21"/>
                <w:lang w:val="en-US" w:eastAsia="zh-CN"/>
              </w:rPr>
              <w:t>系统单机支持128台会议单元连接。</w:t>
            </w:r>
            <w:r>
              <w:rPr>
                <w:rFonts w:hint="eastAsia"/>
                <w:b w:val="0"/>
                <w:bCs/>
                <w:color w:val="auto"/>
                <w:sz w:val="22"/>
                <w:szCs w:val="21"/>
                <w:lang w:val="en-US" w:eastAsia="zh-CN"/>
              </w:rPr>
              <w:br w:type="textWrapping"/>
            </w:r>
            <w:r>
              <w:rPr>
                <w:rFonts w:hint="eastAsia"/>
                <w:b w:val="0"/>
                <w:bCs/>
                <w:color w:val="auto"/>
                <w:sz w:val="22"/>
                <w:szCs w:val="21"/>
                <w:lang w:val="en-US" w:eastAsia="zh-CN"/>
              </w:rPr>
              <w:t>发言单元开启数量1/2/4/8可调。</w:t>
            </w:r>
            <w:r>
              <w:rPr>
                <w:rFonts w:hint="eastAsia"/>
                <w:b w:val="0"/>
                <w:bCs/>
                <w:color w:val="auto"/>
                <w:sz w:val="22"/>
                <w:szCs w:val="21"/>
                <w:lang w:val="en-US" w:eastAsia="zh-CN"/>
              </w:rPr>
              <w:br w:type="textWrapping"/>
            </w:r>
            <w:r>
              <w:rPr>
                <w:rFonts w:hint="eastAsia"/>
                <w:b w:val="0"/>
                <w:bCs/>
                <w:color w:val="auto"/>
                <w:sz w:val="22"/>
                <w:szCs w:val="21"/>
                <w:lang w:val="en-US" w:eastAsia="zh-CN"/>
              </w:rPr>
              <w:t>支持FIFO（先进先出）、NORMAL（定量）等会议模式。</w:t>
            </w:r>
            <w:r>
              <w:rPr>
                <w:rFonts w:hint="eastAsia"/>
                <w:b w:val="0"/>
                <w:bCs/>
                <w:color w:val="auto"/>
                <w:sz w:val="22"/>
                <w:szCs w:val="21"/>
                <w:lang w:val="en-US" w:eastAsia="zh-CN"/>
              </w:rPr>
              <w:br w:type="textWrapping"/>
            </w:r>
            <w:r>
              <w:rPr>
                <w:rFonts w:hint="eastAsia"/>
                <w:b w:val="0"/>
                <w:bCs/>
                <w:color w:val="auto"/>
                <w:sz w:val="22"/>
                <w:szCs w:val="21"/>
                <w:lang w:val="en-US" w:eastAsia="zh-CN"/>
              </w:rPr>
              <w:t>支持摄像跟踪功能，可实现多台摄像机控制、自动切换、自动跟踪。</w:t>
            </w:r>
            <w:r>
              <w:rPr>
                <w:rFonts w:hint="eastAsia"/>
                <w:b w:val="0"/>
                <w:bCs/>
                <w:color w:val="auto"/>
                <w:sz w:val="22"/>
                <w:szCs w:val="21"/>
                <w:lang w:val="en-US" w:eastAsia="zh-CN"/>
              </w:rPr>
              <w:br w:type="textWrapping"/>
            </w:r>
            <w:r>
              <w:rPr>
                <w:rFonts w:hint="eastAsia"/>
                <w:b w:val="0"/>
                <w:bCs/>
                <w:color w:val="auto"/>
                <w:sz w:val="22"/>
                <w:szCs w:val="21"/>
                <w:lang w:val="en-US" w:eastAsia="zh-CN"/>
              </w:rPr>
              <w:t>支持系统主机与PC连接升级固件。</w:t>
            </w:r>
            <w:r>
              <w:rPr>
                <w:rFonts w:hint="eastAsia"/>
                <w:b w:val="0"/>
                <w:bCs/>
                <w:color w:val="auto"/>
                <w:sz w:val="22"/>
                <w:szCs w:val="21"/>
                <w:lang w:val="en-US" w:eastAsia="zh-CN"/>
              </w:rPr>
              <w:br w:type="textWrapping"/>
            </w:r>
            <w:r>
              <w:rPr>
                <w:rFonts w:hint="eastAsia"/>
                <w:b w:val="0"/>
                <w:bCs/>
                <w:color w:val="auto"/>
                <w:sz w:val="22"/>
                <w:szCs w:val="21"/>
                <w:lang w:val="en-US" w:eastAsia="zh-CN"/>
              </w:rPr>
              <w:t>支持保存12种场景模式进行调用。</w:t>
            </w:r>
            <w:r>
              <w:rPr>
                <w:rFonts w:hint="eastAsia"/>
                <w:b w:val="0"/>
                <w:bCs/>
                <w:color w:val="auto"/>
                <w:sz w:val="22"/>
                <w:szCs w:val="21"/>
                <w:lang w:val="en-US" w:eastAsia="zh-CN"/>
              </w:rPr>
              <w:br w:type="textWrapping"/>
            </w:r>
            <w:r>
              <w:rPr>
                <w:rFonts w:hint="eastAsia"/>
                <w:b w:val="0"/>
                <w:bCs/>
                <w:color w:val="auto"/>
                <w:sz w:val="22"/>
                <w:szCs w:val="21"/>
                <w:lang w:val="en-US" w:eastAsia="zh-CN"/>
              </w:rPr>
              <w:t>技术参数：</w:t>
            </w:r>
            <w:r>
              <w:rPr>
                <w:rFonts w:hint="eastAsia"/>
                <w:b w:val="0"/>
                <w:bCs/>
                <w:color w:val="auto"/>
                <w:sz w:val="22"/>
                <w:szCs w:val="21"/>
                <w:lang w:val="en-US" w:eastAsia="zh-CN"/>
              </w:rPr>
              <w:br w:type="textWrapping"/>
            </w:r>
            <w:r>
              <w:rPr>
                <w:rFonts w:hint="eastAsia"/>
                <w:b w:val="0"/>
                <w:bCs/>
                <w:color w:val="auto"/>
                <w:sz w:val="22"/>
                <w:szCs w:val="21"/>
                <w:lang w:val="en-US" w:eastAsia="zh-CN"/>
              </w:rPr>
              <w:t>屏幕：2.0寸TFT真彩屏，分辨率220 * 176</w:t>
            </w:r>
            <w:r>
              <w:rPr>
                <w:rFonts w:hint="eastAsia"/>
                <w:b w:val="0"/>
                <w:bCs/>
                <w:color w:val="auto"/>
                <w:sz w:val="22"/>
                <w:szCs w:val="21"/>
                <w:lang w:val="en-US" w:eastAsia="zh-CN"/>
              </w:rPr>
              <w:br w:type="textWrapping"/>
            </w:r>
            <w:r>
              <w:rPr>
                <w:rFonts w:hint="eastAsia"/>
                <w:b w:val="0"/>
                <w:bCs/>
                <w:color w:val="auto"/>
                <w:sz w:val="22"/>
                <w:szCs w:val="21"/>
                <w:lang w:val="en-US" w:eastAsia="zh-CN"/>
              </w:rPr>
              <w:t>信噪比：MIC ≥75dB(A加权)；LINE ≥100dB(A加权)</w:t>
            </w:r>
            <w:r>
              <w:rPr>
                <w:rFonts w:hint="eastAsia"/>
                <w:b w:val="0"/>
                <w:bCs/>
                <w:color w:val="auto"/>
                <w:sz w:val="22"/>
                <w:szCs w:val="21"/>
                <w:lang w:val="en-US" w:eastAsia="zh-CN"/>
              </w:rPr>
              <w:br w:type="textWrapping"/>
            </w:r>
            <w:r>
              <w:rPr>
                <w:rFonts w:hint="eastAsia"/>
                <w:b w:val="0"/>
                <w:bCs/>
                <w:color w:val="auto"/>
                <w:sz w:val="22"/>
                <w:szCs w:val="21"/>
                <w:lang w:val="en-US" w:eastAsia="zh-CN"/>
              </w:rPr>
              <w:t>失真：LINE &lt;0.05% @1K</w:t>
            </w:r>
            <w:r>
              <w:rPr>
                <w:rFonts w:hint="eastAsia"/>
                <w:b w:val="0"/>
                <w:bCs/>
                <w:color w:val="auto"/>
                <w:sz w:val="22"/>
                <w:szCs w:val="21"/>
                <w:lang w:val="en-US" w:eastAsia="zh-CN"/>
              </w:rPr>
              <w:br w:type="textWrapping"/>
            </w:r>
            <w:r>
              <w:rPr>
                <w:rFonts w:hint="eastAsia"/>
                <w:b w:val="0"/>
                <w:bCs/>
                <w:color w:val="auto"/>
                <w:sz w:val="22"/>
                <w:szCs w:val="21"/>
                <w:lang w:val="en-US" w:eastAsia="zh-CN"/>
              </w:rPr>
              <w:t>灵敏度：LINE 0dBu</w:t>
            </w:r>
            <w:r>
              <w:rPr>
                <w:rFonts w:hint="eastAsia"/>
                <w:b w:val="0"/>
                <w:bCs/>
                <w:color w:val="auto"/>
                <w:sz w:val="22"/>
                <w:szCs w:val="21"/>
                <w:lang w:val="en-US" w:eastAsia="zh-CN"/>
              </w:rPr>
              <w:br w:type="textWrapping"/>
            </w:r>
            <w:r>
              <w:rPr>
                <w:rFonts w:hint="eastAsia"/>
                <w:b w:val="0"/>
                <w:bCs/>
                <w:color w:val="auto"/>
                <w:sz w:val="22"/>
                <w:szCs w:val="21"/>
                <w:lang w:val="en-US" w:eastAsia="zh-CN"/>
              </w:rPr>
              <w:t>最大输入电平：LINE +15dBu</w:t>
            </w:r>
            <w:r>
              <w:rPr>
                <w:rFonts w:hint="eastAsia"/>
                <w:b w:val="0"/>
                <w:bCs/>
                <w:color w:val="auto"/>
                <w:sz w:val="22"/>
                <w:szCs w:val="21"/>
                <w:lang w:val="en-US" w:eastAsia="zh-CN"/>
              </w:rPr>
              <w:br w:type="textWrapping"/>
            </w:r>
            <w:r>
              <w:rPr>
                <w:rFonts w:hint="eastAsia"/>
                <w:b w:val="0"/>
                <w:bCs/>
                <w:color w:val="auto"/>
                <w:sz w:val="22"/>
                <w:szCs w:val="21"/>
                <w:lang w:val="en-US" w:eastAsia="zh-CN"/>
              </w:rPr>
              <w:t>最大输出电平：LINE +15dBu</w:t>
            </w:r>
            <w:r>
              <w:rPr>
                <w:rFonts w:hint="eastAsia"/>
                <w:b w:val="0"/>
                <w:bCs/>
                <w:color w:val="auto"/>
                <w:sz w:val="22"/>
                <w:szCs w:val="21"/>
                <w:lang w:val="en-US" w:eastAsia="zh-CN"/>
              </w:rPr>
              <w:br w:type="textWrapping"/>
            </w:r>
            <w:r>
              <w:rPr>
                <w:rFonts w:hint="eastAsia"/>
                <w:b w:val="0"/>
                <w:bCs/>
                <w:color w:val="auto"/>
                <w:sz w:val="22"/>
                <w:szCs w:val="21"/>
                <w:lang w:val="en-US" w:eastAsia="zh-CN"/>
              </w:rPr>
              <w:t>频响：MIC +0.5dBu@100HZ-16KHZ；LINE 0dB</w:t>
            </w:r>
            <w:r>
              <w:rPr>
                <w:rFonts w:hint="eastAsia"/>
                <w:b w:val="0"/>
                <w:bCs/>
                <w:color w:val="auto"/>
                <w:sz w:val="22"/>
                <w:szCs w:val="21"/>
                <w:lang w:val="en-US" w:eastAsia="zh-CN"/>
              </w:rPr>
              <w:br w:type="textWrapping"/>
            </w:r>
            <w:r>
              <w:rPr>
                <w:rFonts w:hint="eastAsia"/>
                <w:b w:val="0"/>
                <w:bCs/>
                <w:color w:val="auto"/>
                <w:sz w:val="22"/>
                <w:szCs w:val="21"/>
                <w:lang w:val="en-US" w:eastAsia="zh-CN"/>
              </w:rPr>
              <w:t>输入阻抗：平衡式 4.7KΩ；非平衡 2.3KΩ</w:t>
            </w:r>
            <w:r>
              <w:rPr>
                <w:rFonts w:hint="eastAsia"/>
                <w:b w:val="0"/>
                <w:bCs/>
                <w:color w:val="auto"/>
                <w:sz w:val="22"/>
                <w:szCs w:val="21"/>
                <w:lang w:val="en-US" w:eastAsia="zh-CN"/>
              </w:rPr>
              <w:br w:type="textWrapping"/>
            </w:r>
            <w:r>
              <w:rPr>
                <w:rFonts w:hint="eastAsia"/>
                <w:b w:val="0"/>
                <w:bCs/>
                <w:color w:val="auto"/>
                <w:sz w:val="22"/>
                <w:szCs w:val="21"/>
                <w:lang w:val="en-US" w:eastAsia="zh-CN"/>
              </w:rPr>
              <w:t>输出阻抗：平衡式 100Ω</w:t>
            </w:r>
            <w:r>
              <w:rPr>
                <w:rFonts w:hint="eastAsia"/>
                <w:b w:val="0"/>
                <w:bCs/>
                <w:color w:val="auto"/>
                <w:sz w:val="22"/>
                <w:szCs w:val="21"/>
                <w:lang w:val="en-US" w:eastAsia="zh-CN"/>
              </w:rPr>
              <w:br w:type="textWrapping"/>
            </w:r>
            <w:r>
              <w:rPr>
                <w:rFonts w:hint="eastAsia"/>
                <w:b w:val="0"/>
                <w:bCs/>
                <w:color w:val="auto"/>
                <w:sz w:val="22"/>
                <w:szCs w:val="21"/>
                <w:lang w:val="en-US" w:eastAsia="zh-CN"/>
              </w:rPr>
              <w:t>底噪水平：≤-83dBu</w:t>
            </w:r>
            <w:r>
              <w:rPr>
                <w:rFonts w:hint="eastAsia"/>
                <w:b w:val="0"/>
                <w:bCs/>
                <w:color w:val="auto"/>
                <w:sz w:val="22"/>
                <w:szCs w:val="21"/>
                <w:lang w:val="en-US" w:eastAsia="zh-CN"/>
              </w:rPr>
              <w:br w:type="textWrapping"/>
            </w:r>
            <w:r>
              <w:rPr>
                <w:rFonts w:hint="eastAsia"/>
                <w:b w:val="0"/>
                <w:bCs/>
                <w:color w:val="auto"/>
                <w:sz w:val="22"/>
                <w:szCs w:val="21"/>
                <w:lang w:val="en-US" w:eastAsia="zh-CN"/>
              </w:rPr>
              <w:t>静音：静音/开音</w:t>
            </w:r>
            <w:r>
              <w:rPr>
                <w:rFonts w:hint="eastAsia"/>
                <w:b w:val="0"/>
                <w:bCs/>
                <w:color w:val="auto"/>
                <w:sz w:val="22"/>
                <w:szCs w:val="21"/>
                <w:lang w:val="en-US" w:eastAsia="zh-CN"/>
              </w:rPr>
              <w:br w:type="textWrapping"/>
            </w:r>
            <w:r>
              <w:rPr>
                <w:rFonts w:hint="eastAsia"/>
                <w:b w:val="0"/>
                <w:bCs/>
                <w:color w:val="auto"/>
                <w:sz w:val="22"/>
                <w:szCs w:val="21"/>
                <w:lang w:val="en-US" w:eastAsia="zh-CN"/>
              </w:rPr>
              <w:t>相位：正相（0度）/反相（180度）</w:t>
            </w:r>
            <w:r>
              <w:rPr>
                <w:rFonts w:hint="eastAsia"/>
                <w:b w:val="0"/>
                <w:bCs/>
                <w:color w:val="auto"/>
                <w:sz w:val="22"/>
                <w:szCs w:val="21"/>
                <w:lang w:val="en-US" w:eastAsia="zh-CN"/>
              </w:rPr>
              <w:br w:type="textWrapping"/>
            </w:r>
            <w:r>
              <w:rPr>
                <w:rFonts w:hint="eastAsia"/>
                <w:b w:val="0"/>
                <w:bCs/>
                <w:color w:val="auto"/>
                <w:sz w:val="22"/>
                <w:szCs w:val="21"/>
                <w:lang w:val="en-US" w:eastAsia="zh-CN"/>
              </w:rPr>
              <w:t>噪声门：阀值：-120dBu ~ -20dBu</w:t>
            </w:r>
            <w:r>
              <w:rPr>
                <w:rFonts w:hint="eastAsia"/>
                <w:b w:val="0"/>
                <w:bCs/>
                <w:color w:val="auto"/>
                <w:sz w:val="22"/>
                <w:szCs w:val="21"/>
                <w:lang w:val="en-US" w:eastAsia="zh-CN"/>
              </w:rPr>
              <w:br w:type="textWrapping"/>
            </w:r>
            <w:r>
              <w:rPr>
                <w:rFonts w:hint="eastAsia"/>
                <w:b w:val="0"/>
                <w:bCs/>
                <w:color w:val="auto"/>
                <w:sz w:val="22"/>
                <w:szCs w:val="21"/>
                <w:lang w:val="en-US" w:eastAsia="zh-CN"/>
              </w:rPr>
              <w:t>PEQ：5段，增益调节范围：-20dB ~ 20dB</w:t>
            </w:r>
            <w:r>
              <w:rPr>
                <w:rFonts w:hint="eastAsia"/>
                <w:b w:val="0"/>
                <w:bCs/>
                <w:color w:val="auto"/>
                <w:sz w:val="22"/>
                <w:szCs w:val="21"/>
                <w:lang w:val="en-US" w:eastAsia="zh-CN"/>
              </w:rPr>
              <w:br w:type="textWrapping"/>
            </w:r>
            <w:r>
              <w:rPr>
                <w:rFonts w:hint="eastAsia"/>
                <w:b w:val="0"/>
                <w:bCs/>
                <w:color w:val="auto"/>
                <w:sz w:val="22"/>
                <w:szCs w:val="21"/>
                <w:lang w:val="en-US" w:eastAsia="zh-CN"/>
              </w:rPr>
              <w:t>低切：截止频率：20Hz ~ 200Hz</w:t>
            </w:r>
            <w:r>
              <w:rPr>
                <w:rFonts w:hint="eastAsia"/>
                <w:b w:val="0"/>
                <w:bCs/>
                <w:color w:val="auto"/>
                <w:sz w:val="22"/>
                <w:szCs w:val="21"/>
                <w:lang w:val="en-US" w:eastAsia="zh-CN"/>
              </w:rPr>
              <w:br w:type="textWrapping"/>
            </w:r>
            <w:r>
              <w:rPr>
                <w:rFonts w:hint="eastAsia"/>
                <w:b w:val="0"/>
                <w:bCs/>
                <w:color w:val="auto"/>
                <w:sz w:val="22"/>
                <w:szCs w:val="21"/>
                <w:lang w:val="en-US" w:eastAsia="zh-CN"/>
              </w:rPr>
              <w:t>压限：压限阀值： -36dBu ~ 0dBu （Step：0.1dBu）；压限启动时间： 1ms~200ms；压限释放时间：200ms~500ms</w:t>
            </w:r>
            <w:r>
              <w:rPr>
                <w:rFonts w:hint="eastAsia"/>
                <w:b w:val="0"/>
                <w:bCs/>
                <w:color w:val="auto"/>
                <w:sz w:val="22"/>
                <w:szCs w:val="21"/>
                <w:lang w:val="en-US" w:eastAsia="zh-CN"/>
              </w:rPr>
              <w:br w:type="textWrapping"/>
            </w:r>
            <w:r>
              <w:rPr>
                <w:rFonts w:hint="eastAsia"/>
                <w:b w:val="0"/>
                <w:bCs/>
                <w:color w:val="auto"/>
                <w:sz w:val="22"/>
                <w:szCs w:val="21"/>
                <w:lang w:val="en-US" w:eastAsia="zh-CN"/>
              </w:rPr>
              <w:t>音频输入接口：XLR(母)*1；RCA*2</w:t>
            </w:r>
            <w:r>
              <w:rPr>
                <w:rFonts w:hint="eastAsia"/>
                <w:b w:val="0"/>
                <w:bCs/>
                <w:color w:val="auto"/>
                <w:sz w:val="22"/>
                <w:szCs w:val="21"/>
                <w:lang w:val="en-US" w:eastAsia="zh-CN"/>
              </w:rPr>
              <w:br w:type="textWrapping"/>
            </w:r>
            <w:r>
              <w:rPr>
                <w:rFonts w:hint="eastAsia"/>
                <w:b w:val="0"/>
                <w:bCs/>
                <w:color w:val="auto"/>
                <w:sz w:val="22"/>
                <w:szCs w:val="21"/>
                <w:lang w:val="en-US" w:eastAsia="zh-CN"/>
              </w:rPr>
              <w:t>音频输出接口：XLR(公)*2；RCA*2</w:t>
            </w:r>
            <w:r>
              <w:rPr>
                <w:rFonts w:hint="eastAsia"/>
                <w:b w:val="0"/>
                <w:bCs/>
                <w:color w:val="auto"/>
                <w:sz w:val="22"/>
                <w:szCs w:val="21"/>
                <w:lang w:val="en-US" w:eastAsia="zh-CN"/>
              </w:rPr>
              <w:br w:type="textWrapping"/>
            </w:r>
            <w:r>
              <w:rPr>
                <w:rFonts w:hint="eastAsia"/>
                <w:b w:val="0"/>
                <w:bCs/>
                <w:color w:val="auto"/>
                <w:sz w:val="22"/>
                <w:szCs w:val="21"/>
                <w:lang w:val="en-US" w:eastAsia="zh-CN"/>
              </w:rPr>
              <w:t>通讯接口：USB*2；RS232*2；RS485*1；ALARM*2</w:t>
            </w:r>
            <w:r>
              <w:rPr>
                <w:rFonts w:hint="eastAsia"/>
                <w:b w:val="0"/>
                <w:bCs/>
                <w:color w:val="auto"/>
                <w:sz w:val="22"/>
                <w:szCs w:val="21"/>
                <w:lang w:val="en-US" w:eastAsia="zh-CN"/>
              </w:rPr>
              <w:br w:type="textWrapping"/>
            </w:r>
            <w:r>
              <w:rPr>
                <w:rFonts w:hint="eastAsia"/>
                <w:b w:val="0"/>
                <w:bCs/>
                <w:color w:val="auto"/>
                <w:sz w:val="22"/>
                <w:szCs w:val="21"/>
                <w:lang w:val="en-US" w:eastAsia="zh-CN"/>
              </w:rPr>
              <w:t>电源输入：AC180-240V宽电压，50/60Hz</w:t>
            </w:r>
            <w:r>
              <w:rPr>
                <w:rFonts w:hint="eastAsia"/>
                <w:b w:val="0"/>
                <w:bCs/>
                <w:color w:val="auto"/>
                <w:sz w:val="22"/>
                <w:szCs w:val="21"/>
                <w:lang w:val="en-US" w:eastAsia="zh-CN"/>
              </w:rPr>
              <w:br w:type="textWrapping"/>
            </w:r>
            <w:r>
              <w:rPr>
                <w:rFonts w:hint="eastAsia"/>
                <w:b w:val="0"/>
                <w:bCs/>
                <w:color w:val="auto"/>
                <w:sz w:val="22"/>
                <w:szCs w:val="21"/>
                <w:lang w:val="en-US" w:eastAsia="zh-CN"/>
              </w:rPr>
              <w:t>工作温度：0-40℃</w:t>
            </w:r>
            <w:r>
              <w:rPr>
                <w:rFonts w:hint="eastAsia"/>
                <w:b w:val="0"/>
                <w:bCs/>
                <w:color w:val="auto"/>
                <w:sz w:val="22"/>
                <w:szCs w:val="21"/>
                <w:lang w:val="en-US" w:eastAsia="zh-CN"/>
              </w:rPr>
              <w:br w:type="textWrapping"/>
            </w:r>
            <w:r>
              <w:rPr>
                <w:rFonts w:hint="eastAsia"/>
                <w:b w:val="0"/>
                <w:bCs/>
                <w:color w:val="auto"/>
                <w:sz w:val="22"/>
                <w:szCs w:val="21"/>
                <w:lang w:val="en-US" w:eastAsia="zh-CN"/>
              </w:rPr>
              <w:t>功耗：100W</w:t>
            </w:r>
            <w:r>
              <w:rPr>
                <w:rFonts w:hint="eastAsia"/>
                <w:b w:val="0"/>
                <w:bCs/>
                <w:color w:val="auto"/>
                <w:sz w:val="22"/>
                <w:szCs w:val="21"/>
                <w:lang w:val="en-US" w:eastAsia="zh-CN"/>
              </w:rPr>
              <w:br w:type="textWrapping"/>
            </w:r>
            <w:r>
              <w:rPr>
                <w:rFonts w:hint="eastAsia"/>
                <w:b w:val="0"/>
                <w:bCs/>
                <w:color w:val="auto"/>
                <w:sz w:val="22"/>
                <w:szCs w:val="21"/>
                <w:lang w:val="en-US" w:eastAsia="zh-CN"/>
              </w:rPr>
              <w:t>净重：4.1Kg</w:t>
            </w:r>
            <w:r>
              <w:rPr>
                <w:rFonts w:hint="eastAsia"/>
                <w:b w:val="0"/>
                <w:bCs/>
                <w:color w:val="auto"/>
                <w:sz w:val="22"/>
                <w:szCs w:val="21"/>
                <w:lang w:val="en-US" w:eastAsia="zh-CN"/>
              </w:rPr>
              <w:br w:type="textWrapping"/>
            </w:r>
            <w:r>
              <w:rPr>
                <w:rFonts w:hint="eastAsia"/>
                <w:b w:val="0"/>
                <w:bCs/>
                <w:color w:val="auto"/>
                <w:sz w:val="22"/>
                <w:szCs w:val="21"/>
                <w:lang w:val="en-US" w:eastAsia="zh-CN"/>
              </w:rPr>
              <w:t>尺寸（W×D×H）：483*317*45mm</w:t>
            </w:r>
          </w:p>
        </w:tc>
        <w:tc>
          <w:tcPr>
            <w:tcW w:w="1030" w:type="dxa"/>
            <w:gridSpan w:val="6"/>
            <w:tcBorders>
              <w:top w:val="single" w:color="000000" w:sz="4" w:space="0"/>
              <w:left w:val="single" w:color="000000" w:sz="4" w:space="0"/>
              <w:bottom w:val="single" w:color="000000" w:sz="4" w:space="0"/>
              <w:right w:val="single" w:color="000000" w:sz="4" w:space="0"/>
            </w:tcBorders>
            <w:noWrap w:val="0"/>
            <w:vAlign w:val="center"/>
          </w:tcPr>
          <w:p w14:paraId="55062FD0">
            <w:pPr>
              <w:rPr>
                <w:rFonts w:hint="eastAsia"/>
                <w:b w:val="0"/>
                <w:bCs/>
                <w:color w:val="auto"/>
                <w:sz w:val="22"/>
                <w:szCs w:val="21"/>
              </w:rPr>
            </w:pPr>
            <w:r>
              <w:rPr>
                <w:rFonts w:hint="eastAsia"/>
                <w:b w:val="0"/>
                <w:bCs/>
                <w:color w:val="auto"/>
                <w:sz w:val="22"/>
                <w:szCs w:val="21"/>
                <w:lang w:val="en-US" w:eastAsia="zh-CN"/>
              </w:rPr>
              <w:t>1</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776D49E6">
            <w:pPr>
              <w:rPr>
                <w:rFonts w:hint="eastAsia"/>
                <w:b w:val="0"/>
                <w:bCs/>
                <w:color w:val="auto"/>
                <w:sz w:val="22"/>
                <w:szCs w:val="21"/>
              </w:rPr>
            </w:pPr>
            <w:r>
              <w:rPr>
                <w:rFonts w:hint="eastAsia"/>
                <w:b w:val="0"/>
                <w:bCs/>
                <w:color w:val="auto"/>
                <w:sz w:val="22"/>
                <w:szCs w:val="21"/>
                <w:lang w:val="en-US" w:eastAsia="zh-CN"/>
              </w:rPr>
              <w:t>台</w:t>
            </w:r>
          </w:p>
        </w:tc>
      </w:tr>
      <w:tr w14:paraId="62355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3754A39A">
            <w:pPr>
              <w:rPr>
                <w:rFonts w:hint="eastAsia"/>
                <w:b w:val="0"/>
                <w:bCs/>
                <w:color w:val="auto"/>
                <w:sz w:val="22"/>
                <w:szCs w:val="21"/>
              </w:rPr>
            </w:pPr>
            <w:r>
              <w:rPr>
                <w:rFonts w:hint="eastAsia"/>
                <w:b w:val="0"/>
                <w:bCs/>
                <w:color w:val="auto"/>
                <w:sz w:val="22"/>
                <w:szCs w:val="21"/>
                <w:lang w:val="en-US" w:eastAsia="zh-CN"/>
              </w:rPr>
              <w:t>2</w:t>
            </w:r>
          </w:p>
        </w:tc>
        <w:tc>
          <w:tcPr>
            <w:tcW w:w="1249" w:type="dxa"/>
            <w:gridSpan w:val="3"/>
            <w:tcBorders>
              <w:top w:val="single" w:color="000000" w:sz="4" w:space="0"/>
              <w:left w:val="single" w:color="000000" w:sz="4" w:space="0"/>
              <w:bottom w:val="single" w:color="000000" w:sz="4" w:space="0"/>
              <w:right w:val="single" w:color="000000" w:sz="4" w:space="0"/>
            </w:tcBorders>
            <w:noWrap w:val="0"/>
            <w:vAlign w:val="center"/>
          </w:tcPr>
          <w:p w14:paraId="428708A6">
            <w:pPr>
              <w:rPr>
                <w:rFonts w:hint="eastAsia"/>
                <w:b w:val="0"/>
                <w:bCs/>
                <w:color w:val="auto"/>
                <w:sz w:val="22"/>
                <w:szCs w:val="21"/>
              </w:rPr>
            </w:pPr>
            <w:r>
              <w:rPr>
                <w:rFonts w:hint="eastAsia"/>
                <w:b w:val="0"/>
                <w:bCs/>
                <w:color w:val="auto"/>
                <w:sz w:val="22"/>
                <w:szCs w:val="21"/>
                <w:lang w:val="en-US" w:eastAsia="zh-CN"/>
              </w:rPr>
              <w:t>主席单元(含全数字网络型话筒单元控制软件V1.0)</w:t>
            </w:r>
          </w:p>
        </w:tc>
        <w:tc>
          <w:tcPr>
            <w:tcW w:w="8771" w:type="dxa"/>
            <w:gridSpan w:val="9"/>
            <w:tcBorders>
              <w:top w:val="single" w:color="000000" w:sz="4" w:space="0"/>
              <w:left w:val="single" w:color="000000" w:sz="4" w:space="0"/>
              <w:bottom w:val="single" w:color="000000" w:sz="4" w:space="0"/>
              <w:right w:val="single" w:color="000000" w:sz="4" w:space="0"/>
            </w:tcBorders>
            <w:noWrap w:val="0"/>
            <w:vAlign w:val="center"/>
          </w:tcPr>
          <w:p w14:paraId="201831FE">
            <w:pPr>
              <w:rPr>
                <w:rFonts w:hint="eastAsia"/>
                <w:b w:val="0"/>
                <w:bCs/>
                <w:color w:val="auto"/>
                <w:sz w:val="22"/>
                <w:szCs w:val="21"/>
              </w:rPr>
            </w:pPr>
            <w:r>
              <w:rPr>
                <w:rFonts w:hint="eastAsia"/>
                <w:b w:val="0"/>
                <w:bCs/>
                <w:color w:val="auto"/>
                <w:sz w:val="22"/>
                <w:szCs w:val="21"/>
                <w:lang w:val="en-US" w:eastAsia="zh-CN"/>
              </w:rPr>
              <w:t>产品描述：</w:t>
            </w:r>
            <w:r>
              <w:rPr>
                <w:rFonts w:hint="eastAsia"/>
                <w:b w:val="0"/>
                <w:bCs/>
                <w:color w:val="auto"/>
                <w:sz w:val="22"/>
                <w:szCs w:val="21"/>
                <w:lang w:val="en-US" w:eastAsia="zh-CN"/>
              </w:rPr>
              <w:br w:type="textWrapping"/>
            </w:r>
            <w:r>
              <w:rPr>
                <w:rFonts w:hint="eastAsia"/>
                <w:b w:val="0"/>
                <w:bCs/>
                <w:color w:val="auto"/>
                <w:sz w:val="22"/>
                <w:szCs w:val="21"/>
                <w:lang w:val="en-US" w:eastAsia="zh-CN"/>
              </w:rPr>
              <w:t>新颖、时尚外观，人体工学设计，支持纯讨论发言功能。</w:t>
            </w:r>
            <w:r>
              <w:rPr>
                <w:rFonts w:hint="eastAsia"/>
                <w:b w:val="0"/>
                <w:bCs/>
                <w:color w:val="auto"/>
                <w:sz w:val="22"/>
                <w:szCs w:val="21"/>
                <w:lang w:val="en-US" w:eastAsia="zh-CN"/>
              </w:rPr>
              <w:br w:type="textWrapping"/>
            </w:r>
            <w:r>
              <w:rPr>
                <w:rFonts w:hint="eastAsia"/>
                <w:b w:val="0"/>
                <w:bCs/>
                <w:color w:val="auto"/>
                <w:sz w:val="22"/>
                <w:szCs w:val="21"/>
                <w:lang w:val="en-US" w:eastAsia="zh-CN"/>
              </w:rPr>
              <w:t>采用心型指向性电容式拾音器，420mm话筒咪杆，高灵敏度咪芯设计，拾音距离远。</w:t>
            </w:r>
            <w:r>
              <w:rPr>
                <w:rFonts w:hint="eastAsia"/>
                <w:b w:val="0"/>
                <w:bCs/>
                <w:color w:val="auto"/>
                <w:sz w:val="22"/>
                <w:szCs w:val="21"/>
                <w:lang w:val="en-US" w:eastAsia="zh-CN"/>
              </w:rPr>
              <w:br w:type="textWrapping"/>
            </w:r>
            <w:r>
              <w:rPr>
                <w:rFonts w:hint="eastAsia"/>
                <w:b w:val="0"/>
                <w:bCs/>
                <w:color w:val="auto"/>
                <w:sz w:val="22"/>
                <w:szCs w:val="21"/>
                <w:lang w:val="en-US" w:eastAsia="zh-CN"/>
              </w:rPr>
              <w:t>采用双色指示灯指示，发言为红色，等待发言为绿色，可实时指示话筒单元工作状态。</w:t>
            </w:r>
            <w:r>
              <w:rPr>
                <w:rFonts w:hint="eastAsia"/>
                <w:b w:val="0"/>
                <w:bCs/>
                <w:color w:val="auto"/>
                <w:sz w:val="22"/>
                <w:szCs w:val="21"/>
                <w:lang w:val="en-US" w:eastAsia="zh-CN"/>
              </w:rPr>
              <w:br w:type="textWrapping"/>
            </w:r>
            <w:r>
              <w:rPr>
                <w:rFonts w:hint="eastAsia"/>
                <w:b w:val="0"/>
                <w:bCs/>
                <w:color w:val="auto"/>
                <w:sz w:val="22"/>
                <w:szCs w:val="21"/>
                <w:lang w:val="en-US" w:eastAsia="zh-CN"/>
              </w:rPr>
              <w:t>设有∮3.5mm立体声耳机插口，可用于连接耳机，音量可调。</w:t>
            </w:r>
            <w:r>
              <w:rPr>
                <w:rFonts w:hint="eastAsia"/>
                <w:b w:val="0"/>
                <w:bCs/>
                <w:color w:val="auto"/>
                <w:sz w:val="22"/>
                <w:szCs w:val="21"/>
                <w:lang w:val="en-US" w:eastAsia="zh-CN"/>
              </w:rPr>
              <w:br w:type="textWrapping"/>
            </w:r>
            <w:r>
              <w:rPr>
                <w:rFonts w:hint="eastAsia"/>
                <w:b w:val="0"/>
                <w:bCs/>
                <w:color w:val="auto"/>
                <w:sz w:val="22"/>
                <w:szCs w:val="21"/>
                <w:lang w:val="en-US" w:eastAsia="zh-CN"/>
              </w:rPr>
              <w:t>采用专用8芯高密航空接头，自带2米连接电缆，"T型"连接模式，保证可靠的连接。</w:t>
            </w:r>
            <w:r>
              <w:rPr>
                <w:rFonts w:hint="eastAsia"/>
                <w:b w:val="0"/>
                <w:bCs/>
                <w:color w:val="auto"/>
                <w:sz w:val="22"/>
                <w:szCs w:val="21"/>
                <w:lang w:val="en-US" w:eastAsia="zh-CN"/>
              </w:rPr>
              <w:br w:type="textWrapping"/>
            </w:r>
            <w:r>
              <w:rPr>
                <w:rFonts w:hint="eastAsia"/>
                <w:b w:val="0"/>
                <w:bCs/>
                <w:color w:val="auto"/>
                <w:sz w:val="22"/>
                <w:szCs w:val="21"/>
                <w:lang w:val="en-US" w:eastAsia="zh-CN"/>
              </w:rPr>
              <w:t>单元为无源设备，由系统主机供电，输入电压为DC24V。</w:t>
            </w:r>
            <w:r>
              <w:rPr>
                <w:rFonts w:hint="eastAsia"/>
                <w:b w:val="0"/>
                <w:bCs/>
                <w:color w:val="auto"/>
                <w:sz w:val="22"/>
                <w:szCs w:val="21"/>
                <w:lang w:val="en-US" w:eastAsia="zh-CN"/>
              </w:rPr>
              <w:br w:type="textWrapping"/>
            </w:r>
            <w:r>
              <w:rPr>
                <w:rFonts w:hint="eastAsia"/>
                <w:b w:val="0"/>
                <w:bCs/>
                <w:color w:val="auto"/>
                <w:sz w:val="22"/>
                <w:szCs w:val="21"/>
                <w:lang w:val="en-US" w:eastAsia="zh-CN"/>
              </w:rPr>
              <w:t>主席单元具备强行关闭正在发言的代表发言单元，不受发言人数，发言模式的限制，可自由开启，不受安装位置的限制。</w:t>
            </w:r>
            <w:r>
              <w:rPr>
                <w:rFonts w:hint="eastAsia"/>
                <w:b w:val="0"/>
                <w:bCs/>
                <w:color w:val="auto"/>
                <w:sz w:val="22"/>
                <w:szCs w:val="21"/>
                <w:lang w:val="en-US" w:eastAsia="zh-CN"/>
              </w:rPr>
              <w:br w:type="textWrapping"/>
            </w:r>
            <w:r>
              <w:rPr>
                <w:rFonts w:hint="eastAsia"/>
                <w:b w:val="0"/>
                <w:bCs/>
                <w:color w:val="auto"/>
                <w:sz w:val="22"/>
                <w:szCs w:val="21"/>
                <w:lang w:val="en-US" w:eastAsia="zh-CN"/>
              </w:rPr>
              <w:t>技术参数：</w:t>
            </w:r>
            <w:r>
              <w:rPr>
                <w:rFonts w:hint="eastAsia"/>
                <w:b w:val="0"/>
                <w:bCs/>
                <w:color w:val="auto"/>
                <w:sz w:val="22"/>
                <w:szCs w:val="21"/>
                <w:lang w:val="en-US" w:eastAsia="zh-CN"/>
              </w:rPr>
              <w:br w:type="textWrapping"/>
            </w:r>
            <w:r>
              <w:rPr>
                <w:rFonts w:hint="eastAsia"/>
                <w:b w:val="0"/>
                <w:bCs/>
                <w:color w:val="auto"/>
                <w:sz w:val="22"/>
                <w:szCs w:val="21"/>
                <w:lang w:val="en-US" w:eastAsia="zh-CN"/>
              </w:rPr>
              <w:t>输入电源：主机供电 DC24V</w:t>
            </w:r>
            <w:r>
              <w:rPr>
                <w:rFonts w:hint="eastAsia"/>
                <w:b w:val="0"/>
                <w:bCs/>
                <w:color w:val="auto"/>
                <w:sz w:val="22"/>
                <w:szCs w:val="21"/>
                <w:lang w:val="en-US" w:eastAsia="zh-CN"/>
              </w:rPr>
              <w:br w:type="textWrapping"/>
            </w:r>
            <w:r>
              <w:rPr>
                <w:rFonts w:hint="eastAsia"/>
                <w:b w:val="0"/>
                <w:bCs/>
                <w:color w:val="auto"/>
                <w:sz w:val="22"/>
                <w:szCs w:val="21"/>
                <w:lang w:val="en-US" w:eastAsia="zh-CN"/>
              </w:rPr>
              <w:t>单元接口：航空8芯专用接口</w:t>
            </w:r>
            <w:r>
              <w:rPr>
                <w:rFonts w:hint="eastAsia"/>
                <w:b w:val="0"/>
                <w:bCs/>
                <w:color w:val="auto"/>
                <w:sz w:val="22"/>
                <w:szCs w:val="21"/>
                <w:lang w:val="en-US" w:eastAsia="zh-CN"/>
              </w:rPr>
              <w:br w:type="textWrapping"/>
            </w:r>
            <w:r>
              <w:rPr>
                <w:rFonts w:hint="eastAsia"/>
                <w:b w:val="0"/>
                <w:bCs/>
                <w:color w:val="auto"/>
                <w:sz w:val="22"/>
                <w:szCs w:val="21"/>
                <w:lang w:val="en-US" w:eastAsia="zh-CN"/>
              </w:rPr>
              <w:t>静态功耗：2W</w:t>
            </w:r>
            <w:r>
              <w:rPr>
                <w:rFonts w:hint="eastAsia"/>
                <w:b w:val="0"/>
                <w:bCs/>
                <w:color w:val="auto"/>
                <w:sz w:val="22"/>
                <w:szCs w:val="21"/>
                <w:lang w:val="en-US" w:eastAsia="zh-CN"/>
              </w:rPr>
              <w:br w:type="textWrapping"/>
            </w:r>
            <w:r>
              <w:rPr>
                <w:rFonts w:hint="eastAsia"/>
                <w:b w:val="0"/>
                <w:bCs/>
                <w:color w:val="auto"/>
                <w:sz w:val="22"/>
                <w:szCs w:val="21"/>
                <w:lang w:val="en-US" w:eastAsia="zh-CN"/>
              </w:rPr>
              <w:t>动态功耗：3.5W</w:t>
            </w:r>
            <w:r>
              <w:rPr>
                <w:rFonts w:hint="eastAsia"/>
                <w:b w:val="0"/>
                <w:bCs/>
                <w:color w:val="auto"/>
                <w:sz w:val="22"/>
                <w:szCs w:val="21"/>
                <w:lang w:val="en-US" w:eastAsia="zh-CN"/>
              </w:rPr>
              <w:br w:type="textWrapping"/>
            </w:r>
            <w:r>
              <w:rPr>
                <w:rFonts w:hint="eastAsia"/>
                <w:b w:val="0"/>
                <w:bCs/>
                <w:color w:val="auto"/>
                <w:sz w:val="22"/>
                <w:szCs w:val="21"/>
                <w:lang w:val="en-US" w:eastAsia="zh-CN"/>
              </w:rPr>
              <w:t>耳机：</w:t>
            </w:r>
            <w:r>
              <w:rPr>
                <w:rFonts w:hint="eastAsia"/>
                <w:b w:val="0"/>
                <w:bCs/>
                <w:color w:val="auto"/>
                <w:sz w:val="22"/>
                <w:szCs w:val="21"/>
                <w:lang w:val="en-US" w:eastAsia="zh-CN"/>
              </w:rPr>
              <w:br w:type="textWrapping"/>
            </w:r>
            <w:r>
              <w:rPr>
                <w:rFonts w:hint="eastAsia"/>
                <w:b w:val="0"/>
                <w:bCs/>
                <w:color w:val="auto"/>
                <w:sz w:val="22"/>
                <w:szCs w:val="21"/>
                <w:lang w:val="en-US" w:eastAsia="zh-CN"/>
              </w:rPr>
              <w:t>接口：3.5mm jack stereo</w:t>
            </w:r>
            <w:r>
              <w:rPr>
                <w:rFonts w:hint="eastAsia"/>
                <w:b w:val="0"/>
                <w:bCs/>
                <w:color w:val="auto"/>
                <w:sz w:val="22"/>
                <w:szCs w:val="21"/>
                <w:lang w:val="en-US" w:eastAsia="zh-CN"/>
              </w:rPr>
              <w:br w:type="textWrapping"/>
            </w:r>
            <w:r>
              <w:rPr>
                <w:rFonts w:hint="eastAsia"/>
                <w:b w:val="0"/>
                <w:bCs/>
                <w:color w:val="auto"/>
                <w:sz w:val="22"/>
                <w:szCs w:val="21"/>
                <w:lang w:val="en-US" w:eastAsia="zh-CN"/>
              </w:rPr>
              <w:t>负载：8-32Ω</w:t>
            </w:r>
            <w:r>
              <w:rPr>
                <w:rFonts w:hint="eastAsia"/>
                <w:b w:val="0"/>
                <w:bCs/>
                <w:color w:val="auto"/>
                <w:sz w:val="22"/>
                <w:szCs w:val="21"/>
                <w:lang w:val="en-US" w:eastAsia="zh-CN"/>
              </w:rPr>
              <w:br w:type="textWrapping"/>
            </w:r>
            <w:r>
              <w:rPr>
                <w:rFonts w:hint="eastAsia"/>
                <w:b w:val="0"/>
                <w:bCs/>
                <w:color w:val="auto"/>
                <w:sz w:val="22"/>
                <w:szCs w:val="21"/>
                <w:lang w:val="en-US" w:eastAsia="zh-CN"/>
              </w:rPr>
              <w:t>功率：10mW</w:t>
            </w:r>
            <w:r>
              <w:rPr>
                <w:rFonts w:hint="eastAsia"/>
                <w:b w:val="0"/>
                <w:bCs/>
                <w:color w:val="auto"/>
                <w:sz w:val="22"/>
                <w:szCs w:val="21"/>
                <w:lang w:val="en-US" w:eastAsia="zh-CN"/>
              </w:rPr>
              <w:br w:type="textWrapping"/>
            </w:r>
            <w:r>
              <w:rPr>
                <w:rFonts w:hint="eastAsia"/>
                <w:b w:val="0"/>
                <w:bCs/>
                <w:color w:val="auto"/>
                <w:sz w:val="22"/>
                <w:szCs w:val="21"/>
                <w:lang w:val="en-US" w:eastAsia="zh-CN"/>
              </w:rPr>
              <w:t>频率响应：60Hz －18KHz</w:t>
            </w:r>
            <w:r>
              <w:rPr>
                <w:rFonts w:hint="eastAsia"/>
                <w:b w:val="0"/>
                <w:bCs/>
                <w:color w:val="auto"/>
                <w:sz w:val="22"/>
                <w:szCs w:val="21"/>
                <w:lang w:val="en-US" w:eastAsia="zh-CN"/>
              </w:rPr>
              <w:br w:type="textWrapping"/>
            </w:r>
            <w:r>
              <w:rPr>
                <w:rFonts w:hint="eastAsia"/>
                <w:b w:val="0"/>
                <w:bCs/>
                <w:color w:val="auto"/>
                <w:sz w:val="22"/>
                <w:szCs w:val="21"/>
                <w:lang w:val="en-US" w:eastAsia="zh-CN"/>
              </w:rPr>
              <w:t>信噪比（S/N）：&gt;75dB</w:t>
            </w:r>
            <w:r>
              <w:rPr>
                <w:rFonts w:hint="eastAsia"/>
                <w:b w:val="0"/>
                <w:bCs/>
                <w:color w:val="auto"/>
                <w:sz w:val="22"/>
                <w:szCs w:val="21"/>
                <w:lang w:val="en-US" w:eastAsia="zh-CN"/>
              </w:rPr>
              <w:br w:type="textWrapping"/>
            </w:r>
            <w:r>
              <w:rPr>
                <w:rFonts w:hint="eastAsia"/>
                <w:b w:val="0"/>
                <w:bCs/>
                <w:color w:val="auto"/>
                <w:sz w:val="22"/>
                <w:szCs w:val="21"/>
                <w:lang w:val="en-US" w:eastAsia="zh-CN"/>
              </w:rPr>
              <w:t>谐波失真：&lt;0.05%</w:t>
            </w:r>
            <w:r>
              <w:rPr>
                <w:rFonts w:hint="eastAsia"/>
                <w:b w:val="0"/>
                <w:bCs/>
                <w:color w:val="auto"/>
                <w:sz w:val="22"/>
                <w:szCs w:val="21"/>
                <w:lang w:val="en-US" w:eastAsia="zh-CN"/>
              </w:rPr>
              <w:br w:type="textWrapping"/>
            </w:r>
            <w:r>
              <w:rPr>
                <w:rFonts w:hint="eastAsia"/>
                <w:b w:val="0"/>
                <w:bCs/>
                <w:color w:val="auto"/>
                <w:sz w:val="22"/>
                <w:szCs w:val="21"/>
                <w:lang w:val="en-US" w:eastAsia="zh-CN"/>
              </w:rPr>
              <w:t>串扰衰减：&gt;80dB</w:t>
            </w:r>
            <w:r>
              <w:rPr>
                <w:rFonts w:hint="eastAsia"/>
                <w:b w:val="0"/>
                <w:bCs/>
                <w:color w:val="auto"/>
                <w:sz w:val="22"/>
                <w:szCs w:val="21"/>
                <w:lang w:val="en-US" w:eastAsia="zh-CN"/>
              </w:rPr>
              <w:br w:type="textWrapping"/>
            </w:r>
            <w:r>
              <w:rPr>
                <w:rFonts w:hint="eastAsia"/>
                <w:b w:val="0"/>
                <w:bCs/>
                <w:color w:val="auto"/>
                <w:sz w:val="22"/>
                <w:szCs w:val="21"/>
                <w:lang w:val="en-US" w:eastAsia="zh-CN"/>
              </w:rPr>
              <w:t>尺寸（W×D×H）: 129*150*58mm</w:t>
            </w:r>
          </w:p>
        </w:tc>
        <w:tc>
          <w:tcPr>
            <w:tcW w:w="1030" w:type="dxa"/>
            <w:gridSpan w:val="6"/>
            <w:tcBorders>
              <w:top w:val="single" w:color="000000" w:sz="4" w:space="0"/>
              <w:left w:val="single" w:color="000000" w:sz="4" w:space="0"/>
              <w:bottom w:val="single" w:color="000000" w:sz="4" w:space="0"/>
              <w:right w:val="single" w:color="000000" w:sz="4" w:space="0"/>
            </w:tcBorders>
            <w:noWrap w:val="0"/>
            <w:vAlign w:val="center"/>
          </w:tcPr>
          <w:p w14:paraId="30683E84">
            <w:pPr>
              <w:rPr>
                <w:rFonts w:hint="eastAsia"/>
                <w:b w:val="0"/>
                <w:bCs/>
                <w:color w:val="auto"/>
                <w:sz w:val="22"/>
                <w:szCs w:val="21"/>
              </w:rPr>
            </w:pPr>
            <w:r>
              <w:rPr>
                <w:rFonts w:hint="eastAsia"/>
                <w:b w:val="0"/>
                <w:bCs/>
                <w:color w:val="auto"/>
                <w:sz w:val="22"/>
                <w:szCs w:val="21"/>
                <w:lang w:val="en-US" w:eastAsia="zh-CN"/>
              </w:rPr>
              <w:t>1</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0A7D9674">
            <w:pPr>
              <w:rPr>
                <w:rFonts w:hint="eastAsia"/>
                <w:b w:val="0"/>
                <w:bCs/>
                <w:color w:val="auto"/>
                <w:sz w:val="22"/>
                <w:szCs w:val="21"/>
              </w:rPr>
            </w:pPr>
            <w:r>
              <w:rPr>
                <w:rFonts w:hint="eastAsia"/>
                <w:b w:val="0"/>
                <w:bCs/>
                <w:color w:val="auto"/>
                <w:sz w:val="22"/>
                <w:szCs w:val="21"/>
                <w:lang w:val="en-US" w:eastAsia="zh-CN"/>
              </w:rPr>
              <w:t>只</w:t>
            </w:r>
          </w:p>
        </w:tc>
      </w:tr>
      <w:tr w14:paraId="14F9D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5B8873FF">
            <w:pPr>
              <w:rPr>
                <w:rFonts w:hint="eastAsia"/>
                <w:b w:val="0"/>
                <w:bCs/>
                <w:color w:val="auto"/>
                <w:sz w:val="22"/>
                <w:szCs w:val="21"/>
              </w:rPr>
            </w:pPr>
            <w:r>
              <w:rPr>
                <w:rFonts w:hint="eastAsia"/>
                <w:b w:val="0"/>
                <w:bCs/>
                <w:color w:val="auto"/>
                <w:sz w:val="22"/>
                <w:szCs w:val="21"/>
                <w:lang w:val="en-US" w:eastAsia="zh-CN"/>
              </w:rPr>
              <w:t>3</w:t>
            </w:r>
          </w:p>
        </w:tc>
        <w:tc>
          <w:tcPr>
            <w:tcW w:w="1249" w:type="dxa"/>
            <w:gridSpan w:val="3"/>
            <w:tcBorders>
              <w:top w:val="single" w:color="000000" w:sz="4" w:space="0"/>
              <w:left w:val="single" w:color="000000" w:sz="4" w:space="0"/>
              <w:bottom w:val="single" w:color="000000" w:sz="4" w:space="0"/>
              <w:right w:val="single" w:color="000000" w:sz="4" w:space="0"/>
            </w:tcBorders>
            <w:noWrap w:val="0"/>
            <w:vAlign w:val="center"/>
          </w:tcPr>
          <w:p w14:paraId="686BEBDB">
            <w:pPr>
              <w:rPr>
                <w:rFonts w:hint="eastAsia"/>
                <w:b w:val="0"/>
                <w:bCs/>
                <w:color w:val="auto"/>
                <w:sz w:val="22"/>
                <w:szCs w:val="21"/>
              </w:rPr>
            </w:pPr>
            <w:r>
              <w:rPr>
                <w:rFonts w:hint="eastAsia"/>
                <w:b w:val="0"/>
                <w:bCs/>
                <w:color w:val="auto"/>
                <w:sz w:val="22"/>
                <w:szCs w:val="21"/>
                <w:lang w:val="en-US" w:eastAsia="zh-CN"/>
              </w:rPr>
              <w:t>代表单元(含全数字网络型话筒单元控制软件V1.0)</w:t>
            </w:r>
          </w:p>
        </w:tc>
        <w:tc>
          <w:tcPr>
            <w:tcW w:w="8771" w:type="dxa"/>
            <w:gridSpan w:val="9"/>
            <w:tcBorders>
              <w:top w:val="single" w:color="000000" w:sz="4" w:space="0"/>
              <w:left w:val="single" w:color="000000" w:sz="4" w:space="0"/>
              <w:bottom w:val="single" w:color="000000" w:sz="4" w:space="0"/>
              <w:right w:val="single" w:color="000000" w:sz="4" w:space="0"/>
            </w:tcBorders>
            <w:noWrap w:val="0"/>
            <w:vAlign w:val="center"/>
          </w:tcPr>
          <w:p w14:paraId="403F033A">
            <w:pPr>
              <w:rPr>
                <w:rFonts w:hint="eastAsia"/>
                <w:b w:val="0"/>
                <w:bCs/>
                <w:color w:val="auto"/>
                <w:sz w:val="22"/>
                <w:szCs w:val="21"/>
              </w:rPr>
            </w:pPr>
            <w:r>
              <w:rPr>
                <w:rFonts w:hint="eastAsia"/>
                <w:b w:val="0"/>
                <w:bCs/>
                <w:color w:val="auto"/>
                <w:sz w:val="22"/>
                <w:szCs w:val="21"/>
                <w:lang w:val="en-US" w:eastAsia="zh-CN"/>
              </w:rPr>
              <w:t>产品描述：</w:t>
            </w:r>
            <w:r>
              <w:rPr>
                <w:rFonts w:hint="eastAsia"/>
                <w:b w:val="0"/>
                <w:bCs/>
                <w:color w:val="auto"/>
                <w:sz w:val="22"/>
                <w:szCs w:val="21"/>
                <w:lang w:val="en-US" w:eastAsia="zh-CN"/>
              </w:rPr>
              <w:br w:type="textWrapping"/>
            </w:r>
            <w:r>
              <w:rPr>
                <w:rFonts w:hint="eastAsia"/>
                <w:b w:val="0"/>
                <w:bCs/>
                <w:color w:val="auto"/>
                <w:sz w:val="22"/>
                <w:szCs w:val="21"/>
                <w:lang w:val="en-US" w:eastAsia="zh-CN"/>
              </w:rPr>
              <w:t>新颖、时尚外观，人体工学设计，支持纯讨论发言功能。</w:t>
            </w:r>
            <w:r>
              <w:rPr>
                <w:rFonts w:hint="eastAsia"/>
                <w:b w:val="0"/>
                <w:bCs/>
                <w:color w:val="auto"/>
                <w:sz w:val="22"/>
                <w:szCs w:val="21"/>
                <w:lang w:val="en-US" w:eastAsia="zh-CN"/>
              </w:rPr>
              <w:br w:type="textWrapping"/>
            </w:r>
            <w:r>
              <w:rPr>
                <w:rFonts w:hint="eastAsia"/>
                <w:b w:val="0"/>
                <w:bCs/>
                <w:color w:val="auto"/>
                <w:sz w:val="22"/>
                <w:szCs w:val="21"/>
                <w:lang w:val="en-US" w:eastAsia="zh-CN"/>
              </w:rPr>
              <w:t>采用心型指向性电容式拾音器，420mm话筒咪杆，高灵敏度咪芯设计，拾音距离远。</w:t>
            </w:r>
            <w:r>
              <w:rPr>
                <w:rFonts w:hint="eastAsia"/>
                <w:b w:val="0"/>
                <w:bCs/>
                <w:color w:val="auto"/>
                <w:sz w:val="22"/>
                <w:szCs w:val="21"/>
                <w:lang w:val="en-US" w:eastAsia="zh-CN"/>
              </w:rPr>
              <w:br w:type="textWrapping"/>
            </w:r>
            <w:r>
              <w:rPr>
                <w:rFonts w:hint="eastAsia"/>
                <w:b w:val="0"/>
                <w:bCs/>
                <w:color w:val="auto"/>
                <w:sz w:val="22"/>
                <w:szCs w:val="21"/>
                <w:lang w:val="en-US" w:eastAsia="zh-CN"/>
              </w:rPr>
              <w:t>采用双色指示灯指示，发言为红色，等待发言为绿色，可实时指示话筒单元工作状态。</w:t>
            </w:r>
            <w:r>
              <w:rPr>
                <w:rFonts w:hint="eastAsia"/>
                <w:b w:val="0"/>
                <w:bCs/>
                <w:color w:val="auto"/>
                <w:sz w:val="22"/>
                <w:szCs w:val="21"/>
                <w:lang w:val="en-US" w:eastAsia="zh-CN"/>
              </w:rPr>
              <w:br w:type="textWrapping"/>
            </w:r>
            <w:r>
              <w:rPr>
                <w:rFonts w:hint="eastAsia"/>
                <w:b w:val="0"/>
                <w:bCs/>
                <w:color w:val="auto"/>
                <w:sz w:val="22"/>
                <w:szCs w:val="21"/>
                <w:lang w:val="en-US" w:eastAsia="zh-CN"/>
              </w:rPr>
              <w:t>设有∮3.5mm立体声耳机插口，可用于连接耳机，音量可调。</w:t>
            </w:r>
            <w:r>
              <w:rPr>
                <w:rFonts w:hint="eastAsia"/>
                <w:b w:val="0"/>
                <w:bCs/>
                <w:color w:val="auto"/>
                <w:sz w:val="22"/>
                <w:szCs w:val="21"/>
                <w:lang w:val="en-US" w:eastAsia="zh-CN"/>
              </w:rPr>
              <w:br w:type="textWrapping"/>
            </w:r>
            <w:r>
              <w:rPr>
                <w:rFonts w:hint="eastAsia"/>
                <w:b w:val="0"/>
                <w:bCs/>
                <w:color w:val="auto"/>
                <w:sz w:val="22"/>
                <w:szCs w:val="21"/>
                <w:lang w:val="en-US" w:eastAsia="zh-CN"/>
              </w:rPr>
              <w:t>采用专用8芯高密航空接头，自带2米连接电缆，"T型"连接模式，保证可靠的连接。</w:t>
            </w:r>
            <w:r>
              <w:rPr>
                <w:rFonts w:hint="eastAsia"/>
                <w:b w:val="0"/>
                <w:bCs/>
                <w:color w:val="auto"/>
                <w:sz w:val="22"/>
                <w:szCs w:val="21"/>
                <w:lang w:val="en-US" w:eastAsia="zh-CN"/>
              </w:rPr>
              <w:br w:type="textWrapping"/>
            </w:r>
            <w:r>
              <w:rPr>
                <w:rFonts w:hint="eastAsia"/>
                <w:b w:val="0"/>
                <w:bCs/>
                <w:color w:val="auto"/>
                <w:sz w:val="22"/>
                <w:szCs w:val="21"/>
                <w:lang w:val="en-US" w:eastAsia="zh-CN"/>
              </w:rPr>
              <w:t>单元为无源设备，由系统主机供电，输入电压为DC24V。</w:t>
            </w:r>
            <w:r>
              <w:rPr>
                <w:rFonts w:hint="eastAsia"/>
                <w:b w:val="0"/>
                <w:bCs/>
                <w:color w:val="auto"/>
                <w:sz w:val="22"/>
                <w:szCs w:val="21"/>
                <w:lang w:val="en-US" w:eastAsia="zh-CN"/>
              </w:rPr>
              <w:br w:type="textWrapping"/>
            </w:r>
            <w:r>
              <w:rPr>
                <w:rFonts w:hint="eastAsia"/>
                <w:b w:val="0"/>
                <w:bCs/>
                <w:color w:val="auto"/>
                <w:sz w:val="22"/>
                <w:szCs w:val="21"/>
                <w:lang w:val="en-US" w:eastAsia="zh-CN"/>
              </w:rPr>
              <w:t>技术参数：</w:t>
            </w:r>
            <w:r>
              <w:rPr>
                <w:rFonts w:hint="eastAsia"/>
                <w:b w:val="0"/>
                <w:bCs/>
                <w:color w:val="auto"/>
                <w:sz w:val="22"/>
                <w:szCs w:val="21"/>
                <w:lang w:val="en-US" w:eastAsia="zh-CN"/>
              </w:rPr>
              <w:br w:type="textWrapping"/>
            </w:r>
            <w:r>
              <w:rPr>
                <w:rFonts w:hint="eastAsia"/>
                <w:b w:val="0"/>
                <w:bCs/>
                <w:color w:val="auto"/>
                <w:sz w:val="22"/>
                <w:szCs w:val="21"/>
                <w:lang w:val="en-US" w:eastAsia="zh-CN"/>
              </w:rPr>
              <w:t>输入电源：主机供电 DC24V</w:t>
            </w:r>
            <w:r>
              <w:rPr>
                <w:rFonts w:hint="eastAsia"/>
                <w:b w:val="0"/>
                <w:bCs/>
                <w:color w:val="auto"/>
                <w:sz w:val="22"/>
                <w:szCs w:val="21"/>
                <w:lang w:val="en-US" w:eastAsia="zh-CN"/>
              </w:rPr>
              <w:br w:type="textWrapping"/>
            </w:r>
            <w:r>
              <w:rPr>
                <w:rFonts w:hint="eastAsia"/>
                <w:b w:val="0"/>
                <w:bCs/>
                <w:color w:val="auto"/>
                <w:sz w:val="22"/>
                <w:szCs w:val="21"/>
                <w:lang w:val="en-US" w:eastAsia="zh-CN"/>
              </w:rPr>
              <w:t>单元接口：航空8芯专用接口</w:t>
            </w:r>
            <w:r>
              <w:rPr>
                <w:rFonts w:hint="eastAsia"/>
                <w:b w:val="0"/>
                <w:bCs/>
                <w:color w:val="auto"/>
                <w:sz w:val="22"/>
                <w:szCs w:val="21"/>
                <w:lang w:val="en-US" w:eastAsia="zh-CN"/>
              </w:rPr>
              <w:br w:type="textWrapping"/>
            </w:r>
            <w:r>
              <w:rPr>
                <w:rFonts w:hint="eastAsia"/>
                <w:b w:val="0"/>
                <w:bCs/>
                <w:color w:val="auto"/>
                <w:sz w:val="22"/>
                <w:szCs w:val="21"/>
                <w:lang w:val="en-US" w:eastAsia="zh-CN"/>
              </w:rPr>
              <w:t>静态功耗：2W</w:t>
            </w:r>
            <w:r>
              <w:rPr>
                <w:rFonts w:hint="eastAsia"/>
                <w:b w:val="0"/>
                <w:bCs/>
                <w:color w:val="auto"/>
                <w:sz w:val="22"/>
                <w:szCs w:val="21"/>
                <w:lang w:val="en-US" w:eastAsia="zh-CN"/>
              </w:rPr>
              <w:br w:type="textWrapping"/>
            </w:r>
            <w:r>
              <w:rPr>
                <w:rFonts w:hint="eastAsia"/>
                <w:b w:val="0"/>
                <w:bCs/>
                <w:color w:val="auto"/>
                <w:sz w:val="22"/>
                <w:szCs w:val="21"/>
                <w:lang w:val="en-US" w:eastAsia="zh-CN"/>
              </w:rPr>
              <w:t>动态功耗：3.5W</w:t>
            </w:r>
            <w:r>
              <w:rPr>
                <w:rFonts w:hint="eastAsia"/>
                <w:b w:val="0"/>
                <w:bCs/>
                <w:color w:val="auto"/>
                <w:sz w:val="22"/>
                <w:szCs w:val="21"/>
                <w:lang w:val="en-US" w:eastAsia="zh-CN"/>
              </w:rPr>
              <w:br w:type="textWrapping"/>
            </w:r>
            <w:r>
              <w:rPr>
                <w:rFonts w:hint="eastAsia"/>
                <w:b w:val="0"/>
                <w:bCs/>
                <w:color w:val="auto"/>
                <w:sz w:val="22"/>
                <w:szCs w:val="21"/>
                <w:lang w:val="en-US" w:eastAsia="zh-CN"/>
              </w:rPr>
              <w:t>耳机：</w:t>
            </w:r>
            <w:r>
              <w:rPr>
                <w:rFonts w:hint="eastAsia"/>
                <w:b w:val="0"/>
                <w:bCs/>
                <w:color w:val="auto"/>
                <w:sz w:val="22"/>
                <w:szCs w:val="21"/>
                <w:lang w:val="en-US" w:eastAsia="zh-CN"/>
              </w:rPr>
              <w:br w:type="textWrapping"/>
            </w:r>
            <w:r>
              <w:rPr>
                <w:rFonts w:hint="eastAsia"/>
                <w:b w:val="0"/>
                <w:bCs/>
                <w:color w:val="auto"/>
                <w:sz w:val="22"/>
                <w:szCs w:val="21"/>
                <w:lang w:val="en-US" w:eastAsia="zh-CN"/>
              </w:rPr>
              <w:t>接口：3.5mm jack stereo</w:t>
            </w:r>
            <w:r>
              <w:rPr>
                <w:rFonts w:hint="eastAsia"/>
                <w:b w:val="0"/>
                <w:bCs/>
                <w:color w:val="auto"/>
                <w:sz w:val="22"/>
                <w:szCs w:val="21"/>
                <w:lang w:val="en-US" w:eastAsia="zh-CN"/>
              </w:rPr>
              <w:br w:type="textWrapping"/>
            </w:r>
            <w:r>
              <w:rPr>
                <w:rFonts w:hint="eastAsia"/>
                <w:b w:val="0"/>
                <w:bCs/>
                <w:color w:val="auto"/>
                <w:sz w:val="22"/>
                <w:szCs w:val="21"/>
                <w:lang w:val="en-US" w:eastAsia="zh-CN"/>
              </w:rPr>
              <w:t>负载：8-32Ω</w:t>
            </w:r>
            <w:r>
              <w:rPr>
                <w:rFonts w:hint="eastAsia"/>
                <w:b w:val="0"/>
                <w:bCs/>
                <w:color w:val="auto"/>
                <w:sz w:val="22"/>
                <w:szCs w:val="21"/>
                <w:lang w:val="en-US" w:eastAsia="zh-CN"/>
              </w:rPr>
              <w:br w:type="textWrapping"/>
            </w:r>
            <w:r>
              <w:rPr>
                <w:rFonts w:hint="eastAsia"/>
                <w:b w:val="0"/>
                <w:bCs/>
                <w:color w:val="auto"/>
                <w:sz w:val="22"/>
                <w:szCs w:val="21"/>
                <w:lang w:val="en-US" w:eastAsia="zh-CN"/>
              </w:rPr>
              <w:t>功率：10mW</w:t>
            </w:r>
            <w:r>
              <w:rPr>
                <w:rFonts w:hint="eastAsia"/>
                <w:b w:val="0"/>
                <w:bCs/>
                <w:color w:val="auto"/>
                <w:sz w:val="22"/>
                <w:szCs w:val="21"/>
                <w:lang w:val="en-US" w:eastAsia="zh-CN"/>
              </w:rPr>
              <w:br w:type="textWrapping"/>
            </w:r>
            <w:r>
              <w:rPr>
                <w:rFonts w:hint="eastAsia"/>
                <w:b w:val="0"/>
                <w:bCs/>
                <w:color w:val="auto"/>
                <w:sz w:val="22"/>
                <w:szCs w:val="21"/>
                <w:lang w:val="en-US" w:eastAsia="zh-CN"/>
              </w:rPr>
              <w:t>频率响应：60Hz －18KHz</w:t>
            </w:r>
            <w:r>
              <w:rPr>
                <w:rFonts w:hint="eastAsia"/>
                <w:b w:val="0"/>
                <w:bCs/>
                <w:color w:val="auto"/>
                <w:sz w:val="22"/>
                <w:szCs w:val="21"/>
                <w:lang w:val="en-US" w:eastAsia="zh-CN"/>
              </w:rPr>
              <w:br w:type="textWrapping"/>
            </w:r>
            <w:r>
              <w:rPr>
                <w:rFonts w:hint="eastAsia"/>
                <w:b w:val="0"/>
                <w:bCs/>
                <w:color w:val="auto"/>
                <w:sz w:val="22"/>
                <w:szCs w:val="21"/>
                <w:lang w:val="en-US" w:eastAsia="zh-CN"/>
              </w:rPr>
              <w:t>信噪比（S/N）：&gt;75dB</w:t>
            </w:r>
            <w:r>
              <w:rPr>
                <w:rFonts w:hint="eastAsia"/>
                <w:b w:val="0"/>
                <w:bCs/>
                <w:color w:val="auto"/>
                <w:sz w:val="22"/>
                <w:szCs w:val="21"/>
                <w:lang w:val="en-US" w:eastAsia="zh-CN"/>
              </w:rPr>
              <w:br w:type="textWrapping"/>
            </w:r>
            <w:r>
              <w:rPr>
                <w:rFonts w:hint="eastAsia"/>
                <w:b w:val="0"/>
                <w:bCs/>
                <w:color w:val="auto"/>
                <w:sz w:val="22"/>
                <w:szCs w:val="21"/>
                <w:lang w:val="en-US" w:eastAsia="zh-CN"/>
              </w:rPr>
              <w:t>谐波失真：&lt;0.05%</w:t>
            </w:r>
            <w:r>
              <w:rPr>
                <w:rFonts w:hint="eastAsia"/>
                <w:b w:val="0"/>
                <w:bCs/>
                <w:color w:val="auto"/>
                <w:sz w:val="22"/>
                <w:szCs w:val="21"/>
                <w:lang w:val="en-US" w:eastAsia="zh-CN"/>
              </w:rPr>
              <w:br w:type="textWrapping"/>
            </w:r>
            <w:r>
              <w:rPr>
                <w:rFonts w:hint="eastAsia"/>
                <w:b w:val="0"/>
                <w:bCs/>
                <w:color w:val="auto"/>
                <w:sz w:val="22"/>
                <w:szCs w:val="21"/>
                <w:lang w:val="en-US" w:eastAsia="zh-CN"/>
              </w:rPr>
              <w:t>串扰衰减：&gt;80dB</w:t>
            </w:r>
            <w:r>
              <w:rPr>
                <w:rFonts w:hint="eastAsia"/>
                <w:b w:val="0"/>
                <w:bCs/>
                <w:color w:val="auto"/>
                <w:sz w:val="22"/>
                <w:szCs w:val="21"/>
                <w:lang w:val="en-US" w:eastAsia="zh-CN"/>
              </w:rPr>
              <w:br w:type="textWrapping"/>
            </w:r>
            <w:r>
              <w:rPr>
                <w:rFonts w:hint="eastAsia"/>
                <w:b w:val="0"/>
                <w:bCs/>
                <w:color w:val="auto"/>
                <w:sz w:val="22"/>
                <w:szCs w:val="21"/>
                <w:lang w:val="en-US" w:eastAsia="zh-CN"/>
              </w:rPr>
              <w:t>尺寸（W×D×H）: 129*150*58mm</w:t>
            </w:r>
          </w:p>
        </w:tc>
        <w:tc>
          <w:tcPr>
            <w:tcW w:w="1030" w:type="dxa"/>
            <w:gridSpan w:val="6"/>
            <w:tcBorders>
              <w:top w:val="single" w:color="000000" w:sz="4" w:space="0"/>
              <w:left w:val="single" w:color="000000" w:sz="4" w:space="0"/>
              <w:bottom w:val="single" w:color="000000" w:sz="4" w:space="0"/>
              <w:right w:val="single" w:color="000000" w:sz="4" w:space="0"/>
            </w:tcBorders>
            <w:noWrap w:val="0"/>
            <w:vAlign w:val="center"/>
          </w:tcPr>
          <w:p w14:paraId="75A2722B">
            <w:pPr>
              <w:rPr>
                <w:rFonts w:hint="eastAsia"/>
                <w:b w:val="0"/>
                <w:bCs/>
                <w:color w:val="auto"/>
                <w:sz w:val="22"/>
                <w:szCs w:val="21"/>
              </w:rPr>
            </w:pPr>
            <w:r>
              <w:rPr>
                <w:rFonts w:hint="eastAsia"/>
                <w:b w:val="0"/>
                <w:bCs/>
                <w:color w:val="auto"/>
                <w:sz w:val="22"/>
                <w:szCs w:val="21"/>
                <w:lang w:val="en-US" w:eastAsia="zh-CN"/>
              </w:rPr>
              <w:t>9</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0AEC1A67">
            <w:pPr>
              <w:rPr>
                <w:rFonts w:hint="eastAsia"/>
                <w:b w:val="0"/>
                <w:bCs/>
                <w:color w:val="auto"/>
                <w:sz w:val="22"/>
                <w:szCs w:val="21"/>
              </w:rPr>
            </w:pPr>
            <w:r>
              <w:rPr>
                <w:rFonts w:hint="eastAsia"/>
                <w:b w:val="0"/>
                <w:bCs/>
                <w:color w:val="auto"/>
                <w:sz w:val="22"/>
                <w:szCs w:val="21"/>
                <w:lang w:val="en-US" w:eastAsia="zh-CN"/>
              </w:rPr>
              <w:t>只</w:t>
            </w:r>
          </w:p>
        </w:tc>
      </w:tr>
      <w:tr w14:paraId="47900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72F2328F">
            <w:pPr>
              <w:rPr>
                <w:rFonts w:hint="eastAsia"/>
                <w:b w:val="0"/>
                <w:bCs/>
                <w:color w:val="auto"/>
                <w:sz w:val="22"/>
                <w:szCs w:val="21"/>
              </w:rPr>
            </w:pPr>
            <w:r>
              <w:rPr>
                <w:rFonts w:hint="eastAsia"/>
                <w:b w:val="0"/>
                <w:bCs/>
                <w:color w:val="auto"/>
                <w:sz w:val="22"/>
                <w:szCs w:val="21"/>
                <w:lang w:val="en-US" w:eastAsia="zh-CN"/>
              </w:rPr>
              <w:t>4</w:t>
            </w:r>
          </w:p>
        </w:tc>
        <w:tc>
          <w:tcPr>
            <w:tcW w:w="1249" w:type="dxa"/>
            <w:gridSpan w:val="3"/>
            <w:tcBorders>
              <w:top w:val="single" w:color="000000" w:sz="4" w:space="0"/>
              <w:left w:val="single" w:color="000000" w:sz="4" w:space="0"/>
              <w:bottom w:val="single" w:color="000000" w:sz="4" w:space="0"/>
              <w:right w:val="single" w:color="000000" w:sz="4" w:space="0"/>
            </w:tcBorders>
            <w:noWrap w:val="0"/>
            <w:vAlign w:val="center"/>
          </w:tcPr>
          <w:p w14:paraId="4F13F268">
            <w:pPr>
              <w:rPr>
                <w:rFonts w:hint="eastAsia"/>
                <w:b w:val="0"/>
                <w:bCs/>
                <w:color w:val="auto"/>
                <w:sz w:val="22"/>
                <w:szCs w:val="21"/>
              </w:rPr>
            </w:pPr>
            <w:r>
              <w:rPr>
                <w:rFonts w:hint="eastAsia"/>
                <w:b w:val="0"/>
                <w:bCs/>
                <w:color w:val="auto"/>
                <w:sz w:val="22"/>
                <w:szCs w:val="21"/>
                <w:lang w:val="en-US" w:eastAsia="zh-CN"/>
              </w:rPr>
              <w:t>会议线缆</w:t>
            </w:r>
          </w:p>
        </w:tc>
        <w:tc>
          <w:tcPr>
            <w:tcW w:w="8771" w:type="dxa"/>
            <w:gridSpan w:val="9"/>
            <w:tcBorders>
              <w:top w:val="single" w:color="000000" w:sz="4" w:space="0"/>
              <w:left w:val="single" w:color="000000" w:sz="4" w:space="0"/>
              <w:bottom w:val="single" w:color="000000" w:sz="4" w:space="0"/>
              <w:right w:val="single" w:color="000000" w:sz="4" w:space="0"/>
            </w:tcBorders>
            <w:noWrap w:val="0"/>
            <w:vAlign w:val="center"/>
          </w:tcPr>
          <w:p w14:paraId="66E04CAA">
            <w:pPr>
              <w:rPr>
                <w:rFonts w:hint="eastAsia"/>
                <w:b w:val="0"/>
                <w:bCs/>
                <w:color w:val="auto"/>
                <w:sz w:val="22"/>
                <w:szCs w:val="21"/>
              </w:rPr>
            </w:pPr>
            <w:r>
              <w:rPr>
                <w:rFonts w:hint="eastAsia"/>
                <w:b w:val="0"/>
                <w:bCs/>
                <w:color w:val="auto"/>
                <w:sz w:val="22"/>
                <w:szCs w:val="21"/>
                <w:lang w:val="en-US" w:eastAsia="zh-CN"/>
              </w:rPr>
              <w:t>产品描述：</w:t>
            </w:r>
            <w:r>
              <w:rPr>
                <w:rFonts w:hint="eastAsia"/>
                <w:b w:val="0"/>
                <w:bCs/>
                <w:color w:val="auto"/>
                <w:sz w:val="22"/>
                <w:szCs w:val="21"/>
                <w:lang w:val="en-US" w:eastAsia="zh-CN"/>
              </w:rPr>
              <w:br w:type="textWrapping"/>
            </w:r>
            <w:r>
              <w:rPr>
                <w:rFonts w:hint="eastAsia"/>
                <w:b w:val="0"/>
                <w:bCs/>
                <w:color w:val="auto"/>
                <w:sz w:val="22"/>
                <w:szCs w:val="21"/>
                <w:lang w:val="en-US" w:eastAsia="zh-CN"/>
              </w:rPr>
              <w:t>航空8芯手拉手会议系统专用延长线，20米标准长度</w:t>
            </w:r>
          </w:p>
        </w:tc>
        <w:tc>
          <w:tcPr>
            <w:tcW w:w="1030" w:type="dxa"/>
            <w:gridSpan w:val="6"/>
            <w:tcBorders>
              <w:top w:val="single" w:color="000000" w:sz="4" w:space="0"/>
              <w:left w:val="single" w:color="000000" w:sz="4" w:space="0"/>
              <w:bottom w:val="single" w:color="000000" w:sz="4" w:space="0"/>
              <w:right w:val="single" w:color="000000" w:sz="4" w:space="0"/>
            </w:tcBorders>
            <w:noWrap w:val="0"/>
            <w:vAlign w:val="center"/>
          </w:tcPr>
          <w:p w14:paraId="44F34F98">
            <w:pPr>
              <w:rPr>
                <w:rFonts w:hint="eastAsia"/>
                <w:b w:val="0"/>
                <w:bCs/>
                <w:color w:val="auto"/>
                <w:sz w:val="22"/>
                <w:szCs w:val="21"/>
              </w:rPr>
            </w:pPr>
            <w:r>
              <w:rPr>
                <w:rFonts w:hint="eastAsia"/>
                <w:b w:val="0"/>
                <w:bCs/>
                <w:color w:val="auto"/>
                <w:sz w:val="22"/>
                <w:szCs w:val="21"/>
                <w:lang w:val="en-US" w:eastAsia="zh-CN"/>
              </w:rPr>
              <w:t>1</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6ABBBCB2">
            <w:pPr>
              <w:rPr>
                <w:rFonts w:hint="eastAsia"/>
                <w:b w:val="0"/>
                <w:bCs/>
                <w:color w:val="auto"/>
                <w:sz w:val="22"/>
                <w:szCs w:val="21"/>
              </w:rPr>
            </w:pPr>
            <w:r>
              <w:rPr>
                <w:rFonts w:hint="eastAsia"/>
                <w:b w:val="0"/>
                <w:bCs/>
                <w:color w:val="auto"/>
                <w:sz w:val="22"/>
                <w:szCs w:val="21"/>
                <w:lang w:val="en-US" w:eastAsia="zh-CN"/>
              </w:rPr>
              <w:t>条</w:t>
            </w:r>
          </w:p>
        </w:tc>
      </w:tr>
      <w:tr w14:paraId="4C305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16196E2A">
            <w:pPr>
              <w:rPr>
                <w:rFonts w:hint="eastAsia"/>
                <w:b w:val="0"/>
                <w:bCs/>
                <w:color w:val="auto"/>
                <w:sz w:val="22"/>
                <w:szCs w:val="21"/>
              </w:rPr>
            </w:pPr>
            <w:r>
              <w:rPr>
                <w:rFonts w:hint="eastAsia"/>
                <w:b w:val="0"/>
                <w:bCs/>
                <w:color w:val="auto"/>
                <w:sz w:val="22"/>
                <w:szCs w:val="21"/>
                <w:lang w:val="en-US" w:eastAsia="zh-CN"/>
              </w:rPr>
              <w:t>5</w:t>
            </w:r>
          </w:p>
        </w:tc>
        <w:tc>
          <w:tcPr>
            <w:tcW w:w="1249" w:type="dxa"/>
            <w:gridSpan w:val="3"/>
            <w:tcBorders>
              <w:top w:val="single" w:color="000000" w:sz="4" w:space="0"/>
              <w:left w:val="single" w:color="000000" w:sz="4" w:space="0"/>
              <w:bottom w:val="single" w:color="000000" w:sz="4" w:space="0"/>
              <w:right w:val="single" w:color="000000" w:sz="4" w:space="0"/>
            </w:tcBorders>
            <w:noWrap w:val="0"/>
            <w:vAlign w:val="center"/>
          </w:tcPr>
          <w:p w14:paraId="7B526809">
            <w:pPr>
              <w:rPr>
                <w:rFonts w:hint="eastAsia"/>
                <w:b w:val="0"/>
                <w:bCs/>
                <w:color w:val="auto"/>
                <w:sz w:val="22"/>
                <w:szCs w:val="21"/>
              </w:rPr>
            </w:pPr>
            <w:r>
              <w:rPr>
                <w:rFonts w:hint="eastAsia"/>
                <w:b w:val="0"/>
                <w:bCs/>
                <w:color w:val="auto"/>
                <w:sz w:val="22"/>
                <w:szCs w:val="21"/>
                <w:lang w:val="en-US" w:eastAsia="zh-CN"/>
              </w:rPr>
              <w:t>会议地插</w:t>
            </w:r>
          </w:p>
        </w:tc>
        <w:tc>
          <w:tcPr>
            <w:tcW w:w="8771" w:type="dxa"/>
            <w:gridSpan w:val="9"/>
            <w:tcBorders>
              <w:top w:val="single" w:color="000000" w:sz="4" w:space="0"/>
              <w:left w:val="single" w:color="000000" w:sz="4" w:space="0"/>
              <w:bottom w:val="single" w:color="000000" w:sz="4" w:space="0"/>
              <w:right w:val="single" w:color="000000" w:sz="4" w:space="0"/>
            </w:tcBorders>
            <w:noWrap w:val="0"/>
            <w:vAlign w:val="center"/>
          </w:tcPr>
          <w:p w14:paraId="68415854">
            <w:pPr>
              <w:rPr>
                <w:rFonts w:hint="eastAsia"/>
                <w:b w:val="0"/>
                <w:bCs/>
                <w:color w:val="auto"/>
                <w:sz w:val="22"/>
                <w:szCs w:val="21"/>
              </w:rPr>
            </w:pPr>
            <w:r>
              <w:rPr>
                <w:rFonts w:hint="eastAsia"/>
                <w:b w:val="0"/>
                <w:bCs/>
                <w:color w:val="auto"/>
                <w:sz w:val="22"/>
                <w:szCs w:val="21"/>
                <w:lang w:val="en-US" w:eastAsia="zh-CN"/>
              </w:rPr>
              <w:t>产品描述：</w:t>
            </w:r>
            <w:r>
              <w:rPr>
                <w:rFonts w:hint="eastAsia"/>
                <w:b w:val="0"/>
                <w:bCs/>
                <w:color w:val="auto"/>
                <w:sz w:val="22"/>
                <w:szCs w:val="21"/>
                <w:lang w:val="en-US" w:eastAsia="zh-CN"/>
              </w:rPr>
              <w:br w:type="textWrapping"/>
            </w:r>
            <w:r>
              <w:rPr>
                <w:rFonts w:hint="eastAsia"/>
                <w:b w:val="0"/>
                <w:bCs/>
                <w:color w:val="auto"/>
                <w:sz w:val="22"/>
                <w:szCs w:val="21"/>
                <w:lang w:val="en-US" w:eastAsia="zh-CN"/>
              </w:rPr>
              <w:t>航空8芯会议专用地插手拉手专用</w:t>
            </w:r>
            <w:r>
              <w:rPr>
                <w:rFonts w:hint="eastAsia"/>
                <w:b w:val="0"/>
                <w:bCs/>
                <w:color w:val="auto"/>
                <w:sz w:val="22"/>
                <w:szCs w:val="21"/>
                <w:lang w:val="en-US" w:eastAsia="zh-CN"/>
              </w:rPr>
              <w:br w:type="textWrapping"/>
            </w:r>
            <w:r>
              <w:rPr>
                <w:rFonts w:hint="eastAsia"/>
                <w:b w:val="0"/>
                <w:bCs/>
                <w:color w:val="auto"/>
                <w:sz w:val="22"/>
                <w:szCs w:val="21"/>
                <w:lang w:val="en-US" w:eastAsia="zh-CN"/>
              </w:rPr>
              <w:t>技术参数：</w:t>
            </w:r>
            <w:r>
              <w:rPr>
                <w:rFonts w:hint="eastAsia"/>
                <w:b w:val="0"/>
                <w:bCs/>
                <w:color w:val="auto"/>
                <w:sz w:val="22"/>
                <w:szCs w:val="21"/>
                <w:lang w:val="en-US" w:eastAsia="zh-CN"/>
              </w:rPr>
              <w:br w:type="textWrapping"/>
            </w:r>
            <w:r>
              <w:rPr>
                <w:rFonts w:hint="eastAsia"/>
                <w:b w:val="0"/>
                <w:bCs/>
                <w:color w:val="auto"/>
                <w:sz w:val="22"/>
                <w:szCs w:val="21"/>
                <w:lang w:val="en-US" w:eastAsia="zh-CN"/>
              </w:rPr>
              <w:t>供电：1路AC 220V 50Hz输出，标准2位插孔</w:t>
            </w:r>
            <w:r>
              <w:rPr>
                <w:rFonts w:hint="eastAsia"/>
                <w:b w:val="0"/>
                <w:bCs/>
                <w:color w:val="auto"/>
                <w:sz w:val="22"/>
                <w:szCs w:val="21"/>
                <w:lang w:val="en-US" w:eastAsia="zh-CN"/>
              </w:rPr>
              <w:br w:type="textWrapping"/>
            </w:r>
            <w:r>
              <w:rPr>
                <w:rFonts w:hint="eastAsia"/>
                <w:b w:val="0"/>
                <w:bCs/>
                <w:color w:val="auto"/>
                <w:sz w:val="22"/>
                <w:szCs w:val="21"/>
                <w:lang w:val="en-US" w:eastAsia="zh-CN"/>
              </w:rPr>
              <w:t>单元接口：航空8芯专用接口，1进2出；</w:t>
            </w:r>
            <w:r>
              <w:rPr>
                <w:rFonts w:hint="eastAsia"/>
                <w:b w:val="0"/>
                <w:bCs/>
                <w:color w:val="auto"/>
                <w:sz w:val="22"/>
                <w:szCs w:val="21"/>
                <w:lang w:val="en-US" w:eastAsia="zh-CN"/>
              </w:rPr>
              <w:br w:type="textWrapping"/>
            </w:r>
            <w:r>
              <w:rPr>
                <w:rFonts w:hint="eastAsia"/>
                <w:b w:val="0"/>
                <w:bCs/>
                <w:color w:val="auto"/>
                <w:sz w:val="22"/>
                <w:szCs w:val="21"/>
                <w:lang w:val="en-US" w:eastAsia="zh-CN"/>
              </w:rPr>
              <w:t>外壳材质：锌/铝合金</w:t>
            </w:r>
            <w:r>
              <w:rPr>
                <w:rFonts w:hint="eastAsia"/>
                <w:b w:val="0"/>
                <w:bCs/>
                <w:color w:val="auto"/>
                <w:sz w:val="22"/>
                <w:szCs w:val="21"/>
                <w:lang w:val="en-US" w:eastAsia="zh-CN"/>
              </w:rPr>
              <w:br w:type="textWrapping"/>
            </w:r>
            <w:r>
              <w:rPr>
                <w:rFonts w:hint="eastAsia"/>
                <w:b w:val="0"/>
                <w:bCs/>
                <w:color w:val="auto"/>
                <w:sz w:val="22"/>
                <w:szCs w:val="21"/>
                <w:lang w:val="en-US" w:eastAsia="zh-CN"/>
              </w:rPr>
              <w:t>底盒尺寸：100*100*55mm</w:t>
            </w:r>
          </w:p>
        </w:tc>
        <w:tc>
          <w:tcPr>
            <w:tcW w:w="1030" w:type="dxa"/>
            <w:gridSpan w:val="6"/>
            <w:tcBorders>
              <w:top w:val="single" w:color="000000" w:sz="4" w:space="0"/>
              <w:left w:val="single" w:color="000000" w:sz="4" w:space="0"/>
              <w:bottom w:val="single" w:color="000000" w:sz="4" w:space="0"/>
              <w:right w:val="single" w:color="000000" w:sz="4" w:space="0"/>
            </w:tcBorders>
            <w:noWrap w:val="0"/>
            <w:vAlign w:val="center"/>
          </w:tcPr>
          <w:p w14:paraId="352101F7">
            <w:pPr>
              <w:rPr>
                <w:rFonts w:hint="eastAsia"/>
                <w:b w:val="0"/>
                <w:bCs/>
                <w:color w:val="auto"/>
                <w:sz w:val="22"/>
                <w:szCs w:val="21"/>
              </w:rPr>
            </w:pPr>
            <w:r>
              <w:rPr>
                <w:rFonts w:hint="eastAsia"/>
                <w:b w:val="0"/>
                <w:bCs/>
                <w:color w:val="auto"/>
                <w:sz w:val="22"/>
                <w:szCs w:val="21"/>
                <w:lang w:val="en-US" w:eastAsia="zh-CN"/>
              </w:rPr>
              <w:t>1</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0278FE73">
            <w:pPr>
              <w:rPr>
                <w:rFonts w:hint="eastAsia"/>
                <w:b w:val="0"/>
                <w:bCs/>
                <w:color w:val="auto"/>
                <w:sz w:val="22"/>
                <w:szCs w:val="21"/>
              </w:rPr>
            </w:pPr>
            <w:r>
              <w:rPr>
                <w:rFonts w:hint="eastAsia"/>
                <w:b w:val="0"/>
                <w:bCs/>
                <w:color w:val="auto"/>
                <w:sz w:val="22"/>
                <w:szCs w:val="21"/>
                <w:lang w:val="en-US" w:eastAsia="zh-CN"/>
              </w:rPr>
              <w:t>只</w:t>
            </w:r>
          </w:p>
        </w:tc>
      </w:tr>
      <w:tr w14:paraId="3DD89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73D7639C">
            <w:pPr>
              <w:rPr>
                <w:rFonts w:hint="eastAsia"/>
                <w:b w:val="0"/>
                <w:bCs/>
                <w:color w:val="auto"/>
                <w:sz w:val="22"/>
                <w:szCs w:val="21"/>
              </w:rPr>
            </w:pPr>
            <w:r>
              <w:rPr>
                <w:rFonts w:hint="eastAsia"/>
                <w:b w:val="0"/>
                <w:bCs/>
                <w:color w:val="auto"/>
                <w:sz w:val="22"/>
                <w:szCs w:val="21"/>
                <w:lang w:val="en-US" w:eastAsia="zh-CN"/>
              </w:rPr>
              <w:t>6</w:t>
            </w:r>
          </w:p>
        </w:tc>
        <w:tc>
          <w:tcPr>
            <w:tcW w:w="1249" w:type="dxa"/>
            <w:gridSpan w:val="3"/>
            <w:tcBorders>
              <w:top w:val="single" w:color="000000" w:sz="4" w:space="0"/>
              <w:left w:val="single" w:color="000000" w:sz="4" w:space="0"/>
              <w:bottom w:val="single" w:color="000000" w:sz="4" w:space="0"/>
              <w:right w:val="single" w:color="000000" w:sz="4" w:space="0"/>
            </w:tcBorders>
            <w:noWrap w:val="0"/>
            <w:vAlign w:val="center"/>
          </w:tcPr>
          <w:p w14:paraId="06394260">
            <w:pPr>
              <w:rPr>
                <w:rFonts w:hint="eastAsia"/>
                <w:b w:val="0"/>
                <w:bCs/>
                <w:color w:val="auto"/>
                <w:sz w:val="22"/>
                <w:szCs w:val="21"/>
              </w:rPr>
            </w:pPr>
            <w:r>
              <w:rPr>
                <w:rFonts w:hint="eastAsia"/>
                <w:b w:val="0"/>
                <w:bCs/>
                <w:color w:val="auto"/>
                <w:sz w:val="22"/>
                <w:szCs w:val="21"/>
                <w:lang w:val="en-US" w:eastAsia="zh-CN"/>
              </w:rPr>
              <w:t>无线话筒(含无线话筒控制软件V1.0)</w:t>
            </w:r>
          </w:p>
        </w:tc>
        <w:tc>
          <w:tcPr>
            <w:tcW w:w="8771" w:type="dxa"/>
            <w:gridSpan w:val="9"/>
            <w:tcBorders>
              <w:top w:val="single" w:color="000000" w:sz="4" w:space="0"/>
              <w:left w:val="single" w:color="000000" w:sz="4" w:space="0"/>
              <w:bottom w:val="single" w:color="000000" w:sz="4" w:space="0"/>
              <w:right w:val="single" w:color="000000" w:sz="4" w:space="0"/>
            </w:tcBorders>
            <w:noWrap w:val="0"/>
            <w:vAlign w:val="center"/>
          </w:tcPr>
          <w:p w14:paraId="394C1C2D">
            <w:pPr>
              <w:rPr>
                <w:rFonts w:hint="eastAsia"/>
                <w:b w:val="0"/>
                <w:bCs/>
                <w:color w:val="auto"/>
                <w:sz w:val="22"/>
                <w:szCs w:val="21"/>
              </w:rPr>
            </w:pPr>
            <w:r>
              <w:rPr>
                <w:rFonts w:hint="eastAsia"/>
                <w:b w:val="0"/>
                <w:bCs/>
                <w:color w:val="auto"/>
                <w:sz w:val="22"/>
                <w:szCs w:val="21"/>
                <w:lang w:val="en-US" w:eastAsia="zh-CN"/>
              </w:rPr>
              <w:t>产品描述：</w:t>
            </w:r>
            <w:r>
              <w:rPr>
                <w:rFonts w:hint="eastAsia"/>
                <w:b w:val="0"/>
                <w:bCs/>
                <w:color w:val="auto"/>
                <w:sz w:val="22"/>
                <w:szCs w:val="21"/>
                <w:lang w:val="en-US" w:eastAsia="zh-CN"/>
              </w:rPr>
              <w:br w:type="textWrapping"/>
            </w:r>
            <w:r>
              <w:rPr>
                <w:rFonts w:hint="eastAsia"/>
                <w:b w:val="0"/>
                <w:bCs/>
                <w:color w:val="auto"/>
                <w:sz w:val="22"/>
                <w:szCs w:val="21"/>
                <w:lang w:val="en-US" w:eastAsia="zh-CN"/>
              </w:rPr>
              <w:t>LED液晶显示可同时显示RF/AF信号强度，自动选讯，可设定频道/频率。</w:t>
            </w:r>
            <w:r>
              <w:rPr>
                <w:rFonts w:hint="eastAsia"/>
                <w:b w:val="0"/>
                <w:bCs/>
                <w:color w:val="auto"/>
                <w:sz w:val="22"/>
                <w:szCs w:val="21"/>
                <w:lang w:val="en-US" w:eastAsia="zh-CN"/>
              </w:rPr>
              <w:br w:type="textWrapping"/>
            </w:r>
            <w:r>
              <w:rPr>
                <w:rFonts w:hint="eastAsia"/>
                <w:b w:val="0"/>
                <w:bCs/>
                <w:color w:val="auto"/>
                <w:sz w:val="22"/>
                <w:szCs w:val="21"/>
                <w:lang w:val="en-US" w:eastAsia="zh-CN"/>
              </w:rPr>
              <w:t>采用窄带滤波器，可有效减小外界信号干扰。</w:t>
            </w:r>
            <w:r>
              <w:rPr>
                <w:rFonts w:hint="eastAsia"/>
                <w:b w:val="0"/>
                <w:bCs/>
                <w:color w:val="auto"/>
                <w:sz w:val="22"/>
                <w:szCs w:val="21"/>
                <w:lang w:val="en-US" w:eastAsia="zh-CN"/>
              </w:rPr>
              <w:br w:type="textWrapping"/>
            </w:r>
            <w:r>
              <w:rPr>
                <w:rFonts w:hint="eastAsia"/>
                <w:b w:val="0"/>
                <w:bCs/>
                <w:color w:val="auto"/>
                <w:sz w:val="22"/>
                <w:szCs w:val="21"/>
                <w:lang w:val="en-US" w:eastAsia="zh-CN"/>
              </w:rPr>
              <w:t>全新独特ID编码功能，对解决周围环境或是多套使用的干扰都非常有效。</w:t>
            </w:r>
            <w:r>
              <w:rPr>
                <w:rFonts w:hint="eastAsia"/>
                <w:b w:val="0"/>
                <w:bCs/>
                <w:color w:val="auto"/>
                <w:sz w:val="22"/>
                <w:szCs w:val="21"/>
                <w:lang w:val="en-US" w:eastAsia="zh-CN"/>
              </w:rPr>
              <w:br w:type="textWrapping"/>
            </w:r>
            <w:r>
              <w:rPr>
                <w:rFonts w:hint="eastAsia"/>
                <w:b w:val="0"/>
                <w:bCs/>
                <w:color w:val="auto"/>
                <w:sz w:val="22"/>
                <w:szCs w:val="21"/>
                <w:lang w:val="en-US" w:eastAsia="zh-CN"/>
              </w:rPr>
              <w:t>天线分集，接收距离无阻隔理想状态下160米。</w:t>
            </w:r>
            <w:r>
              <w:rPr>
                <w:rFonts w:hint="eastAsia"/>
                <w:b w:val="0"/>
                <w:bCs/>
                <w:color w:val="auto"/>
                <w:sz w:val="22"/>
                <w:szCs w:val="21"/>
                <w:lang w:val="en-US" w:eastAsia="zh-CN"/>
              </w:rPr>
              <w:br w:type="textWrapping"/>
            </w:r>
            <w:r>
              <w:rPr>
                <w:rFonts w:hint="eastAsia"/>
                <w:b w:val="0"/>
                <w:bCs/>
                <w:color w:val="auto"/>
                <w:sz w:val="22"/>
                <w:szCs w:val="21"/>
                <w:lang w:val="en-US" w:eastAsia="zh-CN"/>
              </w:rPr>
              <w:t>天线座带DC9V供电，可直接接放大天线使用，也可接天线放大器主机使用。</w:t>
            </w:r>
            <w:r>
              <w:rPr>
                <w:rFonts w:hint="eastAsia"/>
                <w:b w:val="0"/>
                <w:bCs/>
                <w:color w:val="auto"/>
                <w:sz w:val="22"/>
                <w:szCs w:val="21"/>
                <w:lang w:val="en-US" w:eastAsia="zh-CN"/>
              </w:rPr>
              <w:br w:type="textWrapping"/>
            </w:r>
            <w:r>
              <w:rPr>
                <w:rFonts w:hint="eastAsia"/>
                <w:b w:val="0"/>
                <w:bCs/>
                <w:color w:val="auto"/>
                <w:sz w:val="22"/>
                <w:szCs w:val="21"/>
                <w:lang w:val="en-US" w:eastAsia="zh-CN"/>
              </w:rPr>
              <w:t>接收机有7档SQ，可调节接收机灵敏度，可适配更多环境；</w:t>
            </w:r>
            <w:r>
              <w:rPr>
                <w:rFonts w:hint="eastAsia"/>
                <w:b w:val="0"/>
                <w:bCs/>
                <w:color w:val="auto"/>
                <w:sz w:val="22"/>
                <w:szCs w:val="21"/>
                <w:lang w:val="en-US" w:eastAsia="zh-CN"/>
              </w:rPr>
              <w:br w:type="textWrapping"/>
            </w:r>
            <w:r>
              <w:rPr>
                <w:rFonts w:hint="eastAsia"/>
                <w:b w:val="0"/>
                <w:bCs/>
                <w:color w:val="auto"/>
                <w:sz w:val="22"/>
                <w:szCs w:val="21"/>
                <w:lang w:val="en-US" w:eastAsia="zh-CN"/>
              </w:rPr>
              <w:t>发射器表面高温烤漆工艺技术，能在各种恶劣的使用环境下保持表面的美观。</w:t>
            </w:r>
            <w:r>
              <w:rPr>
                <w:rFonts w:hint="eastAsia"/>
                <w:b w:val="0"/>
                <w:bCs/>
                <w:color w:val="auto"/>
                <w:sz w:val="22"/>
                <w:szCs w:val="21"/>
                <w:lang w:val="en-US" w:eastAsia="zh-CN"/>
              </w:rPr>
              <w:br w:type="textWrapping"/>
            </w:r>
            <w:r>
              <w:rPr>
                <w:rFonts w:hint="eastAsia"/>
                <w:b w:val="0"/>
                <w:bCs/>
                <w:color w:val="auto"/>
                <w:sz w:val="22"/>
                <w:szCs w:val="21"/>
                <w:lang w:val="en-US" w:eastAsia="zh-CN"/>
              </w:rPr>
              <w:t>发射器圆弧边缘设计，符合人体工程学，相比普通产品的菱角边缘，更易于单手持握。</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还原性好，声音清晰，适用于企事业单位，各大中小会议室。 </w:t>
            </w:r>
            <w:r>
              <w:rPr>
                <w:rFonts w:hint="eastAsia"/>
                <w:b w:val="0"/>
                <w:bCs/>
                <w:color w:val="auto"/>
                <w:sz w:val="22"/>
                <w:szCs w:val="21"/>
                <w:lang w:val="en-US" w:eastAsia="zh-CN"/>
              </w:rPr>
              <w:br w:type="textWrapping"/>
            </w:r>
            <w:r>
              <w:rPr>
                <w:rFonts w:hint="eastAsia"/>
                <w:b w:val="0"/>
                <w:bCs/>
                <w:color w:val="auto"/>
                <w:sz w:val="22"/>
                <w:szCs w:val="21"/>
                <w:lang w:val="en-US" w:eastAsia="zh-CN"/>
              </w:rPr>
              <w:t>技术参数：</w:t>
            </w:r>
            <w:r>
              <w:rPr>
                <w:rFonts w:hint="eastAsia"/>
                <w:b w:val="0"/>
                <w:bCs/>
                <w:color w:val="auto"/>
                <w:sz w:val="22"/>
                <w:szCs w:val="21"/>
                <w:lang w:val="en-US" w:eastAsia="zh-CN"/>
              </w:rPr>
              <w:br w:type="textWrapping"/>
            </w:r>
            <w:r>
              <w:rPr>
                <w:rFonts w:hint="eastAsia"/>
                <w:b w:val="0"/>
                <w:bCs/>
                <w:color w:val="auto"/>
                <w:sz w:val="22"/>
                <w:szCs w:val="21"/>
                <w:lang w:val="en-US" w:eastAsia="zh-CN"/>
              </w:rPr>
              <w:t>接收机参数</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频道组数： 双频道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装配方式： 固定式接收模组   </w:t>
            </w:r>
            <w:r>
              <w:rPr>
                <w:rFonts w:hint="eastAsia"/>
                <w:b w:val="0"/>
                <w:bCs/>
                <w:color w:val="auto"/>
                <w:sz w:val="22"/>
                <w:szCs w:val="21"/>
                <w:lang w:val="en-US" w:eastAsia="zh-CN"/>
              </w:rPr>
              <w:br w:type="textWrapping"/>
            </w:r>
            <w:r>
              <w:rPr>
                <w:rFonts w:hint="eastAsia"/>
                <w:b w:val="0"/>
                <w:bCs/>
                <w:color w:val="auto"/>
                <w:sz w:val="22"/>
                <w:szCs w:val="21"/>
                <w:lang w:val="en-US" w:eastAsia="zh-CN"/>
              </w:rPr>
              <w:t>面板显示： LCD液晶显示可同时显示RF/AF信号强度,自动选讯,可设定频道/频率</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振荡模式： PLL相位锁定频率合成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射频稳定度： ±0.005%(-5~50°C)  </w:t>
            </w:r>
            <w:r>
              <w:rPr>
                <w:rFonts w:hint="eastAsia"/>
                <w:b w:val="0"/>
                <w:bCs/>
                <w:color w:val="auto"/>
                <w:sz w:val="22"/>
                <w:szCs w:val="21"/>
                <w:lang w:val="en-US" w:eastAsia="zh-CN"/>
              </w:rPr>
              <w:br w:type="textWrapping"/>
            </w:r>
            <w:r>
              <w:rPr>
                <w:rFonts w:hint="eastAsia"/>
                <w:b w:val="0"/>
                <w:bCs/>
                <w:color w:val="auto"/>
                <w:sz w:val="22"/>
                <w:szCs w:val="21"/>
                <w:lang w:val="en-US" w:eastAsia="zh-CN"/>
              </w:rPr>
              <w:t>载波频段： UHF：640.125MHz -690.000MHz；</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频带宽度： 50MHz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频率间隔：125KHz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可切换频率数： 400组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操作方式： 手动调整   </w:t>
            </w:r>
            <w:r>
              <w:rPr>
                <w:rFonts w:hint="eastAsia"/>
                <w:b w:val="0"/>
                <w:bCs/>
                <w:color w:val="auto"/>
                <w:sz w:val="22"/>
                <w:szCs w:val="21"/>
                <w:lang w:val="en-US" w:eastAsia="zh-CN"/>
              </w:rPr>
              <w:br w:type="textWrapping"/>
            </w:r>
            <w:r>
              <w:rPr>
                <w:rFonts w:hint="eastAsia"/>
                <w:b w:val="0"/>
                <w:bCs/>
                <w:color w:val="auto"/>
                <w:sz w:val="22"/>
                <w:szCs w:val="21"/>
                <w:lang w:val="en-US" w:eastAsia="zh-CN"/>
              </w:rPr>
              <w:t>接收方式： 双调谐器自动选讯</w:t>
            </w:r>
            <w:r>
              <w:rPr>
                <w:rFonts w:hint="eastAsia"/>
                <w:b w:val="0"/>
                <w:bCs/>
                <w:color w:val="auto"/>
                <w:sz w:val="22"/>
                <w:szCs w:val="21"/>
                <w:lang w:val="en-US" w:eastAsia="zh-CN"/>
              </w:rPr>
              <w:br w:type="textWrapping"/>
            </w:r>
            <w:r>
              <w:rPr>
                <w:rFonts w:hint="eastAsia"/>
                <w:b w:val="0"/>
                <w:bCs/>
                <w:color w:val="auto"/>
                <w:sz w:val="22"/>
                <w:szCs w:val="21"/>
                <w:lang w:val="en-US" w:eastAsia="zh-CN"/>
              </w:rPr>
              <w:t>灵敏度： 在偏移度等于40KHz,输入6dBμ V时，S/N&gt;80dB</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最大偏移度： ±68KHz具有音量扩展   </w:t>
            </w:r>
            <w:r>
              <w:rPr>
                <w:rFonts w:hint="eastAsia"/>
                <w:b w:val="0"/>
                <w:bCs/>
                <w:color w:val="auto"/>
                <w:sz w:val="22"/>
                <w:szCs w:val="21"/>
                <w:lang w:val="en-US" w:eastAsia="zh-CN"/>
              </w:rPr>
              <w:br w:type="textWrapping"/>
            </w:r>
            <w:r>
              <w:rPr>
                <w:rFonts w:hint="eastAsia"/>
                <w:b w:val="0"/>
                <w:bCs/>
                <w:color w:val="auto"/>
                <w:sz w:val="22"/>
                <w:szCs w:val="21"/>
                <w:lang w:val="en-US" w:eastAsia="zh-CN"/>
              </w:rPr>
              <w:t>综合S/N比： ±105dB(1KHz-A)</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综合失真度： &lt;0.5% @ 1KHz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综合频率响应： 50Hz-18KHz±3dB具低频衰减滤频电路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最大输出电压： 平衡式MIC-LEVEL-0dBV/600Ω,非平衡式0dBV/600Ω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输出插座： XLR平衡式插座独立输出及Φ6.3不平衡式插座混合输出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音量输出调整： 输出电平可随意调整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静音控制模式： 独立“音码及杂讯锁定”双重静音控制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DC电源供应： 0.5A  12-15VDC       </w:t>
            </w:r>
            <w:r>
              <w:rPr>
                <w:rFonts w:hint="eastAsia"/>
                <w:b w:val="0"/>
                <w:bCs/>
                <w:color w:val="auto"/>
                <w:sz w:val="22"/>
                <w:szCs w:val="21"/>
                <w:lang w:val="en-US" w:eastAsia="zh-CN"/>
              </w:rPr>
              <w:br w:type="textWrapping"/>
            </w:r>
            <w:r>
              <w:rPr>
                <w:rFonts w:hint="eastAsia"/>
                <w:b w:val="0"/>
                <w:bCs/>
                <w:color w:val="auto"/>
                <w:sz w:val="22"/>
                <w:szCs w:val="21"/>
                <w:lang w:val="en-US" w:eastAsia="zh-CN"/>
              </w:rPr>
              <w:t>产品尺寸(W*D*H)： 426*185*50mm</w:t>
            </w:r>
            <w:r>
              <w:rPr>
                <w:rFonts w:hint="eastAsia"/>
                <w:b w:val="0"/>
                <w:bCs/>
                <w:color w:val="auto"/>
                <w:sz w:val="22"/>
                <w:szCs w:val="21"/>
                <w:lang w:val="en-US" w:eastAsia="zh-CN"/>
              </w:rPr>
              <w:br w:type="textWrapping"/>
            </w:r>
            <w:r>
              <w:rPr>
                <w:rFonts w:hint="eastAsia"/>
                <w:b w:val="0"/>
                <w:bCs/>
                <w:color w:val="auto"/>
                <w:sz w:val="22"/>
                <w:szCs w:val="21"/>
                <w:lang w:val="en-US" w:eastAsia="zh-CN"/>
              </w:rPr>
              <w:t>话筒参数</w:t>
            </w:r>
            <w:r>
              <w:rPr>
                <w:rFonts w:hint="eastAsia"/>
                <w:b w:val="0"/>
                <w:bCs/>
                <w:color w:val="auto"/>
                <w:sz w:val="22"/>
                <w:szCs w:val="21"/>
                <w:lang w:val="en-US" w:eastAsia="zh-CN"/>
              </w:rPr>
              <w:br w:type="textWrapping"/>
            </w:r>
            <w:r>
              <w:rPr>
                <w:rFonts w:hint="eastAsia"/>
                <w:b w:val="0"/>
                <w:bCs/>
                <w:color w:val="auto"/>
                <w:sz w:val="22"/>
                <w:szCs w:val="21"/>
                <w:lang w:val="en-US" w:eastAsia="zh-CN"/>
              </w:rPr>
              <w:t>振荡模式： PLL相位锁定频率合成</w:t>
            </w:r>
            <w:r>
              <w:rPr>
                <w:rFonts w:hint="eastAsia"/>
                <w:b w:val="0"/>
                <w:bCs/>
                <w:color w:val="auto"/>
                <w:sz w:val="22"/>
                <w:szCs w:val="21"/>
                <w:lang w:val="en-US" w:eastAsia="zh-CN"/>
              </w:rPr>
              <w:br w:type="textWrapping"/>
            </w:r>
            <w:r>
              <w:rPr>
                <w:rFonts w:hint="eastAsia"/>
                <w:b w:val="0"/>
                <w:bCs/>
                <w:color w:val="auto"/>
                <w:sz w:val="22"/>
                <w:szCs w:val="21"/>
                <w:lang w:val="en-US" w:eastAsia="zh-CN"/>
              </w:rPr>
              <w:t>载波频率： UHF频段（640.125~690.000 MHz）</w:t>
            </w:r>
            <w:r>
              <w:rPr>
                <w:rFonts w:hint="eastAsia"/>
                <w:b w:val="0"/>
                <w:bCs/>
                <w:color w:val="auto"/>
                <w:sz w:val="22"/>
                <w:szCs w:val="21"/>
                <w:lang w:val="en-US" w:eastAsia="zh-CN"/>
              </w:rPr>
              <w:br w:type="textWrapping"/>
            </w:r>
            <w:r>
              <w:rPr>
                <w:rFonts w:hint="eastAsia"/>
                <w:b w:val="0"/>
                <w:bCs/>
                <w:color w:val="auto"/>
                <w:sz w:val="22"/>
                <w:szCs w:val="21"/>
                <w:lang w:val="en-US" w:eastAsia="zh-CN"/>
              </w:rPr>
              <w:t>频带宽度： 50 MHz</w:t>
            </w:r>
            <w:r>
              <w:rPr>
                <w:rFonts w:hint="eastAsia"/>
                <w:b w:val="0"/>
                <w:bCs/>
                <w:color w:val="auto"/>
                <w:sz w:val="22"/>
                <w:szCs w:val="21"/>
                <w:lang w:val="en-US" w:eastAsia="zh-CN"/>
              </w:rPr>
              <w:br w:type="textWrapping"/>
            </w:r>
            <w:r>
              <w:rPr>
                <w:rFonts w:hint="eastAsia"/>
                <w:b w:val="0"/>
                <w:bCs/>
                <w:color w:val="auto"/>
                <w:sz w:val="22"/>
                <w:szCs w:val="21"/>
                <w:lang w:val="en-US" w:eastAsia="zh-CN"/>
              </w:rPr>
              <w:t>可调频率：400组</w:t>
            </w:r>
            <w:r>
              <w:rPr>
                <w:rFonts w:hint="eastAsia"/>
                <w:b w:val="0"/>
                <w:bCs/>
                <w:color w:val="auto"/>
                <w:sz w:val="22"/>
                <w:szCs w:val="21"/>
                <w:lang w:val="en-US" w:eastAsia="zh-CN"/>
              </w:rPr>
              <w:br w:type="textWrapping"/>
            </w:r>
            <w:r>
              <w:rPr>
                <w:rFonts w:hint="eastAsia"/>
                <w:b w:val="0"/>
                <w:bCs/>
                <w:color w:val="auto"/>
                <w:sz w:val="22"/>
                <w:szCs w:val="21"/>
                <w:lang w:val="en-US" w:eastAsia="zh-CN"/>
              </w:rPr>
              <w:t>输出功率： 30MW</w:t>
            </w:r>
            <w:r>
              <w:rPr>
                <w:rFonts w:hint="eastAsia"/>
                <w:b w:val="0"/>
                <w:bCs/>
                <w:color w:val="auto"/>
                <w:sz w:val="22"/>
                <w:szCs w:val="21"/>
                <w:lang w:val="en-US" w:eastAsia="zh-CN"/>
              </w:rPr>
              <w:br w:type="textWrapping"/>
            </w:r>
            <w:r>
              <w:rPr>
                <w:rFonts w:hint="eastAsia"/>
                <w:b w:val="0"/>
                <w:bCs/>
                <w:color w:val="auto"/>
                <w:sz w:val="22"/>
                <w:szCs w:val="21"/>
                <w:lang w:val="en-US" w:eastAsia="zh-CN"/>
              </w:rPr>
              <w:t>射频稳定性： ±0.005%（-5~50℃）</w:t>
            </w:r>
            <w:r>
              <w:rPr>
                <w:rFonts w:hint="eastAsia"/>
                <w:b w:val="0"/>
                <w:bCs/>
                <w:color w:val="auto"/>
                <w:sz w:val="22"/>
                <w:szCs w:val="21"/>
                <w:lang w:val="en-US" w:eastAsia="zh-CN"/>
              </w:rPr>
              <w:br w:type="textWrapping"/>
            </w:r>
            <w:r>
              <w:rPr>
                <w:rFonts w:hint="eastAsia"/>
                <w:b w:val="0"/>
                <w:bCs/>
                <w:color w:val="auto"/>
                <w:sz w:val="22"/>
                <w:szCs w:val="21"/>
                <w:lang w:val="en-US" w:eastAsia="zh-CN"/>
              </w:rPr>
              <w:t>最大偏移： ±70KHz</w:t>
            </w:r>
            <w:r>
              <w:rPr>
                <w:rFonts w:hint="eastAsia"/>
                <w:b w:val="0"/>
                <w:bCs/>
                <w:color w:val="auto"/>
                <w:sz w:val="22"/>
                <w:szCs w:val="21"/>
                <w:lang w:val="en-US" w:eastAsia="zh-CN"/>
              </w:rPr>
              <w:br w:type="textWrapping"/>
            </w:r>
            <w:r>
              <w:rPr>
                <w:rFonts w:hint="eastAsia"/>
                <w:b w:val="0"/>
                <w:bCs/>
                <w:color w:val="auto"/>
                <w:sz w:val="22"/>
                <w:szCs w:val="21"/>
                <w:lang w:val="en-US" w:eastAsia="zh-CN"/>
              </w:rPr>
              <w:t>拾音头： 电容式/动圈式</w:t>
            </w:r>
            <w:r>
              <w:rPr>
                <w:rFonts w:hint="eastAsia"/>
                <w:b w:val="0"/>
                <w:bCs/>
                <w:color w:val="auto"/>
                <w:sz w:val="22"/>
                <w:szCs w:val="21"/>
                <w:lang w:val="en-US" w:eastAsia="zh-CN"/>
              </w:rPr>
              <w:br w:type="textWrapping"/>
            </w:r>
            <w:r>
              <w:rPr>
                <w:rFonts w:hint="eastAsia"/>
                <w:b w:val="0"/>
                <w:bCs/>
                <w:color w:val="auto"/>
                <w:sz w:val="22"/>
                <w:szCs w:val="21"/>
                <w:lang w:val="en-US" w:eastAsia="zh-CN"/>
              </w:rPr>
              <w:t>供电方式： 2节AA电池</w:t>
            </w:r>
            <w:r>
              <w:rPr>
                <w:rFonts w:hint="eastAsia"/>
                <w:b w:val="0"/>
                <w:bCs/>
                <w:color w:val="auto"/>
                <w:sz w:val="22"/>
                <w:szCs w:val="21"/>
                <w:lang w:val="en-US" w:eastAsia="zh-CN"/>
              </w:rPr>
              <w:br w:type="textWrapping"/>
            </w:r>
            <w:r>
              <w:rPr>
                <w:rFonts w:hint="eastAsia"/>
                <w:b w:val="0"/>
                <w:bCs/>
                <w:color w:val="auto"/>
                <w:sz w:val="22"/>
                <w:szCs w:val="21"/>
                <w:lang w:val="en-US" w:eastAsia="zh-CN"/>
              </w:rPr>
              <w:t>电池寿命： 约8小时</w:t>
            </w:r>
          </w:p>
        </w:tc>
        <w:tc>
          <w:tcPr>
            <w:tcW w:w="1030" w:type="dxa"/>
            <w:gridSpan w:val="6"/>
            <w:tcBorders>
              <w:top w:val="single" w:color="000000" w:sz="4" w:space="0"/>
              <w:left w:val="single" w:color="000000" w:sz="4" w:space="0"/>
              <w:bottom w:val="single" w:color="000000" w:sz="4" w:space="0"/>
              <w:right w:val="single" w:color="000000" w:sz="4" w:space="0"/>
            </w:tcBorders>
            <w:noWrap w:val="0"/>
            <w:vAlign w:val="center"/>
          </w:tcPr>
          <w:p w14:paraId="3E2EE06E">
            <w:pPr>
              <w:rPr>
                <w:rFonts w:hint="eastAsia"/>
                <w:b w:val="0"/>
                <w:bCs/>
                <w:color w:val="auto"/>
                <w:sz w:val="22"/>
                <w:szCs w:val="21"/>
              </w:rPr>
            </w:pPr>
            <w:r>
              <w:rPr>
                <w:rFonts w:hint="eastAsia"/>
                <w:b w:val="0"/>
                <w:bCs/>
                <w:color w:val="auto"/>
                <w:sz w:val="22"/>
                <w:szCs w:val="21"/>
                <w:lang w:val="en-US" w:eastAsia="zh-CN"/>
              </w:rPr>
              <w:t>1</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652B2175">
            <w:pPr>
              <w:rPr>
                <w:rFonts w:hint="eastAsia"/>
                <w:b w:val="0"/>
                <w:bCs/>
                <w:color w:val="auto"/>
                <w:sz w:val="22"/>
                <w:szCs w:val="21"/>
              </w:rPr>
            </w:pPr>
            <w:r>
              <w:rPr>
                <w:rFonts w:hint="eastAsia"/>
                <w:b w:val="0"/>
                <w:bCs/>
                <w:color w:val="auto"/>
                <w:sz w:val="22"/>
                <w:szCs w:val="21"/>
                <w:lang w:val="en-US" w:eastAsia="zh-CN"/>
              </w:rPr>
              <w:t>套</w:t>
            </w:r>
          </w:p>
        </w:tc>
      </w:tr>
      <w:tr w14:paraId="0BFFB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12760" w:type="dxa"/>
            <w:gridSpan w:val="25"/>
            <w:tcBorders>
              <w:top w:val="single" w:color="000000" w:sz="4" w:space="0"/>
              <w:left w:val="single" w:color="000000" w:sz="4" w:space="0"/>
              <w:bottom w:val="single" w:color="000000" w:sz="4" w:space="0"/>
              <w:right w:val="single" w:color="000000" w:sz="4" w:space="0"/>
            </w:tcBorders>
            <w:noWrap/>
            <w:vAlign w:val="center"/>
          </w:tcPr>
          <w:p w14:paraId="39D03728">
            <w:pPr>
              <w:rPr>
                <w:rFonts w:hint="eastAsia"/>
                <w:b w:val="0"/>
                <w:bCs/>
                <w:color w:val="auto"/>
                <w:sz w:val="22"/>
                <w:szCs w:val="21"/>
              </w:rPr>
            </w:pPr>
            <w:r>
              <w:rPr>
                <w:rFonts w:hint="eastAsia"/>
                <w:b w:val="0"/>
                <w:bCs/>
                <w:color w:val="auto"/>
                <w:sz w:val="22"/>
                <w:szCs w:val="21"/>
                <w:lang w:val="en-US" w:eastAsia="zh-CN"/>
              </w:rPr>
              <w:t>辅材</w:t>
            </w:r>
          </w:p>
        </w:tc>
      </w:tr>
      <w:tr w14:paraId="197A3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77CFA1B9">
            <w:pPr>
              <w:rPr>
                <w:rFonts w:hint="eastAsia"/>
                <w:b w:val="0"/>
                <w:bCs/>
                <w:color w:val="auto"/>
                <w:sz w:val="22"/>
                <w:szCs w:val="21"/>
              </w:rPr>
            </w:pPr>
            <w:r>
              <w:rPr>
                <w:rFonts w:hint="eastAsia"/>
                <w:b w:val="0"/>
                <w:bCs/>
                <w:color w:val="auto"/>
                <w:sz w:val="22"/>
                <w:szCs w:val="21"/>
                <w:lang w:val="en-US" w:eastAsia="zh-CN"/>
              </w:rPr>
              <w:t>1</w:t>
            </w:r>
          </w:p>
        </w:tc>
        <w:tc>
          <w:tcPr>
            <w:tcW w:w="1249" w:type="dxa"/>
            <w:gridSpan w:val="3"/>
            <w:tcBorders>
              <w:top w:val="single" w:color="000000" w:sz="4" w:space="0"/>
              <w:left w:val="single" w:color="000000" w:sz="4" w:space="0"/>
              <w:bottom w:val="single" w:color="000000" w:sz="4" w:space="0"/>
              <w:right w:val="single" w:color="000000" w:sz="4" w:space="0"/>
            </w:tcBorders>
            <w:noWrap w:val="0"/>
            <w:vAlign w:val="center"/>
          </w:tcPr>
          <w:p w14:paraId="329FCCD6">
            <w:pPr>
              <w:rPr>
                <w:rFonts w:hint="eastAsia"/>
                <w:b w:val="0"/>
                <w:bCs/>
                <w:color w:val="auto"/>
                <w:sz w:val="22"/>
                <w:szCs w:val="21"/>
              </w:rPr>
            </w:pPr>
            <w:r>
              <w:rPr>
                <w:rFonts w:hint="eastAsia"/>
                <w:b w:val="0"/>
                <w:bCs/>
                <w:color w:val="auto"/>
                <w:sz w:val="22"/>
                <w:szCs w:val="21"/>
                <w:lang w:val="en-US" w:eastAsia="zh-CN"/>
              </w:rPr>
              <w:t>机柜</w:t>
            </w:r>
          </w:p>
        </w:tc>
        <w:tc>
          <w:tcPr>
            <w:tcW w:w="8771" w:type="dxa"/>
            <w:gridSpan w:val="9"/>
            <w:tcBorders>
              <w:top w:val="single" w:color="000000" w:sz="4" w:space="0"/>
              <w:left w:val="single" w:color="000000" w:sz="4" w:space="0"/>
              <w:bottom w:val="single" w:color="000000" w:sz="4" w:space="0"/>
              <w:right w:val="single" w:color="000000" w:sz="4" w:space="0"/>
            </w:tcBorders>
            <w:noWrap w:val="0"/>
            <w:vAlign w:val="center"/>
          </w:tcPr>
          <w:p w14:paraId="1B50A174">
            <w:pPr>
              <w:rPr>
                <w:rFonts w:hint="eastAsia"/>
                <w:b w:val="0"/>
                <w:bCs/>
                <w:color w:val="auto"/>
                <w:sz w:val="22"/>
                <w:szCs w:val="21"/>
              </w:rPr>
            </w:pPr>
            <w:r>
              <w:rPr>
                <w:rFonts w:hint="eastAsia"/>
                <w:b w:val="0"/>
                <w:bCs/>
                <w:color w:val="auto"/>
                <w:sz w:val="22"/>
                <w:szCs w:val="21"/>
                <w:lang w:val="en-US" w:eastAsia="zh-CN"/>
              </w:rPr>
              <w:t>22U机柜，600*440*1035mm</w:t>
            </w:r>
            <w:r>
              <w:rPr>
                <w:rFonts w:hint="eastAsia"/>
                <w:b w:val="0"/>
                <w:bCs/>
                <w:color w:val="auto"/>
                <w:sz w:val="22"/>
                <w:szCs w:val="21"/>
                <w:lang w:val="en-US" w:eastAsia="zh-CN"/>
              </w:rPr>
              <w:br w:type="textWrapping"/>
            </w:r>
            <w:r>
              <w:rPr>
                <w:rFonts w:hint="eastAsia"/>
                <w:b w:val="0"/>
                <w:bCs/>
                <w:color w:val="auto"/>
                <w:sz w:val="22"/>
                <w:szCs w:val="21"/>
                <w:lang w:val="en-US" w:eastAsia="zh-CN"/>
              </w:rPr>
              <w:t>8口PDU国标电源插排×1，固定板部件×1,风扇×4,2"重型脚轮×4，M12支脚×4，M6方螺母螺钉×20，内六角扳手×1</w:t>
            </w:r>
          </w:p>
        </w:tc>
        <w:tc>
          <w:tcPr>
            <w:tcW w:w="1030" w:type="dxa"/>
            <w:gridSpan w:val="6"/>
            <w:tcBorders>
              <w:top w:val="single" w:color="000000" w:sz="4" w:space="0"/>
              <w:left w:val="single" w:color="000000" w:sz="4" w:space="0"/>
              <w:bottom w:val="single" w:color="000000" w:sz="4" w:space="0"/>
              <w:right w:val="single" w:color="000000" w:sz="4" w:space="0"/>
            </w:tcBorders>
            <w:noWrap w:val="0"/>
            <w:vAlign w:val="center"/>
          </w:tcPr>
          <w:p w14:paraId="62E7D401">
            <w:pPr>
              <w:rPr>
                <w:rFonts w:hint="eastAsia"/>
                <w:b w:val="0"/>
                <w:bCs/>
                <w:color w:val="auto"/>
                <w:sz w:val="22"/>
                <w:szCs w:val="21"/>
              </w:rPr>
            </w:pPr>
            <w:r>
              <w:rPr>
                <w:rFonts w:hint="eastAsia"/>
                <w:b w:val="0"/>
                <w:bCs/>
                <w:color w:val="auto"/>
                <w:sz w:val="22"/>
                <w:szCs w:val="21"/>
                <w:lang w:val="en-US" w:eastAsia="zh-CN"/>
              </w:rPr>
              <w:t>1</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571D601E">
            <w:pPr>
              <w:rPr>
                <w:rFonts w:hint="eastAsia"/>
                <w:b w:val="0"/>
                <w:bCs/>
                <w:color w:val="auto"/>
                <w:sz w:val="22"/>
                <w:szCs w:val="21"/>
              </w:rPr>
            </w:pPr>
            <w:r>
              <w:rPr>
                <w:rFonts w:hint="eastAsia"/>
                <w:b w:val="0"/>
                <w:bCs/>
                <w:color w:val="auto"/>
                <w:sz w:val="22"/>
                <w:szCs w:val="21"/>
                <w:lang w:val="en-US" w:eastAsia="zh-CN"/>
              </w:rPr>
              <w:t>台</w:t>
            </w:r>
          </w:p>
        </w:tc>
      </w:tr>
      <w:tr w14:paraId="76553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1A123D41">
            <w:pPr>
              <w:rPr>
                <w:rFonts w:hint="eastAsia"/>
                <w:b w:val="0"/>
                <w:bCs/>
                <w:color w:val="auto"/>
                <w:sz w:val="22"/>
                <w:szCs w:val="21"/>
              </w:rPr>
            </w:pPr>
            <w:r>
              <w:rPr>
                <w:rFonts w:hint="eastAsia"/>
                <w:b w:val="0"/>
                <w:bCs/>
                <w:color w:val="auto"/>
                <w:sz w:val="22"/>
                <w:szCs w:val="21"/>
                <w:lang w:val="en-US" w:eastAsia="zh-CN"/>
              </w:rPr>
              <w:t>2</w:t>
            </w:r>
          </w:p>
        </w:tc>
        <w:tc>
          <w:tcPr>
            <w:tcW w:w="1249" w:type="dxa"/>
            <w:gridSpan w:val="3"/>
            <w:tcBorders>
              <w:top w:val="single" w:color="000000" w:sz="4" w:space="0"/>
              <w:left w:val="single" w:color="000000" w:sz="4" w:space="0"/>
              <w:bottom w:val="single" w:color="000000" w:sz="4" w:space="0"/>
              <w:right w:val="single" w:color="000000" w:sz="4" w:space="0"/>
            </w:tcBorders>
            <w:noWrap w:val="0"/>
            <w:vAlign w:val="center"/>
          </w:tcPr>
          <w:p w14:paraId="68E09F8B">
            <w:pPr>
              <w:rPr>
                <w:rFonts w:hint="eastAsia"/>
                <w:b w:val="0"/>
                <w:bCs/>
                <w:color w:val="auto"/>
                <w:sz w:val="22"/>
                <w:szCs w:val="21"/>
              </w:rPr>
            </w:pPr>
            <w:r>
              <w:rPr>
                <w:rFonts w:hint="eastAsia"/>
                <w:b w:val="0"/>
                <w:bCs/>
                <w:color w:val="auto"/>
                <w:sz w:val="22"/>
                <w:szCs w:val="21"/>
                <w:lang w:val="en-US" w:eastAsia="zh-CN"/>
              </w:rPr>
              <w:t>音频线</w:t>
            </w:r>
          </w:p>
        </w:tc>
        <w:tc>
          <w:tcPr>
            <w:tcW w:w="8771" w:type="dxa"/>
            <w:gridSpan w:val="9"/>
            <w:tcBorders>
              <w:top w:val="single" w:color="000000" w:sz="4" w:space="0"/>
              <w:left w:val="single" w:color="000000" w:sz="4" w:space="0"/>
              <w:bottom w:val="single" w:color="000000" w:sz="4" w:space="0"/>
              <w:right w:val="single" w:color="000000" w:sz="4" w:space="0"/>
            </w:tcBorders>
            <w:noWrap w:val="0"/>
            <w:vAlign w:val="center"/>
          </w:tcPr>
          <w:p w14:paraId="36A58609">
            <w:pPr>
              <w:rPr>
                <w:rFonts w:hint="eastAsia"/>
                <w:b w:val="0"/>
                <w:bCs/>
                <w:color w:val="auto"/>
                <w:sz w:val="22"/>
                <w:szCs w:val="21"/>
              </w:rPr>
            </w:pPr>
            <w:r>
              <w:rPr>
                <w:rFonts w:hint="eastAsia"/>
                <w:b w:val="0"/>
                <w:bCs/>
                <w:color w:val="auto"/>
                <w:sz w:val="22"/>
                <w:szCs w:val="21"/>
                <w:lang w:val="en-US" w:eastAsia="zh-CN"/>
              </w:rPr>
              <w:t>1.8米音频连接线：卡侬公对母延长线</w:t>
            </w:r>
          </w:p>
        </w:tc>
        <w:tc>
          <w:tcPr>
            <w:tcW w:w="1030" w:type="dxa"/>
            <w:gridSpan w:val="6"/>
            <w:tcBorders>
              <w:top w:val="single" w:color="000000" w:sz="4" w:space="0"/>
              <w:left w:val="single" w:color="000000" w:sz="4" w:space="0"/>
              <w:bottom w:val="single" w:color="000000" w:sz="4" w:space="0"/>
              <w:right w:val="single" w:color="000000" w:sz="4" w:space="0"/>
            </w:tcBorders>
            <w:noWrap w:val="0"/>
            <w:vAlign w:val="center"/>
          </w:tcPr>
          <w:p w14:paraId="5099A770">
            <w:pPr>
              <w:rPr>
                <w:rFonts w:hint="eastAsia"/>
                <w:b w:val="0"/>
                <w:bCs/>
                <w:color w:val="auto"/>
                <w:sz w:val="22"/>
                <w:szCs w:val="21"/>
              </w:rPr>
            </w:pPr>
            <w:r>
              <w:rPr>
                <w:rFonts w:hint="eastAsia"/>
                <w:b w:val="0"/>
                <w:bCs/>
                <w:color w:val="auto"/>
                <w:sz w:val="22"/>
                <w:szCs w:val="21"/>
                <w:lang w:val="en-US" w:eastAsia="zh-CN"/>
              </w:rPr>
              <w:t>10</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0A71273A">
            <w:pPr>
              <w:rPr>
                <w:rFonts w:hint="eastAsia"/>
                <w:b w:val="0"/>
                <w:bCs/>
                <w:color w:val="auto"/>
                <w:sz w:val="22"/>
                <w:szCs w:val="21"/>
              </w:rPr>
            </w:pPr>
            <w:r>
              <w:rPr>
                <w:rFonts w:hint="eastAsia"/>
                <w:b w:val="0"/>
                <w:bCs/>
                <w:color w:val="auto"/>
                <w:sz w:val="22"/>
                <w:szCs w:val="21"/>
                <w:lang w:val="en-US" w:eastAsia="zh-CN"/>
              </w:rPr>
              <w:t>条</w:t>
            </w:r>
          </w:p>
        </w:tc>
      </w:tr>
      <w:tr w14:paraId="6B5B0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7A7AAAF0">
            <w:pPr>
              <w:rPr>
                <w:rFonts w:hint="eastAsia"/>
                <w:b w:val="0"/>
                <w:bCs/>
                <w:color w:val="auto"/>
                <w:sz w:val="22"/>
                <w:szCs w:val="21"/>
              </w:rPr>
            </w:pPr>
            <w:r>
              <w:rPr>
                <w:rFonts w:hint="eastAsia"/>
                <w:b w:val="0"/>
                <w:bCs/>
                <w:color w:val="auto"/>
                <w:sz w:val="22"/>
                <w:szCs w:val="21"/>
                <w:lang w:val="en-US" w:eastAsia="zh-CN"/>
              </w:rPr>
              <w:t>3</w:t>
            </w:r>
          </w:p>
        </w:tc>
        <w:tc>
          <w:tcPr>
            <w:tcW w:w="1249" w:type="dxa"/>
            <w:gridSpan w:val="3"/>
            <w:tcBorders>
              <w:top w:val="single" w:color="000000" w:sz="4" w:space="0"/>
              <w:left w:val="single" w:color="000000" w:sz="4" w:space="0"/>
              <w:bottom w:val="single" w:color="000000" w:sz="4" w:space="0"/>
              <w:right w:val="single" w:color="000000" w:sz="4" w:space="0"/>
            </w:tcBorders>
            <w:noWrap w:val="0"/>
            <w:vAlign w:val="center"/>
          </w:tcPr>
          <w:p w14:paraId="052837D2">
            <w:pPr>
              <w:rPr>
                <w:rFonts w:hint="eastAsia"/>
                <w:b w:val="0"/>
                <w:bCs/>
                <w:color w:val="auto"/>
                <w:sz w:val="22"/>
                <w:szCs w:val="21"/>
              </w:rPr>
            </w:pPr>
            <w:r>
              <w:rPr>
                <w:rFonts w:hint="eastAsia"/>
                <w:b w:val="0"/>
                <w:bCs/>
                <w:color w:val="auto"/>
                <w:sz w:val="22"/>
                <w:szCs w:val="21"/>
                <w:lang w:val="en-US" w:eastAsia="zh-CN"/>
              </w:rPr>
              <w:t>音频线</w:t>
            </w:r>
          </w:p>
        </w:tc>
        <w:tc>
          <w:tcPr>
            <w:tcW w:w="8771" w:type="dxa"/>
            <w:gridSpan w:val="9"/>
            <w:tcBorders>
              <w:top w:val="single" w:color="000000" w:sz="4" w:space="0"/>
              <w:left w:val="single" w:color="000000" w:sz="4" w:space="0"/>
              <w:bottom w:val="single" w:color="000000" w:sz="4" w:space="0"/>
              <w:right w:val="single" w:color="000000" w:sz="4" w:space="0"/>
            </w:tcBorders>
            <w:noWrap w:val="0"/>
            <w:vAlign w:val="center"/>
          </w:tcPr>
          <w:p w14:paraId="065742C4">
            <w:pPr>
              <w:rPr>
                <w:rFonts w:hint="eastAsia"/>
                <w:b w:val="0"/>
                <w:bCs/>
                <w:color w:val="auto"/>
                <w:sz w:val="22"/>
                <w:szCs w:val="21"/>
              </w:rPr>
            </w:pPr>
            <w:r>
              <w:rPr>
                <w:rFonts w:hint="eastAsia"/>
                <w:b w:val="0"/>
                <w:bCs/>
                <w:color w:val="auto"/>
                <w:sz w:val="22"/>
                <w:szCs w:val="21"/>
                <w:lang w:val="en-US" w:eastAsia="zh-CN"/>
              </w:rPr>
              <w:t>1.8米音频连接线：3.5转双6.35公延长线</w:t>
            </w:r>
          </w:p>
        </w:tc>
        <w:tc>
          <w:tcPr>
            <w:tcW w:w="1030" w:type="dxa"/>
            <w:gridSpan w:val="6"/>
            <w:tcBorders>
              <w:top w:val="single" w:color="000000" w:sz="4" w:space="0"/>
              <w:left w:val="single" w:color="000000" w:sz="4" w:space="0"/>
              <w:bottom w:val="single" w:color="000000" w:sz="4" w:space="0"/>
              <w:right w:val="single" w:color="000000" w:sz="4" w:space="0"/>
            </w:tcBorders>
            <w:noWrap w:val="0"/>
            <w:vAlign w:val="center"/>
          </w:tcPr>
          <w:p w14:paraId="3105F579">
            <w:pPr>
              <w:rPr>
                <w:rFonts w:hint="eastAsia"/>
                <w:b w:val="0"/>
                <w:bCs/>
                <w:color w:val="auto"/>
                <w:sz w:val="22"/>
                <w:szCs w:val="21"/>
              </w:rPr>
            </w:pPr>
            <w:r>
              <w:rPr>
                <w:rFonts w:hint="eastAsia"/>
                <w:b w:val="0"/>
                <w:bCs/>
                <w:color w:val="auto"/>
                <w:sz w:val="22"/>
                <w:szCs w:val="21"/>
                <w:lang w:val="en-US" w:eastAsia="zh-CN"/>
              </w:rPr>
              <w:t>1</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3DC50244">
            <w:pPr>
              <w:rPr>
                <w:rFonts w:hint="eastAsia"/>
                <w:b w:val="0"/>
                <w:bCs/>
                <w:color w:val="auto"/>
                <w:sz w:val="22"/>
                <w:szCs w:val="21"/>
              </w:rPr>
            </w:pPr>
            <w:r>
              <w:rPr>
                <w:rFonts w:hint="eastAsia"/>
                <w:b w:val="0"/>
                <w:bCs/>
                <w:color w:val="auto"/>
                <w:sz w:val="22"/>
                <w:szCs w:val="21"/>
                <w:lang w:val="en-US" w:eastAsia="zh-CN"/>
              </w:rPr>
              <w:t>条</w:t>
            </w:r>
          </w:p>
        </w:tc>
      </w:tr>
      <w:tr w14:paraId="71FD5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0EF91642">
            <w:pPr>
              <w:rPr>
                <w:rFonts w:hint="eastAsia"/>
                <w:b w:val="0"/>
                <w:bCs/>
                <w:color w:val="auto"/>
                <w:sz w:val="22"/>
                <w:szCs w:val="21"/>
              </w:rPr>
            </w:pPr>
            <w:r>
              <w:rPr>
                <w:rFonts w:hint="eastAsia"/>
                <w:b w:val="0"/>
                <w:bCs/>
                <w:color w:val="auto"/>
                <w:sz w:val="22"/>
                <w:szCs w:val="21"/>
                <w:lang w:val="en-US" w:eastAsia="zh-CN"/>
              </w:rPr>
              <w:t>4</w:t>
            </w:r>
          </w:p>
        </w:tc>
        <w:tc>
          <w:tcPr>
            <w:tcW w:w="1249" w:type="dxa"/>
            <w:gridSpan w:val="3"/>
            <w:tcBorders>
              <w:top w:val="single" w:color="000000" w:sz="4" w:space="0"/>
              <w:left w:val="single" w:color="000000" w:sz="4" w:space="0"/>
              <w:bottom w:val="single" w:color="000000" w:sz="4" w:space="0"/>
              <w:right w:val="single" w:color="000000" w:sz="4" w:space="0"/>
            </w:tcBorders>
            <w:noWrap w:val="0"/>
            <w:vAlign w:val="center"/>
          </w:tcPr>
          <w:p w14:paraId="3A43BF84">
            <w:pPr>
              <w:rPr>
                <w:rFonts w:hint="eastAsia"/>
                <w:b w:val="0"/>
                <w:bCs/>
                <w:color w:val="auto"/>
                <w:sz w:val="22"/>
                <w:szCs w:val="21"/>
              </w:rPr>
            </w:pPr>
            <w:r>
              <w:rPr>
                <w:rFonts w:hint="eastAsia"/>
                <w:b w:val="0"/>
                <w:bCs/>
                <w:color w:val="auto"/>
                <w:sz w:val="22"/>
                <w:szCs w:val="21"/>
                <w:lang w:val="en-US" w:eastAsia="zh-CN"/>
              </w:rPr>
              <w:t>多媒体地插</w:t>
            </w:r>
          </w:p>
        </w:tc>
        <w:tc>
          <w:tcPr>
            <w:tcW w:w="9004" w:type="dxa"/>
            <w:gridSpan w:val="10"/>
            <w:tcBorders>
              <w:top w:val="single" w:color="000000" w:sz="4" w:space="0"/>
              <w:left w:val="single" w:color="000000" w:sz="4" w:space="0"/>
              <w:bottom w:val="single" w:color="000000" w:sz="4" w:space="0"/>
              <w:right w:val="single" w:color="000000" w:sz="4" w:space="0"/>
            </w:tcBorders>
            <w:noWrap w:val="0"/>
            <w:vAlign w:val="center"/>
          </w:tcPr>
          <w:p w14:paraId="1E56E003">
            <w:pPr>
              <w:rPr>
                <w:rFonts w:hint="eastAsia"/>
                <w:b w:val="0"/>
                <w:bCs/>
                <w:color w:val="auto"/>
                <w:sz w:val="22"/>
                <w:szCs w:val="21"/>
              </w:rPr>
            </w:pPr>
            <w:r>
              <w:rPr>
                <w:rFonts w:hint="eastAsia"/>
                <w:b w:val="0"/>
                <w:bCs/>
                <w:color w:val="auto"/>
                <w:sz w:val="22"/>
                <w:szCs w:val="21"/>
                <w:lang w:val="en-US" w:eastAsia="zh-CN"/>
              </w:rPr>
              <w:t>含1个电源口、1个网口、1个HDMI口、1个音频口</w:t>
            </w:r>
          </w:p>
        </w:tc>
        <w:tc>
          <w:tcPr>
            <w:tcW w:w="236" w:type="dxa"/>
            <w:tcBorders>
              <w:top w:val="single" w:color="000000" w:sz="4" w:space="0"/>
              <w:left w:val="single" w:color="000000" w:sz="4" w:space="0"/>
              <w:bottom w:val="single" w:color="000000" w:sz="4" w:space="0"/>
              <w:right w:val="single" w:color="000000" w:sz="4" w:space="0"/>
            </w:tcBorders>
            <w:noWrap w:val="0"/>
            <w:vAlign w:val="center"/>
          </w:tcPr>
          <w:p w14:paraId="1F98889A">
            <w:pPr>
              <w:rPr>
                <w:rFonts w:hint="eastAsia"/>
                <w:b w:val="0"/>
                <w:bCs/>
                <w:color w:val="auto"/>
                <w:sz w:val="22"/>
                <w:szCs w:val="21"/>
              </w:rPr>
            </w:pPr>
            <w:r>
              <w:rPr>
                <w:rFonts w:hint="eastAsia"/>
                <w:b w:val="0"/>
                <w:bCs/>
                <w:color w:val="auto"/>
                <w:sz w:val="22"/>
                <w:szCs w:val="21"/>
                <w:lang w:val="en-US" w:eastAsia="zh-CN"/>
              </w:rPr>
              <w:t>1</w:t>
            </w:r>
          </w:p>
        </w:tc>
        <w:tc>
          <w:tcPr>
            <w:tcW w:w="1671" w:type="dxa"/>
            <w:gridSpan w:val="8"/>
            <w:tcBorders>
              <w:top w:val="single" w:color="000000" w:sz="4" w:space="0"/>
              <w:left w:val="single" w:color="000000" w:sz="4" w:space="0"/>
              <w:bottom w:val="single" w:color="000000" w:sz="4" w:space="0"/>
              <w:right w:val="single" w:color="000000" w:sz="4" w:space="0"/>
            </w:tcBorders>
            <w:noWrap w:val="0"/>
            <w:vAlign w:val="center"/>
          </w:tcPr>
          <w:p w14:paraId="4C99198D">
            <w:pPr>
              <w:rPr>
                <w:rFonts w:hint="eastAsia"/>
                <w:b w:val="0"/>
                <w:bCs/>
                <w:color w:val="auto"/>
                <w:sz w:val="22"/>
                <w:szCs w:val="21"/>
              </w:rPr>
            </w:pPr>
            <w:r>
              <w:rPr>
                <w:rFonts w:hint="eastAsia"/>
                <w:b w:val="0"/>
                <w:bCs/>
                <w:color w:val="auto"/>
                <w:sz w:val="22"/>
                <w:szCs w:val="21"/>
                <w:lang w:val="en-US" w:eastAsia="zh-CN"/>
              </w:rPr>
              <w:t>只</w:t>
            </w:r>
          </w:p>
        </w:tc>
      </w:tr>
      <w:tr w14:paraId="416C4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67F208D5">
            <w:pPr>
              <w:rPr>
                <w:rFonts w:hint="eastAsia"/>
                <w:b w:val="0"/>
                <w:bCs/>
                <w:color w:val="auto"/>
                <w:sz w:val="22"/>
                <w:szCs w:val="21"/>
              </w:rPr>
            </w:pPr>
            <w:r>
              <w:rPr>
                <w:rFonts w:hint="eastAsia"/>
                <w:b w:val="0"/>
                <w:bCs/>
                <w:color w:val="auto"/>
                <w:sz w:val="22"/>
                <w:szCs w:val="21"/>
                <w:lang w:val="en-US" w:eastAsia="zh-CN"/>
              </w:rPr>
              <w:t>5</w:t>
            </w:r>
          </w:p>
        </w:tc>
        <w:tc>
          <w:tcPr>
            <w:tcW w:w="1249" w:type="dxa"/>
            <w:gridSpan w:val="3"/>
            <w:tcBorders>
              <w:top w:val="single" w:color="000000" w:sz="4" w:space="0"/>
              <w:left w:val="single" w:color="000000" w:sz="4" w:space="0"/>
              <w:bottom w:val="single" w:color="000000" w:sz="4" w:space="0"/>
              <w:right w:val="single" w:color="000000" w:sz="4" w:space="0"/>
            </w:tcBorders>
            <w:noWrap w:val="0"/>
            <w:vAlign w:val="center"/>
          </w:tcPr>
          <w:p w14:paraId="62F9DBB4">
            <w:pPr>
              <w:rPr>
                <w:rFonts w:hint="eastAsia"/>
                <w:b w:val="0"/>
                <w:bCs/>
                <w:color w:val="auto"/>
                <w:sz w:val="22"/>
                <w:szCs w:val="21"/>
              </w:rPr>
            </w:pPr>
            <w:r>
              <w:rPr>
                <w:rFonts w:hint="eastAsia"/>
                <w:b w:val="0"/>
                <w:bCs/>
                <w:color w:val="auto"/>
                <w:sz w:val="22"/>
                <w:szCs w:val="21"/>
                <w:lang w:val="en-US" w:eastAsia="zh-CN"/>
              </w:rPr>
              <w:t>视频线</w:t>
            </w:r>
          </w:p>
        </w:tc>
        <w:tc>
          <w:tcPr>
            <w:tcW w:w="9004" w:type="dxa"/>
            <w:gridSpan w:val="10"/>
            <w:tcBorders>
              <w:top w:val="single" w:color="000000" w:sz="4" w:space="0"/>
              <w:left w:val="single" w:color="000000" w:sz="4" w:space="0"/>
              <w:bottom w:val="single" w:color="000000" w:sz="4" w:space="0"/>
              <w:right w:val="single" w:color="000000" w:sz="4" w:space="0"/>
            </w:tcBorders>
            <w:noWrap w:val="0"/>
            <w:vAlign w:val="center"/>
          </w:tcPr>
          <w:p w14:paraId="4BB01035">
            <w:pPr>
              <w:rPr>
                <w:rFonts w:hint="eastAsia"/>
                <w:b w:val="0"/>
                <w:bCs/>
                <w:color w:val="auto"/>
                <w:sz w:val="22"/>
                <w:szCs w:val="21"/>
              </w:rPr>
            </w:pPr>
            <w:r>
              <w:rPr>
                <w:rFonts w:hint="eastAsia"/>
                <w:b w:val="0"/>
                <w:bCs/>
                <w:color w:val="auto"/>
                <w:sz w:val="22"/>
                <w:szCs w:val="21"/>
                <w:lang w:val="en-US" w:eastAsia="zh-CN"/>
              </w:rPr>
              <w:t>15米视频连接线：HDMI2.0版高清线</w:t>
            </w:r>
          </w:p>
        </w:tc>
        <w:tc>
          <w:tcPr>
            <w:tcW w:w="236" w:type="dxa"/>
            <w:tcBorders>
              <w:top w:val="single" w:color="000000" w:sz="4" w:space="0"/>
              <w:left w:val="single" w:color="000000" w:sz="4" w:space="0"/>
              <w:bottom w:val="single" w:color="000000" w:sz="4" w:space="0"/>
              <w:right w:val="single" w:color="000000" w:sz="4" w:space="0"/>
            </w:tcBorders>
            <w:noWrap w:val="0"/>
            <w:vAlign w:val="center"/>
          </w:tcPr>
          <w:p w14:paraId="6546ED7B">
            <w:pPr>
              <w:rPr>
                <w:rFonts w:hint="eastAsia"/>
                <w:b w:val="0"/>
                <w:bCs/>
                <w:color w:val="auto"/>
                <w:sz w:val="22"/>
                <w:szCs w:val="21"/>
              </w:rPr>
            </w:pPr>
            <w:r>
              <w:rPr>
                <w:rFonts w:hint="eastAsia"/>
                <w:b w:val="0"/>
                <w:bCs/>
                <w:color w:val="auto"/>
                <w:sz w:val="22"/>
                <w:szCs w:val="21"/>
                <w:lang w:val="en-US" w:eastAsia="zh-CN"/>
              </w:rPr>
              <w:t>1</w:t>
            </w:r>
          </w:p>
        </w:tc>
        <w:tc>
          <w:tcPr>
            <w:tcW w:w="1671" w:type="dxa"/>
            <w:gridSpan w:val="8"/>
            <w:tcBorders>
              <w:top w:val="single" w:color="000000" w:sz="4" w:space="0"/>
              <w:left w:val="single" w:color="000000" w:sz="4" w:space="0"/>
              <w:bottom w:val="single" w:color="000000" w:sz="4" w:space="0"/>
              <w:right w:val="single" w:color="000000" w:sz="4" w:space="0"/>
            </w:tcBorders>
            <w:noWrap w:val="0"/>
            <w:vAlign w:val="center"/>
          </w:tcPr>
          <w:p w14:paraId="266838A6">
            <w:pPr>
              <w:rPr>
                <w:rFonts w:hint="eastAsia"/>
                <w:b w:val="0"/>
                <w:bCs/>
                <w:color w:val="auto"/>
                <w:sz w:val="22"/>
                <w:szCs w:val="21"/>
              </w:rPr>
            </w:pPr>
            <w:r>
              <w:rPr>
                <w:rFonts w:hint="eastAsia"/>
                <w:b w:val="0"/>
                <w:bCs/>
                <w:color w:val="auto"/>
                <w:sz w:val="22"/>
                <w:szCs w:val="21"/>
                <w:lang w:val="en-US" w:eastAsia="zh-CN"/>
              </w:rPr>
              <w:t>条</w:t>
            </w:r>
          </w:p>
        </w:tc>
      </w:tr>
      <w:tr w14:paraId="586C2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35414861">
            <w:pPr>
              <w:rPr>
                <w:rFonts w:hint="eastAsia"/>
                <w:b w:val="0"/>
                <w:bCs/>
                <w:color w:val="auto"/>
                <w:sz w:val="22"/>
                <w:szCs w:val="21"/>
              </w:rPr>
            </w:pPr>
            <w:r>
              <w:rPr>
                <w:rFonts w:hint="eastAsia"/>
                <w:b w:val="0"/>
                <w:bCs/>
                <w:color w:val="auto"/>
                <w:sz w:val="22"/>
                <w:szCs w:val="21"/>
                <w:lang w:val="en-US" w:eastAsia="zh-CN"/>
              </w:rPr>
              <w:t>6</w:t>
            </w:r>
          </w:p>
        </w:tc>
        <w:tc>
          <w:tcPr>
            <w:tcW w:w="1249" w:type="dxa"/>
            <w:gridSpan w:val="3"/>
            <w:tcBorders>
              <w:top w:val="single" w:color="000000" w:sz="4" w:space="0"/>
              <w:left w:val="single" w:color="000000" w:sz="4" w:space="0"/>
              <w:bottom w:val="single" w:color="000000" w:sz="4" w:space="0"/>
              <w:right w:val="single" w:color="000000" w:sz="4" w:space="0"/>
            </w:tcBorders>
            <w:noWrap w:val="0"/>
            <w:vAlign w:val="center"/>
          </w:tcPr>
          <w:p w14:paraId="0D898818">
            <w:pPr>
              <w:rPr>
                <w:rFonts w:hint="eastAsia"/>
                <w:b w:val="0"/>
                <w:bCs/>
                <w:color w:val="auto"/>
                <w:sz w:val="22"/>
                <w:szCs w:val="21"/>
              </w:rPr>
            </w:pPr>
            <w:r>
              <w:rPr>
                <w:rFonts w:hint="eastAsia"/>
                <w:b w:val="0"/>
                <w:bCs/>
                <w:color w:val="auto"/>
                <w:sz w:val="22"/>
                <w:szCs w:val="21"/>
                <w:lang w:val="en-US" w:eastAsia="zh-CN"/>
              </w:rPr>
              <w:t>音箱线</w:t>
            </w:r>
          </w:p>
        </w:tc>
        <w:tc>
          <w:tcPr>
            <w:tcW w:w="9004" w:type="dxa"/>
            <w:gridSpan w:val="10"/>
            <w:tcBorders>
              <w:top w:val="single" w:color="000000" w:sz="4" w:space="0"/>
              <w:left w:val="single" w:color="000000" w:sz="4" w:space="0"/>
              <w:bottom w:val="single" w:color="000000" w:sz="4" w:space="0"/>
              <w:right w:val="single" w:color="000000" w:sz="4" w:space="0"/>
            </w:tcBorders>
            <w:noWrap w:val="0"/>
            <w:vAlign w:val="center"/>
          </w:tcPr>
          <w:p w14:paraId="5B5A6DBC">
            <w:pPr>
              <w:rPr>
                <w:rFonts w:hint="eastAsia"/>
                <w:b w:val="0"/>
                <w:bCs/>
                <w:color w:val="auto"/>
                <w:sz w:val="22"/>
                <w:szCs w:val="21"/>
              </w:rPr>
            </w:pPr>
            <w:r>
              <w:rPr>
                <w:rFonts w:hint="eastAsia"/>
                <w:b w:val="0"/>
                <w:bCs/>
                <w:color w:val="auto"/>
                <w:sz w:val="22"/>
                <w:szCs w:val="21"/>
                <w:lang w:val="en-US" w:eastAsia="zh-CN"/>
              </w:rPr>
              <w:t>音响金银喇叭线纯铜2*300芯，100米/卷</w:t>
            </w:r>
          </w:p>
        </w:tc>
        <w:tc>
          <w:tcPr>
            <w:tcW w:w="236" w:type="dxa"/>
            <w:tcBorders>
              <w:top w:val="single" w:color="000000" w:sz="4" w:space="0"/>
              <w:left w:val="single" w:color="000000" w:sz="4" w:space="0"/>
              <w:bottom w:val="single" w:color="000000" w:sz="4" w:space="0"/>
              <w:right w:val="single" w:color="000000" w:sz="4" w:space="0"/>
            </w:tcBorders>
            <w:noWrap w:val="0"/>
            <w:vAlign w:val="center"/>
          </w:tcPr>
          <w:p w14:paraId="05B00567">
            <w:pPr>
              <w:rPr>
                <w:rFonts w:hint="eastAsia"/>
                <w:b w:val="0"/>
                <w:bCs/>
                <w:color w:val="auto"/>
                <w:sz w:val="22"/>
                <w:szCs w:val="21"/>
              </w:rPr>
            </w:pPr>
            <w:r>
              <w:rPr>
                <w:rFonts w:hint="eastAsia"/>
                <w:b w:val="0"/>
                <w:bCs/>
                <w:color w:val="auto"/>
                <w:sz w:val="22"/>
                <w:szCs w:val="21"/>
                <w:lang w:val="en-US" w:eastAsia="zh-CN"/>
              </w:rPr>
              <w:t>2</w:t>
            </w:r>
          </w:p>
        </w:tc>
        <w:tc>
          <w:tcPr>
            <w:tcW w:w="1671" w:type="dxa"/>
            <w:gridSpan w:val="8"/>
            <w:tcBorders>
              <w:top w:val="single" w:color="000000" w:sz="4" w:space="0"/>
              <w:left w:val="single" w:color="000000" w:sz="4" w:space="0"/>
              <w:bottom w:val="single" w:color="000000" w:sz="4" w:space="0"/>
              <w:right w:val="single" w:color="000000" w:sz="4" w:space="0"/>
            </w:tcBorders>
            <w:noWrap w:val="0"/>
            <w:vAlign w:val="center"/>
          </w:tcPr>
          <w:p w14:paraId="37AE22B4">
            <w:pPr>
              <w:rPr>
                <w:rFonts w:hint="eastAsia"/>
                <w:b w:val="0"/>
                <w:bCs/>
                <w:color w:val="auto"/>
                <w:sz w:val="22"/>
                <w:szCs w:val="21"/>
              </w:rPr>
            </w:pPr>
            <w:r>
              <w:rPr>
                <w:rFonts w:hint="eastAsia"/>
                <w:b w:val="0"/>
                <w:bCs/>
                <w:color w:val="auto"/>
                <w:sz w:val="22"/>
                <w:szCs w:val="21"/>
                <w:lang w:val="en-US" w:eastAsia="zh-CN"/>
              </w:rPr>
              <w:t>卷</w:t>
            </w:r>
          </w:p>
        </w:tc>
      </w:tr>
      <w:tr w14:paraId="3632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3D950D1F">
            <w:pPr>
              <w:rPr>
                <w:rFonts w:hint="eastAsia"/>
                <w:b w:val="0"/>
                <w:bCs/>
                <w:color w:val="auto"/>
                <w:sz w:val="22"/>
                <w:szCs w:val="21"/>
              </w:rPr>
            </w:pPr>
            <w:r>
              <w:rPr>
                <w:rFonts w:hint="eastAsia"/>
                <w:b w:val="0"/>
                <w:bCs/>
                <w:color w:val="auto"/>
                <w:sz w:val="22"/>
                <w:szCs w:val="21"/>
                <w:lang w:val="en-US" w:eastAsia="zh-CN"/>
              </w:rPr>
              <w:t>7</w:t>
            </w:r>
          </w:p>
        </w:tc>
        <w:tc>
          <w:tcPr>
            <w:tcW w:w="1249" w:type="dxa"/>
            <w:gridSpan w:val="3"/>
            <w:tcBorders>
              <w:top w:val="single" w:color="000000" w:sz="4" w:space="0"/>
              <w:left w:val="single" w:color="000000" w:sz="4" w:space="0"/>
              <w:bottom w:val="single" w:color="000000" w:sz="4" w:space="0"/>
              <w:right w:val="single" w:color="000000" w:sz="4" w:space="0"/>
            </w:tcBorders>
            <w:noWrap w:val="0"/>
            <w:vAlign w:val="center"/>
          </w:tcPr>
          <w:p w14:paraId="2E3F05B0">
            <w:pPr>
              <w:rPr>
                <w:rFonts w:hint="eastAsia"/>
                <w:b w:val="0"/>
                <w:bCs/>
                <w:color w:val="auto"/>
                <w:sz w:val="22"/>
                <w:szCs w:val="21"/>
              </w:rPr>
            </w:pPr>
            <w:r>
              <w:rPr>
                <w:rFonts w:hint="eastAsia"/>
                <w:b w:val="0"/>
                <w:bCs/>
                <w:color w:val="auto"/>
                <w:sz w:val="22"/>
                <w:szCs w:val="21"/>
                <w:lang w:val="en-US" w:eastAsia="zh-CN"/>
              </w:rPr>
              <w:t>音频话筒线</w:t>
            </w:r>
          </w:p>
        </w:tc>
        <w:tc>
          <w:tcPr>
            <w:tcW w:w="9004" w:type="dxa"/>
            <w:gridSpan w:val="10"/>
            <w:tcBorders>
              <w:top w:val="single" w:color="000000" w:sz="4" w:space="0"/>
              <w:left w:val="single" w:color="000000" w:sz="4" w:space="0"/>
              <w:bottom w:val="single" w:color="000000" w:sz="4" w:space="0"/>
              <w:right w:val="single" w:color="000000" w:sz="4" w:space="0"/>
            </w:tcBorders>
            <w:noWrap w:val="0"/>
            <w:vAlign w:val="center"/>
          </w:tcPr>
          <w:p w14:paraId="01F3C0FD">
            <w:pPr>
              <w:rPr>
                <w:rFonts w:hint="eastAsia"/>
                <w:b w:val="0"/>
                <w:bCs/>
                <w:color w:val="auto"/>
                <w:sz w:val="22"/>
                <w:szCs w:val="21"/>
              </w:rPr>
            </w:pPr>
            <w:r>
              <w:rPr>
                <w:rFonts w:hint="eastAsia"/>
                <w:b w:val="0"/>
                <w:bCs/>
                <w:color w:val="auto"/>
                <w:sz w:val="22"/>
                <w:szCs w:val="21"/>
                <w:lang w:val="en-US" w:eastAsia="zh-CN"/>
              </w:rPr>
              <w:t>双芯咪卡侬线RVPE2*0.5平方，100米/卷</w:t>
            </w:r>
          </w:p>
        </w:tc>
        <w:tc>
          <w:tcPr>
            <w:tcW w:w="236" w:type="dxa"/>
            <w:tcBorders>
              <w:top w:val="single" w:color="000000" w:sz="4" w:space="0"/>
              <w:left w:val="single" w:color="000000" w:sz="4" w:space="0"/>
              <w:bottom w:val="single" w:color="000000" w:sz="4" w:space="0"/>
              <w:right w:val="single" w:color="000000" w:sz="4" w:space="0"/>
            </w:tcBorders>
            <w:noWrap w:val="0"/>
            <w:vAlign w:val="center"/>
          </w:tcPr>
          <w:p w14:paraId="75788C5A">
            <w:pPr>
              <w:rPr>
                <w:rFonts w:hint="eastAsia"/>
                <w:b w:val="0"/>
                <w:bCs/>
                <w:color w:val="auto"/>
                <w:sz w:val="22"/>
                <w:szCs w:val="21"/>
              </w:rPr>
            </w:pPr>
            <w:r>
              <w:rPr>
                <w:rFonts w:hint="eastAsia"/>
                <w:b w:val="0"/>
                <w:bCs/>
                <w:color w:val="auto"/>
                <w:sz w:val="22"/>
                <w:szCs w:val="21"/>
                <w:lang w:val="en-US" w:eastAsia="zh-CN"/>
              </w:rPr>
              <w:t>1</w:t>
            </w:r>
          </w:p>
        </w:tc>
        <w:tc>
          <w:tcPr>
            <w:tcW w:w="1671" w:type="dxa"/>
            <w:gridSpan w:val="8"/>
            <w:tcBorders>
              <w:top w:val="single" w:color="000000" w:sz="4" w:space="0"/>
              <w:left w:val="single" w:color="000000" w:sz="4" w:space="0"/>
              <w:bottom w:val="single" w:color="000000" w:sz="4" w:space="0"/>
              <w:right w:val="single" w:color="000000" w:sz="4" w:space="0"/>
            </w:tcBorders>
            <w:noWrap w:val="0"/>
            <w:vAlign w:val="center"/>
          </w:tcPr>
          <w:p w14:paraId="03708DE8">
            <w:pPr>
              <w:rPr>
                <w:rFonts w:hint="eastAsia"/>
                <w:b w:val="0"/>
                <w:bCs/>
                <w:color w:val="auto"/>
                <w:sz w:val="22"/>
                <w:szCs w:val="21"/>
              </w:rPr>
            </w:pPr>
            <w:r>
              <w:rPr>
                <w:rFonts w:hint="eastAsia"/>
                <w:b w:val="0"/>
                <w:bCs/>
                <w:color w:val="auto"/>
                <w:sz w:val="22"/>
                <w:szCs w:val="21"/>
                <w:lang w:val="en-US" w:eastAsia="zh-CN"/>
              </w:rPr>
              <w:t>卷</w:t>
            </w:r>
          </w:p>
        </w:tc>
      </w:tr>
      <w:tr w14:paraId="22759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294DE78D">
            <w:pPr>
              <w:rPr>
                <w:rFonts w:hint="eastAsia"/>
                <w:b w:val="0"/>
                <w:bCs/>
                <w:color w:val="auto"/>
                <w:sz w:val="22"/>
                <w:szCs w:val="21"/>
              </w:rPr>
            </w:pPr>
            <w:r>
              <w:rPr>
                <w:rFonts w:hint="eastAsia"/>
                <w:b w:val="0"/>
                <w:bCs/>
                <w:color w:val="auto"/>
                <w:sz w:val="22"/>
                <w:szCs w:val="21"/>
                <w:lang w:val="en-US" w:eastAsia="zh-CN"/>
              </w:rPr>
              <w:t>8</w:t>
            </w:r>
          </w:p>
        </w:tc>
        <w:tc>
          <w:tcPr>
            <w:tcW w:w="1249" w:type="dxa"/>
            <w:gridSpan w:val="3"/>
            <w:tcBorders>
              <w:top w:val="single" w:color="000000" w:sz="4" w:space="0"/>
              <w:left w:val="single" w:color="000000" w:sz="4" w:space="0"/>
              <w:bottom w:val="single" w:color="000000" w:sz="4" w:space="0"/>
              <w:right w:val="single" w:color="000000" w:sz="4" w:space="0"/>
            </w:tcBorders>
            <w:noWrap w:val="0"/>
            <w:vAlign w:val="center"/>
          </w:tcPr>
          <w:p w14:paraId="77D68492">
            <w:pPr>
              <w:rPr>
                <w:rFonts w:hint="eastAsia"/>
                <w:b w:val="0"/>
                <w:bCs/>
                <w:color w:val="auto"/>
                <w:sz w:val="22"/>
                <w:szCs w:val="21"/>
              </w:rPr>
            </w:pPr>
            <w:r>
              <w:rPr>
                <w:rFonts w:hint="eastAsia"/>
                <w:b w:val="0"/>
                <w:bCs/>
                <w:color w:val="auto"/>
                <w:sz w:val="22"/>
                <w:szCs w:val="21"/>
                <w:lang w:val="en-US" w:eastAsia="zh-CN"/>
              </w:rPr>
              <w:t>网线</w:t>
            </w:r>
          </w:p>
        </w:tc>
        <w:tc>
          <w:tcPr>
            <w:tcW w:w="9004" w:type="dxa"/>
            <w:gridSpan w:val="10"/>
            <w:tcBorders>
              <w:top w:val="single" w:color="000000" w:sz="4" w:space="0"/>
              <w:left w:val="single" w:color="000000" w:sz="4" w:space="0"/>
              <w:bottom w:val="single" w:color="000000" w:sz="4" w:space="0"/>
              <w:right w:val="single" w:color="000000" w:sz="4" w:space="0"/>
            </w:tcBorders>
            <w:noWrap w:val="0"/>
            <w:vAlign w:val="center"/>
          </w:tcPr>
          <w:p w14:paraId="412964BE">
            <w:pPr>
              <w:rPr>
                <w:rFonts w:hint="eastAsia"/>
                <w:b w:val="0"/>
                <w:bCs/>
                <w:color w:val="auto"/>
                <w:sz w:val="22"/>
                <w:szCs w:val="21"/>
              </w:rPr>
            </w:pPr>
            <w:r>
              <w:rPr>
                <w:rFonts w:hint="eastAsia"/>
                <w:b w:val="0"/>
                <w:bCs/>
                <w:color w:val="auto"/>
                <w:sz w:val="22"/>
                <w:szCs w:val="21"/>
                <w:lang w:val="en-US" w:eastAsia="zh-CN"/>
              </w:rPr>
              <w:t>超五类网线，200米/卷</w:t>
            </w:r>
          </w:p>
        </w:tc>
        <w:tc>
          <w:tcPr>
            <w:tcW w:w="236" w:type="dxa"/>
            <w:tcBorders>
              <w:top w:val="single" w:color="000000" w:sz="4" w:space="0"/>
              <w:left w:val="single" w:color="000000" w:sz="4" w:space="0"/>
              <w:bottom w:val="single" w:color="000000" w:sz="4" w:space="0"/>
              <w:right w:val="single" w:color="000000" w:sz="4" w:space="0"/>
            </w:tcBorders>
            <w:noWrap w:val="0"/>
            <w:vAlign w:val="center"/>
          </w:tcPr>
          <w:p w14:paraId="47974FCA">
            <w:pPr>
              <w:rPr>
                <w:rFonts w:hint="eastAsia"/>
                <w:b w:val="0"/>
                <w:bCs/>
                <w:color w:val="auto"/>
                <w:sz w:val="22"/>
                <w:szCs w:val="21"/>
              </w:rPr>
            </w:pPr>
            <w:r>
              <w:rPr>
                <w:rFonts w:hint="eastAsia"/>
                <w:b w:val="0"/>
                <w:bCs/>
                <w:color w:val="auto"/>
                <w:sz w:val="22"/>
                <w:szCs w:val="21"/>
                <w:lang w:val="en-US" w:eastAsia="zh-CN"/>
              </w:rPr>
              <w:t>1</w:t>
            </w:r>
          </w:p>
        </w:tc>
        <w:tc>
          <w:tcPr>
            <w:tcW w:w="1671" w:type="dxa"/>
            <w:gridSpan w:val="8"/>
            <w:tcBorders>
              <w:top w:val="single" w:color="000000" w:sz="4" w:space="0"/>
              <w:left w:val="single" w:color="000000" w:sz="4" w:space="0"/>
              <w:bottom w:val="single" w:color="000000" w:sz="4" w:space="0"/>
              <w:right w:val="single" w:color="000000" w:sz="4" w:space="0"/>
            </w:tcBorders>
            <w:noWrap w:val="0"/>
            <w:vAlign w:val="center"/>
          </w:tcPr>
          <w:p w14:paraId="2E2D5588">
            <w:pPr>
              <w:rPr>
                <w:rFonts w:hint="eastAsia"/>
                <w:b w:val="0"/>
                <w:bCs/>
                <w:color w:val="auto"/>
                <w:sz w:val="22"/>
                <w:szCs w:val="21"/>
              </w:rPr>
            </w:pPr>
            <w:r>
              <w:rPr>
                <w:rFonts w:hint="eastAsia"/>
                <w:b w:val="0"/>
                <w:bCs/>
                <w:color w:val="auto"/>
                <w:sz w:val="22"/>
                <w:szCs w:val="21"/>
                <w:lang w:val="en-US" w:eastAsia="zh-CN"/>
              </w:rPr>
              <w:t>卷</w:t>
            </w:r>
          </w:p>
        </w:tc>
      </w:tr>
      <w:tr w14:paraId="7FF8F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107D73A5">
            <w:pPr>
              <w:rPr>
                <w:rFonts w:hint="eastAsia"/>
                <w:b w:val="0"/>
                <w:bCs/>
                <w:color w:val="auto"/>
                <w:sz w:val="22"/>
                <w:szCs w:val="21"/>
              </w:rPr>
            </w:pPr>
            <w:r>
              <w:rPr>
                <w:rFonts w:hint="eastAsia"/>
                <w:b w:val="0"/>
                <w:bCs/>
                <w:color w:val="auto"/>
                <w:sz w:val="22"/>
                <w:szCs w:val="21"/>
                <w:lang w:val="en-US" w:eastAsia="zh-CN"/>
              </w:rPr>
              <w:t>9</w:t>
            </w:r>
          </w:p>
        </w:tc>
        <w:tc>
          <w:tcPr>
            <w:tcW w:w="1249" w:type="dxa"/>
            <w:gridSpan w:val="3"/>
            <w:tcBorders>
              <w:top w:val="single" w:color="000000" w:sz="4" w:space="0"/>
              <w:left w:val="single" w:color="000000" w:sz="4" w:space="0"/>
              <w:bottom w:val="single" w:color="000000" w:sz="4" w:space="0"/>
              <w:right w:val="single" w:color="000000" w:sz="4" w:space="0"/>
            </w:tcBorders>
            <w:noWrap w:val="0"/>
            <w:vAlign w:val="center"/>
          </w:tcPr>
          <w:p w14:paraId="2D5E085C">
            <w:pPr>
              <w:rPr>
                <w:rFonts w:hint="eastAsia"/>
                <w:b w:val="0"/>
                <w:bCs/>
                <w:color w:val="auto"/>
                <w:sz w:val="22"/>
                <w:szCs w:val="21"/>
              </w:rPr>
            </w:pPr>
            <w:r>
              <w:rPr>
                <w:rFonts w:hint="eastAsia"/>
                <w:b w:val="0"/>
                <w:bCs/>
                <w:color w:val="auto"/>
                <w:sz w:val="22"/>
                <w:szCs w:val="21"/>
                <w:lang w:val="en-US" w:eastAsia="zh-CN"/>
              </w:rPr>
              <w:t>水晶头</w:t>
            </w:r>
          </w:p>
        </w:tc>
        <w:tc>
          <w:tcPr>
            <w:tcW w:w="9004" w:type="dxa"/>
            <w:gridSpan w:val="10"/>
            <w:tcBorders>
              <w:top w:val="single" w:color="000000" w:sz="4" w:space="0"/>
              <w:left w:val="single" w:color="000000" w:sz="4" w:space="0"/>
              <w:bottom w:val="single" w:color="000000" w:sz="4" w:space="0"/>
              <w:right w:val="single" w:color="000000" w:sz="4" w:space="0"/>
            </w:tcBorders>
            <w:noWrap w:val="0"/>
            <w:vAlign w:val="center"/>
          </w:tcPr>
          <w:p w14:paraId="0C83DB96">
            <w:pPr>
              <w:rPr>
                <w:rFonts w:hint="eastAsia"/>
                <w:b w:val="0"/>
                <w:bCs/>
                <w:color w:val="auto"/>
                <w:sz w:val="22"/>
                <w:szCs w:val="21"/>
              </w:rPr>
            </w:pPr>
            <w:r>
              <w:rPr>
                <w:rFonts w:hint="eastAsia"/>
                <w:b w:val="0"/>
                <w:bCs/>
                <w:color w:val="auto"/>
                <w:sz w:val="22"/>
                <w:szCs w:val="21"/>
                <w:lang w:val="en-US" w:eastAsia="zh-CN"/>
              </w:rPr>
              <w:t>超五类水晶头，100个/盒</w:t>
            </w:r>
          </w:p>
        </w:tc>
        <w:tc>
          <w:tcPr>
            <w:tcW w:w="236" w:type="dxa"/>
            <w:tcBorders>
              <w:top w:val="single" w:color="000000" w:sz="4" w:space="0"/>
              <w:left w:val="single" w:color="000000" w:sz="4" w:space="0"/>
              <w:bottom w:val="single" w:color="000000" w:sz="4" w:space="0"/>
              <w:right w:val="single" w:color="000000" w:sz="4" w:space="0"/>
            </w:tcBorders>
            <w:noWrap w:val="0"/>
            <w:vAlign w:val="center"/>
          </w:tcPr>
          <w:p w14:paraId="39B5F683">
            <w:pPr>
              <w:rPr>
                <w:rFonts w:hint="eastAsia"/>
                <w:b w:val="0"/>
                <w:bCs/>
                <w:color w:val="auto"/>
                <w:sz w:val="22"/>
                <w:szCs w:val="21"/>
              </w:rPr>
            </w:pPr>
            <w:r>
              <w:rPr>
                <w:rFonts w:hint="eastAsia"/>
                <w:b w:val="0"/>
                <w:bCs/>
                <w:color w:val="auto"/>
                <w:sz w:val="22"/>
                <w:szCs w:val="21"/>
                <w:lang w:val="en-US" w:eastAsia="zh-CN"/>
              </w:rPr>
              <w:t>1</w:t>
            </w:r>
          </w:p>
        </w:tc>
        <w:tc>
          <w:tcPr>
            <w:tcW w:w="1671" w:type="dxa"/>
            <w:gridSpan w:val="8"/>
            <w:tcBorders>
              <w:top w:val="single" w:color="000000" w:sz="4" w:space="0"/>
              <w:left w:val="single" w:color="000000" w:sz="4" w:space="0"/>
              <w:bottom w:val="single" w:color="000000" w:sz="4" w:space="0"/>
              <w:right w:val="single" w:color="000000" w:sz="4" w:space="0"/>
            </w:tcBorders>
            <w:noWrap w:val="0"/>
            <w:vAlign w:val="center"/>
          </w:tcPr>
          <w:p w14:paraId="4CB9AE6F">
            <w:pPr>
              <w:rPr>
                <w:rFonts w:hint="eastAsia"/>
                <w:b w:val="0"/>
                <w:bCs/>
                <w:color w:val="auto"/>
                <w:sz w:val="22"/>
                <w:szCs w:val="21"/>
              </w:rPr>
            </w:pPr>
            <w:r>
              <w:rPr>
                <w:rFonts w:hint="eastAsia"/>
                <w:b w:val="0"/>
                <w:bCs/>
                <w:color w:val="auto"/>
                <w:sz w:val="22"/>
                <w:szCs w:val="21"/>
                <w:lang w:val="en-US" w:eastAsia="zh-CN"/>
              </w:rPr>
              <w:t>盒</w:t>
            </w:r>
          </w:p>
        </w:tc>
      </w:tr>
      <w:tr w14:paraId="0E6EE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35291544">
            <w:pPr>
              <w:rPr>
                <w:rFonts w:hint="eastAsia"/>
                <w:b w:val="0"/>
                <w:bCs/>
                <w:color w:val="auto"/>
                <w:sz w:val="22"/>
                <w:szCs w:val="21"/>
              </w:rPr>
            </w:pPr>
            <w:r>
              <w:rPr>
                <w:rFonts w:hint="eastAsia"/>
                <w:b w:val="0"/>
                <w:bCs/>
                <w:color w:val="auto"/>
                <w:sz w:val="22"/>
                <w:szCs w:val="21"/>
                <w:lang w:val="en-US" w:eastAsia="zh-CN"/>
              </w:rPr>
              <w:t>10</w:t>
            </w:r>
          </w:p>
        </w:tc>
        <w:tc>
          <w:tcPr>
            <w:tcW w:w="1249" w:type="dxa"/>
            <w:gridSpan w:val="3"/>
            <w:tcBorders>
              <w:top w:val="single" w:color="000000" w:sz="4" w:space="0"/>
              <w:left w:val="single" w:color="000000" w:sz="4" w:space="0"/>
              <w:bottom w:val="single" w:color="000000" w:sz="4" w:space="0"/>
              <w:right w:val="single" w:color="000000" w:sz="4" w:space="0"/>
            </w:tcBorders>
            <w:noWrap w:val="0"/>
            <w:vAlign w:val="center"/>
          </w:tcPr>
          <w:p w14:paraId="6EF3C63A">
            <w:pPr>
              <w:rPr>
                <w:rFonts w:hint="eastAsia"/>
                <w:b w:val="0"/>
                <w:bCs/>
                <w:color w:val="auto"/>
                <w:sz w:val="22"/>
                <w:szCs w:val="21"/>
              </w:rPr>
            </w:pPr>
            <w:r>
              <w:rPr>
                <w:rFonts w:hint="eastAsia"/>
                <w:b w:val="0"/>
                <w:bCs/>
                <w:color w:val="auto"/>
                <w:sz w:val="22"/>
                <w:szCs w:val="21"/>
                <w:lang w:val="en-US" w:eastAsia="zh-CN"/>
              </w:rPr>
              <w:t>电缆线</w:t>
            </w:r>
          </w:p>
        </w:tc>
        <w:tc>
          <w:tcPr>
            <w:tcW w:w="9004" w:type="dxa"/>
            <w:gridSpan w:val="10"/>
            <w:tcBorders>
              <w:top w:val="single" w:color="000000" w:sz="4" w:space="0"/>
              <w:left w:val="single" w:color="000000" w:sz="4" w:space="0"/>
              <w:bottom w:val="single" w:color="000000" w:sz="4" w:space="0"/>
              <w:right w:val="single" w:color="000000" w:sz="4" w:space="0"/>
            </w:tcBorders>
            <w:noWrap w:val="0"/>
            <w:vAlign w:val="center"/>
          </w:tcPr>
          <w:p w14:paraId="3382B830">
            <w:pPr>
              <w:rPr>
                <w:rFonts w:hint="eastAsia"/>
                <w:b w:val="0"/>
                <w:bCs/>
                <w:color w:val="auto"/>
                <w:sz w:val="22"/>
                <w:szCs w:val="21"/>
              </w:rPr>
            </w:pPr>
            <w:r>
              <w:rPr>
                <w:rFonts w:hint="eastAsia"/>
                <w:b w:val="0"/>
                <w:bCs/>
                <w:color w:val="auto"/>
                <w:sz w:val="22"/>
                <w:szCs w:val="21"/>
                <w:lang w:val="en-US" w:eastAsia="zh-CN"/>
              </w:rPr>
              <w:t>带屏蔽国标电源线/通信控制线RVVP3*1.5平方，100米/卷</w:t>
            </w:r>
          </w:p>
        </w:tc>
        <w:tc>
          <w:tcPr>
            <w:tcW w:w="236" w:type="dxa"/>
            <w:tcBorders>
              <w:top w:val="single" w:color="000000" w:sz="4" w:space="0"/>
              <w:left w:val="single" w:color="000000" w:sz="4" w:space="0"/>
              <w:bottom w:val="single" w:color="000000" w:sz="4" w:space="0"/>
              <w:right w:val="single" w:color="000000" w:sz="4" w:space="0"/>
            </w:tcBorders>
            <w:noWrap w:val="0"/>
            <w:vAlign w:val="center"/>
          </w:tcPr>
          <w:p w14:paraId="3AD044E3">
            <w:pPr>
              <w:rPr>
                <w:rFonts w:hint="eastAsia"/>
                <w:b w:val="0"/>
                <w:bCs/>
                <w:color w:val="auto"/>
                <w:sz w:val="22"/>
                <w:szCs w:val="21"/>
              </w:rPr>
            </w:pPr>
            <w:r>
              <w:rPr>
                <w:rFonts w:hint="eastAsia"/>
                <w:b w:val="0"/>
                <w:bCs/>
                <w:color w:val="auto"/>
                <w:sz w:val="22"/>
                <w:szCs w:val="21"/>
                <w:lang w:val="en-US" w:eastAsia="zh-CN"/>
              </w:rPr>
              <w:t>1</w:t>
            </w:r>
          </w:p>
        </w:tc>
        <w:tc>
          <w:tcPr>
            <w:tcW w:w="1671" w:type="dxa"/>
            <w:gridSpan w:val="8"/>
            <w:tcBorders>
              <w:top w:val="single" w:color="000000" w:sz="4" w:space="0"/>
              <w:left w:val="single" w:color="000000" w:sz="4" w:space="0"/>
              <w:bottom w:val="single" w:color="000000" w:sz="4" w:space="0"/>
              <w:right w:val="single" w:color="000000" w:sz="4" w:space="0"/>
            </w:tcBorders>
            <w:noWrap w:val="0"/>
            <w:vAlign w:val="center"/>
          </w:tcPr>
          <w:p w14:paraId="7036B7A6">
            <w:pPr>
              <w:rPr>
                <w:rFonts w:hint="eastAsia"/>
                <w:b w:val="0"/>
                <w:bCs/>
                <w:color w:val="auto"/>
                <w:sz w:val="22"/>
                <w:szCs w:val="21"/>
              </w:rPr>
            </w:pPr>
            <w:r>
              <w:rPr>
                <w:rFonts w:hint="eastAsia"/>
                <w:b w:val="0"/>
                <w:bCs/>
                <w:color w:val="auto"/>
                <w:sz w:val="22"/>
                <w:szCs w:val="21"/>
                <w:lang w:val="en-US" w:eastAsia="zh-CN"/>
              </w:rPr>
              <w:t>卷</w:t>
            </w:r>
          </w:p>
        </w:tc>
      </w:tr>
      <w:tr w14:paraId="00A15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114B96B8">
            <w:pPr>
              <w:rPr>
                <w:rFonts w:hint="eastAsia"/>
                <w:b w:val="0"/>
                <w:bCs/>
                <w:color w:val="auto"/>
                <w:sz w:val="22"/>
                <w:szCs w:val="21"/>
              </w:rPr>
            </w:pPr>
            <w:r>
              <w:rPr>
                <w:rFonts w:hint="eastAsia"/>
                <w:b w:val="0"/>
                <w:bCs/>
                <w:color w:val="auto"/>
                <w:sz w:val="22"/>
                <w:szCs w:val="21"/>
                <w:lang w:val="en-US" w:eastAsia="zh-CN"/>
              </w:rPr>
              <w:t>11</w:t>
            </w:r>
          </w:p>
        </w:tc>
        <w:tc>
          <w:tcPr>
            <w:tcW w:w="1249" w:type="dxa"/>
            <w:gridSpan w:val="3"/>
            <w:tcBorders>
              <w:top w:val="single" w:color="000000" w:sz="4" w:space="0"/>
              <w:left w:val="single" w:color="000000" w:sz="4" w:space="0"/>
              <w:bottom w:val="single" w:color="000000" w:sz="4" w:space="0"/>
              <w:right w:val="single" w:color="000000" w:sz="4" w:space="0"/>
            </w:tcBorders>
            <w:noWrap w:val="0"/>
            <w:vAlign w:val="center"/>
          </w:tcPr>
          <w:p w14:paraId="49ADFF19">
            <w:pPr>
              <w:rPr>
                <w:rFonts w:hint="eastAsia"/>
                <w:b w:val="0"/>
                <w:bCs/>
                <w:color w:val="auto"/>
                <w:sz w:val="22"/>
                <w:szCs w:val="21"/>
              </w:rPr>
            </w:pPr>
            <w:r>
              <w:rPr>
                <w:rFonts w:hint="eastAsia"/>
                <w:b w:val="0"/>
                <w:bCs/>
                <w:color w:val="auto"/>
                <w:sz w:val="22"/>
                <w:szCs w:val="21"/>
                <w:lang w:val="en-US" w:eastAsia="zh-CN"/>
              </w:rPr>
              <w:t>管材</w:t>
            </w:r>
          </w:p>
        </w:tc>
        <w:tc>
          <w:tcPr>
            <w:tcW w:w="9004" w:type="dxa"/>
            <w:gridSpan w:val="10"/>
            <w:tcBorders>
              <w:top w:val="single" w:color="000000" w:sz="4" w:space="0"/>
              <w:left w:val="single" w:color="000000" w:sz="4" w:space="0"/>
              <w:bottom w:val="single" w:color="000000" w:sz="4" w:space="0"/>
              <w:right w:val="single" w:color="000000" w:sz="4" w:space="0"/>
            </w:tcBorders>
            <w:noWrap w:val="0"/>
            <w:vAlign w:val="center"/>
          </w:tcPr>
          <w:p w14:paraId="0F973578">
            <w:pPr>
              <w:rPr>
                <w:rFonts w:hint="eastAsia"/>
                <w:b w:val="0"/>
                <w:bCs/>
                <w:color w:val="auto"/>
                <w:sz w:val="22"/>
                <w:szCs w:val="21"/>
              </w:rPr>
            </w:pPr>
            <w:r>
              <w:rPr>
                <w:rFonts w:hint="eastAsia"/>
                <w:b w:val="0"/>
                <w:bCs/>
                <w:color w:val="auto"/>
                <w:sz w:val="22"/>
                <w:szCs w:val="21"/>
                <w:lang w:val="en-US" w:eastAsia="zh-CN"/>
              </w:rPr>
              <w:t>DN=25mm，厚度：2.0mm，每支钢管通常定尺长度为6000mm</w:t>
            </w:r>
          </w:p>
        </w:tc>
        <w:tc>
          <w:tcPr>
            <w:tcW w:w="797" w:type="dxa"/>
            <w:gridSpan w:val="5"/>
            <w:tcBorders>
              <w:top w:val="single" w:color="000000" w:sz="4" w:space="0"/>
              <w:left w:val="single" w:color="000000" w:sz="4" w:space="0"/>
              <w:bottom w:val="single" w:color="000000" w:sz="4" w:space="0"/>
              <w:right w:val="single" w:color="000000" w:sz="4" w:space="0"/>
            </w:tcBorders>
            <w:noWrap w:val="0"/>
            <w:vAlign w:val="center"/>
          </w:tcPr>
          <w:p w14:paraId="324BD036">
            <w:pPr>
              <w:rPr>
                <w:rFonts w:hint="eastAsia"/>
                <w:b w:val="0"/>
                <w:bCs/>
                <w:color w:val="auto"/>
                <w:sz w:val="22"/>
                <w:szCs w:val="21"/>
              </w:rPr>
            </w:pPr>
            <w:r>
              <w:rPr>
                <w:rFonts w:hint="eastAsia"/>
                <w:b w:val="0"/>
                <w:bCs/>
                <w:color w:val="auto"/>
                <w:sz w:val="22"/>
                <w:szCs w:val="21"/>
                <w:lang w:val="en-US" w:eastAsia="zh-CN"/>
              </w:rPr>
              <w:t>1</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5EAB5BB3">
            <w:pPr>
              <w:rPr>
                <w:rFonts w:hint="eastAsia"/>
                <w:b w:val="0"/>
                <w:bCs/>
                <w:color w:val="auto"/>
                <w:sz w:val="22"/>
                <w:szCs w:val="21"/>
              </w:rPr>
            </w:pPr>
            <w:r>
              <w:rPr>
                <w:rFonts w:hint="eastAsia"/>
                <w:b w:val="0"/>
                <w:bCs/>
                <w:color w:val="auto"/>
                <w:sz w:val="22"/>
                <w:szCs w:val="21"/>
                <w:lang w:val="en-US" w:eastAsia="zh-CN"/>
              </w:rPr>
              <w:t>批</w:t>
            </w:r>
          </w:p>
        </w:tc>
      </w:tr>
      <w:tr w14:paraId="560ED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4"/>
          <w:wAfter w:w="4254" w:type="dxa"/>
          <w:trHeight w:val="640" w:hRule="atLeast"/>
        </w:trPr>
        <w:tc>
          <w:tcPr>
            <w:tcW w:w="8511" w:type="dxa"/>
            <w:gridSpan w:val="12"/>
            <w:tcBorders>
              <w:top w:val="single" w:color="000000" w:sz="4" w:space="0"/>
              <w:left w:val="single" w:color="000000" w:sz="4" w:space="0"/>
              <w:bottom w:val="single" w:color="000000" w:sz="4" w:space="0"/>
              <w:right w:val="nil"/>
            </w:tcBorders>
            <w:noWrap w:val="0"/>
            <w:vAlign w:val="center"/>
          </w:tcPr>
          <w:p w14:paraId="1AE8AF94">
            <w:pPr>
              <w:rPr>
                <w:rFonts w:hint="eastAsia"/>
                <w:b w:val="0"/>
                <w:bCs/>
                <w:color w:val="auto"/>
                <w:sz w:val="22"/>
                <w:szCs w:val="21"/>
                <w:lang w:val="en-US" w:eastAsia="zh-CN"/>
              </w:rPr>
            </w:pPr>
          </w:p>
          <w:p w14:paraId="3284B875">
            <w:pPr>
              <w:rPr>
                <w:rFonts w:hint="eastAsia"/>
                <w:b w:val="0"/>
                <w:bCs/>
                <w:color w:val="auto"/>
                <w:sz w:val="22"/>
                <w:szCs w:val="21"/>
                <w:lang w:val="en-US" w:eastAsia="zh-CN"/>
              </w:rPr>
            </w:pPr>
          </w:p>
          <w:p w14:paraId="13FBE5F3">
            <w:pPr>
              <w:rPr>
                <w:rFonts w:hint="eastAsia"/>
                <w:b w:val="0"/>
                <w:bCs/>
                <w:color w:val="auto"/>
                <w:sz w:val="22"/>
                <w:szCs w:val="21"/>
                <w:lang w:val="en-US" w:eastAsia="zh-CN"/>
              </w:rPr>
            </w:pPr>
          </w:p>
          <w:p w14:paraId="4C95F63A">
            <w:pPr>
              <w:ind w:firstLine="2200" w:firstLineChars="1000"/>
              <w:rPr>
                <w:rFonts w:hint="eastAsia"/>
                <w:b w:val="0"/>
                <w:bCs/>
                <w:color w:val="auto"/>
                <w:sz w:val="22"/>
                <w:szCs w:val="21"/>
              </w:rPr>
            </w:pPr>
            <w:r>
              <w:rPr>
                <w:rFonts w:hint="eastAsia"/>
                <w:b w:val="0"/>
                <w:bCs/>
                <w:color w:val="auto"/>
                <w:sz w:val="22"/>
                <w:szCs w:val="21"/>
                <w:lang w:val="en-US" w:eastAsia="zh-CN"/>
              </w:rPr>
              <w:t>8阶梯教室</w:t>
            </w:r>
          </w:p>
        </w:tc>
      </w:tr>
      <w:tr w14:paraId="26281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4"/>
          <w:wAfter w:w="4254" w:type="dxa"/>
          <w:trHeight w:val="6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3DB38B8B">
            <w:pPr>
              <w:rPr>
                <w:rFonts w:hint="eastAsia"/>
                <w:b w:val="0"/>
                <w:bCs/>
                <w:color w:val="auto"/>
                <w:sz w:val="22"/>
                <w:szCs w:val="21"/>
              </w:rPr>
            </w:pPr>
            <w:r>
              <w:rPr>
                <w:rFonts w:hint="eastAsia"/>
                <w:b w:val="0"/>
                <w:bCs/>
                <w:color w:val="auto"/>
                <w:sz w:val="22"/>
                <w:szCs w:val="21"/>
                <w:lang w:val="en-US" w:eastAsia="zh-CN"/>
              </w:rPr>
              <w:t>序号</w:t>
            </w: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457ED8A2">
            <w:pPr>
              <w:rPr>
                <w:rFonts w:hint="eastAsia"/>
                <w:b w:val="0"/>
                <w:bCs/>
                <w:color w:val="auto"/>
                <w:sz w:val="22"/>
                <w:szCs w:val="21"/>
              </w:rPr>
            </w:pPr>
            <w:r>
              <w:rPr>
                <w:rFonts w:hint="eastAsia"/>
                <w:b w:val="0"/>
                <w:bCs/>
                <w:color w:val="auto"/>
                <w:sz w:val="22"/>
                <w:szCs w:val="21"/>
                <w:lang w:val="en-US" w:eastAsia="zh-CN"/>
              </w:rPr>
              <w:t>名称</w:t>
            </w:r>
          </w:p>
        </w:tc>
        <w:tc>
          <w:tcPr>
            <w:tcW w:w="5635" w:type="dxa"/>
            <w:gridSpan w:val="5"/>
            <w:tcBorders>
              <w:top w:val="single" w:color="000000" w:sz="4" w:space="0"/>
              <w:left w:val="single" w:color="000000" w:sz="4" w:space="0"/>
              <w:bottom w:val="single" w:color="000000" w:sz="4" w:space="0"/>
              <w:right w:val="single" w:color="000000" w:sz="4" w:space="0"/>
            </w:tcBorders>
            <w:noWrap w:val="0"/>
            <w:vAlign w:val="center"/>
          </w:tcPr>
          <w:p w14:paraId="302B5737">
            <w:pPr>
              <w:rPr>
                <w:rFonts w:hint="eastAsia"/>
                <w:b w:val="0"/>
                <w:bCs/>
                <w:color w:val="auto"/>
                <w:sz w:val="22"/>
                <w:szCs w:val="21"/>
              </w:rPr>
            </w:pPr>
            <w:r>
              <w:rPr>
                <w:rFonts w:hint="eastAsia"/>
                <w:b w:val="0"/>
                <w:bCs/>
                <w:color w:val="auto"/>
                <w:sz w:val="22"/>
                <w:szCs w:val="21"/>
                <w:lang w:val="en-US" w:eastAsia="zh-CN"/>
              </w:rPr>
              <w:t>功能描述&amp;技术参数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CAB8D77">
            <w:pPr>
              <w:rPr>
                <w:rFonts w:hint="eastAsia"/>
                <w:b w:val="0"/>
                <w:bCs/>
                <w:color w:val="auto"/>
                <w:sz w:val="22"/>
                <w:szCs w:val="21"/>
              </w:rPr>
            </w:pPr>
            <w:r>
              <w:rPr>
                <w:rFonts w:hint="eastAsia"/>
                <w:b w:val="0"/>
                <w:bCs/>
                <w:color w:val="auto"/>
                <w:sz w:val="22"/>
                <w:szCs w:val="21"/>
                <w:lang w:val="en-US" w:eastAsia="zh-CN"/>
              </w:rPr>
              <w:t>数量</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19C548F">
            <w:pPr>
              <w:rPr>
                <w:rFonts w:hint="eastAsia"/>
                <w:b w:val="0"/>
                <w:bCs/>
                <w:color w:val="auto"/>
                <w:sz w:val="22"/>
                <w:szCs w:val="21"/>
              </w:rPr>
            </w:pPr>
            <w:r>
              <w:rPr>
                <w:rFonts w:hint="eastAsia"/>
                <w:b w:val="0"/>
                <w:bCs/>
                <w:color w:val="auto"/>
                <w:sz w:val="22"/>
                <w:szCs w:val="21"/>
                <w:lang w:val="en-US" w:eastAsia="zh-CN"/>
              </w:rPr>
              <w:t>单位</w:t>
            </w:r>
          </w:p>
        </w:tc>
      </w:tr>
      <w:tr w14:paraId="4B156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74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14B7CC31">
            <w:pPr>
              <w:rPr>
                <w:rFonts w:hint="eastAsia"/>
                <w:b w:val="0"/>
                <w:bCs/>
                <w:color w:val="auto"/>
                <w:sz w:val="22"/>
                <w:szCs w:val="21"/>
              </w:rPr>
            </w:pPr>
            <w:r>
              <w:rPr>
                <w:rFonts w:hint="eastAsia"/>
                <w:b w:val="0"/>
                <w:bCs/>
                <w:color w:val="auto"/>
                <w:sz w:val="22"/>
                <w:szCs w:val="21"/>
                <w:lang w:val="en-US" w:eastAsia="zh-CN"/>
              </w:rPr>
              <w:t>2</w:t>
            </w: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434B5352">
            <w:pPr>
              <w:rPr>
                <w:rFonts w:hint="eastAsia"/>
                <w:b w:val="0"/>
                <w:bCs/>
                <w:color w:val="auto"/>
                <w:sz w:val="22"/>
                <w:szCs w:val="21"/>
              </w:rPr>
            </w:pPr>
            <w:r>
              <w:rPr>
                <w:rFonts w:hint="eastAsia"/>
                <w:b w:val="0"/>
                <w:bCs/>
                <w:color w:val="auto"/>
                <w:sz w:val="22"/>
                <w:szCs w:val="21"/>
                <w:lang w:val="en-US" w:eastAsia="zh-CN"/>
              </w:rPr>
              <w:t>带前置写字板桌椅</w:t>
            </w:r>
          </w:p>
        </w:tc>
        <w:tc>
          <w:tcPr>
            <w:tcW w:w="9139" w:type="dxa"/>
            <w:gridSpan w:val="10"/>
            <w:tcBorders>
              <w:top w:val="single" w:color="000000" w:sz="4" w:space="0"/>
              <w:left w:val="single" w:color="000000" w:sz="4" w:space="0"/>
              <w:bottom w:val="single" w:color="000000" w:sz="4" w:space="0"/>
              <w:right w:val="single" w:color="000000" w:sz="4" w:space="0"/>
            </w:tcBorders>
            <w:noWrap w:val="0"/>
            <w:vAlign w:val="center"/>
          </w:tcPr>
          <w:p w14:paraId="571A8BF8">
            <w:pPr>
              <w:rPr>
                <w:rFonts w:hint="eastAsia"/>
                <w:b w:val="0"/>
                <w:bCs/>
                <w:color w:val="auto"/>
                <w:sz w:val="22"/>
                <w:szCs w:val="21"/>
              </w:rPr>
            </w:pPr>
            <w:r>
              <w:rPr>
                <w:rFonts w:hint="eastAsia"/>
                <w:b w:val="0"/>
                <w:bCs/>
                <w:color w:val="auto"/>
                <w:sz w:val="22"/>
                <w:szCs w:val="21"/>
                <w:lang w:val="en-US" w:eastAsia="zh-CN"/>
              </w:rPr>
              <w:t>中心距：580mm，总高：1020mm，总深：540mm，打开写字板：820mm，打开坐包：730mm，坐深：460mm</w:t>
            </w:r>
            <w:r>
              <w:rPr>
                <w:rFonts w:hint="eastAsia"/>
                <w:b w:val="0"/>
                <w:bCs/>
                <w:color w:val="auto"/>
                <w:sz w:val="22"/>
                <w:szCs w:val="21"/>
                <w:lang w:val="en-US" w:eastAsia="zh-CN"/>
              </w:rPr>
              <w:br w:type="textWrapping"/>
            </w:r>
            <w:r>
              <w:rPr>
                <w:rFonts w:hint="eastAsia"/>
                <w:b w:val="0"/>
                <w:bCs/>
                <w:color w:val="auto"/>
                <w:sz w:val="22"/>
                <w:szCs w:val="21"/>
                <w:lang w:val="en-US" w:eastAsia="zh-CN"/>
              </w:rPr>
              <w:t>1、背海棉：采用高密度冷发泡PU定型海棉。背海棉长度为720mm，宽度为460mm，头顶厚度为100mm，海棉密度为50KG/M3。</w:t>
            </w:r>
            <w:r>
              <w:rPr>
                <w:rFonts w:hint="eastAsia"/>
                <w:b w:val="0"/>
                <w:bCs/>
                <w:color w:val="auto"/>
                <w:sz w:val="22"/>
                <w:szCs w:val="21"/>
                <w:lang w:val="en-US" w:eastAsia="zh-CN"/>
              </w:rPr>
              <w:br w:type="textWrapping"/>
            </w:r>
            <w:r>
              <w:rPr>
                <w:rFonts w:hint="eastAsia"/>
                <w:b w:val="0"/>
                <w:bCs/>
                <w:color w:val="auto"/>
                <w:sz w:val="22"/>
                <w:szCs w:val="21"/>
                <w:lang w:val="en-US" w:eastAsia="zh-CN"/>
              </w:rPr>
              <w:t>2、座海棉：采用高密度冷发泡PU定型海棉。座海棉长度为510mm，宽度为460mm，厚度为140mm，海棉密度为55KG/M3。</w:t>
            </w:r>
            <w:r>
              <w:rPr>
                <w:rFonts w:hint="eastAsia"/>
                <w:b w:val="0"/>
                <w:bCs/>
                <w:color w:val="auto"/>
                <w:sz w:val="22"/>
                <w:szCs w:val="21"/>
                <w:lang w:val="en-US" w:eastAsia="zh-CN"/>
              </w:rPr>
              <w:br w:type="textWrapping"/>
            </w:r>
            <w:r>
              <w:rPr>
                <w:rFonts w:hint="eastAsia"/>
                <w:b w:val="0"/>
                <w:bCs/>
                <w:color w:val="auto"/>
                <w:sz w:val="22"/>
                <w:szCs w:val="21"/>
                <w:lang w:val="en-US" w:eastAsia="zh-CN"/>
              </w:rPr>
              <w:t>3、背内板：采用优质夹板经模具压弯成型。外型成弧型，美观大方，具有曲线美。尺寸规格：长度为690 mm，宽度为425mm，厚度为10mm。</w:t>
            </w:r>
            <w:r>
              <w:rPr>
                <w:rFonts w:hint="eastAsia"/>
                <w:b w:val="0"/>
                <w:bCs/>
                <w:color w:val="auto"/>
                <w:sz w:val="22"/>
                <w:szCs w:val="21"/>
                <w:lang w:val="en-US" w:eastAsia="zh-CN"/>
              </w:rPr>
              <w:br w:type="textWrapping"/>
            </w:r>
            <w:r>
              <w:rPr>
                <w:rFonts w:hint="eastAsia"/>
                <w:b w:val="0"/>
                <w:bCs/>
                <w:color w:val="auto"/>
                <w:sz w:val="22"/>
                <w:szCs w:val="21"/>
                <w:lang w:val="en-US" w:eastAsia="zh-CN"/>
              </w:rPr>
              <w:t>4、背外板：背板材料塑胶板，经高周波，高压制成，承托力强，耐冲击，抗变形，尺寸规格：长度为765 mm，宽度为500 mm，厚度为15mm。</w:t>
            </w:r>
            <w:r>
              <w:rPr>
                <w:rFonts w:hint="eastAsia"/>
                <w:b w:val="0"/>
                <w:bCs/>
                <w:color w:val="auto"/>
                <w:sz w:val="22"/>
                <w:szCs w:val="21"/>
                <w:lang w:val="en-US" w:eastAsia="zh-CN"/>
              </w:rPr>
              <w:br w:type="textWrapping"/>
            </w:r>
            <w:r>
              <w:rPr>
                <w:rFonts w:hint="eastAsia"/>
                <w:b w:val="0"/>
                <w:bCs/>
                <w:color w:val="auto"/>
                <w:sz w:val="22"/>
                <w:szCs w:val="21"/>
                <w:lang w:val="en-US" w:eastAsia="zh-CN"/>
              </w:rPr>
              <w:t>5. 扶手面选用榉木或橡木一体成型，鸭嘴型设计，联排时不影响扶手面打开，设计感舒适，另有环保油漆，能正常使用写字板功能，方便使用者，长度为415mm，宽度为80mm,厚度为25mm。写字板圆铁写字板支架，板面摒弃了市场上常用的铝合金支架易断,这种圆铁写字板支架承重力55KG。经久耐用。写字板可收藏至扶手框内，使用时收拿方便，合理利用空间，金属支撑架，收放自如，灵活方便。</w:t>
            </w:r>
            <w:r>
              <w:rPr>
                <w:rFonts w:hint="eastAsia"/>
                <w:b w:val="0"/>
                <w:bCs/>
                <w:color w:val="auto"/>
                <w:sz w:val="22"/>
                <w:szCs w:val="21"/>
                <w:lang w:val="en-US" w:eastAsia="zh-CN"/>
              </w:rPr>
              <w:br w:type="textWrapping"/>
            </w:r>
            <w:r>
              <w:rPr>
                <w:rFonts w:hint="eastAsia"/>
                <w:b w:val="0"/>
                <w:bCs/>
                <w:color w:val="auto"/>
                <w:sz w:val="22"/>
                <w:szCs w:val="21"/>
                <w:lang w:val="en-US" w:eastAsia="zh-CN"/>
              </w:rPr>
              <w:t>6. 扶手脚采用不小于1.5mm钢板拉伸成型，底脚与地面用膨胀螺丝紧固。装配平整、牢靠、稳定。</w:t>
            </w:r>
            <w:r>
              <w:rPr>
                <w:rFonts w:hint="eastAsia"/>
                <w:b w:val="0"/>
                <w:bCs/>
                <w:color w:val="auto"/>
                <w:sz w:val="22"/>
                <w:szCs w:val="21"/>
                <w:lang w:val="en-US" w:eastAsia="zh-CN"/>
              </w:rPr>
              <w:br w:type="textWrapping"/>
            </w:r>
            <w:r>
              <w:rPr>
                <w:rFonts w:hint="eastAsia"/>
                <w:b w:val="0"/>
                <w:bCs/>
                <w:color w:val="auto"/>
                <w:sz w:val="22"/>
                <w:szCs w:val="21"/>
                <w:lang w:val="en-US" w:eastAsia="zh-CN"/>
              </w:rPr>
              <w:t>7. 座位采用内藏阻尼器慢自动回复装置，使椅座能自动复位。内置加厚框，平均厚度不低于1.5，内置加大力度拉簧，屏蔽了市场上传统的弹簧，力度更大，更加经久耐用。无杂音，零故障。</w:t>
            </w:r>
            <w:r>
              <w:rPr>
                <w:rFonts w:hint="eastAsia"/>
                <w:b w:val="0"/>
                <w:bCs/>
                <w:color w:val="auto"/>
                <w:sz w:val="22"/>
                <w:szCs w:val="21"/>
                <w:lang w:val="en-US" w:eastAsia="zh-CN"/>
              </w:rPr>
              <w:br w:type="textWrapping"/>
            </w:r>
            <w:r>
              <w:rPr>
                <w:rFonts w:hint="eastAsia"/>
                <w:b w:val="0"/>
                <w:bCs/>
                <w:color w:val="auto"/>
                <w:sz w:val="22"/>
                <w:szCs w:val="21"/>
                <w:lang w:val="en-US" w:eastAsia="zh-CN"/>
              </w:rPr>
              <w:t>8. 按照国家有关标准生产，各种钢制骨架表面经酸洗除锈，碱洗除油，磷化烘干等工艺，采用静电粉末喷涂（哑光黑或灰色）；铁架壁厚均为不小于1.5mm，底脚全部焊接口平直、牢固、无焊疵，焊接处打磨平整，各构件平直，横竖条搭接垂直，插口吻合，装配平整、牢靠、稳定。</w:t>
            </w:r>
          </w:p>
        </w:tc>
        <w:tc>
          <w:tcPr>
            <w:tcW w:w="1030" w:type="dxa"/>
            <w:gridSpan w:val="6"/>
            <w:tcBorders>
              <w:top w:val="single" w:color="000000" w:sz="4" w:space="0"/>
              <w:left w:val="single" w:color="000000" w:sz="4" w:space="0"/>
              <w:bottom w:val="single" w:color="000000" w:sz="4" w:space="0"/>
              <w:right w:val="single" w:color="000000" w:sz="4" w:space="0"/>
            </w:tcBorders>
            <w:noWrap w:val="0"/>
            <w:vAlign w:val="center"/>
          </w:tcPr>
          <w:p w14:paraId="1DF5034F">
            <w:pPr>
              <w:rPr>
                <w:rFonts w:hint="eastAsia"/>
                <w:b w:val="0"/>
                <w:bCs/>
                <w:color w:val="auto"/>
                <w:sz w:val="22"/>
                <w:szCs w:val="21"/>
              </w:rPr>
            </w:pPr>
            <w:r>
              <w:rPr>
                <w:rFonts w:hint="eastAsia"/>
                <w:b w:val="0"/>
                <w:bCs/>
                <w:color w:val="auto"/>
                <w:sz w:val="22"/>
                <w:szCs w:val="21"/>
                <w:lang w:val="en-US" w:eastAsia="zh-CN"/>
              </w:rPr>
              <w:t>400</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21BFCAC0">
            <w:pPr>
              <w:rPr>
                <w:rFonts w:hint="eastAsia"/>
                <w:b w:val="0"/>
                <w:bCs/>
                <w:color w:val="auto"/>
                <w:sz w:val="22"/>
                <w:szCs w:val="21"/>
              </w:rPr>
            </w:pPr>
            <w:r>
              <w:rPr>
                <w:rFonts w:hint="eastAsia"/>
                <w:b w:val="0"/>
                <w:bCs/>
                <w:color w:val="auto"/>
                <w:sz w:val="22"/>
                <w:szCs w:val="21"/>
                <w:lang w:val="en-US" w:eastAsia="zh-CN"/>
              </w:rPr>
              <w:t>个</w:t>
            </w:r>
          </w:p>
        </w:tc>
      </w:tr>
      <w:tr w14:paraId="3CCF8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74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0C81308D">
            <w:pPr>
              <w:rPr>
                <w:rFonts w:hint="eastAsia"/>
                <w:b w:val="0"/>
                <w:bCs/>
                <w:color w:val="auto"/>
                <w:sz w:val="22"/>
                <w:szCs w:val="21"/>
              </w:rPr>
            </w:pPr>
            <w:r>
              <w:rPr>
                <w:rFonts w:hint="eastAsia"/>
                <w:b w:val="0"/>
                <w:bCs/>
                <w:color w:val="auto"/>
                <w:sz w:val="22"/>
                <w:szCs w:val="21"/>
                <w:lang w:val="en-US" w:eastAsia="zh-CN"/>
              </w:rPr>
              <w:t>4</w:t>
            </w: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5C670099">
            <w:pPr>
              <w:rPr>
                <w:rFonts w:hint="eastAsia"/>
                <w:b w:val="0"/>
                <w:bCs/>
                <w:color w:val="auto"/>
                <w:sz w:val="22"/>
                <w:szCs w:val="21"/>
              </w:rPr>
            </w:pPr>
            <w:r>
              <w:rPr>
                <w:rFonts w:hint="eastAsia"/>
                <w:b w:val="0"/>
                <w:bCs/>
                <w:color w:val="auto"/>
                <w:sz w:val="22"/>
                <w:szCs w:val="21"/>
                <w:lang w:val="en-US" w:eastAsia="zh-CN"/>
              </w:rPr>
              <w:t>主席台桌</w:t>
            </w:r>
          </w:p>
        </w:tc>
        <w:tc>
          <w:tcPr>
            <w:tcW w:w="9139" w:type="dxa"/>
            <w:gridSpan w:val="10"/>
            <w:tcBorders>
              <w:top w:val="single" w:color="000000" w:sz="4" w:space="0"/>
              <w:left w:val="single" w:color="000000" w:sz="4" w:space="0"/>
              <w:bottom w:val="single" w:color="000000" w:sz="4" w:space="0"/>
              <w:right w:val="single" w:color="000000" w:sz="4" w:space="0"/>
            </w:tcBorders>
            <w:noWrap w:val="0"/>
            <w:vAlign w:val="center"/>
          </w:tcPr>
          <w:p w14:paraId="32FF26E5">
            <w:pPr>
              <w:rPr>
                <w:rFonts w:hint="eastAsia"/>
                <w:b w:val="0"/>
                <w:bCs/>
                <w:color w:val="auto"/>
                <w:sz w:val="22"/>
                <w:szCs w:val="21"/>
              </w:rPr>
            </w:pPr>
            <w:r>
              <w:rPr>
                <w:rFonts w:hint="eastAsia"/>
                <w:b w:val="0"/>
                <w:bCs/>
                <w:color w:val="auto"/>
                <w:sz w:val="22"/>
                <w:szCs w:val="21"/>
                <w:lang w:val="en-US" w:eastAsia="zh-CN"/>
              </w:rPr>
              <w:t>1400*600*760mm； 1.面材：采用实木皮饰面，符合 GB/T 3324-2017《木家具通用技术条件》和 GB 18584-2001</w:t>
            </w:r>
            <w:r>
              <w:rPr>
                <w:rFonts w:hint="eastAsia"/>
                <w:b w:val="0"/>
                <w:bCs/>
                <w:color w:val="auto"/>
                <w:sz w:val="22"/>
                <w:szCs w:val="21"/>
                <w:lang w:val="en-US" w:eastAsia="zh-CN"/>
              </w:rPr>
              <w:br w:type="textWrapping"/>
            </w:r>
            <w:r>
              <w:rPr>
                <w:rFonts w:hint="eastAsia"/>
                <w:b w:val="0"/>
                <w:bCs/>
                <w:color w:val="auto"/>
                <w:sz w:val="22"/>
                <w:szCs w:val="21"/>
                <w:lang w:val="en-US" w:eastAsia="zh-CN"/>
              </w:rPr>
              <w:t>《室内装饰装修材料木家具中有害物质限量》标准，甲醛释放量 0.07mg/L，木材含水率 9.0%。</w:t>
            </w:r>
            <w:r>
              <w:rPr>
                <w:rFonts w:hint="eastAsia"/>
                <w:b w:val="0"/>
                <w:bCs/>
                <w:color w:val="auto"/>
                <w:sz w:val="22"/>
                <w:szCs w:val="21"/>
                <w:lang w:val="en-US" w:eastAsia="zh-CN"/>
              </w:rPr>
              <w:br w:type="textWrapping"/>
            </w:r>
            <w:r>
              <w:rPr>
                <w:rFonts w:hint="eastAsia"/>
                <w:b w:val="0"/>
                <w:bCs/>
                <w:color w:val="auto"/>
                <w:sz w:val="22"/>
                <w:szCs w:val="21"/>
                <w:lang w:val="en-US" w:eastAsia="zh-CN"/>
              </w:rPr>
              <w:t>2.基材：采用 E0 级优质中密度环保纤维板，符合 GB/T11718-2009《中密度纤维板》和</w:t>
            </w:r>
            <w:r>
              <w:rPr>
                <w:rFonts w:hint="eastAsia"/>
                <w:b w:val="0"/>
                <w:bCs/>
                <w:color w:val="auto"/>
                <w:sz w:val="22"/>
                <w:szCs w:val="21"/>
                <w:lang w:val="en-US" w:eastAsia="zh-CN"/>
              </w:rPr>
              <w:br w:type="textWrapping"/>
            </w:r>
            <w:r>
              <w:rPr>
                <w:rFonts w:hint="eastAsia"/>
                <w:b w:val="0"/>
                <w:bCs/>
                <w:color w:val="auto"/>
                <w:sz w:val="22"/>
                <w:szCs w:val="21"/>
                <w:lang w:val="en-US" w:eastAsia="zh-CN"/>
              </w:rPr>
              <w:t>GB 18580-2017《室内装饰装修材料人造板及其制品中甲醛释放量》标准，密度 0.76g/cm³，</w:t>
            </w:r>
            <w:r>
              <w:rPr>
                <w:rFonts w:hint="eastAsia"/>
                <w:b w:val="0"/>
                <w:bCs/>
                <w:color w:val="auto"/>
                <w:sz w:val="22"/>
                <w:szCs w:val="21"/>
                <w:lang w:val="en-US" w:eastAsia="zh-CN"/>
              </w:rPr>
              <w:br w:type="textWrapping"/>
            </w:r>
            <w:r>
              <w:rPr>
                <w:rFonts w:hint="eastAsia"/>
                <w:b w:val="0"/>
                <w:bCs/>
                <w:color w:val="auto"/>
                <w:sz w:val="22"/>
                <w:szCs w:val="21"/>
                <w:lang w:val="en-US" w:eastAsia="zh-CN"/>
              </w:rPr>
              <w:t>含水率 3~13%，静曲强度 37MPa，弹性模量 3320MPa，内结合强度 0.65MPa，吸水厚度膨</w:t>
            </w:r>
            <w:r>
              <w:rPr>
                <w:rFonts w:hint="eastAsia"/>
                <w:b w:val="0"/>
                <w:bCs/>
                <w:color w:val="auto"/>
                <w:sz w:val="22"/>
                <w:szCs w:val="21"/>
                <w:lang w:val="en-US" w:eastAsia="zh-CN"/>
              </w:rPr>
              <w:br w:type="textWrapping"/>
            </w:r>
            <w:r>
              <w:rPr>
                <w:rFonts w:hint="eastAsia"/>
                <w:b w:val="0"/>
                <w:bCs/>
                <w:color w:val="auto"/>
                <w:sz w:val="22"/>
                <w:szCs w:val="21"/>
                <w:lang w:val="en-US" w:eastAsia="zh-CN"/>
              </w:rPr>
              <w:t>胀率 1.8%，表面结合强度 1.08MPa，甲醛释放量 0.019mg/m³。</w:t>
            </w:r>
            <w:r>
              <w:rPr>
                <w:rFonts w:hint="eastAsia"/>
                <w:b w:val="0"/>
                <w:bCs/>
                <w:color w:val="auto"/>
                <w:sz w:val="22"/>
                <w:szCs w:val="21"/>
                <w:lang w:val="en-US" w:eastAsia="zh-CN"/>
              </w:rPr>
              <w:br w:type="textWrapping"/>
            </w:r>
            <w:r>
              <w:rPr>
                <w:rFonts w:hint="eastAsia"/>
                <w:b w:val="0"/>
                <w:bCs/>
                <w:color w:val="auto"/>
                <w:sz w:val="22"/>
                <w:szCs w:val="21"/>
                <w:lang w:val="en-US" w:eastAsia="zh-CN"/>
              </w:rPr>
              <w:t>3.油漆：符合 GB 18581-2009《室内装饰装修材料 溶剂型木器涂料中有害物质限量》挥</w:t>
            </w:r>
            <w:r>
              <w:rPr>
                <w:rFonts w:hint="eastAsia"/>
                <w:b w:val="0"/>
                <w:bCs/>
                <w:color w:val="auto"/>
                <w:sz w:val="22"/>
                <w:szCs w:val="21"/>
                <w:lang w:val="en-US" w:eastAsia="zh-CN"/>
              </w:rPr>
              <w:br w:type="textWrapping"/>
            </w:r>
            <w:r>
              <w:rPr>
                <w:rFonts w:hint="eastAsia"/>
                <w:b w:val="0"/>
                <w:bCs/>
                <w:color w:val="auto"/>
                <w:sz w:val="22"/>
                <w:szCs w:val="21"/>
                <w:lang w:val="en-US" w:eastAsia="zh-CN"/>
              </w:rPr>
              <w:t>发性有机化合物（VOC）含量 563.4g/L，苯：未检出，甲苯、二甲苯、乙苯含量总和：1.7%，</w:t>
            </w:r>
            <w:r>
              <w:rPr>
                <w:rFonts w:hint="eastAsia"/>
                <w:b w:val="0"/>
                <w:bCs/>
                <w:color w:val="auto"/>
                <w:sz w:val="22"/>
                <w:szCs w:val="21"/>
                <w:lang w:val="en-US" w:eastAsia="zh-CN"/>
              </w:rPr>
              <w:br w:type="textWrapping"/>
            </w:r>
            <w:r>
              <w:rPr>
                <w:rFonts w:hint="eastAsia"/>
                <w:b w:val="0"/>
                <w:bCs/>
                <w:color w:val="auto"/>
                <w:sz w:val="22"/>
                <w:szCs w:val="21"/>
                <w:lang w:val="en-US" w:eastAsia="zh-CN"/>
              </w:rPr>
              <w:t>游离二异氰酸酯含量总和：未检出，卤代烃含量：未检出，可溶性重金属含量：铅：1.6mg/kg，</w:t>
            </w:r>
            <w:r>
              <w:rPr>
                <w:rFonts w:hint="eastAsia"/>
                <w:b w:val="0"/>
                <w:bCs/>
                <w:color w:val="auto"/>
                <w:sz w:val="22"/>
                <w:szCs w:val="21"/>
                <w:lang w:val="en-US" w:eastAsia="zh-CN"/>
              </w:rPr>
              <w:br w:type="textWrapping"/>
            </w:r>
            <w:r>
              <w:rPr>
                <w:rFonts w:hint="eastAsia"/>
                <w:b w:val="0"/>
                <w:bCs/>
                <w:color w:val="auto"/>
                <w:sz w:val="22"/>
                <w:szCs w:val="21"/>
                <w:lang w:val="en-US" w:eastAsia="zh-CN"/>
              </w:rPr>
              <w:t>镉：未检出 铬：0.04mg/kg，汞：0.0006mg/kg</w:t>
            </w:r>
            <w:r>
              <w:rPr>
                <w:rFonts w:hint="eastAsia"/>
                <w:b w:val="0"/>
                <w:bCs/>
                <w:color w:val="auto"/>
                <w:sz w:val="22"/>
                <w:szCs w:val="21"/>
                <w:lang w:val="en-US" w:eastAsia="zh-CN"/>
              </w:rPr>
              <w:br w:type="textWrapping"/>
            </w:r>
            <w:r>
              <w:rPr>
                <w:rFonts w:hint="eastAsia"/>
                <w:b w:val="0"/>
                <w:bCs/>
                <w:color w:val="auto"/>
                <w:sz w:val="22"/>
                <w:szCs w:val="21"/>
                <w:lang w:val="en-US" w:eastAsia="zh-CN"/>
              </w:rPr>
              <w:t>4.五金配件：采用优质五金配件；符合 QB/T 3832-1999(2009)《轻工产品金属镀层腐蚀试</w:t>
            </w:r>
            <w:r>
              <w:rPr>
                <w:rFonts w:hint="eastAsia"/>
                <w:b w:val="0"/>
                <w:bCs/>
                <w:color w:val="auto"/>
                <w:sz w:val="22"/>
                <w:szCs w:val="21"/>
                <w:lang w:val="en-US" w:eastAsia="zh-CN"/>
              </w:rPr>
              <w:br w:type="textWrapping"/>
            </w:r>
            <w:r>
              <w:rPr>
                <w:rFonts w:hint="eastAsia"/>
                <w:b w:val="0"/>
                <w:bCs/>
                <w:color w:val="auto"/>
                <w:sz w:val="22"/>
                <w:szCs w:val="21"/>
                <w:lang w:val="en-US" w:eastAsia="zh-CN"/>
              </w:rPr>
              <w:t>验结果的评价》标准，150h 乙酸盐雾试验：耐蚀等级达到 10 级。</w:t>
            </w:r>
            <w:r>
              <w:rPr>
                <w:rFonts w:hint="eastAsia"/>
                <w:b w:val="0"/>
                <w:bCs/>
                <w:color w:val="auto"/>
                <w:sz w:val="22"/>
                <w:szCs w:val="21"/>
                <w:lang w:val="en-US" w:eastAsia="zh-CN"/>
              </w:rPr>
              <w:br w:type="textWrapping"/>
            </w:r>
            <w:r>
              <w:rPr>
                <w:rFonts w:hint="eastAsia"/>
                <w:b w:val="0"/>
                <w:bCs/>
                <w:color w:val="auto"/>
                <w:sz w:val="22"/>
                <w:szCs w:val="21"/>
                <w:lang w:val="en-US" w:eastAsia="zh-CN"/>
              </w:rPr>
              <w:t>5.胶粘剂：白乳胶符合 GB 18583-2008《室内装饰装修材料胶粘剂中有害物质限量》标准，</w:t>
            </w:r>
            <w:r>
              <w:rPr>
                <w:rFonts w:hint="eastAsia"/>
                <w:b w:val="0"/>
                <w:bCs/>
                <w:color w:val="auto"/>
                <w:sz w:val="22"/>
                <w:szCs w:val="21"/>
                <w:lang w:val="en-US" w:eastAsia="zh-CN"/>
              </w:rPr>
              <w:br w:type="textWrapping"/>
            </w:r>
            <w:r>
              <w:rPr>
                <w:rFonts w:hint="eastAsia"/>
                <w:b w:val="0"/>
                <w:bCs/>
                <w:color w:val="auto"/>
                <w:sz w:val="22"/>
                <w:szCs w:val="21"/>
                <w:lang w:val="en-US" w:eastAsia="zh-CN"/>
              </w:rPr>
              <w:t>总挥发性有机物 47.2g/L，苯未检出，甲苯和二甲苯总和未检出，游离甲醛 0.07g/kg。</w:t>
            </w:r>
          </w:p>
        </w:tc>
        <w:tc>
          <w:tcPr>
            <w:tcW w:w="1030" w:type="dxa"/>
            <w:gridSpan w:val="6"/>
            <w:tcBorders>
              <w:top w:val="single" w:color="000000" w:sz="4" w:space="0"/>
              <w:left w:val="single" w:color="000000" w:sz="4" w:space="0"/>
              <w:bottom w:val="single" w:color="000000" w:sz="4" w:space="0"/>
              <w:right w:val="single" w:color="000000" w:sz="4" w:space="0"/>
            </w:tcBorders>
            <w:noWrap w:val="0"/>
            <w:vAlign w:val="center"/>
          </w:tcPr>
          <w:p w14:paraId="672518BE">
            <w:pPr>
              <w:rPr>
                <w:rFonts w:hint="eastAsia"/>
                <w:b w:val="0"/>
                <w:bCs/>
                <w:color w:val="auto"/>
                <w:sz w:val="22"/>
                <w:szCs w:val="21"/>
              </w:rPr>
            </w:pPr>
            <w:r>
              <w:rPr>
                <w:rFonts w:hint="eastAsia"/>
                <w:b w:val="0"/>
                <w:bCs/>
                <w:color w:val="auto"/>
                <w:sz w:val="22"/>
                <w:szCs w:val="21"/>
                <w:lang w:val="en-US" w:eastAsia="zh-CN"/>
              </w:rPr>
              <w:t>8</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01E5345E">
            <w:pPr>
              <w:rPr>
                <w:rFonts w:hint="eastAsia"/>
                <w:b w:val="0"/>
                <w:bCs/>
                <w:color w:val="auto"/>
                <w:sz w:val="22"/>
                <w:szCs w:val="21"/>
              </w:rPr>
            </w:pPr>
            <w:r>
              <w:rPr>
                <w:rFonts w:hint="eastAsia"/>
                <w:b w:val="0"/>
                <w:bCs/>
                <w:color w:val="auto"/>
                <w:sz w:val="22"/>
                <w:szCs w:val="21"/>
                <w:lang w:val="en-US" w:eastAsia="zh-CN"/>
              </w:rPr>
              <w:t>套</w:t>
            </w:r>
          </w:p>
        </w:tc>
      </w:tr>
      <w:tr w14:paraId="60AED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74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0340F564">
            <w:pPr>
              <w:rPr>
                <w:rFonts w:hint="eastAsia"/>
                <w:b w:val="0"/>
                <w:bCs/>
                <w:color w:val="auto"/>
                <w:sz w:val="22"/>
                <w:szCs w:val="21"/>
              </w:rPr>
            </w:pPr>
            <w:r>
              <w:rPr>
                <w:rFonts w:hint="eastAsia"/>
                <w:b w:val="0"/>
                <w:bCs/>
                <w:color w:val="auto"/>
                <w:sz w:val="22"/>
                <w:szCs w:val="21"/>
                <w:lang w:val="en-US" w:eastAsia="zh-CN"/>
              </w:rPr>
              <w:t>5</w:t>
            </w: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219E6D52">
            <w:pPr>
              <w:rPr>
                <w:rFonts w:hint="eastAsia"/>
                <w:b w:val="0"/>
                <w:bCs/>
                <w:color w:val="auto"/>
                <w:sz w:val="22"/>
                <w:szCs w:val="21"/>
              </w:rPr>
            </w:pPr>
            <w:r>
              <w:rPr>
                <w:rFonts w:hint="eastAsia"/>
                <w:b w:val="0"/>
                <w:bCs/>
                <w:color w:val="auto"/>
                <w:sz w:val="22"/>
                <w:szCs w:val="21"/>
                <w:lang w:val="en-US" w:eastAsia="zh-CN"/>
              </w:rPr>
              <w:t>主席台椅</w:t>
            </w:r>
          </w:p>
        </w:tc>
        <w:tc>
          <w:tcPr>
            <w:tcW w:w="9139" w:type="dxa"/>
            <w:gridSpan w:val="10"/>
            <w:tcBorders>
              <w:top w:val="single" w:color="000000" w:sz="4" w:space="0"/>
              <w:left w:val="single" w:color="000000" w:sz="4" w:space="0"/>
              <w:bottom w:val="single" w:color="000000" w:sz="4" w:space="0"/>
              <w:right w:val="single" w:color="000000" w:sz="4" w:space="0"/>
            </w:tcBorders>
            <w:noWrap w:val="0"/>
            <w:vAlign w:val="center"/>
          </w:tcPr>
          <w:p w14:paraId="3FDFD5BA">
            <w:pPr>
              <w:rPr>
                <w:rFonts w:hint="eastAsia"/>
                <w:b w:val="0"/>
                <w:bCs/>
                <w:color w:val="auto"/>
                <w:sz w:val="22"/>
                <w:szCs w:val="21"/>
              </w:rPr>
            </w:pPr>
            <w:r>
              <w:rPr>
                <w:rFonts w:hint="eastAsia"/>
                <w:b w:val="0"/>
                <w:bCs/>
                <w:color w:val="auto"/>
                <w:sz w:val="22"/>
                <w:szCs w:val="21"/>
                <w:lang w:val="en-US" w:eastAsia="zh-CN"/>
              </w:rPr>
              <w:t>常规；四平八稳,椅身、座板、框架均为棕红色橡木，椅面采用优质西皮，高密度PU气泡海绵。</w:t>
            </w:r>
          </w:p>
        </w:tc>
        <w:tc>
          <w:tcPr>
            <w:tcW w:w="1030" w:type="dxa"/>
            <w:gridSpan w:val="6"/>
            <w:tcBorders>
              <w:top w:val="single" w:color="000000" w:sz="4" w:space="0"/>
              <w:left w:val="single" w:color="000000" w:sz="4" w:space="0"/>
              <w:bottom w:val="single" w:color="000000" w:sz="4" w:space="0"/>
              <w:right w:val="single" w:color="000000" w:sz="4" w:space="0"/>
            </w:tcBorders>
            <w:noWrap/>
            <w:vAlign w:val="center"/>
          </w:tcPr>
          <w:p w14:paraId="5B410D36">
            <w:pPr>
              <w:rPr>
                <w:rFonts w:hint="eastAsia"/>
                <w:b w:val="0"/>
                <w:bCs/>
                <w:color w:val="auto"/>
                <w:sz w:val="22"/>
                <w:szCs w:val="21"/>
              </w:rPr>
            </w:pPr>
            <w:r>
              <w:rPr>
                <w:rFonts w:hint="eastAsia"/>
                <w:b w:val="0"/>
                <w:bCs/>
                <w:color w:val="auto"/>
                <w:sz w:val="22"/>
                <w:szCs w:val="21"/>
                <w:lang w:val="en-US" w:eastAsia="zh-CN"/>
              </w:rPr>
              <w:t>16</w:t>
            </w:r>
          </w:p>
        </w:tc>
        <w:tc>
          <w:tcPr>
            <w:tcW w:w="1110" w:type="dxa"/>
            <w:gridSpan w:val="4"/>
            <w:tcBorders>
              <w:top w:val="single" w:color="000000" w:sz="4" w:space="0"/>
              <w:left w:val="single" w:color="000000" w:sz="4" w:space="0"/>
              <w:bottom w:val="single" w:color="000000" w:sz="4" w:space="0"/>
              <w:right w:val="single" w:color="000000" w:sz="4" w:space="0"/>
            </w:tcBorders>
            <w:noWrap/>
            <w:vAlign w:val="center"/>
          </w:tcPr>
          <w:p w14:paraId="32B92017">
            <w:pPr>
              <w:rPr>
                <w:rFonts w:hint="eastAsia"/>
                <w:b w:val="0"/>
                <w:bCs/>
                <w:color w:val="auto"/>
                <w:sz w:val="22"/>
                <w:szCs w:val="21"/>
              </w:rPr>
            </w:pPr>
            <w:r>
              <w:rPr>
                <w:rFonts w:hint="eastAsia"/>
                <w:b w:val="0"/>
                <w:bCs/>
                <w:color w:val="auto"/>
                <w:sz w:val="22"/>
                <w:szCs w:val="21"/>
                <w:lang w:val="en-US" w:eastAsia="zh-CN"/>
              </w:rPr>
              <w:t>把</w:t>
            </w:r>
          </w:p>
        </w:tc>
      </w:tr>
      <w:tr w14:paraId="1B39F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74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041909A9">
            <w:pPr>
              <w:rPr>
                <w:rFonts w:hint="eastAsia"/>
                <w:b w:val="0"/>
                <w:bCs/>
                <w:color w:val="auto"/>
                <w:sz w:val="22"/>
                <w:szCs w:val="21"/>
              </w:rPr>
            </w:pPr>
            <w:r>
              <w:rPr>
                <w:rFonts w:hint="eastAsia"/>
                <w:b w:val="0"/>
                <w:bCs/>
                <w:color w:val="auto"/>
                <w:sz w:val="22"/>
                <w:szCs w:val="21"/>
                <w:lang w:val="en-US" w:eastAsia="zh-CN"/>
              </w:rPr>
              <w:t>6</w:t>
            </w: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09A31D6D">
            <w:pPr>
              <w:rPr>
                <w:rFonts w:hint="eastAsia"/>
                <w:b w:val="0"/>
                <w:bCs/>
                <w:color w:val="auto"/>
                <w:sz w:val="22"/>
                <w:szCs w:val="21"/>
              </w:rPr>
            </w:pPr>
            <w:r>
              <w:rPr>
                <w:rFonts w:hint="eastAsia"/>
                <w:b w:val="0"/>
                <w:bCs/>
                <w:color w:val="auto"/>
                <w:sz w:val="22"/>
                <w:szCs w:val="21"/>
                <w:lang w:val="en-US" w:eastAsia="zh-CN"/>
              </w:rPr>
              <w:t>茶吧机</w:t>
            </w:r>
          </w:p>
        </w:tc>
        <w:tc>
          <w:tcPr>
            <w:tcW w:w="9139" w:type="dxa"/>
            <w:gridSpan w:val="10"/>
            <w:tcBorders>
              <w:top w:val="single" w:color="000000" w:sz="4" w:space="0"/>
              <w:left w:val="single" w:color="000000" w:sz="4" w:space="0"/>
              <w:bottom w:val="single" w:color="000000" w:sz="4" w:space="0"/>
              <w:right w:val="single" w:color="000000" w:sz="4" w:space="0"/>
            </w:tcBorders>
            <w:noWrap w:val="0"/>
            <w:vAlign w:val="center"/>
          </w:tcPr>
          <w:p w14:paraId="5C8158E4">
            <w:pPr>
              <w:rPr>
                <w:rFonts w:hint="eastAsia"/>
                <w:b w:val="0"/>
                <w:bCs/>
                <w:color w:val="auto"/>
                <w:sz w:val="22"/>
                <w:szCs w:val="21"/>
              </w:rPr>
            </w:pPr>
            <w:r>
              <w:rPr>
                <w:rFonts w:hint="eastAsia"/>
                <w:b w:val="0"/>
                <w:bCs/>
                <w:color w:val="auto"/>
                <w:sz w:val="22"/>
                <w:szCs w:val="21"/>
                <w:lang w:val="en-US" w:eastAsia="zh-CN"/>
              </w:rPr>
              <w:t xml:space="preserve">颜色 奶白咖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产品型号 YCR-2366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额定功率(W) 1350 </w:t>
            </w:r>
            <w:r>
              <w:rPr>
                <w:rFonts w:hint="eastAsia"/>
                <w:b w:val="0"/>
                <w:bCs/>
                <w:color w:val="auto"/>
                <w:sz w:val="22"/>
                <w:szCs w:val="21"/>
                <w:lang w:val="en-US" w:eastAsia="zh-CN"/>
              </w:rPr>
              <w:br w:type="textWrapping"/>
            </w:r>
            <w:r>
              <w:rPr>
                <w:rFonts w:hint="eastAsia"/>
                <w:b w:val="0"/>
                <w:bCs/>
                <w:color w:val="auto"/>
                <w:sz w:val="22"/>
                <w:szCs w:val="21"/>
                <w:lang w:val="en-US" w:eastAsia="zh-CN"/>
              </w:rPr>
              <w:t>包装信息</w:t>
            </w:r>
            <w:r>
              <w:rPr>
                <w:rFonts w:hint="eastAsia"/>
                <w:b w:val="0"/>
                <w:bCs/>
                <w:color w:val="auto"/>
                <w:sz w:val="22"/>
                <w:szCs w:val="21"/>
                <w:lang w:val="en-US" w:eastAsia="zh-CN"/>
              </w:rPr>
              <w:br w:type="textWrapping"/>
            </w:r>
            <w:r>
              <w:rPr>
                <w:rFonts w:hint="eastAsia"/>
                <w:b w:val="0"/>
                <w:bCs/>
                <w:color w:val="auto"/>
                <w:sz w:val="22"/>
                <w:szCs w:val="21"/>
                <w:lang w:val="en-US" w:eastAsia="zh-CN"/>
              </w:rPr>
              <w:t>饮水机</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产品尺寸(mm): 长320x宽332x高1016产品净重(kg): 8.2 </w:t>
            </w:r>
            <w:r>
              <w:rPr>
                <w:rFonts w:hint="eastAsia"/>
                <w:b w:val="0"/>
                <w:bCs/>
                <w:color w:val="auto"/>
                <w:sz w:val="22"/>
                <w:szCs w:val="21"/>
                <w:lang w:val="en-US" w:eastAsia="zh-CN"/>
              </w:rPr>
              <w:br w:type="textWrapping"/>
            </w:r>
            <w:r>
              <w:rPr>
                <w:rFonts w:hint="eastAsia"/>
                <w:b w:val="0"/>
                <w:bCs/>
                <w:color w:val="auto"/>
                <w:sz w:val="22"/>
                <w:szCs w:val="21"/>
                <w:lang w:val="en-US" w:eastAsia="zh-CN"/>
              </w:rPr>
              <w:t>包装尺寸(mm): 长415x宽399x高816包装重量(kg): 9.85</w:t>
            </w:r>
            <w:r>
              <w:rPr>
                <w:rFonts w:hint="eastAsia"/>
                <w:b w:val="0"/>
                <w:bCs/>
                <w:color w:val="auto"/>
                <w:sz w:val="22"/>
                <w:szCs w:val="21"/>
                <w:lang w:val="en-US" w:eastAsia="zh-CN"/>
              </w:rPr>
              <w:br w:type="textWrapping"/>
            </w:r>
            <w:r>
              <w:rPr>
                <w:rFonts w:hint="eastAsia"/>
                <w:b w:val="0"/>
                <w:bCs/>
                <w:color w:val="auto"/>
                <w:sz w:val="22"/>
                <w:szCs w:val="21"/>
                <w:lang w:val="en-US" w:eastAsia="zh-CN"/>
              </w:rPr>
              <w:t>1.高原模式</w:t>
            </w:r>
            <w:r>
              <w:rPr>
                <w:rFonts w:hint="eastAsia"/>
                <w:b w:val="0"/>
                <w:bCs/>
                <w:color w:val="auto"/>
                <w:sz w:val="22"/>
                <w:szCs w:val="21"/>
                <w:lang w:val="en-US" w:eastAsia="zh-CN"/>
              </w:rPr>
              <w:br w:type="textWrapping"/>
            </w:r>
            <w:r>
              <w:rPr>
                <w:rFonts w:hint="eastAsia"/>
                <w:b w:val="0"/>
                <w:bCs/>
                <w:color w:val="auto"/>
                <w:sz w:val="22"/>
                <w:szCs w:val="21"/>
                <w:lang w:val="en-US" w:eastAsia="zh-CN"/>
              </w:rPr>
              <w:t>2.五档调温</w:t>
            </w:r>
            <w:r>
              <w:rPr>
                <w:rFonts w:hint="eastAsia"/>
                <w:b w:val="0"/>
                <w:bCs/>
                <w:color w:val="auto"/>
                <w:sz w:val="22"/>
                <w:szCs w:val="21"/>
                <w:lang w:val="en-US" w:eastAsia="zh-CN"/>
              </w:rPr>
              <w:br w:type="textWrapping"/>
            </w:r>
            <w:r>
              <w:rPr>
                <w:rFonts w:hint="eastAsia"/>
                <w:b w:val="0"/>
                <w:bCs/>
                <w:color w:val="auto"/>
                <w:sz w:val="22"/>
                <w:szCs w:val="21"/>
                <w:lang w:val="en-US" w:eastAsia="zh-CN"/>
              </w:rPr>
              <w:t>3.家居融合</w:t>
            </w:r>
            <w:r>
              <w:rPr>
                <w:rFonts w:hint="eastAsia"/>
                <w:b w:val="0"/>
                <w:bCs/>
                <w:color w:val="auto"/>
                <w:sz w:val="22"/>
                <w:szCs w:val="21"/>
                <w:lang w:val="en-US" w:eastAsia="zh-CN"/>
              </w:rPr>
              <w:br w:type="textWrapping"/>
            </w:r>
            <w:r>
              <w:rPr>
                <w:rFonts w:hint="eastAsia"/>
                <w:b w:val="0"/>
                <w:bCs/>
                <w:color w:val="auto"/>
                <w:sz w:val="22"/>
                <w:szCs w:val="21"/>
                <w:lang w:val="en-US" w:eastAsia="zh-CN"/>
              </w:rPr>
              <w:t>4.100℃真沸腾</w:t>
            </w:r>
            <w:r>
              <w:rPr>
                <w:rFonts w:hint="eastAsia"/>
                <w:b w:val="0"/>
                <w:bCs/>
                <w:color w:val="auto"/>
                <w:sz w:val="22"/>
                <w:szCs w:val="21"/>
                <w:lang w:val="en-US" w:eastAsia="zh-CN"/>
              </w:rPr>
              <w:br w:type="textWrapping"/>
            </w:r>
            <w:r>
              <w:rPr>
                <w:rFonts w:hint="eastAsia"/>
                <w:b w:val="0"/>
                <w:bCs/>
                <w:color w:val="auto"/>
                <w:sz w:val="22"/>
                <w:szCs w:val="21"/>
                <w:lang w:val="en-US" w:eastAsia="zh-CN"/>
              </w:rPr>
              <w:t>5.55℃保温</w:t>
            </w:r>
          </w:p>
        </w:tc>
        <w:tc>
          <w:tcPr>
            <w:tcW w:w="1030" w:type="dxa"/>
            <w:gridSpan w:val="6"/>
            <w:tcBorders>
              <w:top w:val="single" w:color="000000" w:sz="4" w:space="0"/>
              <w:left w:val="single" w:color="000000" w:sz="4" w:space="0"/>
              <w:bottom w:val="single" w:color="000000" w:sz="4" w:space="0"/>
              <w:right w:val="single" w:color="000000" w:sz="4" w:space="0"/>
            </w:tcBorders>
            <w:noWrap w:val="0"/>
            <w:vAlign w:val="center"/>
          </w:tcPr>
          <w:p w14:paraId="058B48C8">
            <w:pPr>
              <w:rPr>
                <w:rFonts w:hint="eastAsia"/>
                <w:b w:val="0"/>
                <w:bCs/>
                <w:color w:val="auto"/>
                <w:sz w:val="22"/>
                <w:szCs w:val="21"/>
              </w:rPr>
            </w:pPr>
            <w:r>
              <w:rPr>
                <w:rFonts w:hint="eastAsia"/>
                <w:b w:val="0"/>
                <w:bCs/>
                <w:color w:val="auto"/>
                <w:sz w:val="22"/>
                <w:szCs w:val="21"/>
                <w:lang w:val="en-US" w:eastAsia="zh-CN"/>
              </w:rPr>
              <w:t>2</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301B9CAF">
            <w:pPr>
              <w:rPr>
                <w:rFonts w:hint="eastAsia"/>
                <w:b w:val="0"/>
                <w:bCs/>
                <w:color w:val="auto"/>
                <w:sz w:val="22"/>
                <w:szCs w:val="21"/>
              </w:rPr>
            </w:pPr>
            <w:r>
              <w:rPr>
                <w:rFonts w:hint="eastAsia"/>
                <w:b w:val="0"/>
                <w:bCs/>
                <w:color w:val="auto"/>
                <w:sz w:val="22"/>
                <w:szCs w:val="21"/>
                <w:lang w:val="en-US" w:eastAsia="zh-CN"/>
              </w:rPr>
              <w:t>台</w:t>
            </w:r>
          </w:p>
        </w:tc>
      </w:tr>
      <w:tr w14:paraId="2F1F4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12760" w:type="dxa"/>
            <w:gridSpan w:val="25"/>
            <w:tcBorders>
              <w:top w:val="single" w:color="000000" w:sz="4" w:space="0"/>
              <w:left w:val="single" w:color="000000" w:sz="4" w:space="0"/>
              <w:bottom w:val="single" w:color="000000" w:sz="4" w:space="0"/>
              <w:right w:val="single" w:color="000000" w:sz="4" w:space="0"/>
            </w:tcBorders>
            <w:noWrap/>
            <w:vAlign w:val="center"/>
          </w:tcPr>
          <w:p w14:paraId="42718D8F">
            <w:pPr>
              <w:rPr>
                <w:rFonts w:hint="eastAsia"/>
                <w:b w:val="0"/>
                <w:bCs/>
                <w:color w:val="auto"/>
                <w:sz w:val="22"/>
                <w:szCs w:val="21"/>
              </w:rPr>
            </w:pPr>
            <w:r>
              <w:rPr>
                <w:rFonts w:hint="eastAsia"/>
                <w:b w:val="0"/>
                <w:bCs/>
                <w:color w:val="auto"/>
                <w:sz w:val="22"/>
                <w:szCs w:val="21"/>
                <w:lang w:val="en-US" w:eastAsia="zh-CN"/>
              </w:rPr>
              <w:t>一、音箱扩声系统</w:t>
            </w:r>
          </w:p>
        </w:tc>
      </w:tr>
      <w:tr w14:paraId="6EED6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6FBB28EE">
            <w:pPr>
              <w:rPr>
                <w:rFonts w:hint="eastAsia"/>
                <w:b w:val="0"/>
                <w:bCs/>
                <w:color w:val="auto"/>
                <w:sz w:val="22"/>
                <w:szCs w:val="21"/>
              </w:rPr>
            </w:pPr>
            <w:r>
              <w:rPr>
                <w:rFonts w:hint="eastAsia"/>
                <w:b w:val="0"/>
                <w:bCs/>
                <w:color w:val="auto"/>
                <w:sz w:val="22"/>
                <w:szCs w:val="21"/>
                <w:lang w:val="en-US" w:eastAsia="zh-CN"/>
              </w:rPr>
              <w:t>1</w:t>
            </w: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3D43AF34">
            <w:pPr>
              <w:rPr>
                <w:rFonts w:hint="eastAsia"/>
                <w:b w:val="0"/>
                <w:bCs/>
                <w:color w:val="auto"/>
                <w:sz w:val="22"/>
                <w:szCs w:val="21"/>
              </w:rPr>
            </w:pPr>
            <w:r>
              <w:rPr>
                <w:rFonts w:hint="eastAsia"/>
                <w:b w:val="0"/>
                <w:bCs/>
                <w:color w:val="auto"/>
                <w:sz w:val="22"/>
                <w:szCs w:val="21"/>
                <w:lang w:val="en-US" w:eastAsia="zh-CN"/>
              </w:rPr>
              <w:t>专业音箱</w:t>
            </w:r>
          </w:p>
        </w:tc>
        <w:tc>
          <w:tcPr>
            <w:tcW w:w="9139" w:type="dxa"/>
            <w:gridSpan w:val="10"/>
            <w:tcBorders>
              <w:top w:val="single" w:color="000000" w:sz="4" w:space="0"/>
              <w:left w:val="single" w:color="000000" w:sz="4" w:space="0"/>
              <w:bottom w:val="single" w:color="000000" w:sz="4" w:space="0"/>
              <w:right w:val="single" w:color="000000" w:sz="4" w:space="0"/>
            </w:tcBorders>
            <w:noWrap w:val="0"/>
            <w:vAlign w:val="center"/>
          </w:tcPr>
          <w:p w14:paraId="07A2289B">
            <w:pPr>
              <w:rPr>
                <w:rFonts w:hint="eastAsia"/>
                <w:b w:val="0"/>
                <w:bCs/>
                <w:color w:val="auto"/>
                <w:sz w:val="22"/>
                <w:szCs w:val="21"/>
              </w:rPr>
            </w:pPr>
            <w:r>
              <w:rPr>
                <w:rFonts w:hint="eastAsia"/>
                <w:b w:val="0"/>
                <w:bCs/>
                <w:color w:val="auto"/>
                <w:sz w:val="22"/>
                <w:szCs w:val="21"/>
                <w:lang w:val="en-US" w:eastAsia="zh-CN"/>
              </w:rPr>
              <w:t>产品描述：</w:t>
            </w:r>
            <w:r>
              <w:rPr>
                <w:rFonts w:hint="eastAsia"/>
                <w:b w:val="0"/>
                <w:bCs/>
                <w:color w:val="auto"/>
                <w:sz w:val="22"/>
                <w:szCs w:val="21"/>
                <w:lang w:val="en-US" w:eastAsia="zh-CN"/>
              </w:rPr>
              <w:br w:type="textWrapping"/>
            </w:r>
            <w:r>
              <w:rPr>
                <w:rFonts w:hint="eastAsia"/>
                <w:b w:val="0"/>
                <w:bCs/>
                <w:color w:val="auto"/>
                <w:sz w:val="22"/>
                <w:szCs w:val="21"/>
                <w:lang w:val="en-US" w:eastAsia="zh-CN"/>
              </w:rPr>
              <w:t>采用1只10寸中低音喇叭单元和1只1.5寸高音单元，低音饱满有力，中音柔和，高音清晰，人声和音乐表现突出。</w:t>
            </w:r>
            <w:r>
              <w:rPr>
                <w:rFonts w:hint="eastAsia"/>
                <w:b w:val="0"/>
                <w:bCs/>
                <w:color w:val="auto"/>
                <w:sz w:val="22"/>
                <w:szCs w:val="21"/>
                <w:lang w:val="en-US" w:eastAsia="zh-CN"/>
              </w:rPr>
              <w:br w:type="textWrapping"/>
            </w:r>
            <w:r>
              <w:rPr>
                <w:rFonts w:hint="eastAsia"/>
                <w:b w:val="0"/>
                <w:bCs/>
                <w:color w:val="auto"/>
                <w:sz w:val="22"/>
                <w:szCs w:val="21"/>
                <w:lang w:val="en-US" w:eastAsia="zh-CN"/>
              </w:rPr>
              <w:t>精确设计的分频器，优化频率响应及人声部分的中频表现力。</w:t>
            </w:r>
            <w:r>
              <w:rPr>
                <w:rFonts w:hint="eastAsia"/>
                <w:b w:val="0"/>
                <w:bCs/>
                <w:color w:val="auto"/>
                <w:sz w:val="22"/>
                <w:szCs w:val="21"/>
                <w:lang w:val="en-US" w:eastAsia="zh-CN"/>
              </w:rPr>
              <w:br w:type="textWrapping"/>
            </w:r>
            <w:r>
              <w:rPr>
                <w:rFonts w:hint="eastAsia"/>
                <w:b w:val="0"/>
                <w:bCs/>
                <w:color w:val="auto"/>
                <w:sz w:val="22"/>
                <w:szCs w:val="21"/>
                <w:lang w:val="en-US" w:eastAsia="zh-CN"/>
              </w:rPr>
              <w:t>14个螺丝吊装孔位，底部35mm的柱形插座，支持吊装、壁装、落地等多种安装方式。</w:t>
            </w:r>
            <w:r>
              <w:rPr>
                <w:rFonts w:hint="eastAsia"/>
                <w:b w:val="0"/>
                <w:bCs/>
                <w:color w:val="auto"/>
                <w:sz w:val="22"/>
                <w:szCs w:val="21"/>
                <w:lang w:val="en-US" w:eastAsia="zh-CN"/>
              </w:rPr>
              <w:br w:type="textWrapping"/>
            </w:r>
            <w:r>
              <w:rPr>
                <w:rFonts w:hint="eastAsia"/>
                <w:b w:val="0"/>
                <w:bCs/>
                <w:color w:val="auto"/>
                <w:sz w:val="22"/>
                <w:szCs w:val="21"/>
                <w:lang w:val="en-US" w:eastAsia="zh-CN"/>
              </w:rPr>
              <w:t>适用于会议室，多功能厅，舞台监听及辅助音箱等场合。</w:t>
            </w:r>
            <w:r>
              <w:rPr>
                <w:rFonts w:hint="eastAsia"/>
                <w:b w:val="0"/>
                <w:bCs/>
                <w:color w:val="auto"/>
                <w:sz w:val="22"/>
                <w:szCs w:val="21"/>
                <w:lang w:val="en-US" w:eastAsia="zh-CN"/>
              </w:rPr>
              <w:br w:type="textWrapping"/>
            </w:r>
            <w:r>
              <w:rPr>
                <w:rFonts w:hint="eastAsia"/>
                <w:b w:val="0"/>
                <w:bCs/>
                <w:color w:val="auto"/>
                <w:sz w:val="22"/>
                <w:szCs w:val="21"/>
                <w:lang w:val="en-US" w:eastAsia="zh-CN"/>
              </w:rPr>
              <w:t>技术参数：</w:t>
            </w:r>
            <w:r>
              <w:rPr>
                <w:rFonts w:hint="eastAsia"/>
                <w:b w:val="0"/>
                <w:bCs/>
                <w:color w:val="auto"/>
                <w:sz w:val="22"/>
                <w:szCs w:val="21"/>
                <w:lang w:val="en-US" w:eastAsia="zh-CN"/>
              </w:rPr>
              <w:br w:type="textWrapping"/>
            </w:r>
            <w:r>
              <w:rPr>
                <w:rFonts w:hint="eastAsia"/>
                <w:b w:val="0"/>
                <w:bCs/>
                <w:color w:val="auto"/>
                <w:sz w:val="22"/>
                <w:szCs w:val="21"/>
                <w:lang w:val="en-US" w:eastAsia="zh-CN"/>
              </w:rPr>
              <w:t>低音单元组成：10寸低音单元铝盆架170磁</w:t>
            </w:r>
            <w:r>
              <w:rPr>
                <w:rFonts w:hint="eastAsia"/>
                <w:b w:val="0"/>
                <w:bCs/>
                <w:color w:val="auto"/>
                <w:sz w:val="22"/>
                <w:szCs w:val="21"/>
                <w:lang w:val="en-US" w:eastAsia="zh-CN"/>
              </w:rPr>
              <w:br w:type="textWrapping"/>
            </w:r>
            <w:r>
              <w:rPr>
                <w:rFonts w:hint="eastAsia"/>
                <w:b w:val="0"/>
                <w:bCs/>
                <w:color w:val="auto"/>
                <w:sz w:val="22"/>
                <w:szCs w:val="21"/>
                <w:lang w:val="en-US" w:eastAsia="zh-CN"/>
              </w:rPr>
              <w:t>高音单元组成：1.5寸34芯高音单元150磁</w:t>
            </w:r>
            <w:r>
              <w:rPr>
                <w:rFonts w:hint="eastAsia"/>
                <w:b w:val="0"/>
                <w:bCs/>
                <w:color w:val="auto"/>
                <w:sz w:val="22"/>
                <w:szCs w:val="21"/>
                <w:lang w:val="en-US" w:eastAsia="zh-CN"/>
              </w:rPr>
              <w:br w:type="textWrapping"/>
            </w:r>
            <w:r>
              <w:rPr>
                <w:rFonts w:hint="eastAsia"/>
                <w:b w:val="0"/>
                <w:bCs/>
                <w:color w:val="auto"/>
                <w:sz w:val="22"/>
                <w:szCs w:val="21"/>
                <w:lang w:val="en-US" w:eastAsia="zh-CN"/>
              </w:rPr>
              <w:t>频率响应（-1dB）：60Hz-18KHz</w:t>
            </w:r>
            <w:r>
              <w:rPr>
                <w:rFonts w:hint="eastAsia"/>
                <w:b w:val="0"/>
                <w:bCs/>
                <w:color w:val="auto"/>
                <w:sz w:val="22"/>
                <w:szCs w:val="21"/>
                <w:lang w:val="en-US" w:eastAsia="zh-CN"/>
              </w:rPr>
              <w:br w:type="textWrapping"/>
            </w:r>
            <w:r>
              <w:rPr>
                <w:rFonts w:hint="eastAsia"/>
                <w:b w:val="0"/>
                <w:bCs/>
                <w:color w:val="auto"/>
                <w:sz w:val="22"/>
                <w:szCs w:val="21"/>
                <w:lang w:val="en-US" w:eastAsia="zh-CN"/>
              </w:rPr>
              <w:t>频率响应（-3dB）：50Hz-20KHz</w:t>
            </w:r>
            <w:r>
              <w:rPr>
                <w:rFonts w:hint="eastAsia"/>
                <w:b w:val="0"/>
                <w:bCs/>
                <w:color w:val="auto"/>
                <w:sz w:val="22"/>
                <w:szCs w:val="21"/>
                <w:lang w:val="en-US" w:eastAsia="zh-CN"/>
              </w:rPr>
              <w:br w:type="textWrapping"/>
            </w:r>
            <w:r>
              <w:rPr>
                <w:rFonts w:hint="eastAsia"/>
                <w:b w:val="0"/>
                <w:bCs/>
                <w:color w:val="auto"/>
                <w:sz w:val="22"/>
                <w:szCs w:val="21"/>
                <w:lang w:val="en-US" w:eastAsia="zh-CN"/>
              </w:rPr>
              <w:t>覆盖角度（-6dB）：90度（H）×60度（V）</w:t>
            </w:r>
            <w:r>
              <w:rPr>
                <w:rFonts w:hint="eastAsia"/>
                <w:b w:val="0"/>
                <w:bCs/>
                <w:color w:val="auto"/>
                <w:sz w:val="22"/>
                <w:szCs w:val="21"/>
                <w:lang w:val="en-US" w:eastAsia="zh-CN"/>
              </w:rPr>
              <w:br w:type="textWrapping"/>
            </w:r>
            <w:r>
              <w:rPr>
                <w:rFonts w:hint="eastAsia"/>
                <w:b w:val="0"/>
                <w:bCs/>
                <w:color w:val="auto"/>
                <w:sz w:val="22"/>
                <w:szCs w:val="21"/>
                <w:lang w:val="en-US" w:eastAsia="zh-CN"/>
              </w:rPr>
              <w:t>灵敏度（1W/1m）：98dB/1W 1米</w:t>
            </w:r>
            <w:r>
              <w:rPr>
                <w:rFonts w:hint="eastAsia"/>
                <w:b w:val="0"/>
                <w:bCs/>
                <w:color w:val="auto"/>
                <w:sz w:val="22"/>
                <w:szCs w:val="21"/>
                <w:lang w:val="en-US" w:eastAsia="zh-CN"/>
              </w:rPr>
              <w:br w:type="textWrapping"/>
            </w:r>
            <w:r>
              <w:rPr>
                <w:rFonts w:hint="eastAsia"/>
                <w:b w:val="0"/>
                <w:bCs/>
                <w:color w:val="auto"/>
                <w:sz w:val="22"/>
                <w:szCs w:val="21"/>
                <w:lang w:val="en-US" w:eastAsia="zh-CN"/>
              </w:rPr>
              <w:t>连续声压级：121dB</w:t>
            </w:r>
            <w:r>
              <w:rPr>
                <w:rFonts w:hint="eastAsia"/>
                <w:b w:val="0"/>
                <w:bCs/>
                <w:color w:val="auto"/>
                <w:sz w:val="22"/>
                <w:szCs w:val="21"/>
                <w:lang w:val="en-US" w:eastAsia="zh-CN"/>
              </w:rPr>
              <w:br w:type="textWrapping"/>
            </w:r>
            <w:r>
              <w:rPr>
                <w:rFonts w:hint="eastAsia"/>
                <w:b w:val="0"/>
                <w:bCs/>
                <w:color w:val="auto"/>
                <w:sz w:val="22"/>
                <w:szCs w:val="21"/>
                <w:lang w:val="en-US" w:eastAsia="zh-CN"/>
              </w:rPr>
              <w:t>峰值声压级：127dB</w:t>
            </w:r>
            <w:r>
              <w:rPr>
                <w:rFonts w:hint="eastAsia"/>
                <w:b w:val="0"/>
                <w:bCs/>
                <w:color w:val="auto"/>
                <w:sz w:val="22"/>
                <w:szCs w:val="21"/>
                <w:lang w:val="en-US" w:eastAsia="zh-CN"/>
              </w:rPr>
              <w:br w:type="textWrapping"/>
            </w:r>
            <w:r>
              <w:rPr>
                <w:rFonts w:hint="eastAsia"/>
                <w:b w:val="0"/>
                <w:bCs/>
                <w:color w:val="auto"/>
                <w:sz w:val="22"/>
                <w:szCs w:val="21"/>
                <w:lang w:val="en-US" w:eastAsia="zh-CN"/>
              </w:rPr>
              <w:t>标准阻抗：8Ω</w:t>
            </w:r>
            <w:r>
              <w:rPr>
                <w:rFonts w:hint="eastAsia"/>
                <w:b w:val="0"/>
                <w:bCs/>
                <w:color w:val="auto"/>
                <w:sz w:val="22"/>
                <w:szCs w:val="21"/>
                <w:lang w:val="en-US" w:eastAsia="zh-CN"/>
              </w:rPr>
              <w:br w:type="textWrapping"/>
            </w:r>
            <w:r>
              <w:rPr>
                <w:rFonts w:hint="eastAsia"/>
                <w:b w:val="0"/>
                <w:bCs/>
                <w:color w:val="auto"/>
                <w:sz w:val="22"/>
                <w:szCs w:val="21"/>
                <w:lang w:val="en-US" w:eastAsia="zh-CN"/>
              </w:rPr>
              <w:t>输入功率：250W（额定）/500W（峰值）</w:t>
            </w:r>
            <w:r>
              <w:rPr>
                <w:rFonts w:hint="eastAsia"/>
                <w:b w:val="0"/>
                <w:bCs/>
                <w:color w:val="auto"/>
                <w:sz w:val="22"/>
                <w:szCs w:val="21"/>
                <w:lang w:val="en-US" w:eastAsia="zh-CN"/>
              </w:rPr>
              <w:br w:type="textWrapping"/>
            </w:r>
            <w:r>
              <w:rPr>
                <w:rFonts w:hint="eastAsia"/>
                <w:b w:val="0"/>
                <w:bCs/>
                <w:color w:val="auto"/>
                <w:sz w:val="22"/>
                <w:szCs w:val="21"/>
                <w:lang w:val="en-US" w:eastAsia="zh-CN"/>
              </w:rPr>
              <w:t>分频点：2.2KHz</w:t>
            </w:r>
            <w:r>
              <w:rPr>
                <w:rFonts w:hint="eastAsia"/>
                <w:b w:val="0"/>
                <w:bCs/>
                <w:color w:val="auto"/>
                <w:sz w:val="22"/>
                <w:szCs w:val="21"/>
                <w:lang w:val="en-US" w:eastAsia="zh-CN"/>
              </w:rPr>
              <w:br w:type="textWrapping"/>
            </w:r>
            <w:r>
              <w:rPr>
                <w:rFonts w:hint="eastAsia"/>
                <w:b w:val="0"/>
                <w:bCs/>
                <w:color w:val="auto"/>
                <w:sz w:val="22"/>
                <w:szCs w:val="21"/>
                <w:lang w:val="en-US" w:eastAsia="zh-CN"/>
              </w:rPr>
              <w:t>箱体板材：18mm桦木板</w:t>
            </w:r>
            <w:r>
              <w:rPr>
                <w:rFonts w:hint="eastAsia"/>
                <w:b w:val="0"/>
                <w:bCs/>
                <w:color w:val="auto"/>
                <w:sz w:val="22"/>
                <w:szCs w:val="21"/>
                <w:lang w:val="en-US" w:eastAsia="zh-CN"/>
              </w:rPr>
              <w:br w:type="textWrapping"/>
            </w:r>
            <w:r>
              <w:rPr>
                <w:rFonts w:hint="eastAsia"/>
                <w:b w:val="0"/>
                <w:bCs/>
                <w:color w:val="auto"/>
                <w:sz w:val="22"/>
                <w:szCs w:val="21"/>
                <w:lang w:val="en-US" w:eastAsia="zh-CN"/>
              </w:rPr>
              <w:t>安装方式：14个M8吊装螺丝孔位。1个底部支撑孔</w:t>
            </w:r>
            <w:r>
              <w:rPr>
                <w:rFonts w:hint="eastAsia"/>
                <w:b w:val="0"/>
                <w:bCs/>
                <w:color w:val="auto"/>
                <w:sz w:val="22"/>
                <w:szCs w:val="21"/>
                <w:lang w:val="en-US" w:eastAsia="zh-CN"/>
              </w:rPr>
              <w:br w:type="textWrapping"/>
            </w:r>
            <w:r>
              <w:rPr>
                <w:rFonts w:hint="eastAsia"/>
                <w:b w:val="0"/>
                <w:bCs/>
                <w:color w:val="auto"/>
                <w:sz w:val="22"/>
                <w:szCs w:val="21"/>
                <w:lang w:val="en-US" w:eastAsia="zh-CN"/>
              </w:rPr>
              <w:t>表面处理：黑色颗粒状树脂喷涂</w:t>
            </w:r>
            <w:r>
              <w:rPr>
                <w:rFonts w:hint="eastAsia"/>
                <w:b w:val="0"/>
                <w:bCs/>
                <w:color w:val="auto"/>
                <w:sz w:val="22"/>
                <w:szCs w:val="21"/>
                <w:lang w:val="en-US" w:eastAsia="zh-CN"/>
              </w:rPr>
              <w:br w:type="textWrapping"/>
            </w:r>
            <w:r>
              <w:rPr>
                <w:rFonts w:hint="eastAsia"/>
                <w:b w:val="0"/>
                <w:bCs/>
                <w:color w:val="auto"/>
                <w:sz w:val="22"/>
                <w:szCs w:val="21"/>
                <w:lang w:val="en-US" w:eastAsia="zh-CN"/>
              </w:rPr>
              <w:t>面网：模压钢制圆型面网</w:t>
            </w:r>
            <w:r>
              <w:rPr>
                <w:rFonts w:hint="eastAsia"/>
                <w:b w:val="0"/>
                <w:bCs/>
                <w:color w:val="auto"/>
                <w:sz w:val="22"/>
                <w:szCs w:val="21"/>
                <w:lang w:val="en-US" w:eastAsia="zh-CN"/>
              </w:rPr>
              <w:br w:type="textWrapping"/>
            </w:r>
            <w:r>
              <w:rPr>
                <w:rFonts w:hint="eastAsia"/>
                <w:b w:val="0"/>
                <w:bCs/>
                <w:color w:val="auto"/>
                <w:sz w:val="22"/>
                <w:szCs w:val="21"/>
                <w:lang w:val="en-US" w:eastAsia="zh-CN"/>
              </w:rPr>
              <w:t>输入连接器：2个NL4插座</w:t>
            </w:r>
            <w:r>
              <w:rPr>
                <w:rFonts w:hint="eastAsia"/>
                <w:b w:val="0"/>
                <w:bCs/>
                <w:color w:val="auto"/>
                <w:sz w:val="22"/>
                <w:szCs w:val="21"/>
                <w:lang w:val="en-US" w:eastAsia="zh-CN"/>
              </w:rPr>
              <w:br w:type="textWrapping"/>
            </w:r>
            <w:r>
              <w:rPr>
                <w:rFonts w:hint="eastAsia"/>
                <w:b w:val="0"/>
                <w:bCs/>
                <w:color w:val="auto"/>
                <w:sz w:val="22"/>
                <w:szCs w:val="21"/>
                <w:lang w:val="en-US" w:eastAsia="zh-CN"/>
              </w:rPr>
              <w:t>连接：1+、2+/正极。1-、2-/负极</w:t>
            </w:r>
            <w:r>
              <w:rPr>
                <w:rFonts w:hint="eastAsia"/>
                <w:b w:val="0"/>
                <w:bCs/>
                <w:color w:val="auto"/>
                <w:sz w:val="22"/>
                <w:szCs w:val="21"/>
                <w:lang w:val="en-US" w:eastAsia="zh-CN"/>
              </w:rPr>
              <w:br w:type="textWrapping"/>
            </w:r>
            <w:r>
              <w:rPr>
                <w:rFonts w:hint="eastAsia"/>
                <w:b w:val="0"/>
                <w:bCs/>
                <w:color w:val="auto"/>
                <w:sz w:val="22"/>
                <w:szCs w:val="21"/>
                <w:lang w:val="en-US" w:eastAsia="zh-CN"/>
              </w:rPr>
              <w:t>产品尺寸（W×D×H）：300×340×525mm</w:t>
            </w:r>
            <w:r>
              <w:rPr>
                <w:rFonts w:hint="eastAsia"/>
                <w:b w:val="0"/>
                <w:bCs/>
                <w:color w:val="auto"/>
                <w:sz w:val="22"/>
                <w:szCs w:val="21"/>
                <w:lang w:val="en-US" w:eastAsia="zh-CN"/>
              </w:rPr>
              <w:br w:type="textWrapping"/>
            </w:r>
            <w:r>
              <w:rPr>
                <w:rFonts w:hint="eastAsia"/>
                <w:b w:val="0"/>
                <w:bCs/>
                <w:color w:val="auto"/>
                <w:sz w:val="22"/>
                <w:szCs w:val="21"/>
                <w:lang w:val="en-US" w:eastAsia="zh-CN"/>
              </w:rPr>
              <w:t>净重：15.52kg</w:t>
            </w:r>
          </w:p>
        </w:tc>
        <w:tc>
          <w:tcPr>
            <w:tcW w:w="1030" w:type="dxa"/>
            <w:gridSpan w:val="6"/>
            <w:tcBorders>
              <w:top w:val="single" w:color="000000" w:sz="4" w:space="0"/>
              <w:left w:val="single" w:color="000000" w:sz="4" w:space="0"/>
              <w:bottom w:val="single" w:color="000000" w:sz="4" w:space="0"/>
              <w:right w:val="single" w:color="000000" w:sz="4" w:space="0"/>
            </w:tcBorders>
            <w:noWrap/>
            <w:vAlign w:val="center"/>
          </w:tcPr>
          <w:p w14:paraId="3153ECDA">
            <w:pPr>
              <w:rPr>
                <w:rFonts w:hint="eastAsia"/>
                <w:b w:val="0"/>
                <w:bCs/>
                <w:color w:val="auto"/>
                <w:sz w:val="22"/>
                <w:szCs w:val="21"/>
              </w:rPr>
            </w:pPr>
            <w:r>
              <w:rPr>
                <w:rFonts w:hint="eastAsia"/>
                <w:b w:val="0"/>
                <w:bCs/>
                <w:color w:val="auto"/>
                <w:sz w:val="22"/>
                <w:szCs w:val="21"/>
                <w:lang w:val="en-US" w:eastAsia="zh-CN"/>
              </w:rPr>
              <w:t>4</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5F26A97B">
            <w:pPr>
              <w:rPr>
                <w:rFonts w:hint="eastAsia"/>
                <w:b w:val="0"/>
                <w:bCs/>
                <w:color w:val="auto"/>
                <w:sz w:val="22"/>
                <w:szCs w:val="21"/>
              </w:rPr>
            </w:pPr>
            <w:r>
              <w:rPr>
                <w:rFonts w:hint="eastAsia"/>
                <w:b w:val="0"/>
                <w:bCs/>
                <w:color w:val="auto"/>
                <w:sz w:val="22"/>
                <w:szCs w:val="21"/>
                <w:lang w:val="en-US" w:eastAsia="zh-CN"/>
              </w:rPr>
              <w:t>只</w:t>
            </w:r>
          </w:p>
        </w:tc>
      </w:tr>
      <w:tr w14:paraId="7847B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1DA2EFA4">
            <w:pPr>
              <w:rPr>
                <w:rFonts w:hint="eastAsia"/>
                <w:b w:val="0"/>
                <w:bCs/>
                <w:color w:val="auto"/>
                <w:sz w:val="22"/>
                <w:szCs w:val="21"/>
              </w:rPr>
            </w:pPr>
            <w:r>
              <w:rPr>
                <w:rFonts w:hint="eastAsia"/>
                <w:b w:val="0"/>
                <w:bCs/>
                <w:color w:val="auto"/>
                <w:sz w:val="22"/>
                <w:szCs w:val="21"/>
                <w:lang w:val="en-US" w:eastAsia="zh-CN"/>
              </w:rPr>
              <w:t>2</w:t>
            </w: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62C83CF8">
            <w:pPr>
              <w:rPr>
                <w:rFonts w:hint="eastAsia"/>
                <w:b w:val="0"/>
                <w:bCs/>
                <w:color w:val="auto"/>
                <w:sz w:val="22"/>
                <w:szCs w:val="21"/>
              </w:rPr>
            </w:pPr>
            <w:r>
              <w:rPr>
                <w:rFonts w:hint="eastAsia"/>
                <w:b w:val="0"/>
                <w:bCs/>
                <w:color w:val="auto"/>
                <w:sz w:val="22"/>
                <w:szCs w:val="21"/>
                <w:lang w:val="en-US" w:eastAsia="zh-CN"/>
              </w:rPr>
              <w:t>专业功放(含专业功放控制软件V1.0)</w:t>
            </w:r>
          </w:p>
        </w:tc>
        <w:tc>
          <w:tcPr>
            <w:tcW w:w="9139" w:type="dxa"/>
            <w:gridSpan w:val="10"/>
            <w:tcBorders>
              <w:top w:val="single" w:color="000000" w:sz="4" w:space="0"/>
              <w:left w:val="single" w:color="000000" w:sz="4" w:space="0"/>
              <w:bottom w:val="single" w:color="000000" w:sz="4" w:space="0"/>
              <w:right w:val="single" w:color="000000" w:sz="4" w:space="0"/>
            </w:tcBorders>
            <w:noWrap w:val="0"/>
            <w:vAlign w:val="center"/>
          </w:tcPr>
          <w:p w14:paraId="61896A11">
            <w:pPr>
              <w:rPr>
                <w:rFonts w:hint="eastAsia"/>
                <w:b w:val="0"/>
                <w:bCs/>
                <w:color w:val="auto"/>
                <w:sz w:val="22"/>
                <w:szCs w:val="21"/>
              </w:rPr>
            </w:pPr>
            <w:r>
              <w:rPr>
                <w:rFonts w:hint="eastAsia"/>
                <w:b w:val="0"/>
                <w:bCs/>
                <w:color w:val="auto"/>
                <w:sz w:val="22"/>
                <w:szCs w:val="21"/>
                <w:lang w:val="en-US" w:eastAsia="zh-CN"/>
              </w:rPr>
              <w:t>产品描述：</w:t>
            </w:r>
            <w:r>
              <w:rPr>
                <w:rFonts w:hint="eastAsia"/>
                <w:b w:val="0"/>
                <w:bCs/>
                <w:color w:val="auto"/>
                <w:sz w:val="22"/>
                <w:szCs w:val="21"/>
                <w:lang w:val="en-US" w:eastAsia="zh-CN"/>
              </w:rPr>
              <w:br w:type="textWrapping"/>
            </w:r>
            <w:r>
              <w:rPr>
                <w:rFonts w:hint="eastAsia"/>
                <w:b w:val="0"/>
                <w:bCs/>
                <w:color w:val="auto"/>
                <w:sz w:val="22"/>
                <w:szCs w:val="21"/>
                <w:lang w:val="en-US" w:eastAsia="zh-CN"/>
              </w:rPr>
              <w:t>1U机柜式设计，双层双色双拼面板，彰显立体美感；前面板采用隐藏式条形出气口及弧形进风口设计，设备散热均匀，有效延长使用寿命； 电源开关采用防触碰设计，安全省心。</w:t>
            </w:r>
            <w:r>
              <w:rPr>
                <w:rFonts w:hint="eastAsia"/>
                <w:b w:val="0"/>
                <w:bCs/>
                <w:color w:val="auto"/>
                <w:sz w:val="22"/>
                <w:szCs w:val="21"/>
                <w:lang w:val="en-US" w:eastAsia="zh-CN"/>
              </w:rPr>
              <w:br w:type="textWrapping"/>
            </w:r>
            <w:r>
              <w:rPr>
                <w:rFonts w:hint="eastAsia"/>
                <w:b w:val="0"/>
                <w:bCs/>
                <w:color w:val="auto"/>
                <w:sz w:val="22"/>
                <w:szCs w:val="21"/>
                <w:lang w:val="en-US" w:eastAsia="zh-CN"/>
              </w:rPr>
              <w:t>输入采用平衡XLR连接，输出为PSZ外接线柱，方便线材扩展链接。</w:t>
            </w:r>
            <w:r>
              <w:rPr>
                <w:rFonts w:hint="eastAsia"/>
                <w:b w:val="0"/>
                <w:bCs/>
                <w:color w:val="auto"/>
                <w:sz w:val="22"/>
                <w:szCs w:val="21"/>
                <w:lang w:val="en-US" w:eastAsia="zh-CN"/>
              </w:rPr>
              <w:br w:type="textWrapping"/>
            </w:r>
            <w:r>
              <w:rPr>
                <w:rFonts w:hint="eastAsia"/>
                <w:b w:val="0"/>
                <w:bCs/>
                <w:color w:val="auto"/>
                <w:sz w:val="22"/>
                <w:szCs w:val="21"/>
                <w:lang w:val="en-US" w:eastAsia="zh-CN"/>
              </w:rPr>
              <w:t>支持STEREO立体声、PARALLEL并机两种模式选择，可以更为灵活搭配其它设备，</w:t>
            </w:r>
            <w:r>
              <w:rPr>
                <w:rFonts w:hint="eastAsia"/>
                <w:b w:val="0"/>
                <w:bCs/>
                <w:color w:val="auto"/>
                <w:sz w:val="22"/>
                <w:szCs w:val="21"/>
                <w:lang w:val="en-US" w:eastAsia="zh-CN"/>
              </w:rPr>
              <w:br w:type="textWrapping"/>
            </w:r>
            <w:r>
              <w:rPr>
                <w:rFonts w:hint="eastAsia"/>
                <w:b w:val="0"/>
                <w:bCs/>
                <w:color w:val="auto"/>
                <w:sz w:val="22"/>
                <w:szCs w:val="21"/>
                <w:lang w:val="en-US" w:eastAsia="zh-CN"/>
              </w:rPr>
              <w:t>设有7个信号指示灯，包括1个电源指示，2个信号通道指示，2个限幅通道指示，2个保护通道指示，可实时显示设备工作状态，直观方便。</w:t>
            </w:r>
            <w:r>
              <w:rPr>
                <w:rFonts w:hint="eastAsia"/>
                <w:b w:val="0"/>
                <w:bCs/>
                <w:color w:val="auto"/>
                <w:sz w:val="22"/>
                <w:szCs w:val="21"/>
                <w:lang w:val="en-US" w:eastAsia="zh-CN"/>
              </w:rPr>
              <w:br w:type="textWrapping"/>
            </w:r>
            <w:r>
              <w:rPr>
                <w:rFonts w:hint="eastAsia"/>
                <w:b w:val="0"/>
                <w:bCs/>
                <w:color w:val="auto"/>
                <w:sz w:val="22"/>
                <w:szCs w:val="21"/>
                <w:lang w:val="en-US" w:eastAsia="zh-CN"/>
              </w:rPr>
              <w:t>设有动态压限控制功率电路，保证设备安全稳定运行。</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内置D类功率放大电路，采用高集成度数字芯片替代传统变压器，高数字化电路集成，绿色、稳定、高效。 </w:t>
            </w:r>
            <w:r>
              <w:rPr>
                <w:rFonts w:hint="eastAsia"/>
                <w:b w:val="0"/>
                <w:bCs/>
                <w:color w:val="auto"/>
                <w:sz w:val="22"/>
                <w:szCs w:val="21"/>
                <w:lang w:val="en-US" w:eastAsia="zh-CN"/>
              </w:rPr>
              <w:br w:type="textWrapping"/>
            </w:r>
            <w:r>
              <w:rPr>
                <w:rFonts w:hint="eastAsia"/>
                <w:b w:val="0"/>
                <w:bCs/>
                <w:color w:val="auto"/>
                <w:sz w:val="22"/>
                <w:szCs w:val="21"/>
                <w:lang w:val="en-US" w:eastAsia="zh-CN"/>
              </w:rPr>
              <w:t>支持交流保护和直流保护功能。</w:t>
            </w:r>
            <w:r>
              <w:rPr>
                <w:rFonts w:hint="eastAsia"/>
                <w:b w:val="0"/>
                <w:bCs/>
                <w:color w:val="auto"/>
                <w:sz w:val="22"/>
                <w:szCs w:val="21"/>
                <w:lang w:val="en-US" w:eastAsia="zh-CN"/>
              </w:rPr>
              <w:br w:type="textWrapping"/>
            </w:r>
            <w:r>
              <w:rPr>
                <w:rFonts w:hint="eastAsia"/>
                <w:b w:val="0"/>
                <w:bCs/>
                <w:color w:val="auto"/>
                <w:sz w:val="22"/>
                <w:szCs w:val="21"/>
                <w:lang w:val="en-US" w:eastAsia="zh-CN"/>
              </w:rPr>
              <w:t>内置削波限幅器，可有效防止严重削波的波形到达扬声器，同时维持全峰值电源输出功率。</w:t>
            </w:r>
            <w:r>
              <w:rPr>
                <w:rFonts w:hint="eastAsia"/>
                <w:b w:val="0"/>
                <w:bCs/>
                <w:color w:val="auto"/>
                <w:sz w:val="22"/>
                <w:szCs w:val="21"/>
                <w:lang w:val="en-US" w:eastAsia="zh-CN"/>
              </w:rPr>
              <w:br w:type="textWrapping"/>
            </w:r>
            <w:r>
              <w:rPr>
                <w:rFonts w:hint="eastAsia"/>
                <w:b w:val="0"/>
                <w:bCs/>
                <w:color w:val="auto"/>
                <w:sz w:val="22"/>
                <w:szCs w:val="21"/>
                <w:lang w:val="en-US" w:eastAsia="zh-CN"/>
              </w:rPr>
              <w:t>支持超高频保护，防止听不见的强烈非音乐高频信号到达扬声器。</w:t>
            </w:r>
            <w:r>
              <w:rPr>
                <w:rFonts w:hint="eastAsia"/>
                <w:b w:val="0"/>
                <w:bCs/>
                <w:color w:val="auto"/>
                <w:sz w:val="22"/>
                <w:szCs w:val="21"/>
                <w:lang w:val="en-US" w:eastAsia="zh-CN"/>
              </w:rPr>
              <w:br w:type="textWrapping"/>
            </w:r>
            <w:r>
              <w:rPr>
                <w:rFonts w:hint="eastAsia"/>
                <w:b w:val="0"/>
                <w:bCs/>
                <w:color w:val="auto"/>
                <w:sz w:val="22"/>
                <w:szCs w:val="21"/>
                <w:lang w:val="en-US" w:eastAsia="zh-CN"/>
              </w:rPr>
              <w:t>支持短路保护功能，自动保护重置功能，防止功放发生短路，或输出电路发生其它应激故障。</w:t>
            </w:r>
            <w:r>
              <w:rPr>
                <w:rFonts w:hint="eastAsia"/>
                <w:b w:val="0"/>
                <w:bCs/>
                <w:color w:val="auto"/>
                <w:sz w:val="22"/>
                <w:szCs w:val="21"/>
                <w:lang w:val="en-US" w:eastAsia="zh-CN"/>
              </w:rPr>
              <w:br w:type="textWrapping"/>
            </w:r>
            <w:r>
              <w:rPr>
                <w:rFonts w:hint="eastAsia"/>
                <w:b w:val="0"/>
                <w:bCs/>
                <w:color w:val="auto"/>
                <w:sz w:val="22"/>
                <w:szCs w:val="21"/>
                <w:lang w:val="en-US" w:eastAsia="zh-CN"/>
              </w:rPr>
              <w:t>设有限幅器，信号峰值过大自动限幅过大输出到达扬声器，最高限幅可达到10V。</w:t>
            </w:r>
            <w:r>
              <w:rPr>
                <w:rFonts w:hint="eastAsia"/>
                <w:b w:val="0"/>
                <w:bCs/>
                <w:color w:val="auto"/>
                <w:sz w:val="22"/>
                <w:szCs w:val="21"/>
                <w:lang w:val="en-US" w:eastAsia="zh-CN"/>
              </w:rPr>
              <w:br w:type="textWrapping"/>
            </w:r>
            <w:r>
              <w:rPr>
                <w:rFonts w:hint="eastAsia"/>
                <w:b w:val="0"/>
                <w:bCs/>
                <w:color w:val="auto"/>
                <w:sz w:val="22"/>
                <w:szCs w:val="21"/>
                <w:lang w:val="en-US" w:eastAsia="zh-CN"/>
              </w:rPr>
              <w:t>支持过热保护，输出级操作温度过高，温控连续变速风扇，从前到后的空气流动。</w:t>
            </w:r>
            <w:r>
              <w:rPr>
                <w:rFonts w:hint="eastAsia"/>
                <w:b w:val="0"/>
                <w:bCs/>
                <w:color w:val="auto"/>
                <w:sz w:val="22"/>
                <w:szCs w:val="21"/>
                <w:lang w:val="en-US" w:eastAsia="zh-CN"/>
              </w:rPr>
              <w:br w:type="textWrapping"/>
            </w:r>
            <w:r>
              <w:rPr>
                <w:rFonts w:hint="eastAsia"/>
                <w:b w:val="0"/>
                <w:bCs/>
                <w:color w:val="auto"/>
                <w:sz w:val="22"/>
                <w:szCs w:val="21"/>
                <w:lang w:val="en-US" w:eastAsia="zh-CN"/>
              </w:rPr>
              <w:t>支持过载保护，峰值负反馈保护，当信号输入输出出现失真、冲击、或线电压严重过压时，能有效地对功放进行保护。</w:t>
            </w:r>
            <w:r>
              <w:rPr>
                <w:rFonts w:hint="eastAsia"/>
                <w:b w:val="0"/>
                <w:bCs/>
                <w:color w:val="auto"/>
                <w:sz w:val="22"/>
                <w:szCs w:val="21"/>
                <w:lang w:val="en-US" w:eastAsia="zh-CN"/>
              </w:rPr>
              <w:br w:type="textWrapping"/>
            </w:r>
            <w:r>
              <w:rPr>
                <w:rFonts w:hint="eastAsia"/>
                <w:b w:val="0"/>
                <w:bCs/>
                <w:color w:val="auto"/>
                <w:sz w:val="22"/>
                <w:szCs w:val="21"/>
                <w:lang w:val="en-US" w:eastAsia="zh-CN"/>
              </w:rPr>
              <w:t>内设保护电路，软启动，输入浪涌限制，输出短路、直流，开关机哑音保护，射频干扰保护。</w:t>
            </w:r>
            <w:r>
              <w:rPr>
                <w:rFonts w:hint="eastAsia"/>
                <w:b w:val="0"/>
                <w:bCs/>
                <w:color w:val="auto"/>
                <w:sz w:val="22"/>
                <w:szCs w:val="21"/>
                <w:lang w:val="en-US" w:eastAsia="zh-CN"/>
              </w:rPr>
              <w:br w:type="textWrapping"/>
            </w:r>
            <w:r>
              <w:rPr>
                <w:rFonts w:hint="eastAsia"/>
                <w:b w:val="0"/>
                <w:bCs/>
                <w:color w:val="auto"/>
                <w:sz w:val="22"/>
                <w:szCs w:val="21"/>
                <w:lang w:val="en-US" w:eastAsia="zh-CN"/>
              </w:rPr>
              <w:t>技术参数：</w:t>
            </w:r>
            <w:r>
              <w:rPr>
                <w:rFonts w:hint="eastAsia"/>
                <w:b w:val="0"/>
                <w:bCs/>
                <w:color w:val="auto"/>
                <w:sz w:val="22"/>
                <w:szCs w:val="21"/>
                <w:lang w:val="en-US" w:eastAsia="zh-CN"/>
              </w:rPr>
              <w:br w:type="textWrapping"/>
            </w:r>
            <w:r>
              <w:rPr>
                <w:rFonts w:hint="eastAsia"/>
                <w:b w:val="0"/>
                <w:bCs/>
                <w:color w:val="auto"/>
                <w:sz w:val="22"/>
                <w:szCs w:val="21"/>
                <w:lang w:val="en-US" w:eastAsia="zh-CN"/>
              </w:rPr>
              <w:t>输出功率@立体声8Ω（失真≤1%时）：2×400W</w:t>
            </w:r>
            <w:r>
              <w:rPr>
                <w:rFonts w:hint="eastAsia"/>
                <w:b w:val="0"/>
                <w:bCs/>
                <w:color w:val="auto"/>
                <w:sz w:val="22"/>
                <w:szCs w:val="21"/>
                <w:lang w:val="en-US" w:eastAsia="zh-CN"/>
              </w:rPr>
              <w:br w:type="textWrapping"/>
            </w:r>
            <w:r>
              <w:rPr>
                <w:rFonts w:hint="eastAsia"/>
                <w:b w:val="0"/>
                <w:bCs/>
                <w:color w:val="auto"/>
                <w:sz w:val="22"/>
                <w:szCs w:val="21"/>
                <w:lang w:val="en-US" w:eastAsia="zh-CN"/>
              </w:rPr>
              <w:t>输出功率@立体声4Ω（失真≤1%时）：2×560W</w:t>
            </w:r>
            <w:r>
              <w:rPr>
                <w:rFonts w:hint="eastAsia"/>
                <w:b w:val="0"/>
                <w:bCs/>
                <w:color w:val="auto"/>
                <w:sz w:val="22"/>
                <w:szCs w:val="21"/>
                <w:lang w:val="en-US" w:eastAsia="zh-CN"/>
              </w:rPr>
              <w:br w:type="textWrapping"/>
            </w:r>
            <w:r>
              <w:rPr>
                <w:rFonts w:hint="eastAsia"/>
                <w:b w:val="0"/>
                <w:bCs/>
                <w:color w:val="auto"/>
                <w:sz w:val="22"/>
                <w:szCs w:val="21"/>
                <w:lang w:val="en-US" w:eastAsia="zh-CN"/>
              </w:rPr>
              <w:t>输出功率@立体声2Ω（失真≤1%时）：2×780W</w:t>
            </w:r>
            <w:r>
              <w:rPr>
                <w:rFonts w:hint="eastAsia"/>
                <w:b w:val="0"/>
                <w:bCs/>
                <w:color w:val="auto"/>
                <w:sz w:val="22"/>
                <w:szCs w:val="21"/>
                <w:lang w:val="en-US" w:eastAsia="zh-CN"/>
              </w:rPr>
              <w:br w:type="textWrapping"/>
            </w:r>
            <w:r>
              <w:rPr>
                <w:rFonts w:hint="eastAsia"/>
                <w:b w:val="0"/>
                <w:bCs/>
                <w:color w:val="auto"/>
                <w:sz w:val="22"/>
                <w:szCs w:val="21"/>
                <w:lang w:val="en-US" w:eastAsia="zh-CN"/>
              </w:rPr>
              <w:t>供电：AC 150V-240V 50/60Hz</w:t>
            </w:r>
            <w:r>
              <w:rPr>
                <w:rFonts w:hint="eastAsia"/>
                <w:b w:val="0"/>
                <w:bCs/>
                <w:color w:val="auto"/>
                <w:sz w:val="22"/>
                <w:szCs w:val="21"/>
                <w:lang w:val="en-US" w:eastAsia="zh-CN"/>
              </w:rPr>
              <w:br w:type="textWrapping"/>
            </w:r>
            <w:r>
              <w:rPr>
                <w:rFonts w:hint="eastAsia"/>
                <w:b w:val="0"/>
                <w:bCs/>
                <w:color w:val="auto"/>
                <w:sz w:val="22"/>
                <w:szCs w:val="21"/>
                <w:lang w:val="en-US" w:eastAsia="zh-CN"/>
              </w:rPr>
              <w:t>频率响应（1W 8Ω）：20Hz～20KHz±0.5dB</w:t>
            </w:r>
            <w:r>
              <w:rPr>
                <w:rFonts w:hint="eastAsia"/>
                <w:b w:val="0"/>
                <w:bCs/>
                <w:color w:val="auto"/>
                <w:sz w:val="22"/>
                <w:szCs w:val="21"/>
                <w:lang w:val="en-US" w:eastAsia="zh-CN"/>
              </w:rPr>
              <w:br w:type="textWrapping"/>
            </w:r>
            <w:r>
              <w:rPr>
                <w:rFonts w:hint="eastAsia"/>
                <w:b w:val="0"/>
                <w:bCs/>
                <w:color w:val="auto"/>
                <w:sz w:val="22"/>
                <w:szCs w:val="21"/>
                <w:lang w:val="en-US" w:eastAsia="zh-CN"/>
              </w:rPr>
              <w:t>灵敏度（8Ω 1KHz）：1V/32dB</w:t>
            </w:r>
            <w:r>
              <w:rPr>
                <w:rFonts w:hint="eastAsia"/>
                <w:b w:val="0"/>
                <w:bCs/>
                <w:color w:val="auto"/>
                <w:sz w:val="22"/>
                <w:szCs w:val="21"/>
                <w:lang w:val="en-US" w:eastAsia="zh-CN"/>
              </w:rPr>
              <w:br w:type="textWrapping"/>
            </w:r>
            <w:r>
              <w:rPr>
                <w:rFonts w:hint="eastAsia"/>
                <w:b w:val="0"/>
                <w:bCs/>
                <w:color w:val="auto"/>
                <w:sz w:val="22"/>
                <w:szCs w:val="21"/>
                <w:lang w:val="en-US" w:eastAsia="zh-CN"/>
              </w:rPr>
              <w:t>输入阻抗：20KΩ平衡输入；10KΩ非平衡输入</w:t>
            </w:r>
            <w:r>
              <w:rPr>
                <w:rFonts w:hint="eastAsia"/>
                <w:b w:val="0"/>
                <w:bCs/>
                <w:color w:val="auto"/>
                <w:sz w:val="22"/>
                <w:szCs w:val="21"/>
                <w:lang w:val="en-US" w:eastAsia="zh-CN"/>
              </w:rPr>
              <w:br w:type="textWrapping"/>
            </w:r>
            <w:r>
              <w:rPr>
                <w:rFonts w:hint="eastAsia"/>
                <w:b w:val="0"/>
                <w:bCs/>
                <w:color w:val="auto"/>
                <w:sz w:val="22"/>
                <w:szCs w:val="21"/>
                <w:lang w:val="en-US" w:eastAsia="zh-CN"/>
              </w:rPr>
              <w:t>信噪比( A计权，额定功率8Ω )：≥105dB</w:t>
            </w:r>
            <w:r>
              <w:rPr>
                <w:rFonts w:hint="eastAsia"/>
                <w:b w:val="0"/>
                <w:bCs/>
                <w:color w:val="auto"/>
                <w:sz w:val="22"/>
                <w:szCs w:val="21"/>
                <w:lang w:val="en-US" w:eastAsia="zh-CN"/>
              </w:rPr>
              <w:br w:type="textWrapping"/>
            </w:r>
            <w:r>
              <w:rPr>
                <w:rFonts w:hint="eastAsia"/>
                <w:b w:val="0"/>
                <w:bCs/>
                <w:color w:val="auto"/>
                <w:sz w:val="22"/>
                <w:szCs w:val="21"/>
                <w:lang w:val="en-US" w:eastAsia="zh-CN"/>
              </w:rPr>
              <w:t>阻尼系数 ( 1KHz &amp; 8Ω )：≥900</w:t>
            </w:r>
            <w:r>
              <w:rPr>
                <w:rFonts w:hint="eastAsia"/>
                <w:b w:val="0"/>
                <w:bCs/>
                <w:color w:val="auto"/>
                <w:sz w:val="22"/>
                <w:szCs w:val="21"/>
                <w:lang w:val="en-US" w:eastAsia="zh-CN"/>
              </w:rPr>
              <w:br w:type="textWrapping"/>
            </w:r>
            <w:r>
              <w:rPr>
                <w:rFonts w:hint="eastAsia"/>
                <w:b w:val="0"/>
                <w:bCs/>
                <w:color w:val="auto"/>
                <w:sz w:val="22"/>
                <w:szCs w:val="21"/>
                <w:lang w:val="en-US" w:eastAsia="zh-CN"/>
              </w:rPr>
              <w:t>互调失真( 20Hz-20KHz，半功率 )：≤0.02%</w:t>
            </w:r>
            <w:r>
              <w:rPr>
                <w:rFonts w:hint="eastAsia"/>
                <w:b w:val="0"/>
                <w:bCs/>
                <w:color w:val="auto"/>
                <w:sz w:val="22"/>
                <w:szCs w:val="21"/>
                <w:lang w:val="en-US" w:eastAsia="zh-CN"/>
              </w:rPr>
              <w:br w:type="textWrapping"/>
            </w:r>
            <w:r>
              <w:rPr>
                <w:rFonts w:hint="eastAsia"/>
                <w:b w:val="0"/>
                <w:bCs/>
                <w:color w:val="auto"/>
                <w:sz w:val="22"/>
                <w:szCs w:val="21"/>
                <w:lang w:val="en-US" w:eastAsia="zh-CN"/>
              </w:rPr>
              <w:t>总谐波失真( 20Hz-20KHz，半功率 )：≤0.03%</w:t>
            </w:r>
            <w:r>
              <w:rPr>
                <w:rFonts w:hint="eastAsia"/>
                <w:b w:val="0"/>
                <w:bCs/>
                <w:color w:val="auto"/>
                <w:sz w:val="22"/>
                <w:szCs w:val="21"/>
                <w:lang w:val="en-US" w:eastAsia="zh-CN"/>
              </w:rPr>
              <w:br w:type="textWrapping"/>
            </w:r>
            <w:r>
              <w:rPr>
                <w:rFonts w:hint="eastAsia"/>
                <w:b w:val="0"/>
                <w:bCs/>
                <w:color w:val="auto"/>
                <w:sz w:val="22"/>
                <w:szCs w:val="21"/>
                <w:lang w:val="en-US" w:eastAsia="zh-CN"/>
              </w:rPr>
              <w:t>相位响应( 1W &amp; 8Ω，20Hz-20KHz )：≤±1.5°</w:t>
            </w:r>
            <w:r>
              <w:rPr>
                <w:rFonts w:hint="eastAsia"/>
                <w:b w:val="0"/>
                <w:bCs/>
                <w:color w:val="auto"/>
                <w:sz w:val="22"/>
                <w:szCs w:val="21"/>
                <w:lang w:val="en-US" w:eastAsia="zh-CN"/>
              </w:rPr>
              <w:br w:type="textWrapping"/>
            </w:r>
            <w:r>
              <w:rPr>
                <w:rFonts w:hint="eastAsia"/>
                <w:b w:val="0"/>
                <w:bCs/>
                <w:color w:val="auto"/>
                <w:sz w:val="22"/>
                <w:szCs w:val="21"/>
                <w:lang w:val="en-US" w:eastAsia="zh-CN"/>
              </w:rPr>
              <w:t>转换速率：≥60V / us</w:t>
            </w:r>
            <w:r>
              <w:rPr>
                <w:rFonts w:hint="eastAsia"/>
                <w:b w:val="0"/>
                <w:bCs/>
                <w:color w:val="auto"/>
                <w:sz w:val="22"/>
                <w:szCs w:val="21"/>
                <w:lang w:val="en-US" w:eastAsia="zh-CN"/>
              </w:rPr>
              <w:br w:type="textWrapping"/>
            </w:r>
            <w:r>
              <w:rPr>
                <w:rFonts w:hint="eastAsia"/>
                <w:b w:val="0"/>
                <w:bCs/>
                <w:color w:val="auto"/>
                <w:sz w:val="22"/>
                <w:szCs w:val="21"/>
                <w:lang w:val="en-US" w:eastAsia="zh-CN"/>
              </w:rPr>
              <w:t>输出电路类型：CLASS-D 类</w:t>
            </w:r>
            <w:r>
              <w:rPr>
                <w:rFonts w:hint="eastAsia"/>
                <w:b w:val="0"/>
                <w:bCs/>
                <w:color w:val="auto"/>
                <w:sz w:val="22"/>
                <w:szCs w:val="21"/>
                <w:lang w:val="en-US" w:eastAsia="zh-CN"/>
              </w:rPr>
              <w:br w:type="textWrapping"/>
            </w:r>
            <w:r>
              <w:rPr>
                <w:rFonts w:hint="eastAsia"/>
                <w:b w:val="0"/>
                <w:bCs/>
                <w:color w:val="auto"/>
                <w:sz w:val="22"/>
                <w:szCs w:val="21"/>
                <w:lang w:val="en-US" w:eastAsia="zh-CN"/>
              </w:rPr>
              <w:t>前面板指示：电源，削波，压限，信号</w:t>
            </w:r>
            <w:r>
              <w:rPr>
                <w:rFonts w:hint="eastAsia"/>
                <w:b w:val="0"/>
                <w:bCs/>
                <w:color w:val="auto"/>
                <w:sz w:val="22"/>
                <w:szCs w:val="21"/>
                <w:lang w:val="en-US" w:eastAsia="zh-CN"/>
              </w:rPr>
              <w:br w:type="textWrapping"/>
            </w:r>
            <w:r>
              <w:rPr>
                <w:rFonts w:hint="eastAsia"/>
                <w:b w:val="0"/>
                <w:bCs/>
                <w:color w:val="auto"/>
                <w:sz w:val="22"/>
                <w:szCs w:val="21"/>
                <w:lang w:val="en-US" w:eastAsia="zh-CN"/>
              </w:rPr>
              <w:t>后面板接口：并机输入：母3针XLR×2，输出：公3针XLR×2；PSZ信号输出外接线柱</w:t>
            </w:r>
            <w:r>
              <w:rPr>
                <w:rFonts w:hint="eastAsia"/>
                <w:b w:val="0"/>
                <w:bCs/>
                <w:color w:val="auto"/>
                <w:sz w:val="22"/>
                <w:szCs w:val="21"/>
                <w:lang w:val="en-US" w:eastAsia="zh-CN"/>
              </w:rPr>
              <w:br w:type="textWrapping"/>
            </w:r>
            <w:r>
              <w:rPr>
                <w:rFonts w:hint="eastAsia"/>
                <w:b w:val="0"/>
                <w:bCs/>
                <w:color w:val="auto"/>
                <w:sz w:val="22"/>
                <w:szCs w:val="21"/>
                <w:lang w:val="en-US" w:eastAsia="zh-CN"/>
              </w:rPr>
              <w:t>冷却系统：全智能系统随温度变化自动调节</w:t>
            </w:r>
            <w:r>
              <w:rPr>
                <w:rFonts w:hint="eastAsia"/>
                <w:b w:val="0"/>
                <w:bCs/>
                <w:color w:val="auto"/>
                <w:sz w:val="22"/>
                <w:szCs w:val="21"/>
                <w:lang w:val="en-US" w:eastAsia="zh-CN"/>
              </w:rPr>
              <w:br w:type="textWrapping"/>
            </w:r>
            <w:r>
              <w:rPr>
                <w:rFonts w:hint="eastAsia"/>
                <w:b w:val="0"/>
                <w:bCs/>
                <w:color w:val="auto"/>
                <w:sz w:val="22"/>
                <w:szCs w:val="21"/>
                <w:lang w:val="en-US" w:eastAsia="zh-CN"/>
              </w:rPr>
              <w:t>外形尺寸（W×D×H）：483 x 317x 45 mm</w:t>
            </w:r>
            <w:r>
              <w:rPr>
                <w:rFonts w:hint="eastAsia"/>
                <w:b w:val="0"/>
                <w:bCs/>
                <w:color w:val="auto"/>
                <w:sz w:val="22"/>
                <w:szCs w:val="21"/>
                <w:lang w:val="en-US" w:eastAsia="zh-CN"/>
              </w:rPr>
              <w:br w:type="textWrapping"/>
            </w:r>
            <w:r>
              <w:rPr>
                <w:rFonts w:hint="eastAsia"/>
                <w:b w:val="0"/>
                <w:bCs/>
                <w:color w:val="auto"/>
                <w:sz w:val="22"/>
                <w:szCs w:val="21"/>
                <w:lang w:val="en-US" w:eastAsia="zh-CN"/>
              </w:rPr>
              <w:t>重量：3.6kg</w:t>
            </w:r>
          </w:p>
        </w:tc>
        <w:tc>
          <w:tcPr>
            <w:tcW w:w="1030" w:type="dxa"/>
            <w:gridSpan w:val="6"/>
            <w:tcBorders>
              <w:top w:val="single" w:color="000000" w:sz="4" w:space="0"/>
              <w:left w:val="single" w:color="000000" w:sz="4" w:space="0"/>
              <w:bottom w:val="single" w:color="000000" w:sz="4" w:space="0"/>
              <w:right w:val="single" w:color="000000" w:sz="4" w:space="0"/>
            </w:tcBorders>
            <w:noWrap/>
            <w:vAlign w:val="center"/>
          </w:tcPr>
          <w:p w14:paraId="23B87CAB">
            <w:pPr>
              <w:rPr>
                <w:rFonts w:hint="eastAsia"/>
                <w:b w:val="0"/>
                <w:bCs/>
                <w:color w:val="auto"/>
                <w:sz w:val="22"/>
                <w:szCs w:val="21"/>
              </w:rPr>
            </w:pPr>
            <w:r>
              <w:rPr>
                <w:rFonts w:hint="eastAsia"/>
                <w:b w:val="0"/>
                <w:bCs/>
                <w:color w:val="auto"/>
                <w:sz w:val="22"/>
                <w:szCs w:val="21"/>
                <w:lang w:val="en-US" w:eastAsia="zh-CN"/>
              </w:rPr>
              <w:t>2</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2136214E">
            <w:pPr>
              <w:rPr>
                <w:rFonts w:hint="eastAsia"/>
                <w:b w:val="0"/>
                <w:bCs/>
                <w:color w:val="auto"/>
                <w:sz w:val="22"/>
                <w:szCs w:val="21"/>
              </w:rPr>
            </w:pPr>
            <w:r>
              <w:rPr>
                <w:rFonts w:hint="eastAsia"/>
                <w:b w:val="0"/>
                <w:bCs/>
                <w:color w:val="auto"/>
                <w:sz w:val="22"/>
                <w:szCs w:val="21"/>
                <w:lang w:val="en-US" w:eastAsia="zh-CN"/>
              </w:rPr>
              <w:t>台</w:t>
            </w:r>
          </w:p>
        </w:tc>
      </w:tr>
      <w:tr w14:paraId="5CED5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4AF72639">
            <w:pPr>
              <w:rPr>
                <w:rFonts w:hint="eastAsia"/>
                <w:b w:val="0"/>
                <w:bCs/>
                <w:color w:val="auto"/>
                <w:sz w:val="22"/>
                <w:szCs w:val="21"/>
              </w:rPr>
            </w:pPr>
            <w:r>
              <w:rPr>
                <w:rFonts w:hint="eastAsia"/>
                <w:b w:val="0"/>
                <w:bCs/>
                <w:color w:val="auto"/>
                <w:sz w:val="22"/>
                <w:szCs w:val="21"/>
                <w:lang w:val="en-US" w:eastAsia="zh-CN"/>
              </w:rPr>
              <w:t>3</w:t>
            </w: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63B83827">
            <w:pPr>
              <w:rPr>
                <w:rFonts w:hint="eastAsia"/>
                <w:b w:val="0"/>
                <w:bCs/>
                <w:color w:val="auto"/>
                <w:sz w:val="22"/>
                <w:szCs w:val="21"/>
              </w:rPr>
            </w:pPr>
            <w:r>
              <w:rPr>
                <w:rFonts w:hint="eastAsia"/>
                <w:b w:val="0"/>
                <w:bCs/>
                <w:color w:val="auto"/>
                <w:sz w:val="22"/>
                <w:szCs w:val="21"/>
                <w:lang w:val="en-US" w:eastAsia="zh-CN"/>
              </w:rPr>
              <w:t>音频处理器(含音频处理器软件V1.0.3)</w:t>
            </w:r>
          </w:p>
        </w:tc>
        <w:tc>
          <w:tcPr>
            <w:tcW w:w="9139" w:type="dxa"/>
            <w:gridSpan w:val="10"/>
            <w:tcBorders>
              <w:top w:val="single" w:color="000000" w:sz="4" w:space="0"/>
              <w:left w:val="single" w:color="000000" w:sz="4" w:space="0"/>
              <w:bottom w:val="single" w:color="000000" w:sz="4" w:space="0"/>
              <w:right w:val="single" w:color="000000" w:sz="4" w:space="0"/>
            </w:tcBorders>
            <w:noWrap w:val="0"/>
            <w:vAlign w:val="center"/>
          </w:tcPr>
          <w:p w14:paraId="2284F7AC">
            <w:pPr>
              <w:rPr>
                <w:rFonts w:hint="eastAsia"/>
                <w:b w:val="0"/>
                <w:bCs/>
                <w:color w:val="auto"/>
                <w:sz w:val="22"/>
                <w:szCs w:val="21"/>
              </w:rPr>
            </w:pPr>
            <w:r>
              <w:rPr>
                <w:rFonts w:hint="eastAsia"/>
                <w:b w:val="0"/>
                <w:bCs/>
                <w:color w:val="auto"/>
                <w:sz w:val="22"/>
                <w:szCs w:val="21"/>
                <w:lang w:val="en-US" w:eastAsia="zh-CN"/>
              </w:rPr>
              <w:t>产品描述：</w:t>
            </w:r>
            <w:r>
              <w:rPr>
                <w:rFonts w:hint="eastAsia"/>
                <w:b w:val="0"/>
                <w:bCs/>
                <w:color w:val="auto"/>
                <w:sz w:val="22"/>
                <w:szCs w:val="21"/>
                <w:lang w:val="en-US" w:eastAsia="zh-CN"/>
              </w:rPr>
              <w:br w:type="textWrapping"/>
            </w:r>
            <w:r>
              <w:rPr>
                <w:rFonts w:hint="eastAsia"/>
                <w:b w:val="0"/>
                <w:bCs/>
                <w:color w:val="auto"/>
                <w:sz w:val="22"/>
                <w:szCs w:val="21"/>
                <w:lang w:val="en-US" w:eastAsia="zh-CN"/>
              </w:rPr>
              <w:t>1U机柜式设计，双层双色双拼面板，彰显立体美感；</w:t>
            </w:r>
            <w:r>
              <w:rPr>
                <w:rFonts w:hint="eastAsia"/>
                <w:b w:val="0"/>
                <w:bCs/>
                <w:color w:val="auto"/>
                <w:sz w:val="22"/>
                <w:szCs w:val="21"/>
                <w:lang w:val="en-US" w:eastAsia="zh-CN"/>
              </w:rPr>
              <w:br w:type="textWrapping"/>
            </w:r>
            <w:r>
              <w:rPr>
                <w:rFonts w:hint="eastAsia"/>
                <w:b w:val="0"/>
                <w:bCs/>
                <w:color w:val="auto"/>
                <w:sz w:val="22"/>
                <w:szCs w:val="21"/>
                <w:lang w:val="en-US" w:eastAsia="zh-CN"/>
              </w:rPr>
              <w:t>96KHz采样频率，40-bit DSP处理器，24-bitA/D及D/A转换。</w:t>
            </w:r>
            <w:r>
              <w:rPr>
                <w:rFonts w:hint="eastAsia"/>
                <w:b w:val="0"/>
                <w:bCs/>
                <w:color w:val="auto"/>
                <w:sz w:val="22"/>
                <w:szCs w:val="21"/>
                <w:lang w:val="en-US" w:eastAsia="zh-CN"/>
              </w:rPr>
              <w:br w:type="textWrapping"/>
            </w:r>
            <w:r>
              <w:rPr>
                <w:rFonts w:hint="eastAsia"/>
                <w:b w:val="0"/>
                <w:bCs/>
                <w:color w:val="auto"/>
                <w:sz w:val="22"/>
                <w:szCs w:val="21"/>
                <w:lang w:val="en-US" w:eastAsia="zh-CN"/>
              </w:rPr>
              <w:t>2输入4输出，可灵活组合多种分频模式，高、低通分频点均可达20Hz-20KHz。</w:t>
            </w:r>
            <w:r>
              <w:rPr>
                <w:rFonts w:hint="eastAsia"/>
                <w:b w:val="0"/>
                <w:bCs/>
                <w:color w:val="auto"/>
                <w:sz w:val="22"/>
                <w:szCs w:val="21"/>
                <w:lang w:val="en-US" w:eastAsia="zh-CN"/>
              </w:rPr>
              <w:br w:type="textWrapping"/>
            </w:r>
            <w:r>
              <w:rPr>
                <w:rFonts w:hint="eastAsia"/>
                <w:b w:val="0"/>
                <w:bCs/>
                <w:color w:val="auto"/>
                <w:sz w:val="22"/>
                <w:szCs w:val="21"/>
                <w:lang w:val="en-US" w:eastAsia="zh-CN"/>
              </w:rPr>
              <w:t>每个输入通道具备15段独立的参量均衡，调节增益范围可达±20dB，均衡类型可选择PEQ、Lo-shelf、Hi-shelf、APL1阶全通滤波器、APL2阶全通滤波器。</w:t>
            </w:r>
            <w:r>
              <w:rPr>
                <w:rFonts w:hint="eastAsia"/>
                <w:b w:val="0"/>
                <w:bCs/>
                <w:color w:val="auto"/>
                <w:sz w:val="22"/>
                <w:szCs w:val="21"/>
                <w:lang w:val="en-US" w:eastAsia="zh-CN"/>
              </w:rPr>
              <w:br w:type="textWrapping"/>
            </w:r>
            <w:r>
              <w:rPr>
                <w:rFonts w:hint="eastAsia"/>
                <w:b w:val="0"/>
                <w:bCs/>
                <w:color w:val="auto"/>
                <w:sz w:val="22"/>
                <w:szCs w:val="21"/>
                <w:lang w:val="en-US" w:eastAsia="zh-CN"/>
              </w:rPr>
              <w:t>每个输出通道具备10段独立的参量均衡，调节增益范围可达±20dB，均衡类型可选择PEQ、Lo-shelf、Hi-shelf、APL1阶全通滤波器、APL2阶全通滤波器。</w:t>
            </w:r>
            <w:r>
              <w:rPr>
                <w:rFonts w:hint="eastAsia"/>
                <w:b w:val="0"/>
                <w:bCs/>
                <w:color w:val="auto"/>
                <w:sz w:val="22"/>
                <w:szCs w:val="21"/>
                <w:lang w:val="en-US" w:eastAsia="zh-CN"/>
              </w:rPr>
              <w:br w:type="textWrapping"/>
            </w:r>
            <w:r>
              <w:rPr>
                <w:rFonts w:hint="eastAsia"/>
                <w:b w:val="0"/>
                <w:bCs/>
                <w:color w:val="auto"/>
                <w:sz w:val="22"/>
                <w:szCs w:val="21"/>
                <w:lang w:val="en-US" w:eastAsia="zh-CN"/>
              </w:rPr>
              <w:t>每个输入和输出均有延时和相位控制及静音设置，延时最长可达1000ms，延时单位可选择毫秒(ms)、米(m)、英尺(ft)三种。</w:t>
            </w:r>
            <w:r>
              <w:rPr>
                <w:rFonts w:hint="eastAsia"/>
                <w:b w:val="0"/>
                <w:bCs/>
                <w:color w:val="auto"/>
                <w:sz w:val="22"/>
                <w:szCs w:val="21"/>
                <w:lang w:val="en-US" w:eastAsia="zh-CN"/>
              </w:rPr>
              <w:br w:type="textWrapping"/>
            </w:r>
            <w:r>
              <w:rPr>
                <w:rFonts w:hint="eastAsia"/>
                <w:b w:val="0"/>
                <w:bCs/>
                <w:color w:val="auto"/>
                <w:sz w:val="22"/>
                <w:szCs w:val="21"/>
                <w:lang w:val="en-US" w:eastAsia="zh-CN"/>
              </w:rPr>
              <w:t>每个输入通道支持低切功能，低切频率范围为20Hz-200Hz。</w:t>
            </w:r>
            <w:r>
              <w:rPr>
                <w:rFonts w:hint="eastAsia"/>
                <w:b w:val="0"/>
                <w:bCs/>
                <w:color w:val="auto"/>
                <w:sz w:val="22"/>
                <w:szCs w:val="21"/>
                <w:lang w:val="en-US" w:eastAsia="zh-CN"/>
              </w:rPr>
              <w:br w:type="textWrapping"/>
            </w:r>
            <w:r>
              <w:rPr>
                <w:rFonts w:hint="eastAsia"/>
                <w:b w:val="0"/>
                <w:bCs/>
                <w:color w:val="auto"/>
                <w:sz w:val="22"/>
                <w:szCs w:val="21"/>
                <w:lang w:val="en-US" w:eastAsia="zh-CN"/>
              </w:rPr>
              <w:t>每个输入通道具备可调噪声门，并且每个输入通道支持自动增益控制（AGC）。</w:t>
            </w:r>
            <w:r>
              <w:rPr>
                <w:rFonts w:hint="eastAsia"/>
                <w:b w:val="0"/>
                <w:bCs/>
                <w:color w:val="auto"/>
                <w:sz w:val="22"/>
                <w:szCs w:val="21"/>
                <w:lang w:val="en-US" w:eastAsia="zh-CN"/>
              </w:rPr>
              <w:br w:type="textWrapping"/>
            </w:r>
            <w:r>
              <w:rPr>
                <w:rFonts w:hint="eastAsia"/>
                <w:b w:val="0"/>
                <w:bCs/>
                <w:color w:val="auto"/>
                <w:sz w:val="22"/>
                <w:szCs w:val="21"/>
                <w:lang w:val="en-US" w:eastAsia="zh-CN"/>
              </w:rPr>
              <w:t>每个输出通道具备增益控制、压限及选择输入通道信号。</w:t>
            </w:r>
            <w:r>
              <w:rPr>
                <w:rFonts w:hint="eastAsia"/>
                <w:b w:val="0"/>
                <w:bCs/>
                <w:color w:val="auto"/>
                <w:sz w:val="22"/>
                <w:szCs w:val="21"/>
                <w:lang w:val="en-US" w:eastAsia="zh-CN"/>
              </w:rPr>
              <w:br w:type="textWrapping"/>
            </w:r>
            <w:r>
              <w:rPr>
                <w:rFonts w:hint="eastAsia"/>
                <w:b w:val="0"/>
                <w:bCs/>
                <w:color w:val="auto"/>
                <w:sz w:val="22"/>
                <w:szCs w:val="21"/>
                <w:lang w:val="en-US" w:eastAsia="zh-CN"/>
              </w:rPr>
              <w:t>输入通道之间、输出通道之间支持通道联调。</w:t>
            </w:r>
            <w:r>
              <w:rPr>
                <w:rFonts w:hint="eastAsia"/>
                <w:b w:val="0"/>
                <w:bCs/>
                <w:color w:val="auto"/>
                <w:sz w:val="22"/>
                <w:szCs w:val="21"/>
                <w:lang w:val="en-US" w:eastAsia="zh-CN"/>
              </w:rPr>
              <w:br w:type="textWrapping"/>
            </w:r>
            <w:r>
              <w:rPr>
                <w:rFonts w:hint="eastAsia"/>
                <w:b w:val="0"/>
                <w:bCs/>
                <w:color w:val="auto"/>
                <w:sz w:val="22"/>
                <w:szCs w:val="21"/>
                <w:lang w:val="en-US" w:eastAsia="zh-CN"/>
              </w:rPr>
              <w:t>可以通过面板的功能键和拔轮、PC客户端进行功能设置，直观和简洁。</w:t>
            </w:r>
            <w:r>
              <w:rPr>
                <w:rFonts w:hint="eastAsia"/>
                <w:b w:val="0"/>
                <w:bCs/>
                <w:color w:val="auto"/>
                <w:sz w:val="22"/>
                <w:szCs w:val="21"/>
                <w:lang w:val="en-US" w:eastAsia="zh-CN"/>
              </w:rPr>
              <w:br w:type="textWrapping"/>
            </w:r>
            <w:r>
              <w:rPr>
                <w:rFonts w:hint="eastAsia"/>
                <w:b w:val="0"/>
                <w:bCs/>
                <w:color w:val="auto"/>
                <w:sz w:val="22"/>
                <w:szCs w:val="21"/>
                <w:lang w:val="en-US" w:eastAsia="zh-CN"/>
              </w:rPr>
              <w:t>可通过USB、WIFI、有线网络连接电脑实现远程控制。</w:t>
            </w:r>
            <w:r>
              <w:rPr>
                <w:rFonts w:hint="eastAsia"/>
                <w:b w:val="0"/>
                <w:bCs/>
                <w:color w:val="auto"/>
                <w:sz w:val="22"/>
                <w:szCs w:val="21"/>
                <w:lang w:val="en-US" w:eastAsia="zh-CN"/>
              </w:rPr>
              <w:br w:type="textWrapping"/>
            </w:r>
            <w:r>
              <w:rPr>
                <w:rFonts w:hint="eastAsia"/>
                <w:b w:val="0"/>
                <w:bCs/>
                <w:color w:val="auto"/>
                <w:sz w:val="22"/>
                <w:szCs w:val="21"/>
                <w:lang w:val="en-US" w:eastAsia="zh-CN"/>
              </w:rPr>
              <w:t>可以通过RS-485接口连接中控主机来实现主要参数的修改和程序的调用。</w:t>
            </w:r>
            <w:r>
              <w:rPr>
                <w:rFonts w:hint="eastAsia"/>
                <w:b w:val="0"/>
                <w:bCs/>
                <w:color w:val="auto"/>
                <w:sz w:val="22"/>
                <w:szCs w:val="21"/>
                <w:lang w:val="en-US" w:eastAsia="zh-CN"/>
              </w:rPr>
              <w:br w:type="textWrapping"/>
            </w:r>
            <w:r>
              <w:rPr>
                <w:rFonts w:hint="eastAsia"/>
                <w:b w:val="0"/>
                <w:bCs/>
                <w:color w:val="auto"/>
                <w:sz w:val="22"/>
                <w:szCs w:val="21"/>
                <w:lang w:val="en-US" w:eastAsia="zh-CN"/>
              </w:rPr>
              <w:t>可通过面板的SYSTEM按键来设定密码锁定面板控制功能，以防止参数被修改。</w:t>
            </w:r>
            <w:r>
              <w:rPr>
                <w:rFonts w:hint="eastAsia"/>
                <w:b w:val="0"/>
                <w:bCs/>
                <w:color w:val="auto"/>
                <w:sz w:val="22"/>
                <w:szCs w:val="21"/>
                <w:lang w:val="en-US" w:eastAsia="zh-CN"/>
              </w:rPr>
              <w:br w:type="textWrapping"/>
            </w:r>
            <w:r>
              <w:rPr>
                <w:rFonts w:hint="eastAsia"/>
                <w:b w:val="0"/>
                <w:bCs/>
                <w:color w:val="auto"/>
                <w:sz w:val="22"/>
                <w:szCs w:val="21"/>
                <w:lang w:val="en-US" w:eastAsia="zh-CN"/>
              </w:rPr>
              <w:t>内置信号发生器，支持正弦波、白噪声、粉红噪声，在不需要外部输入信号的情况下，即可对扩声系统进行测试；</w:t>
            </w:r>
            <w:r>
              <w:rPr>
                <w:rFonts w:hint="eastAsia"/>
                <w:b w:val="0"/>
                <w:bCs/>
                <w:color w:val="auto"/>
                <w:sz w:val="22"/>
                <w:szCs w:val="21"/>
                <w:lang w:val="en-US" w:eastAsia="zh-CN"/>
              </w:rPr>
              <w:br w:type="textWrapping"/>
            </w:r>
            <w:r>
              <w:rPr>
                <w:rFonts w:hint="eastAsia"/>
                <w:b w:val="0"/>
                <w:bCs/>
                <w:color w:val="auto"/>
                <w:sz w:val="22"/>
                <w:szCs w:val="21"/>
                <w:lang w:val="en-US" w:eastAsia="zh-CN"/>
              </w:rPr>
              <w:t>单机可存储16种用户程序。</w:t>
            </w:r>
            <w:r>
              <w:rPr>
                <w:rFonts w:hint="eastAsia"/>
                <w:b w:val="0"/>
                <w:bCs/>
                <w:color w:val="auto"/>
                <w:sz w:val="22"/>
                <w:szCs w:val="21"/>
                <w:lang w:val="en-US" w:eastAsia="zh-CN"/>
              </w:rPr>
              <w:br w:type="textWrapping"/>
            </w:r>
            <w:r>
              <w:rPr>
                <w:rFonts w:hint="eastAsia"/>
                <w:b w:val="0"/>
                <w:bCs/>
                <w:color w:val="auto"/>
                <w:sz w:val="22"/>
                <w:szCs w:val="21"/>
                <w:lang w:val="en-US" w:eastAsia="zh-CN"/>
              </w:rPr>
              <w:t>PC客户端内置中控控制代码文件、并支持实现一键中英文切换。</w:t>
            </w:r>
            <w:r>
              <w:rPr>
                <w:rFonts w:hint="eastAsia"/>
                <w:b w:val="0"/>
                <w:bCs/>
                <w:color w:val="auto"/>
                <w:sz w:val="22"/>
                <w:szCs w:val="21"/>
                <w:lang w:val="en-US" w:eastAsia="zh-CN"/>
              </w:rPr>
              <w:br w:type="textWrapping"/>
            </w:r>
            <w:r>
              <w:rPr>
                <w:rFonts w:hint="eastAsia"/>
                <w:b w:val="0"/>
                <w:bCs/>
                <w:color w:val="auto"/>
                <w:sz w:val="22"/>
                <w:szCs w:val="21"/>
                <w:lang w:val="en-US" w:eastAsia="zh-CN"/>
              </w:rPr>
              <w:t>技术参数：</w:t>
            </w:r>
            <w:r>
              <w:rPr>
                <w:rFonts w:hint="eastAsia"/>
                <w:b w:val="0"/>
                <w:bCs/>
                <w:color w:val="auto"/>
                <w:sz w:val="22"/>
                <w:szCs w:val="21"/>
                <w:lang w:val="en-US" w:eastAsia="zh-CN"/>
              </w:rPr>
              <w:br w:type="textWrapping"/>
            </w:r>
            <w:r>
              <w:rPr>
                <w:rFonts w:hint="eastAsia"/>
                <w:b w:val="0"/>
                <w:bCs/>
                <w:color w:val="auto"/>
                <w:sz w:val="22"/>
                <w:szCs w:val="21"/>
                <w:lang w:val="en-US" w:eastAsia="zh-CN"/>
              </w:rPr>
              <w:t>输入通道及插座：2路XLR母卡侬座</w:t>
            </w:r>
            <w:r>
              <w:rPr>
                <w:rFonts w:hint="eastAsia"/>
                <w:b w:val="0"/>
                <w:bCs/>
                <w:color w:val="auto"/>
                <w:sz w:val="22"/>
                <w:szCs w:val="21"/>
                <w:lang w:val="en-US" w:eastAsia="zh-CN"/>
              </w:rPr>
              <w:br w:type="textWrapping"/>
            </w:r>
            <w:r>
              <w:rPr>
                <w:rFonts w:hint="eastAsia"/>
                <w:b w:val="0"/>
                <w:bCs/>
                <w:color w:val="auto"/>
                <w:sz w:val="22"/>
                <w:szCs w:val="21"/>
                <w:lang w:val="en-US" w:eastAsia="zh-CN"/>
              </w:rPr>
              <w:t>输出通道及插座：4路XLR公卡侬座</w:t>
            </w:r>
            <w:r>
              <w:rPr>
                <w:rFonts w:hint="eastAsia"/>
                <w:b w:val="0"/>
                <w:bCs/>
                <w:color w:val="auto"/>
                <w:sz w:val="22"/>
                <w:szCs w:val="21"/>
                <w:lang w:val="en-US" w:eastAsia="zh-CN"/>
              </w:rPr>
              <w:br w:type="textWrapping"/>
            </w:r>
            <w:r>
              <w:rPr>
                <w:rFonts w:hint="eastAsia"/>
                <w:b w:val="0"/>
                <w:bCs/>
                <w:color w:val="auto"/>
                <w:sz w:val="22"/>
                <w:szCs w:val="21"/>
                <w:lang w:val="en-US" w:eastAsia="zh-CN"/>
              </w:rPr>
              <w:t>输入阻抗：平衡：20KΩ</w:t>
            </w:r>
            <w:r>
              <w:rPr>
                <w:rFonts w:hint="eastAsia"/>
                <w:b w:val="0"/>
                <w:bCs/>
                <w:color w:val="auto"/>
                <w:sz w:val="22"/>
                <w:szCs w:val="21"/>
                <w:lang w:val="en-US" w:eastAsia="zh-CN"/>
              </w:rPr>
              <w:br w:type="textWrapping"/>
            </w:r>
            <w:r>
              <w:rPr>
                <w:rFonts w:hint="eastAsia"/>
                <w:b w:val="0"/>
                <w:bCs/>
                <w:color w:val="auto"/>
                <w:sz w:val="22"/>
                <w:szCs w:val="21"/>
                <w:lang w:val="en-US" w:eastAsia="zh-CN"/>
              </w:rPr>
              <w:t>输出阻抗：平衡：100Ω</w:t>
            </w:r>
            <w:r>
              <w:rPr>
                <w:rFonts w:hint="eastAsia"/>
                <w:b w:val="0"/>
                <w:bCs/>
                <w:color w:val="auto"/>
                <w:sz w:val="22"/>
                <w:szCs w:val="21"/>
                <w:lang w:val="en-US" w:eastAsia="zh-CN"/>
              </w:rPr>
              <w:br w:type="textWrapping"/>
            </w:r>
            <w:r>
              <w:rPr>
                <w:rFonts w:hint="eastAsia"/>
                <w:b w:val="0"/>
                <w:bCs/>
                <w:color w:val="auto"/>
                <w:sz w:val="22"/>
                <w:szCs w:val="21"/>
                <w:lang w:val="en-US" w:eastAsia="zh-CN"/>
              </w:rPr>
              <w:t>PC接口：面板1个USB接口、后板1个TCP/IP接口(RJ-45座)</w:t>
            </w:r>
            <w:r>
              <w:rPr>
                <w:rFonts w:hint="eastAsia"/>
                <w:b w:val="0"/>
                <w:bCs/>
                <w:color w:val="auto"/>
                <w:sz w:val="22"/>
                <w:szCs w:val="21"/>
                <w:lang w:val="en-US" w:eastAsia="zh-CN"/>
              </w:rPr>
              <w:br w:type="textWrapping"/>
            </w:r>
            <w:r>
              <w:rPr>
                <w:rFonts w:hint="eastAsia"/>
                <w:b w:val="0"/>
                <w:bCs/>
                <w:color w:val="auto"/>
                <w:sz w:val="22"/>
                <w:szCs w:val="21"/>
                <w:lang w:val="en-US" w:eastAsia="zh-CN"/>
              </w:rPr>
              <w:t>共模拟制比：&gt;70dB(1KHz)</w:t>
            </w:r>
            <w:r>
              <w:rPr>
                <w:rFonts w:hint="eastAsia"/>
                <w:b w:val="0"/>
                <w:bCs/>
                <w:color w:val="auto"/>
                <w:sz w:val="22"/>
                <w:szCs w:val="21"/>
                <w:lang w:val="en-US" w:eastAsia="zh-CN"/>
              </w:rPr>
              <w:br w:type="textWrapping"/>
            </w:r>
            <w:r>
              <w:rPr>
                <w:rFonts w:hint="eastAsia"/>
                <w:b w:val="0"/>
                <w:bCs/>
                <w:color w:val="auto"/>
                <w:sz w:val="22"/>
                <w:szCs w:val="21"/>
                <w:lang w:val="en-US" w:eastAsia="zh-CN"/>
              </w:rPr>
              <w:t>输入范围：≤+18dBu。</w:t>
            </w:r>
            <w:r>
              <w:rPr>
                <w:rFonts w:hint="eastAsia"/>
                <w:b w:val="0"/>
                <w:bCs/>
                <w:color w:val="auto"/>
                <w:sz w:val="22"/>
                <w:szCs w:val="21"/>
                <w:lang w:val="en-US" w:eastAsia="zh-CN"/>
              </w:rPr>
              <w:br w:type="textWrapping"/>
            </w:r>
            <w:r>
              <w:rPr>
                <w:rFonts w:hint="eastAsia"/>
                <w:b w:val="0"/>
                <w:bCs/>
                <w:color w:val="auto"/>
                <w:sz w:val="22"/>
                <w:szCs w:val="21"/>
                <w:lang w:val="en-US" w:eastAsia="zh-CN"/>
              </w:rPr>
              <w:t>频率响应：20Hz-20KHz(-0.5dB)</w:t>
            </w:r>
            <w:r>
              <w:rPr>
                <w:rFonts w:hint="eastAsia"/>
                <w:b w:val="0"/>
                <w:bCs/>
                <w:color w:val="auto"/>
                <w:sz w:val="22"/>
                <w:szCs w:val="21"/>
                <w:lang w:val="en-US" w:eastAsia="zh-CN"/>
              </w:rPr>
              <w:br w:type="textWrapping"/>
            </w:r>
            <w:r>
              <w:rPr>
                <w:rFonts w:hint="eastAsia"/>
                <w:b w:val="0"/>
                <w:bCs/>
                <w:color w:val="auto"/>
                <w:sz w:val="22"/>
                <w:szCs w:val="21"/>
                <w:lang w:val="en-US" w:eastAsia="zh-CN"/>
              </w:rPr>
              <w:t>信噪比：&gt;108dB</w:t>
            </w:r>
            <w:r>
              <w:rPr>
                <w:rFonts w:hint="eastAsia"/>
                <w:b w:val="0"/>
                <w:bCs/>
                <w:color w:val="auto"/>
                <w:sz w:val="22"/>
                <w:szCs w:val="21"/>
                <w:lang w:val="en-US" w:eastAsia="zh-CN"/>
              </w:rPr>
              <w:br w:type="textWrapping"/>
            </w:r>
            <w:r>
              <w:rPr>
                <w:rFonts w:hint="eastAsia"/>
                <w:b w:val="0"/>
                <w:bCs/>
                <w:color w:val="auto"/>
                <w:sz w:val="22"/>
                <w:szCs w:val="21"/>
                <w:lang w:val="en-US" w:eastAsia="zh-CN"/>
              </w:rPr>
              <w:t>底噪水平：≤-85dBu</w:t>
            </w:r>
            <w:r>
              <w:rPr>
                <w:rFonts w:hint="eastAsia"/>
                <w:b w:val="0"/>
                <w:bCs/>
                <w:color w:val="auto"/>
                <w:sz w:val="22"/>
                <w:szCs w:val="21"/>
                <w:lang w:val="en-US" w:eastAsia="zh-CN"/>
              </w:rPr>
              <w:br w:type="textWrapping"/>
            </w:r>
            <w:r>
              <w:rPr>
                <w:rFonts w:hint="eastAsia"/>
                <w:b w:val="0"/>
                <w:bCs/>
                <w:color w:val="auto"/>
                <w:sz w:val="22"/>
                <w:szCs w:val="21"/>
                <w:lang w:val="en-US" w:eastAsia="zh-CN"/>
              </w:rPr>
              <w:t>失真度：&lt;0.01% OUTPUT=0dBu/1KHz</w:t>
            </w:r>
            <w:r>
              <w:rPr>
                <w:rFonts w:hint="eastAsia"/>
                <w:b w:val="0"/>
                <w:bCs/>
                <w:color w:val="auto"/>
                <w:sz w:val="22"/>
                <w:szCs w:val="21"/>
                <w:lang w:val="en-US" w:eastAsia="zh-CN"/>
              </w:rPr>
              <w:br w:type="textWrapping"/>
            </w:r>
            <w:r>
              <w:rPr>
                <w:rFonts w:hint="eastAsia"/>
                <w:b w:val="0"/>
                <w:bCs/>
                <w:color w:val="auto"/>
                <w:sz w:val="22"/>
                <w:szCs w:val="21"/>
                <w:lang w:val="en-US" w:eastAsia="zh-CN"/>
              </w:rPr>
              <w:t>通道分离度：&gt;110dB(1KHz)</w:t>
            </w:r>
            <w:r>
              <w:rPr>
                <w:rFonts w:hint="eastAsia"/>
                <w:b w:val="0"/>
                <w:bCs/>
                <w:color w:val="auto"/>
                <w:sz w:val="22"/>
                <w:szCs w:val="21"/>
                <w:lang w:val="en-US" w:eastAsia="zh-CN"/>
              </w:rPr>
              <w:br w:type="textWrapping"/>
            </w:r>
            <w:r>
              <w:rPr>
                <w:rFonts w:hint="eastAsia"/>
                <w:b w:val="0"/>
                <w:bCs/>
                <w:color w:val="auto"/>
                <w:sz w:val="22"/>
                <w:szCs w:val="21"/>
                <w:lang w:val="en-US" w:eastAsia="zh-CN"/>
              </w:rPr>
              <w:t>输入通道功能:</w:t>
            </w:r>
            <w:r>
              <w:rPr>
                <w:rFonts w:hint="eastAsia"/>
                <w:b w:val="0"/>
                <w:bCs/>
                <w:color w:val="auto"/>
                <w:sz w:val="22"/>
                <w:szCs w:val="21"/>
                <w:lang w:val="en-US" w:eastAsia="zh-CN"/>
              </w:rPr>
              <w:br w:type="textWrapping"/>
            </w:r>
            <w:r>
              <w:rPr>
                <w:rFonts w:hint="eastAsia"/>
                <w:b w:val="0"/>
                <w:bCs/>
                <w:color w:val="auto"/>
                <w:sz w:val="22"/>
                <w:szCs w:val="21"/>
                <w:lang w:val="en-US" w:eastAsia="zh-CN"/>
              </w:rPr>
              <w:t>静音：每个通道设立单独静音控制</w:t>
            </w:r>
            <w:r>
              <w:rPr>
                <w:rFonts w:hint="eastAsia"/>
                <w:b w:val="0"/>
                <w:bCs/>
                <w:color w:val="auto"/>
                <w:sz w:val="22"/>
                <w:szCs w:val="21"/>
                <w:lang w:val="en-US" w:eastAsia="zh-CN"/>
              </w:rPr>
              <w:br w:type="textWrapping"/>
            </w:r>
            <w:r>
              <w:rPr>
                <w:rFonts w:hint="eastAsia"/>
                <w:b w:val="0"/>
                <w:bCs/>
                <w:color w:val="auto"/>
                <w:sz w:val="22"/>
                <w:szCs w:val="21"/>
                <w:lang w:val="en-US" w:eastAsia="zh-CN"/>
              </w:rPr>
              <w:t>增益：调节范围：-60dB - +12dB、步距为1dB</w:t>
            </w:r>
            <w:r>
              <w:rPr>
                <w:rFonts w:hint="eastAsia"/>
                <w:b w:val="0"/>
                <w:bCs/>
                <w:color w:val="auto"/>
                <w:sz w:val="22"/>
                <w:szCs w:val="21"/>
                <w:lang w:val="en-US" w:eastAsia="zh-CN"/>
              </w:rPr>
              <w:br w:type="textWrapping"/>
            </w:r>
            <w:r>
              <w:rPr>
                <w:rFonts w:hint="eastAsia"/>
                <w:b w:val="0"/>
                <w:bCs/>
                <w:color w:val="auto"/>
                <w:sz w:val="22"/>
                <w:szCs w:val="21"/>
                <w:lang w:val="en-US" w:eastAsia="zh-CN"/>
              </w:rPr>
              <w:t>延时：每个输入通道有单独延时控制，调节范围0-1000ms，小于10ms，步距21us。10ms-20ms，步距42us。大于20ms，步距1ms</w:t>
            </w:r>
            <w:r>
              <w:rPr>
                <w:rFonts w:hint="eastAsia"/>
                <w:b w:val="0"/>
                <w:bCs/>
                <w:color w:val="auto"/>
                <w:sz w:val="22"/>
                <w:szCs w:val="21"/>
                <w:lang w:val="en-US" w:eastAsia="zh-CN"/>
              </w:rPr>
              <w:br w:type="textWrapping"/>
            </w:r>
            <w:r>
              <w:rPr>
                <w:rFonts w:hint="eastAsia"/>
                <w:b w:val="0"/>
                <w:bCs/>
                <w:color w:val="auto"/>
                <w:sz w:val="22"/>
                <w:szCs w:val="21"/>
                <w:lang w:val="en-US" w:eastAsia="zh-CN"/>
              </w:rPr>
              <w:t>相位：同相(+) 或反相(-)</w:t>
            </w:r>
            <w:r>
              <w:rPr>
                <w:rFonts w:hint="eastAsia"/>
                <w:b w:val="0"/>
                <w:bCs/>
                <w:color w:val="auto"/>
                <w:sz w:val="22"/>
                <w:szCs w:val="21"/>
                <w:lang w:val="en-US" w:eastAsia="zh-CN"/>
              </w:rPr>
              <w:br w:type="textWrapping"/>
            </w:r>
            <w:r>
              <w:rPr>
                <w:rFonts w:hint="eastAsia"/>
                <w:b w:val="0"/>
                <w:bCs/>
                <w:color w:val="auto"/>
                <w:sz w:val="22"/>
                <w:szCs w:val="21"/>
                <w:lang w:val="en-US" w:eastAsia="zh-CN"/>
              </w:rPr>
              <w:t>均衡：15个参量均衡，中心频率点：20Hz-20KHz、滤波器类型：PEQ、Lo-shelf、Hi-shelf、APL1阶、APL2、增益：-20dB-+20dB、步距0.1dB"</w:t>
            </w:r>
            <w:r>
              <w:rPr>
                <w:rFonts w:hint="eastAsia"/>
                <w:b w:val="0"/>
                <w:bCs/>
                <w:color w:val="auto"/>
                <w:sz w:val="22"/>
                <w:szCs w:val="21"/>
                <w:lang w:val="en-US" w:eastAsia="zh-CN"/>
              </w:rPr>
              <w:br w:type="textWrapping"/>
            </w:r>
            <w:r>
              <w:rPr>
                <w:rFonts w:hint="eastAsia"/>
                <w:b w:val="0"/>
                <w:bCs/>
                <w:color w:val="auto"/>
                <w:sz w:val="22"/>
                <w:szCs w:val="21"/>
                <w:lang w:val="en-US" w:eastAsia="zh-CN"/>
              </w:rPr>
              <w:t>输出通道功能:</w:t>
            </w:r>
            <w:r>
              <w:rPr>
                <w:rFonts w:hint="eastAsia"/>
                <w:b w:val="0"/>
                <w:bCs/>
                <w:color w:val="auto"/>
                <w:sz w:val="22"/>
                <w:szCs w:val="21"/>
                <w:lang w:val="en-US" w:eastAsia="zh-CN"/>
              </w:rPr>
              <w:br w:type="textWrapping"/>
            </w:r>
            <w:r>
              <w:rPr>
                <w:rFonts w:hint="eastAsia"/>
                <w:b w:val="0"/>
                <w:bCs/>
                <w:color w:val="auto"/>
                <w:sz w:val="22"/>
                <w:szCs w:val="21"/>
                <w:lang w:val="en-US" w:eastAsia="zh-CN"/>
              </w:rPr>
              <w:t>静音：每个通道设立单独静音控制</w:t>
            </w:r>
            <w:r>
              <w:rPr>
                <w:rFonts w:hint="eastAsia"/>
                <w:b w:val="0"/>
                <w:bCs/>
                <w:color w:val="auto"/>
                <w:sz w:val="22"/>
                <w:szCs w:val="21"/>
                <w:lang w:val="en-US" w:eastAsia="zh-CN"/>
              </w:rPr>
              <w:br w:type="textWrapping"/>
            </w:r>
            <w:r>
              <w:rPr>
                <w:rFonts w:hint="eastAsia"/>
                <w:b w:val="0"/>
                <w:bCs/>
                <w:color w:val="auto"/>
                <w:sz w:val="22"/>
                <w:szCs w:val="21"/>
                <w:lang w:val="en-US" w:eastAsia="zh-CN"/>
              </w:rPr>
              <w:t>路由：每个输出通道可单独选择不同的输入通道，也可以选择输入通道的任意组合</w:t>
            </w:r>
            <w:r>
              <w:rPr>
                <w:rFonts w:hint="eastAsia"/>
                <w:b w:val="0"/>
                <w:bCs/>
                <w:color w:val="auto"/>
                <w:sz w:val="22"/>
                <w:szCs w:val="21"/>
                <w:lang w:val="en-US" w:eastAsia="zh-CN"/>
              </w:rPr>
              <w:br w:type="textWrapping"/>
            </w:r>
            <w:r>
              <w:rPr>
                <w:rFonts w:hint="eastAsia"/>
                <w:b w:val="0"/>
                <w:bCs/>
                <w:color w:val="auto"/>
                <w:sz w:val="22"/>
                <w:szCs w:val="21"/>
                <w:lang w:val="en-US" w:eastAsia="zh-CN"/>
              </w:rPr>
              <w:t>增益：调节范围：-60dB - +12dB、步距为1dB</w:t>
            </w:r>
            <w:r>
              <w:rPr>
                <w:rFonts w:hint="eastAsia"/>
                <w:b w:val="0"/>
                <w:bCs/>
                <w:color w:val="auto"/>
                <w:sz w:val="22"/>
                <w:szCs w:val="21"/>
                <w:lang w:val="en-US" w:eastAsia="zh-CN"/>
              </w:rPr>
              <w:br w:type="textWrapping"/>
            </w:r>
            <w:r>
              <w:rPr>
                <w:rFonts w:hint="eastAsia"/>
                <w:b w:val="0"/>
                <w:bCs/>
                <w:color w:val="auto"/>
                <w:sz w:val="22"/>
                <w:szCs w:val="21"/>
                <w:lang w:val="en-US" w:eastAsia="zh-CN"/>
              </w:rPr>
              <w:t>延时：每个输出通道有单独延时控制，调节范围0-1000ms，小于10ms，步距为21us。10ms- 20ms，步距为84us。大于20ms，步距为0.5ms</w:t>
            </w:r>
            <w:r>
              <w:rPr>
                <w:rFonts w:hint="eastAsia"/>
                <w:b w:val="0"/>
                <w:bCs/>
                <w:color w:val="auto"/>
                <w:sz w:val="22"/>
                <w:szCs w:val="21"/>
                <w:lang w:val="en-US" w:eastAsia="zh-CN"/>
              </w:rPr>
              <w:br w:type="textWrapping"/>
            </w:r>
            <w:r>
              <w:rPr>
                <w:rFonts w:hint="eastAsia"/>
                <w:b w:val="0"/>
                <w:bCs/>
                <w:color w:val="auto"/>
                <w:sz w:val="22"/>
                <w:szCs w:val="21"/>
                <w:lang w:val="en-US" w:eastAsia="zh-CN"/>
              </w:rPr>
              <w:t>相位：同相(+) 或反相 (-)</w:t>
            </w:r>
            <w:r>
              <w:rPr>
                <w:rFonts w:hint="eastAsia"/>
                <w:b w:val="0"/>
                <w:bCs/>
                <w:color w:val="auto"/>
                <w:sz w:val="22"/>
                <w:szCs w:val="21"/>
                <w:lang w:val="en-US" w:eastAsia="zh-CN"/>
              </w:rPr>
              <w:br w:type="textWrapping"/>
            </w:r>
            <w:r>
              <w:rPr>
                <w:rFonts w:hint="eastAsia"/>
                <w:b w:val="0"/>
                <w:bCs/>
                <w:color w:val="auto"/>
                <w:sz w:val="22"/>
                <w:szCs w:val="21"/>
                <w:lang w:val="en-US" w:eastAsia="zh-CN"/>
              </w:rPr>
              <w:t>分频器：每个输出通道可单独设置低通滤波器（LPF）和高通滤波器（HPF），可调整参数为：滤波器类型：Linkwitz-Riley/Bessel/Butterworth，频率转折点：20Hz-20KHz、衰减斜率：12dB/oct、18dB/oct、24dB/oct、36dB/oct、48dB/oct</w:t>
            </w:r>
            <w:r>
              <w:rPr>
                <w:rFonts w:hint="eastAsia"/>
                <w:b w:val="0"/>
                <w:bCs/>
                <w:color w:val="auto"/>
                <w:sz w:val="22"/>
                <w:szCs w:val="21"/>
                <w:lang w:val="en-US" w:eastAsia="zh-CN"/>
              </w:rPr>
              <w:br w:type="textWrapping"/>
            </w:r>
            <w:r>
              <w:rPr>
                <w:rFonts w:hint="eastAsia"/>
                <w:b w:val="0"/>
                <w:bCs/>
                <w:color w:val="auto"/>
                <w:sz w:val="22"/>
                <w:szCs w:val="21"/>
                <w:lang w:val="en-US" w:eastAsia="zh-CN"/>
              </w:rPr>
              <w:t>限幅器：每个输出通道可单独设置限幅器，可调整参数为：门限值：-12dBu - +20dBu、步距为0.1dBu ，步距为1ms 释放时间：可设定为2倍、4倍、6倍、8倍、16倍起动时间。</w:t>
            </w:r>
            <w:r>
              <w:rPr>
                <w:rFonts w:hint="eastAsia"/>
                <w:b w:val="0"/>
                <w:bCs/>
                <w:color w:val="auto"/>
                <w:sz w:val="22"/>
                <w:szCs w:val="21"/>
                <w:lang w:val="en-US" w:eastAsia="zh-CN"/>
              </w:rPr>
              <w:br w:type="textWrapping"/>
            </w:r>
            <w:r>
              <w:rPr>
                <w:rFonts w:hint="eastAsia"/>
                <w:b w:val="0"/>
                <w:bCs/>
                <w:color w:val="auto"/>
                <w:sz w:val="22"/>
                <w:szCs w:val="21"/>
                <w:lang w:val="en-US" w:eastAsia="zh-CN"/>
              </w:rPr>
              <w:t>输出均衡：每个输出通道可设10个均衡，滤波器类型可选择PEQ、Lo-shelf、Hi-shelf、APL1阶、APL2。</w:t>
            </w:r>
            <w:r>
              <w:rPr>
                <w:rFonts w:hint="eastAsia"/>
                <w:b w:val="0"/>
                <w:bCs/>
                <w:color w:val="auto"/>
                <w:sz w:val="22"/>
                <w:szCs w:val="21"/>
                <w:lang w:val="en-US" w:eastAsia="zh-CN"/>
              </w:rPr>
              <w:br w:type="textWrapping"/>
            </w:r>
            <w:r>
              <w:rPr>
                <w:rFonts w:hint="eastAsia"/>
                <w:b w:val="0"/>
                <w:bCs/>
                <w:color w:val="auto"/>
                <w:sz w:val="22"/>
                <w:szCs w:val="21"/>
                <w:lang w:val="en-US" w:eastAsia="zh-CN"/>
              </w:rPr>
              <w:t>处理器：192KHz采样频率，40-bit DSP处理器，24-bit A/D及D/A转换</w:t>
            </w:r>
            <w:r>
              <w:rPr>
                <w:rFonts w:hint="eastAsia"/>
                <w:b w:val="0"/>
                <w:bCs/>
                <w:color w:val="auto"/>
                <w:sz w:val="22"/>
                <w:szCs w:val="21"/>
                <w:lang w:val="en-US" w:eastAsia="zh-CN"/>
              </w:rPr>
              <w:br w:type="textWrapping"/>
            </w:r>
            <w:r>
              <w:rPr>
                <w:rFonts w:hint="eastAsia"/>
                <w:b w:val="0"/>
                <w:bCs/>
                <w:color w:val="auto"/>
                <w:sz w:val="22"/>
                <w:szCs w:val="21"/>
                <w:lang w:val="en-US" w:eastAsia="zh-CN"/>
              </w:rPr>
              <w:t>显示：2×24 LCD蓝色背光显示设置，8段LED显示输入/输出的精确数字电平表、静音及编辑状态</w:t>
            </w:r>
            <w:r>
              <w:rPr>
                <w:rFonts w:hint="eastAsia"/>
                <w:b w:val="0"/>
                <w:bCs/>
                <w:color w:val="auto"/>
                <w:sz w:val="22"/>
                <w:szCs w:val="21"/>
                <w:lang w:val="en-US" w:eastAsia="zh-CN"/>
              </w:rPr>
              <w:br w:type="textWrapping"/>
            </w:r>
            <w:r>
              <w:rPr>
                <w:rFonts w:hint="eastAsia"/>
                <w:b w:val="0"/>
                <w:bCs/>
                <w:color w:val="auto"/>
                <w:sz w:val="22"/>
                <w:szCs w:val="21"/>
                <w:lang w:val="en-US" w:eastAsia="zh-CN"/>
              </w:rPr>
              <w:t>功耗：≤25W</w:t>
            </w:r>
            <w:r>
              <w:rPr>
                <w:rFonts w:hint="eastAsia"/>
                <w:b w:val="0"/>
                <w:bCs/>
                <w:color w:val="auto"/>
                <w:sz w:val="22"/>
                <w:szCs w:val="21"/>
                <w:lang w:val="en-US" w:eastAsia="zh-CN"/>
              </w:rPr>
              <w:br w:type="textWrapping"/>
            </w:r>
            <w:r>
              <w:rPr>
                <w:rFonts w:hint="eastAsia"/>
                <w:b w:val="0"/>
                <w:bCs/>
                <w:color w:val="auto"/>
                <w:sz w:val="22"/>
                <w:szCs w:val="21"/>
                <w:lang w:val="en-US" w:eastAsia="zh-CN"/>
              </w:rPr>
              <w:t>电源：AC110V/220V 50/60Hz</w:t>
            </w:r>
            <w:r>
              <w:rPr>
                <w:rFonts w:hint="eastAsia"/>
                <w:b w:val="0"/>
                <w:bCs/>
                <w:color w:val="auto"/>
                <w:sz w:val="22"/>
                <w:szCs w:val="21"/>
                <w:lang w:val="en-US" w:eastAsia="zh-CN"/>
              </w:rPr>
              <w:br w:type="textWrapping"/>
            </w:r>
            <w:r>
              <w:rPr>
                <w:rFonts w:hint="eastAsia"/>
                <w:b w:val="0"/>
                <w:bCs/>
                <w:color w:val="auto"/>
                <w:sz w:val="22"/>
                <w:szCs w:val="21"/>
                <w:lang w:val="en-US" w:eastAsia="zh-CN"/>
              </w:rPr>
              <w:t>尺寸(W×D×H)：484×270×44mm</w:t>
            </w:r>
            <w:r>
              <w:rPr>
                <w:rFonts w:hint="eastAsia"/>
                <w:b w:val="0"/>
                <w:bCs/>
                <w:color w:val="auto"/>
                <w:sz w:val="22"/>
                <w:szCs w:val="21"/>
                <w:lang w:val="en-US" w:eastAsia="zh-CN"/>
              </w:rPr>
              <w:br w:type="textWrapping"/>
            </w:r>
            <w:r>
              <w:rPr>
                <w:rFonts w:hint="eastAsia"/>
                <w:b w:val="0"/>
                <w:bCs/>
                <w:color w:val="auto"/>
                <w:sz w:val="22"/>
                <w:szCs w:val="21"/>
                <w:lang w:val="en-US" w:eastAsia="zh-CN"/>
              </w:rPr>
              <w:t>重量：3.48kg</w:t>
            </w:r>
          </w:p>
        </w:tc>
        <w:tc>
          <w:tcPr>
            <w:tcW w:w="1030" w:type="dxa"/>
            <w:gridSpan w:val="6"/>
            <w:tcBorders>
              <w:top w:val="single" w:color="000000" w:sz="4" w:space="0"/>
              <w:left w:val="single" w:color="000000" w:sz="4" w:space="0"/>
              <w:bottom w:val="single" w:color="000000" w:sz="4" w:space="0"/>
              <w:right w:val="single" w:color="000000" w:sz="4" w:space="0"/>
            </w:tcBorders>
            <w:noWrap/>
            <w:vAlign w:val="center"/>
          </w:tcPr>
          <w:p w14:paraId="615EDA0E">
            <w:pPr>
              <w:rPr>
                <w:rFonts w:hint="eastAsia"/>
                <w:b w:val="0"/>
                <w:bCs/>
                <w:color w:val="auto"/>
                <w:sz w:val="22"/>
                <w:szCs w:val="21"/>
              </w:rPr>
            </w:pPr>
            <w:r>
              <w:rPr>
                <w:rFonts w:hint="eastAsia"/>
                <w:b w:val="0"/>
                <w:bCs/>
                <w:color w:val="auto"/>
                <w:sz w:val="22"/>
                <w:szCs w:val="21"/>
                <w:lang w:val="en-US" w:eastAsia="zh-CN"/>
              </w:rPr>
              <w:t>1</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5EDFE72A">
            <w:pPr>
              <w:rPr>
                <w:rFonts w:hint="eastAsia"/>
                <w:b w:val="0"/>
                <w:bCs/>
                <w:color w:val="auto"/>
                <w:sz w:val="22"/>
                <w:szCs w:val="21"/>
              </w:rPr>
            </w:pPr>
            <w:r>
              <w:rPr>
                <w:rFonts w:hint="eastAsia"/>
                <w:b w:val="0"/>
                <w:bCs/>
                <w:color w:val="auto"/>
                <w:sz w:val="22"/>
                <w:szCs w:val="21"/>
                <w:lang w:val="en-US" w:eastAsia="zh-CN"/>
              </w:rPr>
              <w:t>台</w:t>
            </w:r>
          </w:p>
        </w:tc>
      </w:tr>
      <w:tr w14:paraId="58233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1F7FB57F">
            <w:pPr>
              <w:rPr>
                <w:rFonts w:hint="eastAsia"/>
                <w:b w:val="0"/>
                <w:bCs/>
                <w:color w:val="auto"/>
                <w:sz w:val="22"/>
                <w:szCs w:val="21"/>
              </w:rPr>
            </w:pPr>
            <w:r>
              <w:rPr>
                <w:rFonts w:hint="eastAsia"/>
                <w:b w:val="0"/>
                <w:bCs/>
                <w:color w:val="auto"/>
                <w:sz w:val="22"/>
                <w:szCs w:val="21"/>
                <w:lang w:val="en-US" w:eastAsia="zh-CN"/>
              </w:rPr>
              <w:t>4</w:t>
            </w: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51DD4D5B">
            <w:pPr>
              <w:rPr>
                <w:rFonts w:hint="eastAsia"/>
                <w:b w:val="0"/>
                <w:bCs/>
                <w:color w:val="auto"/>
                <w:sz w:val="22"/>
                <w:szCs w:val="21"/>
              </w:rPr>
            </w:pPr>
            <w:r>
              <w:rPr>
                <w:rFonts w:hint="eastAsia"/>
                <w:b w:val="0"/>
                <w:bCs/>
                <w:color w:val="auto"/>
                <w:sz w:val="22"/>
                <w:szCs w:val="21"/>
                <w:lang w:val="en-US" w:eastAsia="zh-CN"/>
              </w:rPr>
              <w:t>反馈抑制器(含音频处理器软件V1.0.3)</w:t>
            </w:r>
          </w:p>
        </w:tc>
        <w:tc>
          <w:tcPr>
            <w:tcW w:w="9139" w:type="dxa"/>
            <w:gridSpan w:val="10"/>
            <w:tcBorders>
              <w:top w:val="single" w:color="000000" w:sz="4" w:space="0"/>
              <w:left w:val="single" w:color="000000" w:sz="4" w:space="0"/>
              <w:bottom w:val="single" w:color="000000" w:sz="4" w:space="0"/>
              <w:right w:val="single" w:color="000000" w:sz="4" w:space="0"/>
            </w:tcBorders>
            <w:noWrap w:val="0"/>
            <w:vAlign w:val="center"/>
          </w:tcPr>
          <w:p w14:paraId="107CCF87">
            <w:pPr>
              <w:rPr>
                <w:rFonts w:hint="eastAsia"/>
                <w:b w:val="0"/>
                <w:bCs/>
                <w:color w:val="auto"/>
                <w:sz w:val="22"/>
                <w:szCs w:val="21"/>
              </w:rPr>
            </w:pPr>
            <w:r>
              <w:rPr>
                <w:rFonts w:hint="eastAsia"/>
                <w:b w:val="0"/>
                <w:bCs/>
                <w:color w:val="auto"/>
                <w:sz w:val="22"/>
                <w:szCs w:val="21"/>
                <w:lang w:val="en-US" w:eastAsia="zh-CN"/>
              </w:rPr>
              <w:t>产品描述：</w:t>
            </w:r>
            <w:r>
              <w:rPr>
                <w:rFonts w:hint="eastAsia"/>
                <w:b w:val="0"/>
                <w:bCs/>
                <w:color w:val="auto"/>
                <w:sz w:val="22"/>
                <w:szCs w:val="21"/>
                <w:lang w:val="en-US" w:eastAsia="zh-CN"/>
              </w:rPr>
              <w:br w:type="textWrapping"/>
            </w:r>
            <w:r>
              <w:rPr>
                <w:rFonts w:hint="eastAsia"/>
                <w:b w:val="0"/>
                <w:bCs/>
                <w:color w:val="auto"/>
                <w:sz w:val="22"/>
                <w:szCs w:val="21"/>
                <w:lang w:val="en-US" w:eastAsia="zh-CN"/>
              </w:rPr>
              <w:t>1U机柜式设计，双层双色双拼面板，彰显立体美感；</w:t>
            </w:r>
            <w:r>
              <w:rPr>
                <w:rFonts w:hint="eastAsia"/>
                <w:b w:val="0"/>
                <w:bCs/>
                <w:color w:val="auto"/>
                <w:sz w:val="22"/>
                <w:szCs w:val="21"/>
                <w:lang w:val="en-US" w:eastAsia="zh-CN"/>
              </w:rPr>
              <w:br w:type="textWrapping"/>
            </w:r>
            <w:r>
              <w:rPr>
                <w:rFonts w:hint="eastAsia"/>
                <w:b w:val="0"/>
                <w:bCs/>
                <w:color w:val="auto"/>
                <w:sz w:val="22"/>
                <w:szCs w:val="21"/>
                <w:lang w:val="en-US" w:eastAsia="zh-CN"/>
              </w:rPr>
              <w:t>高性能 8核DSP处理器、24Bit数据带宽、48KHz采样率，可精准、快速找到啸叫频点；</w:t>
            </w:r>
            <w:r>
              <w:rPr>
                <w:rFonts w:hint="eastAsia"/>
                <w:b w:val="0"/>
                <w:bCs/>
                <w:color w:val="auto"/>
                <w:sz w:val="22"/>
                <w:szCs w:val="21"/>
                <w:lang w:val="en-US" w:eastAsia="zh-CN"/>
              </w:rPr>
              <w:br w:type="textWrapping"/>
            </w:r>
            <w:r>
              <w:rPr>
                <w:rFonts w:hint="eastAsia"/>
                <w:b w:val="0"/>
                <w:bCs/>
                <w:color w:val="auto"/>
                <w:sz w:val="22"/>
                <w:szCs w:val="21"/>
                <w:lang w:val="en-US" w:eastAsia="zh-CN"/>
              </w:rPr>
              <w:t>内置双通道各24段高精度数字自动陷波器，并进行快速滤波消除；</w:t>
            </w:r>
            <w:r>
              <w:rPr>
                <w:rFonts w:hint="eastAsia"/>
                <w:b w:val="0"/>
                <w:bCs/>
                <w:color w:val="auto"/>
                <w:sz w:val="22"/>
                <w:szCs w:val="21"/>
                <w:lang w:val="en-US" w:eastAsia="zh-CN"/>
              </w:rPr>
              <w:br w:type="textWrapping"/>
            </w:r>
            <w:r>
              <w:rPr>
                <w:rFonts w:hint="eastAsia"/>
                <w:b w:val="0"/>
                <w:bCs/>
                <w:color w:val="auto"/>
                <w:sz w:val="22"/>
                <w:szCs w:val="21"/>
                <w:lang w:val="en-US" w:eastAsia="zh-CN"/>
              </w:rPr>
              <w:t>内置6挡移频移相功能，可在复杂的声场环境中协助陷波器快速抑制啸叫；</w:t>
            </w:r>
            <w:r>
              <w:rPr>
                <w:rFonts w:hint="eastAsia"/>
                <w:b w:val="0"/>
                <w:bCs/>
                <w:color w:val="auto"/>
                <w:sz w:val="22"/>
                <w:szCs w:val="21"/>
                <w:lang w:val="en-US" w:eastAsia="zh-CN"/>
              </w:rPr>
              <w:br w:type="textWrapping"/>
            </w:r>
            <w:r>
              <w:rPr>
                <w:rFonts w:hint="eastAsia"/>
                <w:b w:val="0"/>
                <w:bCs/>
                <w:color w:val="auto"/>
                <w:sz w:val="22"/>
                <w:szCs w:val="21"/>
                <w:lang w:val="en-US" w:eastAsia="zh-CN"/>
              </w:rPr>
              <w:t>采用2寸分辨率为240*320的高清真彩TFT屏，支持中英文双语切换，主页面可实时显示通道啸叫频点数量、当前音量等，直观明了；</w:t>
            </w:r>
            <w:r>
              <w:rPr>
                <w:rFonts w:hint="eastAsia"/>
                <w:b w:val="0"/>
                <w:bCs/>
                <w:color w:val="auto"/>
                <w:sz w:val="22"/>
                <w:szCs w:val="21"/>
                <w:lang w:val="en-US" w:eastAsia="zh-CN"/>
              </w:rPr>
              <w:br w:type="textWrapping"/>
            </w:r>
            <w:r>
              <w:rPr>
                <w:rFonts w:hint="eastAsia"/>
                <w:b w:val="0"/>
                <w:bCs/>
                <w:color w:val="auto"/>
                <w:sz w:val="22"/>
                <w:szCs w:val="21"/>
                <w:lang w:val="en-US" w:eastAsia="zh-CN"/>
              </w:rPr>
              <w:t>可实现10组场景调用、保存功能，关机自动调用最后一次调用的数据。</w:t>
            </w:r>
            <w:r>
              <w:rPr>
                <w:rFonts w:hint="eastAsia"/>
                <w:b w:val="0"/>
                <w:bCs/>
                <w:color w:val="auto"/>
                <w:sz w:val="22"/>
                <w:szCs w:val="21"/>
                <w:lang w:val="en-US" w:eastAsia="zh-CN"/>
              </w:rPr>
              <w:br w:type="textWrapping"/>
            </w:r>
            <w:r>
              <w:rPr>
                <w:rFonts w:hint="eastAsia"/>
                <w:b w:val="0"/>
                <w:bCs/>
                <w:color w:val="auto"/>
                <w:sz w:val="22"/>
                <w:szCs w:val="21"/>
                <w:lang w:val="en-US" w:eastAsia="zh-CN"/>
              </w:rPr>
              <w:t>内置双通道各24段全参数均衡PEQ、高低通分频器Xover，进而可以通过手动调节对不同的声学环境缺陷进行修正，快速抑制啸叫。</w:t>
            </w:r>
            <w:r>
              <w:rPr>
                <w:rFonts w:hint="eastAsia"/>
                <w:b w:val="0"/>
                <w:bCs/>
                <w:color w:val="auto"/>
                <w:sz w:val="22"/>
                <w:szCs w:val="21"/>
                <w:lang w:val="en-US" w:eastAsia="zh-CN"/>
              </w:rPr>
              <w:br w:type="textWrapping"/>
            </w:r>
            <w:r>
              <w:rPr>
                <w:rFonts w:hint="eastAsia"/>
                <w:b w:val="0"/>
                <w:bCs/>
                <w:color w:val="auto"/>
                <w:sz w:val="22"/>
                <w:szCs w:val="21"/>
                <w:lang w:val="en-US" w:eastAsia="zh-CN"/>
              </w:rPr>
              <w:t>具有48V幻象电源供电，可开启/关闭，支持幻象供电的电容鹅颈话筒直连。</w:t>
            </w:r>
            <w:r>
              <w:rPr>
                <w:rFonts w:hint="eastAsia"/>
                <w:b w:val="0"/>
                <w:bCs/>
                <w:color w:val="auto"/>
                <w:sz w:val="22"/>
                <w:szCs w:val="21"/>
                <w:lang w:val="en-US" w:eastAsia="zh-CN"/>
              </w:rPr>
              <w:br w:type="textWrapping"/>
            </w:r>
            <w:r>
              <w:rPr>
                <w:rFonts w:hint="eastAsia"/>
                <w:b w:val="0"/>
                <w:bCs/>
                <w:color w:val="auto"/>
                <w:sz w:val="22"/>
                <w:szCs w:val="21"/>
                <w:lang w:val="en-US" w:eastAsia="zh-CN"/>
              </w:rPr>
              <w:t>具有压缩控制功能，可有效避免信号输入过大造成功率设备损坏。</w:t>
            </w:r>
            <w:r>
              <w:rPr>
                <w:rFonts w:hint="eastAsia"/>
                <w:b w:val="0"/>
                <w:bCs/>
                <w:color w:val="auto"/>
                <w:sz w:val="22"/>
                <w:szCs w:val="21"/>
                <w:lang w:val="en-US" w:eastAsia="zh-CN"/>
              </w:rPr>
              <w:br w:type="textWrapping"/>
            </w:r>
            <w:r>
              <w:rPr>
                <w:rFonts w:hint="eastAsia"/>
                <w:b w:val="0"/>
                <w:bCs/>
                <w:color w:val="auto"/>
                <w:sz w:val="22"/>
                <w:szCs w:val="21"/>
                <w:lang w:val="en-US" w:eastAsia="zh-CN"/>
              </w:rPr>
              <w:t>具有一键打开关闭啸叫抑制功能。</w:t>
            </w:r>
            <w:r>
              <w:rPr>
                <w:rFonts w:hint="eastAsia"/>
                <w:b w:val="0"/>
                <w:bCs/>
                <w:color w:val="auto"/>
                <w:sz w:val="22"/>
                <w:szCs w:val="21"/>
                <w:lang w:val="en-US" w:eastAsia="zh-CN"/>
              </w:rPr>
              <w:br w:type="textWrapping"/>
            </w:r>
            <w:r>
              <w:rPr>
                <w:rFonts w:hint="eastAsia"/>
                <w:b w:val="0"/>
                <w:bCs/>
                <w:color w:val="auto"/>
                <w:sz w:val="22"/>
                <w:szCs w:val="21"/>
                <w:lang w:val="en-US" w:eastAsia="zh-CN"/>
              </w:rPr>
              <w:t>通道独立处理，一键控制，也支持双通道联调；</w:t>
            </w:r>
            <w:r>
              <w:rPr>
                <w:rFonts w:hint="eastAsia"/>
                <w:b w:val="0"/>
                <w:bCs/>
                <w:color w:val="auto"/>
                <w:sz w:val="22"/>
                <w:szCs w:val="21"/>
                <w:lang w:val="en-US" w:eastAsia="zh-CN"/>
              </w:rPr>
              <w:br w:type="textWrapping"/>
            </w:r>
            <w:r>
              <w:rPr>
                <w:rFonts w:hint="eastAsia"/>
                <w:b w:val="0"/>
                <w:bCs/>
                <w:color w:val="auto"/>
                <w:sz w:val="22"/>
                <w:szCs w:val="21"/>
                <w:lang w:val="en-US" w:eastAsia="zh-CN"/>
              </w:rPr>
              <w:t>内置噪声门功能，通过设定阀值可以滤除部分环境噪声；</w:t>
            </w:r>
            <w:r>
              <w:rPr>
                <w:rFonts w:hint="eastAsia"/>
                <w:b w:val="0"/>
                <w:bCs/>
                <w:color w:val="auto"/>
                <w:sz w:val="22"/>
                <w:szCs w:val="21"/>
                <w:lang w:val="en-US" w:eastAsia="zh-CN"/>
              </w:rPr>
              <w:br w:type="textWrapping"/>
            </w:r>
            <w:r>
              <w:rPr>
                <w:rFonts w:hint="eastAsia"/>
                <w:b w:val="0"/>
                <w:bCs/>
                <w:color w:val="auto"/>
                <w:sz w:val="22"/>
                <w:szCs w:val="21"/>
                <w:lang w:val="en-US" w:eastAsia="zh-CN"/>
              </w:rPr>
              <w:t>专业PC调试控制工具，针对现场的声学环境进行个性化、专业化的设置，满足啸叫抑制的需求。</w:t>
            </w:r>
            <w:r>
              <w:rPr>
                <w:rFonts w:hint="eastAsia"/>
                <w:b w:val="0"/>
                <w:bCs/>
                <w:color w:val="auto"/>
                <w:sz w:val="22"/>
                <w:szCs w:val="21"/>
                <w:lang w:val="en-US" w:eastAsia="zh-CN"/>
              </w:rPr>
              <w:br w:type="textWrapping"/>
            </w:r>
            <w:r>
              <w:rPr>
                <w:rFonts w:hint="eastAsia"/>
                <w:b w:val="0"/>
                <w:bCs/>
                <w:color w:val="auto"/>
                <w:sz w:val="22"/>
                <w:szCs w:val="21"/>
                <w:lang w:val="en-US" w:eastAsia="zh-CN"/>
              </w:rPr>
              <w:t>100V-240V超宽电源设计，适当不同电压需求。</w:t>
            </w:r>
            <w:r>
              <w:rPr>
                <w:rFonts w:hint="eastAsia"/>
                <w:b w:val="0"/>
                <w:bCs/>
                <w:color w:val="auto"/>
                <w:sz w:val="22"/>
                <w:szCs w:val="21"/>
                <w:lang w:val="en-US" w:eastAsia="zh-CN"/>
              </w:rPr>
              <w:br w:type="textWrapping"/>
            </w:r>
            <w:r>
              <w:rPr>
                <w:rFonts w:hint="eastAsia"/>
                <w:b w:val="0"/>
                <w:bCs/>
                <w:color w:val="auto"/>
                <w:sz w:val="22"/>
                <w:szCs w:val="21"/>
                <w:lang w:val="en-US" w:eastAsia="zh-CN"/>
              </w:rPr>
              <w:t>技术参数：</w:t>
            </w:r>
            <w:r>
              <w:rPr>
                <w:rFonts w:hint="eastAsia"/>
                <w:b w:val="0"/>
                <w:bCs/>
                <w:color w:val="auto"/>
                <w:sz w:val="22"/>
                <w:szCs w:val="21"/>
                <w:lang w:val="en-US" w:eastAsia="zh-CN"/>
              </w:rPr>
              <w:br w:type="textWrapping"/>
            </w:r>
            <w:r>
              <w:rPr>
                <w:rFonts w:hint="eastAsia"/>
                <w:b w:val="0"/>
                <w:bCs/>
                <w:color w:val="auto"/>
                <w:sz w:val="22"/>
                <w:szCs w:val="21"/>
                <w:lang w:val="en-US" w:eastAsia="zh-CN"/>
              </w:rPr>
              <w:t>输入通道及插座：2路卡侬XLR母，2路6.35TRS</w:t>
            </w:r>
            <w:r>
              <w:rPr>
                <w:rFonts w:hint="eastAsia"/>
                <w:b w:val="0"/>
                <w:bCs/>
                <w:color w:val="auto"/>
                <w:sz w:val="22"/>
                <w:szCs w:val="21"/>
                <w:lang w:val="en-US" w:eastAsia="zh-CN"/>
              </w:rPr>
              <w:br w:type="textWrapping"/>
            </w:r>
            <w:r>
              <w:rPr>
                <w:rFonts w:hint="eastAsia"/>
                <w:b w:val="0"/>
                <w:bCs/>
                <w:color w:val="auto"/>
                <w:sz w:val="22"/>
                <w:szCs w:val="21"/>
                <w:lang w:val="en-US" w:eastAsia="zh-CN"/>
              </w:rPr>
              <w:t>输出通道及插座：2路卡侬XLR公，2路6.35TRS</w:t>
            </w:r>
            <w:r>
              <w:rPr>
                <w:rFonts w:hint="eastAsia"/>
                <w:b w:val="0"/>
                <w:bCs/>
                <w:color w:val="auto"/>
                <w:sz w:val="22"/>
                <w:szCs w:val="21"/>
                <w:lang w:val="en-US" w:eastAsia="zh-CN"/>
              </w:rPr>
              <w:br w:type="textWrapping"/>
            </w:r>
            <w:r>
              <w:rPr>
                <w:rFonts w:hint="eastAsia"/>
                <w:b w:val="0"/>
                <w:bCs/>
                <w:color w:val="auto"/>
                <w:sz w:val="22"/>
                <w:szCs w:val="21"/>
                <w:lang w:val="en-US" w:eastAsia="zh-CN"/>
              </w:rPr>
              <w:t>灵敏度：0dBu(@Out=0dBu)</w:t>
            </w:r>
            <w:r>
              <w:rPr>
                <w:rFonts w:hint="eastAsia"/>
                <w:b w:val="0"/>
                <w:bCs/>
                <w:color w:val="auto"/>
                <w:sz w:val="22"/>
                <w:szCs w:val="21"/>
                <w:lang w:val="en-US" w:eastAsia="zh-CN"/>
              </w:rPr>
              <w:br w:type="textWrapping"/>
            </w:r>
            <w:r>
              <w:rPr>
                <w:rFonts w:hint="eastAsia"/>
                <w:b w:val="0"/>
                <w:bCs/>
                <w:color w:val="auto"/>
                <w:sz w:val="22"/>
                <w:szCs w:val="21"/>
                <w:lang w:val="en-US" w:eastAsia="zh-CN"/>
              </w:rPr>
              <w:t>信号比 &gt;110dB（A计权）</w:t>
            </w:r>
            <w:r>
              <w:rPr>
                <w:rFonts w:hint="eastAsia"/>
                <w:b w:val="0"/>
                <w:bCs/>
                <w:color w:val="auto"/>
                <w:sz w:val="22"/>
                <w:szCs w:val="21"/>
                <w:lang w:val="en-US" w:eastAsia="zh-CN"/>
              </w:rPr>
              <w:br w:type="textWrapping"/>
            </w:r>
            <w:r>
              <w:rPr>
                <w:rFonts w:hint="eastAsia"/>
                <w:b w:val="0"/>
                <w:bCs/>
                <w:color w:val="auto"/>
                <w:sz w:val="22"/>
                <w:szCs w:val="21"/>
                <w:lang w:val="en-US" w:eastAsia="zh-CN"/>
              </w:rPr>
              <w:t>失真度 &lt; 0.05%</w:t>
            </w:r>
            <w:r>
              <w:rPr>
                <w:rFonts w:hint="eastAsia"/>
                <w:b w:val="0"/>
                <w:bCs/>
                <w:color w:val="auto"/>
                <w:sz w:val="22"/>
                <w:szCs w:val="21"/>
                <w:lang w:val="en-US" w:eastAsia="zh-CN"/>
              </w:rPr>
              <w:br w:type="textWrapping"/>
            </w:r>
            <w:r>
              <w:rPr>
                <w:rFonts w:hint="eastAsia"/>
                <w:b w:val="0"/>
                <w:bCs/>
                <w:color w:val="auto"/>
                <w:sz w:val="22"/>
                <w:szCs w:val="21"/>
                <w:lang w:val="en-US" w:eastAsia="zh-CN"/>
              </w:rPr>
              <w:t>频率响应：+/- 0.5dB (20Hz to 20KHz)</w:t>
            </w:r>
            <w:r>
              <w:rPr>
                <w:rFonts w:hint="eastAsia"/>
                <w:b w:val="0"/>
                <w:bCs/>
                <w:color w:val="auto"/>
                <w:sz w:val="22"/>
                <w:szCs w:val="21"/>
                <w:lang w:val="en-US" w:eastAsia="zh-CN"/>
              </w:rPr>
              <w:br w:type="textWrapping"/>
            </w:r>
            <w:r>
              <w:rPr>
                <w:rFonts w:hint="eastAsia"/>
                <w:b w:val="0"/>
                <w:bCs/>
                <w:color w:val="auto"/>
                <w:sz w:val="22"/>
                <w:szCs w:val="21"/>
                <w:lang w:val="en-US" w:eastAsia="zh-CN"/>
              </w:rPr>
              <w:t>动态增益提升：5-10dBu</w:t>
            </w:r>
            <w:r>
              <w:rPr>
                <w:rFonts w:hint="eastAsia"/>
                <w:b w:val="0"/>
                <w:bCs/>
                <w:color w:val="auto"/>
                <w:sz w:val="22"/>
                <w:szCs w:val="21"/>
                <w:lang w:val="en-US" w:eastAsia="zh-CN"/>
              </w:rPr>
              <w:br w:type="textWrapping"/>
            </w:r>
            <w:r>
              <w:rPr>
                <w:rFonts w:hint="eastAsia"/>
                <w:b w:val="0"/>
                <w:bCs/>
                <w:color w:val="auto"/>
                <w:sz w:val="22"/>
                <w:szCs w:val="21"/>
                <w:lang w:val="en-US" w:eastAsia="zh-CN"/>
              </w:rPr>
              <w:t>最大输入电平：15dBu</w:t>
            </w:r>
            <w:r>
              <w:rPr>
                <w:rFonts w:hint="eastAsia"/>
                <w:b w:val="0"/>
                <w:bCs/>
                <w:color w:val="auto"/>
                <w:sz w:val="22"/>
                <w:szCs w:val="21"/>
                <w:lang w:val="en-US" w:eastAsia="zh-CN"/>
              </w:rPr>
              <w:br w:type="textWrapping"/>
            </w:r>
            <w:r>
              <w:rPr>
                <w:rFonts w:hint="eastAsia"/>
                <w:b w:val="0"/>
                <w:bCs/>
                <w:color w:val="auto"/>
                <w:sz w:val="22"/>
                <w:szCs w:val="21"/>
                <w:lang w:val="en-US" w:eastAsia="zh-CN"/>
              </w:rPr>
              <w:t>工作电源：AC100-240V/50-60Hz</w:t>
            </w:r>
            <w:r>
              <w:rPr>
                <w:rFonts w:hint="eastAsia"/>
                <w:b w:val="0"/>
                <w:bCs/>
                <w:color w:val="auto"/>
                <w:sz w:val="22"/>
                <w:szCs w:val="21"/>
                <w:lang w:val="en-US" w:eastAsia="zh-CN"/>
              </w:rPr>
              <w:br w:type="textWrapping"/>
            </w:r>
            <w:r>
              <w:rPr>
                <w:rFonts w:hint="eastAsia"/>
                <w:b w:val="0"/>
                <w:bCs/>
                <w:color w:val="auto"/>
                <w:sz w:val="22"/>
                <w:szCs w:val="21"/>
                <w:lang w:val="en-US" w:eastAsia="zh-CN"/>
              </w:rPr>
              <w:t>尺寸（W*D*H）： 485*216*45mm</w:t>
            </w:r>
            <w:r>
              <w:rPr>
                <w:rFonts w:hint="eastAsia"/>
                <w:b w:val="0"/>
                <w:bCs/>
                <w:color w:val="auto"/>
                <w:sz w:val="22"/>
                <w:szCs w:val="21"/>
                <w:lang w:val="en-US" w:eastAsia="zh-CN"/>
              </w:rPr>
              <w:br w:type="textWrapping"/>
            </w:r>
            <w:r>
              <w:rPr>
                <w:rFonts w:hint="eastAsia"/>
                <w:b w:val="0"/>
                <w:bCs/>
                <w:color w:val="auto"/>
                <w:sz w:val="22"/>
                <w:szCs w:val="21"/>
                <w:lang w:val="en-US" w:eastAsia="zh-CN"/>
              </w:rPr>
              <w:t>净重：2.5kg</w:t>
            </w:r>
          </w:p>
        </w:tc>
        <w:tc>
          <w:tcPr>
            <w:tcW w:w="1030" w:type="dxa"/>
            <w:gridSpan w:val="6"/>
            <w:tcBorders>
              <w:top w:val="single" w:color="000000" w:sz="4" w:space="0"/>
              <w:left w:val="single" w:color="000000" w:sz="4" w:space="0"/>
              <w:bottom w:val="single" w:color="000000" w:sz="4" w:space="0"/>
              <w:right w:val="single" w:color="000000" w:sz="4" w:space="0"/>
            </w:tcBorders>
            <w:noWrap/>
            <w:vAlign w:val="center"/>
          </w:tcPr>
          <w:p w14:paraId="0830F7D4">
            <w:pPr>
              <w:rPr>
                <w:rFonts w:hint="eastAsia"/>
                <w:b w:val="0"/>
                <w:bCs/>
                <w:color w:val="auto"/>
                <w:sz w:val="22"/>
                <w:szCs w:val="21"/>
              </w:rPr>
            </w:pPr>
            <w:r>
              <w:rPr>
                <w:rFonts w:hint="eastAsia"/>
                <w:b w:val="0"/>
                <w:bCs/>
                <w:color w:val="auto"/>
                <w:sz w:val="22"/>
                <w:szCs w:val="21"/>
                <w:lang w:val="en-US" w:eastAsia="zh-CN"/>
              </w:rPr>
              <w:t>1</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739E82D2">
            <w:pPr>
              <w:rPr>
                <w:rFonts w:hint="eastAsia"/>
                <w:b w:val="0"/>
                <w:bCs/>
                <w:color w:val="auto"/>
                <w:sz w:val="22"/>
                <w:szCs w:val="21"/>
              </w:rPr>
            </w:pPr>
            <w:r>
              <w:rPr>
                <w:rFonts w:hint="eastAsia"/>
                <w:b w:val="0"/>
                <w:bCs/>
                <w:color w:val="auto"/>
                <w:sz w:val="22"/>
                <w:szCs w:val="21"/>
                <w:lang w:val="en-US" w:eastAsia="zh-CN"/>
              </w:rPr>
              <w:t>台</w:t>
            </w:r>
          </w:p>
        </w:tc>
      </w:tr>
      <w:tr w14:paraId="48FC4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3EF934B3">
            <w:pPr>
              <w:rPr>
                <w:rFonts w:hint="eastAsia"/>
                <w:b w:val="0"/>
                <w:bCs/>
                <w:color w:val="auto"/>
                <w:sz w:val="22"/>
                <w:szCs w:val="21"/>
              </w:rPr>
            </w:pPr>
            <w:r>
              <w:rPr>
                <w:rFonts w:hint="eastAsia"/>
                <w:b w:val="0"/>
                <w:bCs/>
                <w:color w:val="auto"/>
                <w:sz w:val="22"/>
                <w:szCs w:val="21"/>
                <w:lang w:val="en-US" w:eastAsia="zh-CN"/>
              </w:rPr>
              <w:t>5</w:t>
            </w: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46F64A0B">
            <w:pPr>
              <w:rPr>
                <w:rFonts w:hint="eastAsia"/>
                <w:b w:val="0"/>
                <w:bCs/>
                <w:color w:val="auto"/>
                <w:sz w:val="22"/>
                <w:szCs w:val="21"/>
              </w:rPr>
            </w:pPr>
            <w:r>
              <w:rPr>
                <w:rFonts w:hint="eastAsia"/>
                <w:b w:val="0"/>
                <w:bCs/>
                <w:color w:val="auto"/>
                <w:sz w:val="22"/>
                <w:szCs w:val="21"/>
                <w:lang w:val="en-US" w:eastAsia="zh-CN"/>
              </w:rPr>
              <w:t>调音台(含音效处理软件V1.0)</w:t>
            </w:r>
          </w:p>
        </w:tc>
        <w:tc>
          <w:tcPr>
            <w:tcW w:w="9139" w:type="dxa"/>
            <w:gridSpan w:val="10"/>
            <w:tcBorders>
              <w:top w:val="single" w:color="000000" w:sz="4" w:space="0"/>
              <w:left w:val="single" w:color="000000" w:sz="4" w:space="0"/>
              <w:bottom w:val="single" w:color="000000" w:sz="4" w:space="0"/>
              <w:right w:val="single" w:color="000000" w:sz="4" w:space="0"/>
            </w:tcBorders>
            <w:noWrap w:val="0"/>
            <w:vAlign w:val="center"/>
          </w:tcPr>
          <w:p w14:paraId="07ED6C77">
            <w:pPr>
              <w:rPr>
                <w:rFonts w:hint="eastAsia"/>
                <w:b w:val="0"/>
                <w:bCs/>
                <w:color w:val="auto"/>
                <w:sz w:val="22"/>
                <w:szCs w:val="21"/>
              </w:rPr>
            </w:pPr>
            <w:r>
              <w:rPr>
                <w:rFonts w:hint="eastAsia"/>
                <w:b w:val="0"/>
                <w:bCs/>
                <w:color w:val="auto"/>
                <w:sz w:val="22"/>
                <w:szCs w:val="21"/>
                <w:lang w:val="en-US" w:eastAsia="zh-CN"/>
              </w:rPr>
              <w:t>产品描述：</w:t>
            </w:r>
            <w:r>
              <w:rPr>
                <w:rFonts w:hint="eastAsia"/>
                <w:b w:val="0"/>
                <w:bCs/>
                <w:color w:val="auto"/>
                <w:sz w:val="22"/>
                <w:szCs w:val="21"/>
                <w:lang w:val="en-US" w:eastAsia="zh-CN"/>
              </w:rPr>
              <w:br w:type="textWrapping"/>
            </w:r>
            <w:r>
              <w:rPr>
                <w:rFonts w:hint="eastAsia"/>
                <w:b w:val="0"/>
                <w:bCs/>
                <w:color w:val="auto"/>
                <w:sz w:val="22"/>
                <w:szCs w:val="21"/>
                <w:lang w:val="en-US" w:eastAsia="zh-CN"/>
              </w:rPr>
              <w:t>纯正的3段均衡器，具准确的音乐控制能力。</w:t>
            </w:r>
            <w:r>
              <w:rPr>
                <w:rFonts w:hint="eastAsia"/>
                <w:b w:val="0"/>
                <w:bCs/>
                <w:color w:val="auto"/>
                <w:sz w:val="22"/>
                <w:szCs w:val="21"/>
                <w:lang w:val="en-US" w:eastAsia="zh-CN"/>
              </w:rPr>
              <w:br w:type="textWrapping"/>
            </w:r>
            <w:r>
              <w:rPr>
                <w:rFonts w:hint="eastAsia"/>
                <w:b w:val="0"/>
                <w:bCs/>
                <w:color w:val="auto"/>
                <w:sz w:val="22"/>
                <w:szCs w:val="21"/>
                <w:lang w:val="en-US" w:eastAsia="zh-CN"/>
              </w:rPr>
              <w:t>具一个48V幻象电源总开关，一键控制所有通道幻象电源打开关闭。</w:t>
            </w:r>
            <w:r>
              <w:rPr>
                <w:rFonts w:hint="eastAsia"/>
                <w:b w:val="0"/>
                <w:bCs/>
                <w:color w:val="auto"/>
                <w:sz w:val="22"/>
                <w:szCs w:val="21"/>
                <w:lang w:val="en-US" w:eastAsia="zh-CN"/>
              </w:rPr>
              <w:br w:type="textWrapping"/>
            </w:r>
            <w:r>
              <w:rPr>
                <w:rFonts w:hint="eastAsia"/>
                <w:b w:val="0"/>
                <w:bCs/>
                <w:color w:val="auto"/>
                <w:sz w:val="22"/>
                <w:szCs w:val="21"/>
                <w:lang w:val="en-US" w:eastAsia="zh-CN"/>
              </w:rPr>
              <w:t>每通道有增益开关、输入三段均衡高中低、效果、辅助旋钮。</w:t>
            </w:r>
            <w:r>
              <w:rPr>
                <w:rFonts w:hint="eastAsia"/>
                <w:b w:val="0"/>
                <w:bCs/>
                <w:color w:val="auto"/>
                <w:sz w:val="22"/>
                <w:szCs w:val="21"/>
                <w:lang w:val="en-US" w:eastAsia="zh-CN"/>
              </w:rPr>
              <w:br w:type="textWrapping"/>
            </w:r>
            <w:r>
              <w:rPr>
                <w:rFonts w:hint="eastAsia"/>
                <w:b w:val="0"/>
                <w:bCs/>
                <w:color w:val="auto"/>
                <w:sz w:val="22"/>
                <w:szCs w:val="21"/>
                <w:lang w:val="en-US" w:eastAsia="zh-CN"/>
              </w:rPr>
              <w:t>每通道具有编组1、2的控制开关。</w:t>
            </w:r>
            <w:r>
              <w:rPr>
                <w:rFonts w:hint="eastAsia"/>
                <w:b w:val="0"/>
                <w:bCs/>
                <w:color w:val="auto"/>
                <w:sz w:val="22"/>
                <w:szCs w:val="21"/>
                <w:lang w:val="en-US" w:eastAsia="zh-CN"/>
              </w:rPr>
              <w:br w:type="textWrapping"/>
            </w:r>
            <w:r>
              <w:rPr>
                <w:rFonts w:hint="eastAsia"/>
                <w:b w:val="0"/>
                <w:bCs/>
                <w:color w:val="auto"/>
                <w:sz w:val="22"/>
                <w:szCs w:val="21"/>
                <w:lang w:val="en-US" w:eastAsia="zh-CN"/>
              </w:rPr>
              <w:t>每通道都有独立的静音按钮来控制每路的输入信号开关。</w:t>
            </w:r>
            <w:r>
              <w:rPr>
                <w:rFonts w:hint="eastAsia"/>
                <w:b w:val="0"/>
                <w:bCs/>
                <w:color w:val="auto"/>
                <w:sz w:val="22"/>
                <w:szCs w:val="21"/>
                <w:lang w:val="en-US" w:eastAsia="zh-CN"/>
              </w:rPr>
              <w:br w:type="textWrapping"/>
            </w:r>
            <w:r>
              <w:rPr>
                <w:rFonts w:hint="eastAsia"/>
                <w:b w:val="0"/>
                <w:bCs/>
                <w:color w:val="auto"/>
                <w:sz w:val="22"/>
                <w:szCs w:val="21"/>
                <w:lang w:val="en-US" w:eastAsia="zh-CN"/>
              </w:rPr>
              <w:t>每一路通道有独立的PFL（推子前监听）按钮开关，可以监听通道推子前声道信号，而不影响主输出信号。</w:t>
            </w:r>
            <w:r>
              <w:rPr>
                <w:rFonts w:hint="eastAsia"/>
                <w:b w:val="0"/>
                <w:bCs/>
                <w:color w:val="auto"/>
                <w:sz w:val="22"/>
                <w:szCs w:val="21"/>
                <w:lang w:val="en-US" w:eastAsia="zh-CN"/>
              </w:rPr>
              <w:br w:type="textWrapping"/>
            </w:r>
            <w:r>
              <w:rPr>
                <w:rFonts w:hint="eastAsia"/>
                <w:b w:val="0"/>
                <w:bCs/>
                <w:color w:val="auto"/>
                <w:sz w:val="22"/>
                <w:szCs w:val="21"/>
                <w:lang w:val="en-US" w:eastAsia="zh-CN"/>
              </w:rPr>
              <w:t>调音台还带有7段均衡器可以统一调节高中低频，优化音乐表现和调整室内声学参数。</w:t>
            </w:r>
            <w:r>
              <w:rPr>
                <w:rFonts w:hint="eastAsia"/>
                <w:b w:val="0"/>
                <w:bCs/>
                <w:color w:val="auto"/>
                <w:sz w:val="22"/>
                <w:szCs w:val="21"/>
                <w:lang w:val="en-US" w:eastAsia="zh-CN"/>
              </w:rPr>
              <w:br w:type="textWrapping"/>
            </w:r>
            <w:r>
              <w:rPr>
                <w:rFonts w:hint="eastAsia"/>
                <w:b w:val="0"/>
                <w:bCs/>
                <w:color w:val="auto"/>
                <w:sz w:val="22"/>
                <w:szCs w:val="21"/>
                <w:lang w:val="en-US" w:eastAsia="zh-CN"/>
              </w:rPr>
              <w:t>内置MP3功能，兼容多音频格式，SD/USB接口，可以接SD卡和U盘。</w:t>
            </w:r>
            <w:r>
              <w:rPr>
                <w:rFonts w:hint="eastAsia"/>
                <w:b w:val="0"/>
                <w:bCs/>
                <w:color w:val="auto"/>
                <w:sz w:val="22"/>
                <w:szCs w:val="21"/>
                <w:lang w:val="en-US" w:eastAsia="zh-CN"/>
              </w:rPr>
              <w:br w:type="textWrapping"/>
            </w:r>
            <w:r>
              <w:rPr>
                <w:rFonts w:hint="eastAsia"/>
                <w:b w:val="0"/>
                <w:bCs/>
                <w:color w:val="auto"/>
                <w:sz w:val="22"/>
                <w:szCs w:val="21"/>
                <w:lang w:val="en-US" w:eastAsia="zh-CN"/>
              </w:rPr>
              <w:t>具录音功能，可录制任意时段主输出音频信号至SD卡/U盘，具有双轨录放机或CD的输入输出连接莲花接口。</w:t>
            </w:r>
            <w:r>
              <w:rPr>
                <w:rFonts w:hint="eastAsia"/>
                <w:b w:val="0"/>
                <w:bCs/>
                <w:color w:val="auto"/>
                <w:sz w:val="22"/>
                <w:szCs w:val="21"/>
                <w:lang w:val="en-US" w:eastAsia="zh-CN"/>
              </w:rPr>
              <w:br w:type="textWrapping"/>
            </w:r>
            <w:r>
              <w:rPr>
                <w:rFonts w:hint="eastAsia"/>
                <w:b w:val="0"/>
                <w:bCs/>
                <w:color w:val="auto"/>
                <w:sz w:val="22"/>
                <w:szCs w:val="21"/>
                <w:lang w:val="en-US" w:eastAsia="zh-CN"/>
              </w:rPr>
              <w:t>标准蓝牙系统，连接蓝牙设备进行音频播放。</w:t>
            </w:r>
            <w:r>
              <w:rPr>
                <w:rFonts w:hint="eastAsia"/>
                <w:b w:val="0"/>
                <w:bCs/>
                <w:color w:val="auto"/>
                <w:sz w:val="22"/>
                <w:szCs w:val="21"/>
                <w:lang w:val="en-US" w:eastAsia="zh-CN"/>
              </w:rPr>
              <w:br w:type="textWrapping"/>
            </w:r>
            <w:r>
              <w:rPr>
                <w:rFonts w:hint="eastAsia"/>
                <w:b w:val="0"/>
                <w:bCs/>
                <w:color w:val="auto"/>
                <w:sz w:val="22"/>
                <w:szCs w:val="21"/>
                <w:lang w:val="en-US" w:eastAsia="zh-CN"/>
              </w:rPr>
              <w:t>2路主输出，2路编组输出，1路监听输出，2辅助发送/返回。</w:t>
            </w:r>
            <w:r>
              <w:rPr>
                <w:rFonts w:hint="eastAsia"/>
                <w:b w:val="0"/>
                <w:bCs/>
                <w:color w:val="auto"/>
                <w:sz w:val="22"/>
                <w:szCs w:val="21"/>
                <w:lang w:val="en-US" w:eastAsia="zh-CN"/>
              </w:rPr>
              <w:br w:type="textWrapping"/>
            </w:r>
            <w:r>
              <w:rPr>
                <w:rFonts w:hint="eastAsia"/>
                <w:b w:val="0"/>
                <w:bCs/>
                <w:color w:val="auto"/>
                <w:sz w:val="22"/>
                <w:szCs w:val="21"/>
                <w:lang w:val="en-US" w:eastAsia="zh-CN"/>
              </w:rPr>
              <w:t>60毫米对数型推子电位器和密封控制旋转电位器，精密地调节通道的匹配电平。</w:t>
            </w:r>
            <w:r>
              <w:rPr>
                <w:rFonts w:hint="eastAsia"/>
                <w:b w:val="0"/>
                <w:bCs/>
                <w:color w:val="auto"/>
                <w:sz w:val="22"/>
                <w:szCs w:val="21"/>
                <w:lang w:val="en-US" w:eastAsia="zh-CN"/>
              </w:rPr>
              <w:br w:type="textWrapping"/>
            </w:r>
            <w:r>
              <w:rPr>
                <w:rFonts w:hint="eastAsia"/>
                <w:b w:val="0"/>
                <w:bCs/>
                <w:color w:val="auto"/>
                <w:sz w:val="22"/>
                <w:szCs w:val="21"/>
                <w:lang w:val="en-US" w:eastAsia="zh-CN"/>
              </w:rPr>
              <w:t>技术参数：</w:t>
            </w:r>
            <w:r>
              <w:rPr>
                <w:rFonts w:hint="eastAsia"/>
                <w:b w:val="0"/>
                <w:bCs/>
                <w:color w:val="auto"/>
                <w:sz w:val="22"/>
                <w:szCs w:val="21"/>
                <w:lang w:val="en-US" w:eastAsia="zh-CN"/>
              </w:rPr>
              <w:br w:type="textWrapping"/>
            </w:r>
            <w:r>
              <w:rPr>
                <w:rFonts w:hint="eastAsia"/>
                <w:b w:val="0"/>
                <w:bCs/>
                <w:color w:val="auto"/>
                <w:sz w:val="22"/>
                <w:szCs w:val="21"/>
                <w:lang w:val="en-US" w:eastAsia="zh-CN"/>
              </w:rPr>
              <w:t>麦克风输入：6路</w:t>
            </w:r>
            <w:r>
              <w:rPr>
                <w:rFonts w:hint="eastAsia"/>
                <w:b w:val="0"/>
                <w:bCs/>
                <w:color w:val="auto"/>
                <w:sz w:val="22"/>
                <w:szCs w:val="21"/>
                <w:lang w:val="en-US" w:eastAsia="zh-CN"/>
              </w:rPr>
              <w:br w:type="textWrapping"/>
            </w:r>
            <w:r>
              <w:rPr>
                <w:rFonts w:hint="eastAsia"/>
                <w:b w:val="0"/>
                <w:bCs/>
                <w:color w:val="auto"/>
                <w:sz w:val="22"/>
                <w:szCs w:val="21"/>
                <w:lang w:val="en-US" w:eastAsia="zh-CN"/>
              </w:rPr>
              <w:t>立体声输入：2组</w:t>
            </w:r>
            <w:r>
              <w:rPr>
                <w:rFonts w:hint="eastAsia"/>
                <w:b w:val="0"/>
                <w:bCs/>
                <w:color w:val="auto"/>
                <w:sz w:val="22"/>
                <w:szCs w:val="21"/>
                <w:lang w:val="en-US" w:eastAsia="zh-CN"/>
              </w:rPr>
              <w:br w:type="textWrapping"/>
            </w:r>
            <w:r>
              <w:rPr>
                <w:rFonts w:hint="eastAsia"/>
                <w:b w:val="0"/>
                <w:bCs/>
                <w:color w:val="auto"/>
                <w:sz w:val="22"/>
                <w:szCs w:val="21"/>
                <w:lang w:val="en-US" w:eastAsia="zh-CN"/>
              </w:rPr>
              <w:t>最大输入电平：麦克风 +22dBu，线路 +20dBu</w:t>
            </w:r>
            <w:r>
              <w:rPr>
                <w:rFonts w:hint="eastAsia"/>
                <w:b w:val="0"/>
                <w:bCs/>
                <w:color w:val="auto"/>
                <w:sz w:val="22"/>
                <w:szCs w:val="21"/>
                <w:lang w:val="en-US" w:eastAsia="zh-CN"/>
              </w:rPr>
              <w:br w:type="textWrapping"/>
            </w:r>
            <w:r>
              <w:rPr>
                <w:rFonts w:hint="eastAsia"/>
                <w:b w:val="0"/>
                <w:bCs/>
                <w:color w:val="auto"/>
                <w:sz w:val="22"/>
                <w:szCs w:val="21"/>
                <w:lang w:val="en-US" w:eastAsia="zh-CN"/>
              </w:rPr>
              <w:t>最大输出电平：主输出 +28dBu，其它输出 +22dBu</w:t>
            </w:r>
            <w:r>
              <w:rPr>
                <w:rFonts w:hint="eastAsia"/>
                <w:b w:val="0"/>
                <w:bCs/>
                <w:color w:val="auto"/>
                <w:sz w:val="22"/>
                <w:szCs w:val="21"/>
                <w:lang w:val="en-US" w:eastAsia="zh-CN"/>
              </w:rPr>
              <w:br w:type="textWrapping"/>
            </w:r>
            <w:r>
              <w:rPr>
                <w:rFonts w:hint="eastAsia"/>
                <w:b w:val="0"/>
                <w:bCs/>
                <w:color w:val="auto"/>
                <w:sz w:val="22"/>
                <w:szCs w:val="21"/>
                <w:lang w:val="en-US" w:eastAsia="zh-CN"/>
              </w:rPr>
              <w:t>灵敏度：0VU=+4dBu</w:t>
            </w:r>
            <w:r>
              <w:rPr>
                <w:rFonts w:hint="eastAsia"/>
                <w:b w:val="0"/>
                <w:bCs/>
                <w:color w:val="auto"/>
                <w:sz w:val="22"/>
                <w:szCs w:val="21"/>
                <w:lang w:val="en-US" w:eastAsia="zh-CN"/>
              </w:rPr>
              <w:br w:type="textWrapping"/>
            </w:r>
            <w:r>
              <w:rPr>
                <w:rFonts w:hint="eastAsia"/>
                <w:b w:val="0"/>
                <w:bCs/>
                <w:color w:val="auto"/>
                <w:sz w:val="22"/>
                <w:szCs w:val="21"/>
                <w:lang w:val="en-US" w:eastAsia="zh-CN"/>
              </w:rPr>
              <w:t>频率响应：±1dB，20Hz-30KHz</w:t>
            </w:r>
            <w:r>
              <w:rPr>
                <w:rFonts w:hint="eastAsia"/>
                <w:b w:val="0"/>
                <w:bCs/>
                <w:color w:val="auto"/>
                <w:sz w:val="22"/>
                <w:szCs w:val="21"/>
                <w:lang w:val="en-US" w:eastAsia="zh-CN"/>
              </w:rPr>
              <w:br w:type="textWrapping"/>
            </w:r>
            <w:r>
              <w:rPr>
                <w:rFonts w:hint="eastAsia"/>
                <w:b w:val="0"/>
                <w:bCs/>
                <w:color w:val="auto"/>
                <w:sz w:val="22"/>
                <w:szCs w:val="21"/>
                <w:lang w:val="en-US" w:eastAsia="zh-CN"/>
              </w:rPr>
              <w:t>麦克风共模抑制比@1KHz：&gt;80dB 典型值</w:t>
            </w:r>
            <w:r>
              <w:rPr>
                <w:rFonts w:hint="eastAsia"/>
                <w:b w:val="0"/>
                <w:bCs/>
                <w:color w:val="auto"/>
                <w:sz w:val="22"/>
                <w:szCs w:val="21"/>
                <w:lang w:val="en-US" w:eastAsia="zh-CN"/>
              </w:rPr>
              <w:br w:type="textWrapping"/>
            </w:r>
            <w:r>
              <w:rPr>
                <w:rFonts w:hint="eastAsia"/>
                <w:b w:val="0"/>
                <w:bCs/>
                <w:color w:val="auto"/>
                <w:sz w:val="22"/>
                <w:szCs w:val="21"/>
                <w:lang w:val="en-US" w:eastAsia="zh-CN"/>
              </w:rPr>
              <w:t>THD+N @14dBu，1KHz：&lt;0.01%</w:t>
            </w:r>
            <w:r>
              <w:rPr>
                <w:rFonts w:hint="eastAsia"/>
                <w:b w:val="0"/>
                <w:bCs/>
                <w:color w:val="auto"/>
                <w:sz w:val="22"/>
                <w:szCs w:val="21"/>
                <w:lang w:val="en-US" w:eastAsia="zh-CN"/>
              </w:rPr>
              <w:br w:type="textWrapping"/>
            </w:r>
            <w:r>
              <w:rPr>
                <w:rFonts w:hint="eastAsia"/>
                <w:b w:val="0"/>
                <w:bCs/>
                <w:color w:val="auto"/>
                <w:sz w:val="22"/>
                <w:szCs w:val="21"/>
                <w:lang w:val="en-US" w:eastAsia="zh-CN"/>
              </w:rPr>
              <w:t>串扰 @1KHz：&gt;82dB</w:t>
            </w:r>
            <w:r>
              <w:rPr>
                <w:rFonts w:hint="eastAsia"/>
                <w:b w:val="0"/>
                <w:bCs/>
                <w:color w:val="auto"/>
                <w:sz w:val="22"/>
                <w:szCs w:val="21"/>
                <w:lang w:val="en-US" w:eastAsia="zh-CN"/>
              </w:rPr>
              <w:br w:type="textWrapping"/>
            </w:r>
            <w:r>
              <w:rPr>
                <w:rFonts w:hint="eastAsia"/>
                <w:b w:val="0"/>
                <w:bCs/>
                <w:color w:val="auto"/>
                <w:sz w:val="22"/>
                <w:szCs w:val="21"/>
                <w:lang w:val="en-US" w:eastAsia="zh-CN"/>
              </w:rPr>
              <w:t>单声道/立体声均衡：高音 ±15dB，12KHz，中音 ±15dB，2.5 KHz，低音 ±15dB，80Hz</w:t>
            </w:r>
            <w:r>
              <w:rPr>
                <w:rFonts w:hint="eastAsia"/>
                <w:b w:val="0"/>
                <w:bCs/>
                <w:color w:val="auto"/>
                <w:sz w:val="22"/>
                <w:szCs w:val="21"/>
                <w:lang w:val="en-US" w:eastAsia="zh-CN"/>
              </w:rPr>
              <w:br w:type="textWrapping"/>
            </w:r>
            <w:r>
              <w:rPr>
                <w:rFonts w:hint="eastAsia"/>
                <w:b w:val="0"/>
                <w:bCs/>
                <w:color w:val="auto"/>
                <w:sz w:val="22"/>
                <w:szCs w:val="21"/>
                <w:lang w:val="en-US" w:eastAsia="zh-CN"/>
              </w:rPr>
              <w:t>电源：220VAC，50/60Hz</w:t>
            </w:r>
            <w:r>
              <w:rPr>
                <w:rFonts w:hint="eastAsia"/>
                <w:b w:val="0"/>
                <w:bCs/>
                <w:color w:val="auto"/>
                <w:sz w:val="22"/>
                <w:szCs w:val="21"/>
                <w:lang w:val="en-US" w:eastAsia="zh-CN"/>
              </w:rPr>
              <w:br w:type="textWrapping"/>
            </w:r>
            <w:r>
              <w:rPr>
                <w:rFonts w:hint="eastAsia"/>
                <w:b w:val="0"/>
                <w:bCs/>
                <w:color w:val="auto"/>
                <w:sz w:val="22"/>
                <w:szCs w:val="21"/>
                <w:lang w:val="en-US" w:eastAsia="zh-CN"/>
              </w:rPr>
              <w:t>产品尺寸（W×D×H）：414×322×78mm</w:t>
            </w:r>
          </w:p>
        </w:tc>
        <w:tc>
          <w:tcPr>
            <w:tcW w:w="1030" w:type="dxa"/>
            <w:gridSpan w:val="6"/>
            <w:tcBorders>
              <w:top w:val="single" w:color="000000" w:sz="4" w:space="0"/>
              <w:left w:val="single" w:color="000000" w:sz="4" w:space="0"/>
              <w:bottom w:val="single" w:color="000000" w:sz="4" w:space="0"/>
              <w:right w:val="single" w:color="000000" w:sz="4" w:space="0"/>
            </w:tcBorders>
            <w:noWrap/>
            <w:vAlign w:val="center"/>
          </w:tcPr>
          <w:p w14:paraId="46C8A914">
            <w:pPr>
              <w:rPr>
                <w:rFonts w:hint="eastAsia"/>
                <w:b w:val="0"/>
                <w:bCs/>
                <w:color w:val="auto"/>
                <w:sz w:val="22"/>
                <w:szCs w:val="21"/>
              </w:rPr>
            </w:pPr>
            <w:r>
              <w:rPr>
                <w:rFonts w:hint="eastAsia"/>
                <w:b w:val="0"/>
                <w:bCs/>
                <w:color w:val="auto"/>
                <w:sz w:val="22"/>
                <w:szCs w:val="21"/>
                <w:lang w:val="en-US" w:eastAsia="zh-CN"/>
              </w:rPr>
              <w:t>1</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1F88399C">
            <w:pPr>
              <w:rPr>
                <w:rFonts w:hint="eastAsia"/>
                <w:b w:val="0"/>
                <w:bCs/>
                <w:color w:val="auto"/>
                <w:sz w:val="22"/>
                <w:szCs w:val="21"/>
              </w:rPr>
            </w:pPr>
            <w:r>
              <w:rPr>
                <w:rFonts w:hint="eastAsia"/>
                <w:b w:val="0"/>
                <w:bCs/>
                <w:color w:val="auto"/>
                <w:sz w:val="22"/>
                <w:szCs w:val="21"/>
                <w:lang w:val="en-US" w:eastAsia="zh-CN"/>
              </w:rPr>
              <w:t>台</w:t>
            </w:r>
          </w:p>
        </w:tc>
      </w:tr>
      <w:tr w14:paraId="26FE8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05059B3F">
            <w:pPr>
              <w:rPr>
                <w:rFonts w:hint="eastAsia"/>
                <w:b w:val="0"/>
                <w:bCs/>
                <w:color w:val="auto"/>
                <w:sz w:val="22"/>
                <w:szCs w:val="21"/>
              </w:rPr>
            </w:pPr>
            <w:r>
              <w:rPr>
                <w:rFonts w:hint="eastAsia"/>
                <w:b w:val="0"/>
                <w:bCs/>
                <w:color w:val="auto"/>
                <w:sz w:val="22"/>
                <w:szCs w:val="21"/>
                <w:lang w:val="en-US" w:eastAsia="zh-CN"/>
              </w:rPr>
              <w:t>6</w:t>
            </w: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6182B224">
            <w:pPr>
              <w:rPr>
                <w:rFonts w:hint="eastAsia"/>
                <w:b w:val="0"/>
                <w:bCs/>
                <w:color w:val="auto"/>
                <w:sz w:val="22"/>
                <w:szCs w:val="21"/>
              </w:rPr>
            </w:pPr>
            <w:r>
              <w:rPr>
                <w:rFonts w:hint="eastAsia"/>
                <w:b w:val="0"/>
                <w:bCs/>
                <w:color w:val="auto"/>
                <w:sz w:val="22"/>
                <w:szCs w:val="21"/>
                <w:lang w:val="en-US" w:eastAsia="zh-CN"/>
              </w:rPr>
              <w:t>电源时序器(含电源时序控制器软件V2.0)</w:t>
            </w:r>
          </w:p>
        </w:tc>
        <w:tc>
          <w:tcPr>
            <w:tcW w:w="9139" w:type="dxa"/>
            <w:gridSpan w:val="10"/>
            <w:tcBorders>
              <w:top w:val="single" w:color="000000" w:sz="4" w:space="0"/>
              <w:left w:val="single" w:color="000000" w:sz="4" w:space="0"/>
              <w:bottom w:val="single" w:color="000000" w:sz="4" w:space="0"/>
              <w:right w:val="single" w:color="000000" w:sz="4" w:space="0"/>
            </w:tcBorders>
            <w:noWrap w:val="0"/>
            <w:vAlign w:val="center"/>
          </w:tcPr>
          <w:p w14:paraId="0EEC10D8">
            <w:pPr>
              <w:rPr>
                <w:rFonts w:hint="eastAsia"/>
                <w:b w:val="0"/>
                <w:bCs/>
                <w:color w:val="auto"/>
                <w:sz w:val="22"/>
                <w:szCs w:val="21"/>
              </w:rPr>
            </w:pPr>
            <w:r>
              <w:rPr>
                <w:rFonts w:hint="eastAsia"/>
                <w:b w:val="0"/>
                <w:bCs/>
                <w:color w:val="auto"/>
                <w:sz w:val="22"/>
                <w:szCs w:val="21"/>
                <w:lang w:val="en-US" w:eastAsia="zh-CN"/>
              </w:rPr>
              <w:t>产品描述：</w:t>
            </w:r>
            <w:r>
              <w:rPr>
                <w:rFonts w:hint="eastAsia"/>
                <w:b w:val="0"/>
                <w:bCs/>
                <w:color w:val="auto"/>
                <w:sz w:val="22"/>
                <w:szCs w:val="21"/>
                <w:lang w:val="en-US" w:eastAsia="zh-CN"/>
              </w:rPr>
              <w:br w:type="textWrapping"/>
            </w:r>
            <w:r>
              <w:rPr>
                <w:rFonts w:hint="eastAsia"/>
                <w:b w:val="0"/>
                <w:bCs/>
                <w:color w:val="auto"/>
                <w:sz w:val="22"/>
                <w:szCs w:val="21"/>
                <w:lang w:val="en-US" w:eastAsia="zh-CN"/>
              </w:rPr>
              <w:t>1U机柜式设计，双层双色双拼面板，彰显立体美感；前面板采用隐藏式条形出气口及弧形进风口设计，设备散热均匀，有效延长使用寿命； 电源开关采用防触碰设计，安全省心。</w:t>
            </w:r>
            <w:r>
              <w:rPr>
                <w:rFonts w:hint="eastAsia"/>
                <w:b w:val="0"/>
                <w:bCs/>
                <w:color w:val="auto"/>
                <w:sz w:val="22"/>
                <w:szCs w:val="21"/>
                <w:lang w:val="en-US" w:eastAsia="zh-CN"/>
              </w:rPr>
              <w:br w:type="textWrapping"/>
            </w:r>
            <w:r>
              <w:rPr>
                <w:rFonts w:hint="eastAsia"/>
                <w:b w:val="0"/>
                <w:bCs/>
                <w:color w:val="auto"/>
                <w:sz w:val="22"/>
                <w:szCs w:val="21"/>
                <w:lang w:val="en-US" w:eastAsia="zh-CN"/>
              </w:rPr>
              <w:t>大电流三芯电源输入缆线，电源输入连接方便，带负载最大电流可达50A。</w:t>
            </w:r>
            <w:r>
              <w:rPr>
                <w:rFonts w:hint="eastAsia"/>
                <w:b w:val="0"/>
                <w:bCs/>
                <w:color w:val="auto"/>
                <w:sz w:val="22"/>
                <w:szCs w:val="21"/>
                <w:lang w:val="en-US" w:eastAsia="zh-CN"/>
              </w:rPr>
              <w:br w:type="textWrapping"/>
            </w:r>
            <w:r>
              <w:rPr>
                <w:rFonts w:hint="eastAsia"/>
                <w:b w:val="0"/>
                <w:bCs/>
                <w:color w:val="auto"/>
                <w:sz w:val="22"/>
                <w:szCs w:val="21"/>
                <w:lang w:val="en-US" w:eastAsia="zh-CN"/>
              </w:rPr>
              <w:t>配置1只安全空气开关及1个时序开启/关闭按键开关，保障设备安全的同时，又便于操控。</w:t>
            </w:r>
            <w:r>
              <w:rPr>
                <w:rFonts w:hint="eastAsia"/>
                <w:b w:val="0"/>
                <w:bCs/>
                <w:color w:val="auto"/>
                <w:sz w:val="22"/>
                <w:szCs w:val="21"/>
                <w:lang w:val="en-US" w:eastAsia="zh-CN"/>
              </w:rPr>
              <w:br w:type="textWrapping"/>
            </w:r>
            <w:r>
              <w:rPr>
                <w:rFonts w:hint="eastAsia"/>
                <w:b w:val="0"/>
                <w:bCs/>
                <w:color w:val="auto"/>
                <w:sz w:val="22"/>
                <w:szCs w:val="21"/>
                <w:lang w:val="en-US" w:eastAsia="zh-CN"/>
              </w:rPr>
              <w:t>面板开关设计符合设备安全要求，顺序开启时序通道，逆序关闭时序通道。</w:t>
            </w:r>
            <w:r>
              <w:rPr>
                <w:rFonts w:hint="eastAsia"/>
                <w:b w:val="0"/>
                <w:bCs/>
                <w:color w:val="auto"/>
                <w:sz w:val="22"/>
                <w:szCs w:val="21"/>
                <w:lang w:val="en-US" w:eastAsia="zh-CN"/>
              </w:rPr>
              <w:br w:type="textWrapping"/>
            </w:r>
            <w:r>
              <w:rPr>
                <w:rFonts w:hint="eastAsia"/>
                <w:b w:val="0"/>
                <w:bCs/>
                <w:color w:val="auto"/>
                <w:sz w:val="22"/>
                <w:szCs w:val="21"/>
                <w:lang w:val="en-US" w:eastAsia="zh-CN"/>
              </w:rPr>
              <w:t>带8个LED指示灯显示，实时查看每个通道的工作状态。</w:t>
            </w:r>
            <w:r>
              <w:rPr>
                <w:rFonts w:hint="eastAsia"/>
                <w:b w:val="0"/>
                <w:bCs/>
                <w:color w:val="auto"/>
                <w:sz w:val="22"/>
                <w:szCs w:val="21"/>
                <w:lang w:val="en-US" w:eastAsia="zh-CN"/>
              </w:rPr>
              <w:br w:type="textWrapping"/>
            </w:r>
            <w:r>
              <w:rPr>
                <w:rFonts w:hint="eastAsia"/>
                <w:b w:val="0"/>
                <w:bCs/>
                <w:color w:val="auto"/>
                <w:sz w:val="22"/>
                <w:szCs w:val="21"/>
                <w:lang w:val="en-US" w:eastAsia="zh-CN"/>
              </w:rPr>
              <w:t>支持PC端安装软件，通过软件操控修改时间，可设置定时程序，实现无人值守，并且可编辑任意通道的开启或关闭。</w:t>
            </w:r>
            <w:r>
              <w:rPr>
                <w:rFonts w:hint="eastAsia"/>
                <w:b w:val="0"/>
                <w:bCs/>
                <w:color w:val="auto"/>
                <w:sz w:val="22"/>
                <w:szCs w:val="21"/>
                <w:lang w:val="en-US" w:eastAsia="zh-CN"/>
              </w:rPr>
              <w:br w:type="textWrapping"/>
            </w:r>
            <w:r>
              <w:rPr>
                <w:rFonts w:hint="eastAsia"/>
                <w:b w:val="0"/>
                <w:bCs/>
                <w:color w:val="auto"/>
                <w:sz w:val="22"/>
                <w:szCs w:val="21"/>
                <w:lang w:val="en-US" w:eastAsia="zh-CN"/>
              </w:rPr>
              <w:t>内含CPU控制芯片，可自定义顺序开机和逆序关机，并且可根据使用场所不同，自定议设置开关机间隔时间（0-254秒）。</w:t>
            </w:r>
            <w:r>
              <w:rPr>
                <w:rFonts w:hint="eastAsia"/>
                <w:b w:val="0"/>
                <w:bCs/>
                <w:color w:val="auto"/>
                <w:sz w:val="22"/>
                <w:szCs w:val="21"/>
                <w:lang w:val="en-US" w:eastAsia="zh-CN"/>
              </w:rPr>
              <w:br w:type="textWrapping"/>
            </w:r>
            <w:r>
              <w:rPr>
                <w:rFonts w:hint="eastAsia"/>
                <w:b w:val="0"/>
                <w:bCs/>
                <w:color w:val="auto"/>
                <w:sz w:val="22"/>
                <w:szCs w:val="21"/>
                <w:lang w:val="en-US" w:eastAsia="zh-CN"/>
              </w:rPr>
              <w:t>后面板带8路多功能标准插座输出，通用于国际多种类型插头。</w:t>
            </w:r>
            <w:r>
              <w:rPr>
                <w:rFonts w:hint="eastAsia"/>
                <w:b w:val="0"/>
                <w:bCs/>
                <w:color w:val="auto"/>
                <w:sz w:val="22"/>
                <w:szCs w:val="21"/>
                <w:lang w:val="en-US" w:eastAsia="zh-CN"/>
              </w:rPr>
              <w:br w:type="textWrapping"/>
            </w:r>
            <w:r>
              <w:rPr>
                <w:rFonts w:hint="eastAsia"/>
                <w:b w:val="0"/>
                <w:bCs/>
                <w:color w:val="auto"/>
                <w:sz w:val="22"/>
                <w:szCs w:val="21"/>
                <w:lang w:val="en-US" w:eastAsia="zh-CN"/>
              </w:rPr>
              <w:t>前面板配1路直通220V电源座，2路USB DC 5V座供电接口，用于调试照明或手机/平板充电。</w:t>
            </w:r>
            <w:r>
              <w:rPr>
                <w:rFonts w:hint="eastAsia"/>
                <w:b w:val="0"/>
                <w:bCs/>
                <w:color w:val="auto"/>
                <w:sz w:val="22"/>
                <w:szCs w:val="21"/>
                <w:lang w:val="en-US" w:eastAsia="zh-CN"/>
              </w:rPr>
              <w:br w:type="textWrapping"/>
            </w:r>
            <w:r>
              <w:rPr>
                <w:rFonts w:hint="eastAsia"/>
                <w:b w:val="0"/>
                <w:bCs/>
                <w:color w:val="auto"/>
                <w:sz w:val="22"/>
                <w:szCs w:val="21"/>
                <w:lang w:val="en-US" w:eastAsia="zh-CN"/>
              </w:rPr>
              <w:t>带485智能化控制接口，具有标准串口控制功能，可连接电脑控制。</w:t>
            </w:r>
            <w:r>
              <w:rPr>
                <w:rFonts w:hint="eastAsia"/>
                <w:b w:val="0"/>
                <w:bCs/>
                <w:color w:val="auto"/>
                <w:sz w:val="22"/>
                <w:szCs w:val="21"/>
                <w:lang w:val="en-US" w:eastAsia="zh-CN"/>
              </w:rPr>
              <w:br w:type="textWrapping"/>
            </w:r>
            <w:r>
              <w:rPr>
                <w:rFonts w:hint="eastAsia"/>
                <w:b w:val="0"/>
                <w:bCs/>
                <w:color w:val="auto"/>
                <w:sz w:val="22"/>
                <w:szCs w:val="21"/>
                <w:lang w:val="en-US" w:eastAsia="zh-CN"/>
              </w:rPr>
              <w:t>带USB级联输入和输出接口，可拓展更多电源时序器关联控制。</w:t>
            </w:r>
            <w:r>
              <w:rPr>
                <w:rFonts w:hint="eastAsia"/>
                <w:b w:val="0"/>
                <w:bCs/>
                <w:color w:val="auto"/>
                <w:sz w:val="22"/>
                <w:szCs w:val="21"/>
                <w:lang w:val="en-US" w:eastAsia="zh-CN"/>
              </w:rPr>
              <w:br w:type="textWrapping"/>
            </w:r>
            <w:r>
              <w:rPr>
                <w:rFonts w:hint="eastAsia"/>
                <w:b w:val="0"/>
                <w:bCs/>
                <w:color w:val="auto"/>
                <w:sz w:val="22"/>
                <w:szCs w:val="21"/>
                <w:lang w:val="en-US" w:eastAsia="zh-CN"/>
              </w:rPr>
              <w:t>技术参数：</w:t>
            </w:r>
            <w:r>
              <w:rPr>
                <w:rFonts w:hint="eastAsia"/>
                <w:b w:val="0"/>
                <w:bCs/>
                <w:color w:val="auto"/>
                <w:sz w:val="22"/>
                <w:szCs w:val="21"/>
                <w:lang w:val="en-US" w:eastAsia="zh-CN"/>
              </w:rPr>
              <w:br w:type="textWrapping"/>
            </w:r>
            <w:r>
              <w:rPr>
                <w:rFonts w:hint="eastAsia"/>
                <w:b w:val="0"/>
                <w:bCs/>
                <w:color w:val="auto"/>
                <w:sz w:val="22"/>
                <w:szCs w:val="21"/>
                <w:lang w:val="en-US" w:eastAsia="zh-CN"/>
              </w:rPr>
              <w:t>最大电流：50A</w:t>
            </w:r>
            <w:r>
              <w:rPr>
                <w:rFonts w:hint="eastAsia"/>
                <w:b w:val="0"/>
                <w:bCs/>
                <w:color w:val="auto"/>
                <w:sz w:val="22"/>
                <w:szCs w:val="21"/>
                <w:lang w:val="en-US" w:eastAsia="zh-CN"/>
              </w:rPr>
              <w:br w:type="textWrapping"/>
            </w:r>
            <w:r>
              <w:rPr>
                <w:rFonts w:hint="eastAsia"/>
                <w:b w:val="0"/>
                <w:bCs/>
                <w:color w:val="auto"/>
                <w:sz w:val="22"/>
                <w:szCs w:val="21"/>
                <w:lang w:val="en-US" w:eastAsia="zh-CN"/>
              </w:rPr>
              <w:t>每通道最大电流：16A</w:t>
            </w:r>
            <w:r>
              <w:rPr>
                <w:rFonts w:hint="eastAsia"/>
                <w:b w:val="0"/>
                <w:bCs/>
                <w:color w:val="auto"/>
                <w:sz w:val="22"/>
                <w:szCs w:val="21"/>
                <w:lang w:val="en-US" w:eastAsia="zh-CN"/>
              </w:rPr>
              <w:br w:type="textWrapping"/>
            </w:r>
            <w:r>
              <w:rPr>
                <w:rFonts w:hint="eastAsia"/>
                <w:b w:val="0"/>
                <w:bCs/>
                <w:color w:val="auto"/>
                <w:sz w:val="22"/>
                <w:szCs w:val="21"/>
                <w:lang w:val="en-US" w:eastAsia="zh-CN"/>
              </w:rPr>
              <w:t>通道数：8路</w:t>
            </w:r>
            <w:r>
              <w:rPr>
                <w:rFonts w:hint="eastAsia"/>
                <w:b w:val="0"/>
                <w:bCs/>
                <w:color w:val="auto"/>
                <w:sz w:val="22"/>
                <w:szCs w:val="21"/>
                <w:lang w:val="en-US" w:eastAsia="zh-CN"/>
              </w:rPr>
              <w:br w:type="textWrapping"/>
            </w:r>
            <w:r>
              <w:rPr>
                <w:rFonts w:hint="eastAsia"/>
                <w:b w:val="0"/>
                <w:bCs/>
                <w:color w:val="auto"/>
                <w:sz w:val="22"/>
                <w:szCs w:val="21"/>
                <w:lang w:val="en-US" w:eastAsia="zh-CN"/>
              </w:rPr>
              <w:t>电源供应：AC 220V 50/60Hz</w:t>
            </w:r>
            <w:r>
              <w:rPr>
                <w:rFonts w:hint="eastAsia"/>
                <w:b w:val="0"/>
                <w:bCs/>
                <w:color w:val="auto"/>
                <w:sz w:val="22"/>
                <w:szCs w:val="21"/>
                <w:lang w:val="en-US" w:eastAsia="zh-CN"/>
              </w:rPr>
              <w:br w:type="textWrapping"/>
            </w:r>
            <w:r>
              <w:rPr>
                <w:rFonts w:hint="eastAsia"/>
                <w:b w:val="0"/>
                <w:bCs/>
                <w:color w:val="auto"/>
                <w:sz w:val="22"/>
                <w:szCs w:val="21"/>
                <w:lang w:val="en-US" w:eastAsia="zh-CN"/>
              </w:rPr>
              <w:t>装机高度：1U</w:t>
            </w:r>
            <w:r>
              <w:rPr>
                <w:rFonts w:hint="eastAsia"/>
                <w:b w:val="0"/>
                <w:bCs/>
                <w:color w:val="auto"/>
                <w:sz w:val="22"/>
                <w:szCs w:val="21"/>
                <w:lang w:val="en-US" w:eastAsia="zh-CN"/>
              </w:rPr>
              <w:br w:type="textWrapping"/>
            </w:r>
            <w:r>
              <w:rPr>
                <w:rFonts w:hint="eastAsia"/>
                <w:b w:val="0"/>
                <w:bCs/>
                <w:color w:val="auto"/>
                <w:sz w:val="22"/>
                <w:szCs w:val="21"/>
                <w:lang w:val="en-US" w:eastAsia="zh-CN"/>
              </w:rPr>
              <w:t>电源指示：LED指示灯</w:t>
            </w:r>
            <w:r>
              <w:rPr>
                <w:rFonts w:hint="eastAsia"/>
                <w:b w:val="0"/>
                <w:bCs/>
                <w:color w:val="auto"/>
                <w:sz w:val="22"/>
                <w:szCs w:val="21"/>
                <w:lang w:val="en-US" w:eastAsia="zh-CN"/>
              </w:rPr>
              <w:br w:type="textWrapping"/>
            </w:r>
            <w:r>
              <w:rPr>
                <w:rFonts w:hint="eastAsia"/>
                <w:b w:val="0"/>
                <w:bCs/>
                <w:color w:val="auto"/>
                <w:sz w:val="22"/>
                <w:szCs w:val="21"/>
                <w:lang w:val="en-US" w:eastAsia="zh-CN"/>
              </w:rPr>
              <w:t>接口：前面板1个万能插座、1个空气开关、2个USB口、后面板8个万能插座、1个485口、2个级联端口</w:t>
            </w:r>
            <w:r>
              <w:rPr>
                <w:rFonts w:hint="eastAsia"/>
                <w:b w:val="0"/>
                <w:bCs/>
                <w:color w:val="auto"/>
                <w:sz w:val="22"/>
                <w:szCs w:val="21"/>
                <w:lang w:val="en-US" w:eastAsia="zh-CN"/>
              </w:rPr>
              <w:br w:type="textWrapping"/>
            </w:r>
            <w:r>
              <w:rPr>
                <w:rFonts w:hint="eastAsia"/>
                <w:b w:val="0"/>
                <w:bCs/>
                <w:color w:val="auto"/>
                <w:sz w:val="22"/>
                <w:szCs w:val="21"/>
                <w:lang w:val="en-US" w:eastAsia="zh-CN"/>
              </w:rPr>
              <w:t>产品尺寸（W×D×H）：484×317×45mm</w:t>
            </w:r>
            <w:r>
              <w:rPr>
                <w:rFonts w:hint="eastAsia"/>
                <w:b w:val="0"/>
                <w:bCs/>
                <w:color w:val="auto"/>
                <w:sz w:val="22"/>
                <w:szCs w:val="21"/>
                <w:lang w:val="en-US" w:eastAsia="zh-CN"/>
              </w:rPr>
              <w:br w:type="textWrapping"/>
            </w:r>
            <w:r>
              <w:rPr>
                <w:rFonts w:hint="eastAsia"/>
                <w:b w:val="0"/>
                <w:bCs/>
                <w:color w:val="auto"/>
                <w:sz w:val="22"/>
                <w:szCs w:val="21"/>
                <w:lang w:val="en-US" w:eastAsia="zh-CN"/>
              </w:rPr>
              <w:t>重量：5kg</w:t>
            </w:r>
          </w:p>
        </w:tc>
        <w:tc>
          <w:tcPr>
            <w:tcW w:w="1030" w:type="dxa"/>
            <w:gridSpan w:val="6"/>
            <w:tcBorders>
              <w:top w:val="single" w:color="000000" w:sz="4" w:space="0"/>
              <w:left w:val="single" w:color="000000" w:sz="4" w:space="0"/>
              <w:bottom w:val="single" w:color="000000" w:sz="4" w:space="0"/>
              <w:right w:val="single" w:color="000000" w:sz="4" w:space="0"/>
            </w:tcBorders>
            <w:noWrap/>
            <w:vAlign w:val="center"/>
          </w:tcPr>
          <w:p w14:paraId="32EC2EB0">
            <w:pPr>
              <w:rPr>
                <w:rFonts w:hint="eastAsia"/>
                <w:b w:val="0"/>
                <w:bCs/>
                <w:color w:val="auto"/>
                <w:sz w:val="22"/>
                <w:szCs w:val="21"/>
              </w:rPr>
            </w:pPr>
            <w:r>
              <w:rPr>
                <w:rFonts w:hint="eastAsia"/>
                <w:b w:val="0"/>
                <w:bCs/>
                <w:color w:val="auto"/>
                <w:sz w:val="22"/>
                <w:szCs w:val="21"/>
                <w:lang w:val="en-US" w:eastAsia="zh-CN"/>
              </w:rPr>
              <w:t>1</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37D1F477">
            <w:pPr>
              <w:rPr>
                <w:rFonts w:hint="eastAsia"/>
                <w:b w:val="0"/>
                <w:bCs/>
                <w:color w:val="auto"/>
                <w:sz w:val="22"/>
                <w:szCs w:val="21"/>
              </w:rPr>
            </w:pPr>
            <w:r>
              <w:rPr>
                <w:rFonts w:hint="eastAsia"/>
                <w:b w:val="0"/>
                <w:bCs/>
                <w:color w:val="auto"/>
                <w:sz w:val="22"/>
                <w:szCs w:val="21"/>
                <w:lang w:val="en-US" w:eastAsia="zh-CN"/>
              </w:rPr>
              <w:t>台</w:t>
            </w:r>
          </w:p>
        </w:tc>
      </w:tr>
      <w:tr w14:paraId="4CCFB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2A4FFC6B">
            <w:pPr>
              <w:rPr>
                <w:rFonts w:hint="eastAsia"/>
                <w:b w:val="0"/>
                <w:bCs/>
                <w:color w:val="auto"/>
                <w:sz w:val="22"/>
                <w:szCs w:val="21"/>
              </w:rPr>
            </w:pPr>
            <w:r>
              <w:rPr>
                <w:rFonts w:hint="eastAsia"/>
                <w:b w:val="0"/>
                <w:bCs/>
                <w:color w:val="auto"/>
                <w:sz w:val="22"/>
                <w:szCs w:val="21"/>
                <w:lang w:val="en-US" w:eastAsia="zh-CN"/>
              </w:rPr>
              <w:t>7</w:t>
            </w: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683965D4">
            <w:pPr>
              <w:rPr>
                <w:rFonts w:hint="eastAsia"/>
                <w:b w:val="0"/>
                <w:bCs/>
                <w:color w:val="auto"/>
                <w:sz w:val="22"/>
                <w:szCs w:val="21"/>
              </w:rPr>
            </w:pPr>
            <w:r>
              <w:rPr>
                <w:rFonts w:hint="eastAsia"/>
                <w:b w:val="0"/>
                <w:bCs/>
                <w:color w:val="auto"/>
                <w:sz w:val="22"/>
                <w:szCs w:val="21"/>
                <w:lang w:val="en-US" w:eastAsia="zh-CN"/>
              </w:rPr>
              <w:t>会议话筒</w:t>
            </w:r>
          </w:p>
        </w:tc>
        <w:tc>
          <w:tcPr>
            <w:tcW w:w="9139" w:type="dxa"/>
            <w:gridSpan w:val="10"/>
            <w:tcBorders>
              <w:top w:val="single" w:color="000000" w:sz="4" w:space="0"/>
              <w:left w:val="single" w:color="000000" w:sz="4" w:space="0"/>
              <w:bottom w:val="single" w:color="000000" w:sz="4" w:space="0"/>
              <w:right w:val="single" w:color="000000" w:sz="4" w:space="0"/>
            </w:tcBorders>
            <w:noWrap w:val="0"/>
            <w:vAlign w:val="center"/>
          </w:tcPr>
          <w:p w14:paraId="77D39325">
            <w:pPr>
              <w:rPr>
                <w:rFonts w:hint="eastAsia"/>
                <w:b w:val="0"/>
                <w:bCs/>
                <w:color w:val="auto"/>
                <w:sz w:val="22"/>
                <w:szCs w:val="21"/>
              </w:rPr>
            </w:pPr>
            <w:r>
              <w:rPr>
                <w:rFonts w:hint="eastAsia"/>
                <w:b w:val="0"/>
                <w:bCs/>
                <w:color w:val="auto"/>
                <w:sz w:val="22"/>
                <w:szCs w:val="21"/>
                <w:lang w:val="en-US" w:eastAsia="zh-CN"/>
              </w:rPr>
              <w:t>产品描述：</w:t>
            </w:r>
            <w:r>
              <w:rPr>
                <w:rFonts w:hint="eastAsia"/>
                <w:b w:val="0"/>
                <w:bCs/>
                <w:color w:val="auto"/>
                <w:sz w:val="22"/>
                <w:szCs w:val="21"/>
                <w:lang w:val="en-US" w:eastAsia="zh-CN"/>
              </w:rPr>
              <w:br w:type="textWrapping"/>
            </w:r>
            <w:r>
              <w:rPr>
                <w:rFonts w:hint="eastAsia"/>
                <w:b w:val="0"/>
                <w:bCs/>
                <w:color w:val="auto"/>
                <w:sz w:val="22"/>
                <w:szCs w:val="21"/>
                <w:lang w:val="en-US" w:eastAsia="zh-CN"/>
              </w:rPr>
              <w:t>采用金属氧化表面，铁灰色外观，黑色亚光底壳设计，时尚美观。</w:t>
            </w:r>
            <w:r>
              <w:rPr>
                <w:rFonts w:hint="eastAsia"/>
                <w:b w:val="0"/>
                <w:bCs/>
                <w:color w:val="auto"/>
                <w:sz w:val="22"/>
                <w:szCs w:val="21"/>
                <w:lang w:val="en-US" w:eastAsia="zh-CN"/>
              </w:rPr>
              <w:br w:type="textWrapping"/>
            </w:r>
            <w:r>
              <w:rPr>
                <w:rFonts w:hint="eastAsia"/>
                <w:b w:val="0"/>
                <w:bCs/>
                <w:color w:val="auto"/>
                <w:sz w:val="22"/>
                <w:szCs w:val="21"/>
                <w:lang w:val="en-US" w:eastAsia="zh-CN"/>
              </w:rPr>
              <w:t>采用双鹅颈结构设计，支持弯曲记忆功能，可以将将收音头灵活的调整到任何位置。</w:t>
            </w:r>
            <w:r>
              <w:rPr>
                <w:rFonts w:hint="eastAsia"/>
                <w:b w:val="0"/>
                <w:bCs/>
                <w:color w:val="auto"/>
                <w:sz w:val="22"/>
                <w:szCs w:val="21"/>
                <w:lang w:val="en-US" w:eastAsia="zh-CN"/>
              </w:rPr>
              <w:br w:type="textWrapping"/>
            </w:r>
            <w:r>
              <w:rPr>
                <w:rFonts w:hint="eastAsia"/>
                <w:b w:val="0"/>
                <w:bCs/>
                <w:color w:val="auto"/>
                <w:sz w:val="22"/>
                <w:szCs w:val="21"/>
                <w:lang w:val="en-US" w:eastAsia="zh-CN"/>
              </w:rPr>
              <w:t>采用电容心形指向咪头，拥有高质量的收音效果，并具有优秀的防射频干扰能力。</w:t>
            </w:r>
            <w:r>
              <w:rPr>
                <w:rFonts w:hint="eastAsia"/>
                <w:b w:val="0"/>
                <w:bCs/>
                <w:color w:val="auto"/>
                <w:sz w:val="22"/>
                <w:szCs w:val="21"/>
                <w:lang w:val="en-US" w:eastAsia="zh-CN"/>
              </w:rPr>
              <w:br w:type="textWrapping"/>
            </w:r>
            <w:r>
              <w:rPr>
                <w:rFonts w:hint="eastAsia"/>
                <w:b w:val="0"/>
                <w:bCs/>
                <w:color w:val="auto"/>
                <w:sz w:val="22"/>
                <w:szCs w:val="21"/>
                <w:lang w:val="en-US" w:eastAsia="zh-CN"/>
              </w:rPr>
              <w:t>附有防风海棉罩，可降低在讲话时收到不雅的喷气声以及其它的风声。</w:t>
            </w:r>
            <w:r>
              <w:rPr>
                <w:rFonts w:hint="eastAsia"/>
                <w:b w:val="0"/>
                <w:bCs/>
                <w:color w:val="auto"/>
                <w:sz w:val="22"/>
                <w:szCs w:val="21"/>
                <w:lang w:val="en-US" w:eastAsia="zh-CN"/>
              </w:rPr>
              <w:br w:type="textWrapping"/>
            </w:r>
            <w:r>
              <w:rPr>
                <w:rFonts w:hint="eastAsia"/>
                <w:b w:val="0"/>
                <w:bCs/>
                <w:color w:val="auto"/>
                <w:sz w:val="22"/>
                <w:szCs w:val="21"/>
                <w:lang w:val="en-US" w:eastAsia="zh-CN"/>
              </w:rPr>
              <w:t>装有防震胶垫，可降低由桌面震动传导的噪声。</w:t>
            </w:r>
            <w:r>
              <w:rPr>
                <w:rFonts w:hint="eastAsia"/>
                <w:b w:val="0"/>
                <w:bCs/>
                <w:color w:val="auto"/>
                <w:sz w:val="22"/>
                <w:szCs w:val="21"/>
                <w:lang w:val="en-US" w:eastAsia="zh-CN"/>
              </w:rPr>
              <w:br w:type="textWrapping"/>
            </w:r>
            <w:r>
              <w:rPr>
                <w:rFonts w:hint="eastAsia"/>
                <w:b w:val="0"/>
                <w:bCs/>
                <w:color w:val="auto"/>
                <w:sz w:val="22"/>
                <w:szCs w:val="21"/>
                <w:lang w:val="en-US" w:eastAsia="zh-CN"/>
              </w:rPr>
              <w:t>采用国际标准3芯卡侬母座，避免摇晃时产生的杂音。</w:t>
            </w:r>
            <w:r>
              <w:rPr>
                <w:rFonts w:hint="eastAsia"/>
                <w:b w:val="0"/>
                <w:bCs/>
                <w:color w:val="auto"/>
                <w:sz w:val="22"/>
                <w:szCs w:val="21"/>
                <w:lang w:val="en-US" w:eastAsia="zh-CN"/>
              </w:rPr>
              <w:br w:type="textWrapping"/>
            </w:r>
            <w:r>
              <w:rPr>
                <w:rFonts w:hint="eastAsia"/>
                <w:b w:val="0"/>
                <w:bCs/>
                <w:color w:val="auto"/>
                <w:sz w:val="22"/>
                <w:szCs w:val="21"/>
                <w:lang w:val="en-US" w:eastAsia="zh-CN"/>
              </w:rPr>
              <w:t>设有话筒开关及幻象供电工作的LED显示灯，可实时显示话筒工作状态。</w:t>
            </w:r>
            <w:r>
              <w:rPr>
                <w:rFonts w:hint="eastAsia"/>
                <w:b w:val="0"/>
                <w:bCs/>
                <w:color w:val="auto"/>
                <w:sz w:val="22"/>
                <w:szCs w:val="21"/>
                <w:lang w:val="en-US" w:eastAsia="zh-CN"/>
              </w:rPr>
              <w:br w:type="textWrapping"/>
            </w:r>
            <w:r>
              <w:rPr>
                <w:rFonts w:hint="eastAsia"/>
                <w:b w:val="0"/>
                <w:bCs/>
                <w:color w:val="auto"/>
                <w:sz w:val="22"/>
                <w:szCs w:val="21"/>
                <w:lang w:val="en-US" w:eastAsia="zh-CN"/>
              </w:rPr>
              <w:t>支持DC48V幻象电源供电，可有效减少布线和电池使用。</w:t>
            </w:r>
            <w:r>
              <w:rPr>
                <w:rFonts w:hint="eastAsia"/>
                <w:b w:val="0"/>
                <w:bCs/>
                <w:color w:val="auto"/>
                <w:sz w:val="22"/>
                <w:szCs w:val="21"/>
                <w:lang w:val="en-US" w:eastAsia="zh-CN"/>
              </w:rPr>
              <w:br w:type="textWrapping"/>
            </w:r>
            <w:r>
              <w:rPr>
                <w:rFonts w:hint="eastAsia"/>
                <w:b w:val="0"/>
                <w:bCs/>
                <w:color w:val="auto"/>
                <w:sz w:val="22"/>
                <w:szCs w:val="21"/>
                <w:lang w:val="en-US" w:eastAsia="zh-CN"/>
              </w:rPr>
              <w:t>适合于演讲、教学、会议、报告的场合使用。</w:t>
            </w:r>
            <w:r>
              <w:rPr>
                <w:rFonts w:hint="eastAsia"/>
                <w:b w:val="0"/>
                <w:bCs/>
                <w:color w:val="auto"/>
                <w:sz w:val="22"/>
                <w:szCs w:val="21"/>
                <w:lang w:val="en-US" w:eastAsia="zh-CN"/>
              </w:rPr>
              <w:br w:type="textWrapping"/>
            </w:r>
            <w:r>
              <w:rPr>
                <w:rFonts w:hint="eastAsia"/>
                <w:b w:val="0"/>
                <w:bCs/>
                <w:color w:val="auto"/>
                <w:sz w:val="22"/>
                <w:szCs w:val="21"/>
                <w:lang w:val="en-US" w:eastAsia="zh-CN"/>
              </w:rPr>
              <w:t>技术参数：</w:t>
            </w:r>
            <w:r>
              <w:rPr>
                <w:rFonts w:hint="eastAsia"/>
                <w:b w:val="0"/>
                <w:bCs/>
                <w:color w:val="auto"/>
                <w:sz w:val="22"/>
                <w:szCs w:val="21"/>
                <w:lang w:val="en-US" w:eastAsia="zh-CN"/>
              </w:rPr>
              <w:br w:type="textWrapping"/>
            </w:r>
            <w:r>
              <w:rPr>
                <w:rFonts w:hint="eastAsia"/>
                <w:b w:val="0"/>
                <w:bCs/>
                <w:color w:val="auto"/>
                <w:sz w:val="22"/>
                <w:szCs w:val="21"/>
                <w:lang w:val="en-US" w:eastAsia="zh-CN"/>
              </w:rPr>
              <w:t>输入电源：幻象电源供电 DC24-52V</w:t>
            </w:r>
            <w:r>
              <w:rPr>
                <w:rFonts w:hint="eastAsia"/>
                <w:b w:val="0"/>
                <w:bCs/>
                <w:color w:val="auto"/>
                <w:sz w:val="22"/>
                <w:szCs w:val="21"/>
                <w:lang w:val="en-US" w:eastAsia="zh-CN"/>
              </w:rPr>
              <w:br w:type="textWrapping"/>
            </w:r>
            <w:r>
              <w:rPr>
                <w:rFonts w:hint="eastAsia"/>
                <w:b w:val="0"/>
                <w:bCs/>
                <w:color w:val="auto"/>
                <w:sz w:val="22"/>
                <w:szCs w:val="21"/>
                <w:lang w:val="en-US" w:eastAsia="zh-CN"/>
              </w:rPr>
              <w:t>接口：话筒输入XLR-3 Female，话筒输出XLR-3 Male（延出0.5米线）</w:t>
            </w:r>
            <w:r>
              <w:rPr>
                <w:rFonts w:hint="eastAsia"/>
                <w:b w:val="0"/>
                <w:bCs/>
                <w:color w:val="auto"/>
                <w:sz w:val="22"/>
                <w:szCs w:val="21"/>
                <w:lang w:val="en-US" w:eastAsia="zh-CN"/>
              </w:rPr>
              <w:br w:type="textWrapping"/>
            </w:r>
            <w:r>
              <w:rPr>
                <w:rFonts w:hint="eastAsia"/>
                <w:b w:val="0"/>
                <w:bCs/>
                <w:color w:val="auto"/>
                <w:sz w:val="22"/>
                <w:szCs w:val="21"/>
                <w:lang w:val="en-US" w:eastAsia="zh-CN"/>
              </w:rPr>
              <w:t>按键指示灯颜色：红色</w:t>
            </w:r>
            <w:r>
              <w:rPr>
                <w:rFonts w:hint="eastAsia"/>
                <w:b w:val="0"/>
                <w:bCs/>
                <w:color w:val="auto"/>
                <w:sz w:val="22"/>
                <w:szCs w:val="21"/>
                <w:lang w:val="en-US" w:eastAsia="zh-CN"/>
              </w:rPr>
              <w:br w:type="textWrapping"/>
            </w:r>
            <w:r>
              <w:rPr>
                <w:rFonts w:hint="eastAsia"/>
                <w:b w:val="0"/>
                <w:bCs/>
                <w:color w:val="auto"/>
                <w:sz w:val="22"/>
                <w:szCs w:val="21"/>
                <w:lang w:val="en-US" w:eastAsia="zh-CN"/>
              </w:rPr>
              <w:t>信噪比（S/N）：≥74dBu</w:t>
            </w:r>
            <w:r>
              <w:rPr>
                <w:rFonts w:hint="eastAsia"/>
                <w:b w:val="0"/>
                <w:bCs/>
                <w:color w:val="auto"/>
                <w:sz w:val="22"/>
                <w:szCs w:val="21"/>
                <w:lang w:val="en-US" w:eastAsia="zh-CN"/>
              </w:rPr>
              <w:br w:type="textWrapping"/>
            </w:r>
            <w:r>
              <w:rPr>
                <w:rFonts w:hint="eastAsia"/>
                <w:b w:val="0"/>
                <w:bCs/>
                <w:color w:val="auto"/>
                <w:sz w:val="22"/>
                <w:szCs w:val="21"/>
                <w:lang w:val="en-US" w:eastAsia="zh-CN"/>
              </w:rPr>
              <w:t>频率响应：60Hz－20KHz +/-1dB</w:t>
            </w:r>
            <w:r>
              <w:rPr>
                <w:rFonts w:hint="eastAsia"/>
                <w:b w:val="0"/>
                <w:bCs/>
                <w:color w:val="auto"/>
                <w:sz w:val="22"/>
                <w:szCs w:val="21"/>
                <w:lang w:val="en-US" w:eastAsia="zh-CN"/>
              </w:rPr>
              <w:br w:type="textWrapping"/>
            </w:r>
            <w:r>
              <w:rPr>
                <w:rFonts w:hint="eastAsia"/>
                <w:b w:val="0"/>
                <w:bCs/>
                <w:color w:val="auto"/>
                <w:sz w:val="22"/>
                <w:szCs w:val="21"/>
                <w:lang w:val="en-US" w:eastAsia="zh-CN"/>
              </w:rPr>
              <w:t>工作温度：-10°- +50°C</w:t>
            </w:r>
            <w:r>
              <w:rPr>
                <w:rFonts w:hint="eastAsia"/>
                <w:b w:val="0"/>
                <w:bCs/>
                <w:color w:val="auto"/>
                <w:sz w:val="22"/>
                <w:szCs w:val="21"/>
                <w:lang w:val="en-US" w:eastAsia="zh-CN"/>
              </w:rPr>
              <w:br w:type="textWrapping"/>
            </w:r>
            <w:r>
              <w:rPr>
                <w:rFonts w:hint="eastAsia"/>
                <w:b w:val="0"/>
                <w:bCs/>
                <w:color w:val="auto"/>
                <w:sz w:val="22"/>
                <w:szCs w:val="21"/>
                <w:lang w:val="en-US" w:eastAsia="zh-CN"/>
              </w:rPr>
              <w:t>功耗：DC48V 12mA</w:t>
            </w:r>
            <w:r>
              <w:rPr>
                <w:rFonts w:hint="eastAsia"/>
                <w:b w:val="0"/>
                <w:bCs/>
                <w:color w:val="auto"/>
                <w:sz w:val="22"/>
                <w:szCs w:val="21"/>
                <w:lang w:val="en-US" w:eastAsia="zh-CN"/>
              </w:rPr>
              <w:br w:type="textWrapping"/>
            </w:r>
            <w:r>
              <w:rPr>
                <w:rFonts w:hint="eastAsia"/>
                <w:b w:val="0"/>
                <w:bCs/>
                <w:color w:val="auto"/>
                <w:sz w:val="22"/>
                <w:szCs w:val="21"/>
                <w:lang w:val="en-US" w:eastAsia="zh-CN"/>
              </w:rPr>
              <w:t>咪杆长度：450mm</w:t>
            </w:r>
            <w:r>
              <w:rPr>
                <w:rFonts w:hint="eastAsia"/>
                <w:b w:val="0"/>
                <w:bCs/>
                <w:color w:val="auto"/>
                <w:sz w:val="22"/>
                <w:szCs w:val="21"/>
                <w:lang w:val="en-US" w:eastAsia="zh-CN"/>
              </w:rPr>
              <w:br w:type="textWrapping"/>
            </w:r>
            <w:r>
              <w:rPr>
                <w:rFonts w:hint="eastAsia"/>
                <w:b w:val="0"/>
                <w:bCs/>
                <w:color w:val="auto"/>
                <w:sz w:val="22"/>
                <w:szCs w:val="21"/>
                <w:lang w:val="en-US" w:eastAsia="zh-CN"/>
              </w:rPr>
              <w:t>产品尺寸（W×D×H）：114×153×54mm</w:t>
            </w:r>
            <w:r>
              <w:rPr>
                <w:rFonts w:hint="eastAsia"/>
                <w:b w:val="0"/>
                <w:bCs/>
                <w:color w:val="auto"/>
                <w:sz w:val="22"/>
                <w:szCs w:val="21"/>
                <w:lang w:val="en-US" w:eastAsia="zh-CN"/>
              </w:rPr>
              <w:br w:type="textWrapping"/>
            </w:r>
            <w:r>
              <w:rPr>
                <w:rFonts w:hint="eastAsia"/>
                <w:b w:val="0"/>
                <w:bCs/>
                <w:color w:val="auto"/>
                <w:sz w:val="22"/>
                <w:szCs w:val="21"/>
                <w:lang w:val="en-US" w:eastAsia="zh-CN"/>
              </w:rPr>
              <w:t>重量：1067g</w:t>
            </w:r>
          </w:p>
        </w:tc>
        <w:tc>
          <w:tcPr>
            <w:tcW w:w="1030" w:type="dxa"/>
            <w:gridSpan w:val="6"/>
            <w:tcBorders>
              <w:top w:val="single" w:color="000000" w:sz="4" w:space="0"/>
              <w:left w:val="single" w:color="000000" w:sz="4" w:space="0"/>
              <w:bottom w:val="single" w:color="000000" w:sz="4" w:space="0"/>
              <w:right w:val="single" w:color="000000" w:sz="4" w:space="0"/>
            </w:tcBorders>
            <w:noWrap/>
            <w:vAlign w:val="center"/>
          </w:tcPr>
          <w:p w14:paraId="40FD354A">
            <w:pPr>
              <w:rPr>
                <w:rFonts w:hint="eastAsia"/>
                <w:b w:val="0"/>
                <w:bCs/>
                <w:color w:val="auto"/>
                <w:sz w:val="22"/>
                <w:szCs w:val="21"/>
              </w:rPr>
            </w:pPr>
            <w:r>
              <w:rPr>
                <w:rFonts w:hint="eastAsia"/>
                <w:b w:val="0"/>
                <w:bCs/>
                <w:color w:val="auto"/>
                <w:sz w:val="22"/>
                <w:szCs w:val="21"/>
                <w:lang w:val="en-US" w:eastAsia="zh-CN"/>
              </w:rPr>
              <w:t>1</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3E3332A5">
            <w:pPr>
              <w:rPr>
                <w:rFonts w:hint="eastAsia"/>
                <w:b w:val="0"/>
                <w:bCs/>
                <w:color w:val="auto"/>
                <w:sz w:val="22"/>
                <w:szCs w:val="21"/>
              </w:rPr>
            </w:pPr>
            <w:r>
              <w:rPr>
                <w:rFonts w:hint="eastAsia"/>
                <w:b w:val="0"/>
                <w:bCs/>
                <w:color w:val="auto"/>
                <w:sz w:val="22"/>
                <w:szCs w:val="21"/>
                <w:lang w:val="en-US" w:eastAsia="zh-CN"/>
              </w:rPr>
              <w:t>只</w:t>
            </w:r>
          </w:p>
        </w:tc>
      </w:tr>
      <w:tr w14:paraId="17E8A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6064EDCB">
            <w:pPr>
              <w:rPr>
                <w:rFonts w:hint="eastAsia"/>
                <w:b w:val="0"/>
                <w:bCs/>
                <w:color w:val="auto"/>
                <w:sz w:val="22"/>
                <w:szCs w:val="21"/>
              </w:rPr>
            </w:pPr>
            <w:r>
              <w:rPr>
                <w:rFonts w:hint="eastAsia"/>
                <w:b w:val="0"/>
                <w:bCs/>
                <w:color w:val="auto"/>
                <w:sz w:val="22"/>
                <w:szCs w:val="21"/>
                <w:lang w:val="en-US" w:eastAsia="zh-CN"/>
              </w:rPr>
              <w:t>8</w:t>
            </w: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7DED24B7">
            <w:pPr>
              <w:rPr>
                <w:rFonts w:hint="eastAsia"/>
                <w:b w:val="0"/>
                <w:bCs/>
                <w:color w:val="auto"/>
                <w:sz w:val="22"/>
                <w:szCs w:val="21"/>
              </w:rPr>
            </w:pPr>
            <w:r>
              <w:rPr>
                <w:rFonts w:hint="eastAsia"/>
                <w:b w:val="0"/>
                <w:bCs/>
                <w:color w:val="auto"/>
                <w:sz w:val="22"/>
                <w:szCs w:val="21"/>
                <w:lang w:val="en-US" w:eastAsia="zh-CN"/>
              </w:rPr>
              <w:t>无线话筒(含无线话筒控制软件V1.0)</w:t>
            </w:r>
          </w:p>
        </w:tc>
        <w:tc>
          <w:tcPr>
            <w:tcW w:w="9139" w:type="dxa"/>
            <w:gridSpan w:val="10"/>
            <w:tcBorders>
              <w:top w:val="single" w:color="000000" w:sz="4" w:space="0"/>
              <w:left w:val="single" w:color="000000" w:sz="4" w:space="0"/>
              <w:bottom w:val="single" w:color="000000" w:sz="4" w:space="0"/>
              <w:right w:val="single" w:color="000000" w:sz="4" w:space="0"/>
            </w:tcBorders>
            <w:noWrap w:val="0"/>
            <w:vAlign w:val="center"/>
          </w:tcPr>
          <w:p w14:paraId="60CC0661">
            <w:pPr>
              <w:rPr>
                <w:rFonts w:hint="eastAsia"/>
                <w:b w:val="0"/>
                <w:bCs/>
                <w:color w:val="auto"/>
                <w:sz w:val="22"/>
                <w:szCs w:val="21"/>
              </w:rPr>
            </w:pPr>
            <w:r>
              <w:rPr>
                <w:rFonts w:hint="eastAsia"/>
                <w:b w:val="0"/>
                <w:bCs/>
                <w:color w:val="auto"/>
                <w:sz w:val="22"/>
                <w:szCs w:val="21"/>
                <w:lang w:val="en-US" w:eastAsia="zh-CN"/>
              </w:rPr>
              <w:t>产品描述：</w:t>
            </w:r>
            <w:r>
              <w:rPr>
                <w:rFonts w:hint="eastAsia"/>
                <w:b w:val="0"/>
                <w:bCs/>
                <w:color w:val="auto"/>
                <w:sz w:val="22"/>
                <w:szCs w:val="21"/>
                <w:lang w:val="en-US" w:eastAsia="zh-CN"/>
              </w:rPr>
              <w:br w:type="textWrapping"/>
            </w:r>
            <w:r>
              <w:rPr>
                <w:rFonts w:hint="eastAsia"/>
                <w:b w:val="0"/>
                <w:bCs/>
                <w:color w:val="auto"/>
                <w:sz w:val="22"/>
                <w:szCs w:val="21"/>
                <w:lang w:val="en-US" w:eastAsia="zh-CN"/>
              </w:rPr>
              <w:t>LED液晶显示可同时显示RF/AF信号强度，自动选讯，可设定频道/频率。</w:t>
            </w:r>
            <w:r>
              <w:rPr>
                <w:rFonts w:hint="eastAsia"/>
                <w:b w:val="0"/>
                <w:bCs/>
                <w:color w:val="auto"/>
                <w:sz w:val="22"/>
                <w:szCs w:val="21"/>
                <w:lang w:val="en-US" w:eastAsia="zh-CN"/>
              </w:rPr>
              <w:br w:type="textWrapping"/>
            </w:r>
            <w:r>
              <w:rPr>
                <w:rFonts w:hint="eastAsia"/>
                <w:b w:val="0"/>
                <w:bCs/>
                <w:color w:val="auto"/>
                <w:sz w:val="22"/>
                <w:szCs w:val="21"/>
                <w:lang w:val="en-US" w:eastAsia="zh-CN"/>
              </w:rPr>
              <w:t>采用窄带滤波器，可有效减小外界信号干扰。</w:t>
            </w:r>
            <w:r>
              <w:rPr>
                <w:rFonts w:hint="eastAsia"/>
                <w:b w:val="0"/>
                <w:bCs/>
                <w:color w:val="auto"/>
                <w:sz w:val="22"/>
                <w:szCs w:val="21"/>
                <w:lang w:val="en-US" w:eastAsia="zh-CN"/>
              </w:rPr>
              <w:br w:type="textWrapping"/>
            </w:r>
            <w:r>
              <w:rPr>
                <w:rFonts w:hint="eastAsia"/>
                <w:b w:val="0"/>
                <w:bCs/>
                <w:color w:val="auto"/>
                <w:sz w:val="22"/>
                <w:szCs w:val="21"/>
                <w:lang w:val="en-US" w:eastAsia="zh-CN"/>
              </w:rPr>
              <w:t>全新独特ID编码功能，对解决周围环境或是多套使用的干扰都非常有效。</w:t>
            </w:r>
            <w:r>
              <w:rPr>
                <w:rFonts w:hint="eastAsia"/>
                <w:b w:val="0"/>
                <w:bCs/>
                <w:color w:val="auto"/>
                <w:sz w:val="22"/>
                <w:szCs w:val="21"/>
                <w:lang w:val="en-US" w:eastAsia="zh-CN"/>
              </w:rPr>
              <w:br w:type="textWrapping"/>
            </w:r>
            <w:r>
              <w:rPr>
                <w:rFonts w:hint="eastAsia"/>
                <w:b w:val="0"/>
                <w:bCs/>
                <w:color w:val="auto"/>
                <w:sz w:val="22"/>
                <w:szCs w:val="21"/>
                <w:lang w:val="en-US" w:eastAsia="zh-CN"/>
              </w:rPr>
              <w:t>天线分集，接收距离无阻隔理想状态下160米。</w:t>
            </w:r>
            <w:r>
              <w:rPr>
                <w:rFonts w:hint="eastAsia"/>
                <w:b w:val="0"/>
                <w:bCs/>
                <w:color w:val="auto"/>
                <w:sz w:val="22"/>
                <w:szCs w:val="21"/>
                <w:lang w:val="en-US" w:eastAsia="zh-CN"/>
              </w:rPr>
              <w:br w:type="textWrapping"/>
            </w:r>
            <w:r>
              <w:rPr>
                <w:rFonts w:hint="eastAsia"/>
                <w:b w:val="0"/>
                <w:bCs/>
                <w:color w:val="auto"/>
                <w:sz w:val="22"/>
                <w:szCs w:val="21"/>
                <w:lang w:val="en-US" w:eastAsia="zh-CN"/>
              </w:rPr>
              <w:t>天线座带DC9V供电，可直接接放大天线使用，也可接天线放大器主机使用。</w:t>
            </w:r>
            <w:r>
              <w:rPr>
                <w:rFonts w:hint="eastAsia"/>
                <w:b w:val="0"/>
                <w:bCs/>
                <w:color w:val="auto"/>
                <w:sz w:val="22"/>
                <w:szCs w:val="21"/>
                <w:lang w:val="en-US" w:eastAsia="zh-CN"/>
              </w:rPr>
              <w:br w:type="textWrapping"/>
            </w:r>
            <w:r>
              <w:rPr>
                <w:rFonts w:hint="eastAsia"/>
                <w:b w:val="0"/>
                <w:bCs/>
                <w:color w:val="auto"/>
                <w:sz w:val="22"/>
                <w:szCs w:val="21"/>
                <w:lang w:val="en-US" w:eastAsia="zh-CN"/>
              </w:rPr>
              <w:t>接收机有7档SQ，可调节接收机灵敏度，可适配更多环境；</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还原性好，声音清晰，适用于企事业单位，各大中小会议室。 </w:t>
            </w:r>
            <w:r>
              <w:rPr>
                <w:rFonts w:hint="eastAsia"/>
                <w:b w:val="0"/>
                <w:bCs/>
                <w:color w:val="auto"/>
                <w:sz w:val="22"/>
                <w:szCs w:val="21"/>
                <w:lang w:val="en-US" w:eastAsia="zh-CN"/>
              </w:rPr>
              <w:br w:type="textWrapping"/>
            </w:r>
            <w:r>
              <w:rPr>
                <w:rFonts w:hint="eastAsia"/>
                <w:b w:val="0"/>
                <w:bCs/>
                <w:color w:val="auto"/>
                <w:sz w:val="22"/>
                <w:szCs w:val="21"/>
                <w:lang w:val="en-US" w:eastAsia="zh-CN"/>
              </w:rPr>
              <w:t>技术参数：</w:t>
            </w:r>
            <w:r>
              <w:rPr>
                <w:rFonts w:hint="eastAsia"/>
                <w:b w:val="0"/>
                <w:bCs/>
                <w:color w:val="auto"/>
                <w:sz w:val="22"/>
                <w:szCs w:val="21"/>
                <w:lang w:val="en-US" w:eastAsia="zh-CN"/>
              </w:rPr>
              <w:br w:type="textWrapping"/>
            </w:r>
            <w:r>
              <w:rPr>
                <w:rFonts w:hint="eastAsia"/>
                <w:b w:val="0"/>
                <w:bCs/>
                <w:color w:val="auto"/>
                <w:sz w:val="22"/>
                <w:szCs w:val="21"/>
                <w:lang w:val="en-US" w:eastAsia="zh-CN"/>
              </w:rPr>
              <w:t>接收机参数</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频道组数： 双频道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装配方式： 固定式接收模组   </w:t>
            </w:r>
            <w:r>
              <w:rPr>
                <w:rFonts w:hint="eastAsia"/>
                <w:b w:val="0"/>
                <w:bCs/>
                <w:color w:val="auto"/>
                <w:sz w:val="22"/>
                <w:szCs w:val="21"/>
                <w:lang w:val="en-US" w:eastAsia="zh-CN"/>
              </w:rPr>
              <w:br w:type="textWrapping"/>
            </w:r>
            <w:r>
              <w:rPr>
                <w:rFonts w:hint="eastAsia"/>
                <w:b w:val="0"/>
                <w:bCs/>
                <w:color w:val="auto"/>
                <w:sz w:val="22"/>
                <w:szCs w:val="21"/>
                <w:lang w:val="en-US" w:eastAsia="zh-CN"/>
              </w:rPr>
              <w:t>面板显示： LCD液晶显示可同时显示RF/AF信号强度,自动选讯,可设定频道/频率</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振荡模式： PLL相位锁定频率合成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射频稳定度： ±0.005%(-5~50°C)  </w:t>
            </w:r>
            <w:r>
              <w:rPr>
                <w:rFonts w:hint="eastAsia"/>
                <w:b w:val="0"/>
                <w:bCs/>
                <w:color w:val="auto"/>
                <w:sz w:val="22"/>
                <w:szCs w:val="21"/>
                <w:lang w:val="en-US" w:eastAsia="zh-CN"/>
              </w:rPr>
              <w:br w:type="textWrapping"/>
            </w:r>
            <w:r>
              <w:rPr>
                <w:rFonts w:hint="eastAsia"/>
                <w:b w:val="0"/>
                <w:bCs/>
                <w:color w:val="auto"/>
                <w:sz w:val="22"/>
                <w:szCs w:val="21"/>
                <w:lang w:val="en-US" w:eastAsia="zh-CN"/>
              </w:rPr>
              <w:t>载波频段： UHF：640.125MHz -690.000MHz；</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频带宽度： 50MHz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频率间隔：125KHz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可切换频率数： 400组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操作方式： 手动调整   </w:t>
            </w:r>
            <w:r>
              <w:rPr>
                <w:rFonts w:hint="eastAsia"/>
                <w:b w:val="0"/>
                <w:bCs/>
                <w:color w:val="auto"/>
                <w:sz w:val="22"/>
                <w:szCs w:val="21"/>
                <w:lang w:val="en-US" w:eastAsia="zh-CN"/>
              </w:rPr>
              <w:br w:type="textWrapping"/>
            </w:r>
            <w:r>
              <w:rPr>
                <w:rFonts w:hint="eastAsia"/>
                <w:b w:val="0"/>
                <w:bCs/>
                <w:color w:val="auto"/>
                <w:sz w:val="22"/>
                <w:szCs w:val="21"/>
                <w:lang w:val="en-US" w:eastAsia="zh-CN"/>
              </w:rPr>
              <w:t>接收方式： 双调谐器自动选讯</w:t>
            </w:r>
            <w:r>
              <w:rPr>
                <w:rFonts w:hint="eastAsia"/>
                <w:b w:val="0"/>
                <w:bCs/>
                <w:color w:val="auto"/>
                <w:sz w:val="22"/>
                <w:szCs w:val="21"/>
                <w:lang w:val="en-US" w:eastAsia="zh-CN"/>
              </w:rPr>
              <w:br w:type="textWrapping"/>
            </w:r>
            <w:r>
              <w:rPr>
                <w:rFonts w:hint="eastAsia"/>
                <w:b w:val="0"/>
                <w:bCs/>
                <w:color w:val="auto"/>
                <w:sz w:val="22"/>
                <w:szCs w:val="21"/>
                <w:lang w:val="en-US" w:eastAsia="zh-CN"/>
              </w:rPr>
              <w:t>灵敏度： 在偏移度等于40KHz,输入6dBμ V时，S/N&gt;80dB</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最大偏移度： ±68KHz具有音量扩展   </w:t>
            </w:r>
            <w:r>
              <w:rPr>
                <w:rFonts w:hint="eastAsia"/>
                <w:b w:val="0"/>
                <w:bCs/>
                <w:color w:val="auto"/>
                <w:sz w:val="22"/>
                <w:szCs w:val="21"/>
                <w:lang w:val="en-US" w:eastAsia="zh-CN"/>
              </w:rPr>
              <w:br w:type="textWrapping"/>
            </w:r>
            <w:r>
              <w:rPr>
                <w:rFonts w:hint="eastAsia"/>
                <w:b w:val="0"/>
                <w:bCs/>
                <w:color w:val="auto"/>
                <w:sz w:val="22"/>
                <w:szCs w:val="21"/>
                <w:lang w:val="en-US" w:eastAsia="zh-CN"/>
              </w:rPr>
              <w:t>综合S/N比： ±105dB(1KHz-A)</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综合失真度： &lt;0.5% @ 1KHz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综合频率响应： 50Hz-18KHz±3dB具低频衰减滤频电路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最大输出电压： 平衡式MIC-LEVEL-0dBV/600Ω,非平衡式0dBV/600Ω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输出插座： XLR平衡式插座独立输出及Φ6.3不平衡式插座混合输出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音量输出调整： 输出电平可随意调整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静音控制模式： 独立“音码及杂讯锁定”双重静音控制    </w:t>
            </w:r>
            <w:r>
              <w:rPr>
                <w:rFonts w:hint="eastAsia"/>
                <w:b w:val="0"/>
                <w:bCs/>
                <w:color w:val="auto"/>
                <w:sz w:val="22"/>
                <w:szCs w:val="21"/>
                <w:lang w:val="en-US" w:eastAsia="zh-CN"/>
              </w:rPr>
              <w:br w:type="textWrapping"/>
            </w:r>
            <w:r>
              <w:rPr>
                <w:rFonts w:hint="eastAsia"/>
                <w:b w:val="0"/>
                <w:bCs/>
                <w:color w:val="auto"/>
                <w:sz w:val="22"/>
                <w:szCs w:val="21"/>
                <w:lang w:val="en-US" w:eastAsia="zh-CN"/>
              </w:rPr>
              <w:t xml:space="preserve">DC电源供应： 0.5A  12-15VDC       </w:t>
            </w:r>
            <w:r>
              <w:rPr>
                <w:rFonts w:hint="eastAsia"/>
                <w:b w:val="0"/>
                <w:bCs/>
                <w:color w:val="auto"/>
                <w:sz w:val="22"/>
                <w:szCs w:val="21"/>
                <w:lang w:val="en-US" w:eastAsia="zh-CN"/>
              </w:rPr>
              <w:br w:type="textWrapping"/>
            </w:r>
            <w:r>
              <w:rPr>
                <w:rFonts w:hint="eastAsia"/>
                <w:b w:val="0"/>
                <w:bCs/>
                <w:color w:val="auto"/>
                <w:sz w:val="22"/>
                <w:szCs w:val="21"/>
                <w:lang w:val="en-US" w:eastAsia="zh-CN"/>
              </w:rPr>
              <w:t>产品尺寸(W*D*H)： 426*185*50mm</w:t>
            </w:r>
            <w:r>
              <w:rPr>
                <w:rFonts w:hint="eastAsia"/>
                <w:b w:val="0"/>
                <w:bCs/>
                <w:color w:val="auto"/>
                <w:sz w:val="22"/>
                <w:szCs w:val="21"/>
                <w:lang w:val="en-US" w:eastAsia="zh-CN"/>
              </w:rPr>
              <w:br w:type="textWrapping"/>
            </w:r>
            <w:r>
              <w:rPr>
                <w:rFonts w:hint="eastAsia"/>
                <w:b w:val="0"/>
                <w:bCs/>
                <w:color w:val="auto"/>
                <w:sz w:val="22"/>
                <w:szCs w:val="21"/>
                <w:lang w:val="en-US" w:eastAsia="zh-CN"/>
              </w:rPr>
              <w:t>话筒参数</w:t>
            </w:r>
            <w:r>
              <w:rPr>
                <w:rFonts w:hint="eastAsia"/>
                <w:b w:val="0"/>
                <w:bCs/>
                <w:color w:val="auto"/>
                <w:sz w:val="22"/>
                <w:szCs w:val="21"/>
                <w:lang w:val="en-US" w:eastAsia="zh-CN"/>
              </w:rPr>
              <w:br w:type="textWrapping"/>
            </w:r>
            <w:r>
              <w:rPr>
                <w:rFonts w:hint="eastAsia"/>
                <w:b w:val="0"/>
                <w:bCs/>
                <w:color w:val="auto"/>
                <w:sz w:val="22"/>
                <w:szCs w:val="21"/>
                <w:lang w:val="en-US" w:eastAsia="zh-CN"/>
              </w:rPr>
              <w:t>振荡模式： PLL相位锁定频率合成</w:t>
            </w:r>
            <w:r>
              <w:rPr>
                <w:rFonts w:hint="eastAsia"/>
                <w:b w:val="0"/>
                <w:bCs/>
                <w:color w:val="auto"/>
                <w:sz w:val="22"/>
                <w:szCs w:val="21"/>
                <w:lang w:val="en-US" w:eastAsia="zh-CN"/>
              </w:rPr>
              <w:br w:type="textWrapping"/>
            </w:r>
            <w:r>
              <w:rPr>
                <w:rFonts w:hint="eastAsia"/>
                <w:b w:val="0"/>
                <w:bCs/>
                <w:color w:val="auto"/>
                <w:sz w:val="22"/>
                <w:szCs w:val="21"/>
                <w:lang w:val="en-US" w:eastAsia="zh-CN"/>
              </w:rPr>
              <w:t>载波频率： UHF频段（640.125~690.000 MHz）</w:t>
            </w:r>
            <w:r>
              <w:rPr>
                <w:rFonts w:hint="eastAsia"/>
                <w:b w:val="0"/>
                <w:bCs/>
                <w:color w:val="auto"/>
                <w:sz w:val="22"/>
                <w:szCs w:val="21"/>
                <w:lang w:val="en-US" w:eastAsia="zh-CN"/>
              </w:rPr>
              <w:br w:type="textWrapping"/>
            </w:r>
            <w:r>
              <w:rPr>
                <w:rFonts w:hint="eastAsia"/>
                <w:b w:val="0"/>
                <w:bCs/>
                <w:color w:val="auto"/>
                <w:sz w:val="22"/>
                <w:szCs w:val="21"/>
                <w:lang w:val="en-US" w:eastAsia="zh-CN"/>
              </w:rPr>
              <w:t>频带宽度： 50 MHz</w:t>
            </w:r>
            <w:r>
              <w:rPr>
                <w:rFonts w:hint="eastAsia"/>
                <w:b w:val="0"/>
                <w:bCs/>
                <w:color w:val="auto"/>
                <w:sz w:val="22"/>
                <w:szCs w:val="21"/>
                <w:lang w:val="en-US" w:eastAsia="zh-CN"/>
              </w:rPr>
              <w:br w:type="textWrapping"/>
            </w:r>
            <w:r>
              <w:rPr>
                <w:rFonts w:hint="eastAsia"/>
                <w:b w:val="0"/>
                <w:bCs/>
                <w:color w:val="auto"/>
                <w:sz w:val="22"/>
                <w:szCs w:val="21"/>
                <w:lang w:val="en-US" w:eastAsia="zh-CN"/>
              </w:rPr>
              <w:t>可调频率：400组</w:t>
            </w:r>
            <w:r>
              <w:rPr>
                <w:rFonts w:hint="eastAsia"/>
                <w:b w:val="0"/>
                <w:bCs/>
                <w:color w:val="auto"/>
                <w:sz w:val="22"/>
                <w:szCs w:val="21"/>
                <w:lang w:val="en-US" w:eastAsia="zh-CN"/>
              </w:rPr>
              <w:br w:type="textWrapping"/>
            </w:r>
            <w:r>
              <w:rPr>
                <w:rFonts w:hint="eastAsia"/>
                <w:b w:val="0"/>
                <w:bCs/>
                <w:color w:val="auto"/>
                <w:sz w:val="22"/>
                <w:szCs w:val="21"/>
                <w:lang w:val="en-US" w:eastAsia="zh-CN"/>
              </w:rPr>
              <w:t>输出功率： 30MW</w:t>
            </w:r>
            <w:r>
              <w:rPr>
                <w:rFonts w:hint="eastAsia"/>
                <w:b w:val="0"/>
                <w:bCs/>
                <w:color w:val="auto"/>
                <w:sz w:val="22"/>
                <w:szCs w:val="21"/>
                <w:lang w:val="en-US" w:eastAsia="zh-CN"/>
              </w:rPr>
              <w:br w:type="textWrapping"/>
            </w:r>
            <w:r>
              <w:rPr>
                <w:rFonts w:hint="eastAsia"/>
                <w:b w:val="0"/>
                <w:bCs/>
                <w:color w:val="auto"/>
                <w:sz w:val="22"/>
                <w:szCs w:val="21"/>
                <w:lang w:val="en-US" w:eastAsia="zh-CN"/>
              </w:rPr>
              <w:t>射频稳定性： ±0.005%（-5~50℃）</w:t>
            </w:r>
            <w:r>
              <w:rPr>
                <w:rFonts w:hint="eastAsia"/>
                <w:b w:val="0"/>
                <w:bCs/>
                <w:color w:val="auto"/>
                <w:sz w:val="22"/>
                <w:szCs w:val="21"/>
                <w:lang w:val="en-US" w:eastAsia="zh-CN"/>
              </w:rPr>
              <w:br w:type="textWrapping"/>
            </w:r>
            <w:r>
              <w:rPr>
                <w:rFonts w:hint="eastAsia"/>
                <w:b w:val="0"/>
                <w:bCs/>
                <w:color w:val="auto"/>
                <w:sz w:val="22"/>
                <w:szCs w:val="21"/>
                <w:lang w:val="en-US" w:eastAsia="zh-CN"/>
              </w:rPr>
              <w:t>最大偏移： ±70KHz</w:t>
            </w:r>
            <w:r>
              <w:rPr>
                <w:rFonts w:hint="eastAsia"/>
                <w:b w:val="0"/>
                <w:bCs/>
                <w:color w:val="auto"/>
                <w:sz w:val="22"/>
                <w:szCs w:val="21"/>
                <w:lang w:val="en-US" w:eastAsia="zh-CN"/>
              </w:rPr>
              <w:br w:type="textWrapping"/>
            </w:r>
            <w:r>
              <w:rPr>
                <w:rFonts w:hint="eastAsia"/>
                <w:b w:val="0"/>
                <w:bCs/>
                <w:color w:val="auto"/>
                <w:sz w:val="22"/>
                <w:szCs w:val="21"/>
                <w:lang w:val="en-US" w:eastAsia="zh-CN"/>
              </w:rPr>
              <w:t>拾音头： 电容式/动圈式</w:t>
            </w:r>
            <w:r>
              <w:rPr>
                <w:rFonts w:hint="eastAsia"/>
                <w:b w:val="0"/>
                <w:bCs/>
                <w:color w:val="auto"/>
                <w:sz w:val="22"/>
                <w:szCs w:val="21"/>
                <w:lang w:val="en-US" w:eastAsia="zh-CN"/>
              </w:rPr>
              <w:br w:type="textWrapping"/>
            </w:r>
            <w:r>
              <w:rPr>
                <w:rFonts w:hint="eastAsia"/>
                <w:b w:val="0"/>
                <w:bCs/>
                <w:color w:val="auto"/>
                <w:sz w:val="22"/>
                <w:szCs w:val="21"/>
                <w:lang w:val="en-US" w:eastAsia="zh-CN"/>
              </w:rPr>
              <w:t>供电方式： 2节AA电池</w:t>
            </w:r>
            <w:r>
              <w:rPr>
                <w:rFonts w:hint="eastAsia"/>
                <w:b w:val="0"/>
                <w:bCs/>
                <w:color w:val="auto"/>
                <w:sz w:val="22"/>
                <w:szCs w:val="21"/>
                <w:lang w:val="en-US" w:eastAsia="zh-CN"/>
              </w:rPr>
              <w:br w:type="textWrapping"/>
            </w:r>
            <w:r>
              <w:rPr>
                <w:rFonts w:hint="eastAsia"/>
                <w:b w:val="0"/>
                <w:bCs/>
                <w:color w:val="auto"/>
                <w:sz w:val="22"/>
                <w:szCs w:val="21"/>
                <w:lang w:val="en-US" w:eastAsia="zh-CN"/>
              </w:rPr>
              <w:t>电池寿命： 约8小时</w:t>
            </w:r>
          </w:p>
        </w:tc>
        <w:tc>
          <w:tcPr>
            <w:tcW w:w="1030" w:type="dxa"/>
            <w:gridSpan w:val="6"/>
            <w:tcBorders>
              <w:top w:val="single" w:color="000000" w:sz="4" w:space="0"/>
              <w:left w:val="single" w:color="000000" w:sz="4" w:space="0"/>
              <w:bottom w:val="single" w:color="000000" w:sz="4" w:space="0"/>
              <w:right w:val="single" w:color="000000" w:sz="4" w:space="0"/>
            </w:tcBorders>
            <w:noWrap/>
            <w:vAlign w:val="center"/>
          </w:tcPr>
          <w:p w14:paraId="0CCAB065">
            <w:pPr>
              <w:rPr>
                <w:rFonts w:hint="eastAsia"/>
                <w:b w:val="0"/>
                <w:bCs/>
                <w:color w:val="auto"/>
                <w:sz w:val="22"/>
                <w:szCs w:val="21"/>
              </w:rPr>
            </w:pPr>
            <w:r>
              <w:rPr>
                <w:rFonts w:hint="eastAsia"/>
                <w:b w:val="0"/>
                <w:bCs/>
                <w:color w:val="auto"/>
                <w:sz w:val="22"/>
                <w:szCs w:val="21"/>
                <w:lang w:val="en-US" w:eastAsia="zh-CN"/>
              </w:rPr>
              <w:t>1</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0AF41269">
            <w:pPr>
              <w:rPr>
                <w:rFonts w:hint="eastAsia"/>
                <w:b w:val="0"/>
                <w:bCs/>
                <w:color w:val="auto"/>
                <w:sz w:val="22"/>
                <w:szCs w:val="21"/>
              </w:rPr>
            </w:pPr>
            <w:r>
              <w:rPr>
                <w:rFonts w:hint="eastAsia"/>
                <w:b w:val="0"/>
                <w:bCs/>
                <w:color w:val="auto"/>
                <w:sz w:val="22"/>
                <w:szCs w:val="21"/>
                <w:lang w:val="en-US" w:eastAsia="zh-CN"/>
              </w:rPr>
              <w:t>套</w:t>
            </w:r>
          </w:p>
        </w:tc>
      </w:tr>
      <w:tr w14:paraId="76D6F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4"/>
          <w:wAfter w:w="4254" w:type="dxa"/>
          <w:trHeight w:val="500" w:hRule="atLeast"/>
        </w:trPr>
        <w:tc>
          <w:tcPr>
            <w:tcW w:w="7116" w:type="dxa"/>
            <w:gridSpan w:val="10"/>
            <w:tcBorders>
              <w:top w:val="single" w:color="000000" w:sz="4" w:space="0"/>
              <w:left w:val="single" w:color="000000" w:sz="4" w:space="0"/>
              <w:bottom w:val="single" w:color="000000" w:sz="4" w:space="0"/>
              <w:right w:val="single" w:color="000000" w:sz="4" w:space="0"/>
            </w:tcBorders>
            <w:noWrap/>
            <w:vAlign w:val="center"/>
          </w:tcPr>
          <w:p w14:paraId="194B95A0">
            <w:pPr>
              <w:rPr>
                <w:rFonts w:hint="eastAsia"/>
                <w:b w:val="0"/>
                <w:bCs/>
                <w:color w:val="auto"/>
                <w:sz w:val="22"/>
                <w:szCs w:val="21"/>
              </w:rPr>
            </w:pPr>
            <w:r>
              <w:rPr>
                <w:rFonts w:hint="eastAsia"/>
                <w:b w:val="0"/>
                <w:bCs/>
                <w:color w:val="auto"/>
                <w:sz w:val="22"/>
                <w:szCs w:val="21"/>
                <w:lang w:val="en-US" w:eastAsia="zh-CN"/>
              </w:rPr>
              <w:t>辅材</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81C4FBC">
            <w:pPr>
              <w:rPr>
                <w:rFonts w:hint="eastAsia"/>
                <w:b w:val="0"/>
                <w:bCs/>
                <w:color w:val="auto"/>
                <w:sz w:val="22"/>
                <w:szCs w:val="21"/>
              </w:rPr>
            </w:pPr>
            <w:r>
              <w:rPr>
                <w:rFonts w:hint="eastAsia"/>
                <w:b w:val="0"/>
                <w:bCs/>
                <w:color w:val="auto"/>
                <w:sz w:val="22"/>
                <w:szCs w:val="21"/>
                <w:lang w:val="en-US" w:eastAsia="zh-CN"/>
              </w:rPr>
              <w:t>0</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4364E20B">
            <w:pPr>
              <w:rPr>
                <w:rFonts w:hint="eastAsia"/>
                <w:b w:val="0"/>
                <w:bCs/>
                <w:color w:val="auto"/>
                <w:sz w:val="22"/>
                <w:szCs w:val="21"/>
              </w:rPr>
            </w:pPr>
          </w:p>
        </w:tc>
      </w:tr>
      <w:tr w14:paraId="404B5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119178D8">
            <w:pPr>
              <w:rPr>
                <w:rFonts w:hint="eastAsia"/>
                <w:b w:val="0"/>
                <w:bCs/>
                <w:color w:val="auto"/>
                <w:sz w:val="22"/>
                <w:szCs w:val="21"/>
              </w:rPr>
            </w:pPr>
            <w:r>
              <w:rPr>
                <w:rFonts w:hint="eastAsia"/>
                <w:b w:val="0"/>
                <w:bCs/>
                <w:color w:val="auto"/>
                <w:sz w:val="22"/>
                <w:szCs w:val="21"/>
                <w:lang w:val="en-US" w:eastAsia="zh-CN"/>
              </w:rPr>
              <w:t>1</w:t>
            </w: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3CFBBB78">
            <w:pPr>
              <w:rPr>
                <w:rFonts w:hint="eastAsia"/>
                <w:b w:val="0"/>
                <w:bCs/>
                <w:color w:val="auto"/>
                <w:sz w:val="22"/>
                <w:szCs w:val="21"/>
              </w:rPr>
            </w:pPr>
            <w:r>
              <w:rPr>
                <w:rFonts w:hint="eastAsia"/>
                <w:b w:val="0"/>
                <w:bCs/>
                <w:color w:val="auto"/>
                <w:sz w:val="22"/>
                <w:szCs w:val="21"/>
                <w:lang w:val="en-US" w:eastAsia="zh-CN"/>
              </w:rPr>
              <w:t>机柜</w:t>
            </w:r>
          </w:p>
        </w:tc>
        <w:tc>
          <w:tcPr>
            <w:tcW w:w="9139" w:type="dxa"/>
            <w:gridSpan w:val="10"/>
            <w:tcBorders>
              <w:top w:val="single" w:color="000000" w:sz="4" w:space="0"/>
              <w:left w:val="single" w:color="000000" w:sz="4" w:space="0"/>
              <w:bottom w:val="single" w:color="000000" w:sz="4" w:space="0"/>
              <w:right w:val="single" w:color="000000" w:sz="4" w:space="0"/>
            </w:tcBorders>
            <w:noWrap w:val="0"/>
            <w:vAlign w:val="center"/>
          </w:tcPr>
          <w:p w14:paraId="3F1510A9">
            <w:pPr>
              <w:rPr>
                <w:rFonts w:hint="eastAsia"/>
                <w:b w:val="0"/>
                <w:bCs/>
                <w:color w:val="auto"/>
                <w:sz w:val="22"/>
                <w:szCs w:val="21"/>
              </w:rPr>
            </w:pPr>
            <w:r>
              <w:rPr>
                <w:rFonts w:hint="eastAsia"/>
                <w:b w:val="0"/>
                <w:bCs/>
                <w:color w:val="auto"/>
                <w:sz w:val="22"/>
                <w:szCs w:val="21"/>
                <w:lang w:val="en-US" w:eastAsia="zh-CN"/>
              </w:rPr>
              <w:t>22U机柜，600*440*1035mm</w:t>
            </w:r>
            <w:r>
              <w:rPr>
                <w:rFonts w:hint="eastAsia"/>
                <w:b w:val="0"/>
                <w:bCs/>
                <w:color w:val="auto"/>
                <w:sz w:val="22"/>
                <w:szCs w:val="21"/>
                <w:lang w:val="en-US" w:eastAsia="zh-CN"/>
              </w:rPr>
              <w:br w:type="textWrapping"/>
            </w:r>
            <w:r>
              <w:rPr>
                <w:rFonts w:hint="eastAsia"/>
                <w:b w:val="0"/>
                <w:bCs/>
                <w:color w:val="auto"/>
                <w:sz w:val="22"/>
                <w:szCs w:val="21"/>
                <w:lang w:val="en-US" w:eastAsia="zh-CN"/>
              </w:rPr>
              <w:t>8口PDU国标电源插排×1，固定板部件×1,风扇×4,2"重型脚轮×4，M12支脚×4，M6方螺母螺钉×20，内六角扳手×1</w:t>
            </w:r>
          </w:p>
        </w:tc>
        <w:tc>
          <w:tcPr>
            <w:tcW w:w="1030" w:type="dxa"/>
            <w:gridSpan w:val="6"/>
            <w:tcBorders>
              <w:top w:val="single" w:color="000000" w:sz="4" w:space="0"/>
              <w:left w:val="single" w:color="000000" w:sz="4" w:space="0"/>
              <w:bottom w:val="single" w:color="000000" w:sz="4" w:space="0"/>
              <w:right w:val="single" w:color="000000" w:sz="4" w:space="0"/>
            </w:tcBorders>
            <w:noWrap/>
            <w:vAlign w:val="center"/>
          </w:tcPr>
          <w:p w14:paraId="011B6819">
            <w:pPr>
              <w:rPr>
                <w:rFonts w:hint="eastAsia"/>
                <w:b w:val="0"/>
                <w:bCs/>
                <w:color w:val="auto"/>
                <w:sz w:val="22"/>
                <w:szCs w:val="21"/>
              </w:rPr>
            </w:pPr>
            <w:r>
              <w:rPr>
                <w:rFonts w:hint="eastAsia"/>
                <w:b w:val="0"/>
                <w:bCs/>
                <w:color w:val="auto"/>
                <w:sz w:val="22"/>
                <w:szCs w:val="21"/>
                <w:lang w:val="en-US" w:eastAsia="zh-CN"/>
              </w:rPr>
              <w:t>1</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24BD3614">
            <w:pPr>
              <w:rPr>
                <w:rFonts w:hint="eastAsia"/>
                <w:b w:val="0"/>
                <w:bCs/>
                <w:color w:val="auto"/>
                <w:sz w:val="22"/>
                <w:szCs w:val="21"/>
              </w:rPr>
            </w:pPr>
            <w:r>
              <w:rPr>
                <w:rFonts w:hint="eastAsia"/>
                <w:b w:val="0"/>
                <w:bCs/>
                <w:color w:val="auto"/>
                <w:sz w:val="22"/>
                <w:szCs w:val="21"/>
                <w:lang w:val="en-US" w:eastAsia="zh-CN"/>
              </w:rPr>
              <w:t>台</w:t>
            </w:r>
          </w:p>
        </w:tc>
      </w:tr>
      <w:tr w14:paraId="1D87D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6E134E9A">
            <w:pPr>
              <w:rPr>
                <w:rFonts w:hint="eastAsia"/>
                <w:b w:val="0"/>
                <w:bCs/>
                <w:color w:val="auto"/>
                <w:sz w:val="22"/>
                <w:szCs w:val="21"/>
              </w:rPr>
            </w:pPr>
            <w:r>
              <w:rPr>
                <w:rFonts w:hint="eastAsia"/>
                <w:b w:val="0"/>
                <w:bCs/>
                <w:color w:val="auto"/>
                <w:sz w:val="22"/>
                <w:szCs w:val="21"/>
                <w:lang w:val="en-US" w:eastAsia="zh-CN"/>
              </w:rPr>
              <w:t>2</w:t>
            </w: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470C76F8">
            <w:pPr>
              <w:rPr>
                <w:rFonts w:hint="eastAsia"/>
                <w:b w:val="0"/>
                <w:bCs/>
                <w:color w:val="auto"/>
                <w:sz w:val="22"/>
                <w:szCs w:val="21"/>
              </w:rPr>
            </w:pPr>
            <w:r>
              <w:rPr>
                <w:rFonts w:hint="eastAsia"/>
                <w:b w:val="0"/>
                <w:bCs/>
                <w:color w:val="auto"/>
                <w:sz w:val="22"/>
                <w:szCs w:val="21"/>
                <w:lang w:val="en-US" w:eastAsia="zh-CN"/>
              </w:rPr>
              <w:t>音频线</w:t>
            </w:r>
          </w:p>
        </w:tc>
        <w:tc>
          <w:tcPr>
            <w:tcW w:w="9139" w:type="dxa"/>
            <w:gridSpan w:val="10"/>
            <w:tcBorders>
              <w:top w:val="single" w:color="000000" w:sz="4" w:space="0"/>
              <w:left w:val="single" w:color="000000" w:sz="4" w:space="0"/>
              <w:bottom w:val="single" w:color="000000" w:sz="4" w:space="0"/>
              <w:right w:val="single" w:color="000000" w:sz="4" w:space="0"/>
            </w:tcBorders>
            <w:noWrap w:val="0"/>
            <w:vAlign w:val="center"/>
          </w:tcPr>
          <w:p w14:paraId="38020654">
            <w:pPr>
              <w:rPr>
                <w:rFonts w:hint="eastAsia"/>
                <w:b w:val="0"/>
                <w:bCs/>
                <w:color w:val="auto"/>
                <w:sz w:val="22"/>
                <w:szCs w:val="21"/>
              </w:rPr>
            </w:pPr>
            <w:r>
              <w:rPr>
                <w:rFonts w:hint="eastAsia"/>
                <w:b w:val="0"/>
                <w:bCs/>
                <w:color w:val="auto"/>
                <w:sz w:val="22"/>
                <w:szCs w:val="21"/>
                <w:lang w:val="en-US" w:eastAsia="zh-CN"/>
              </w:rPr>
              <w:t>1.8米音频连接线：卡侬公对母延长线</w:t>
            </w:r>
          </w:p>
        </w:tc>
        <w:tc>
          <w:tcPr>
            <w:tcW w:w="1030" w:type="dxa"/>
            <w:gridSpan w:val="6"/>
            <w:tcBorders>
              <w:top w:val="single" w:color="000000" w:sz="4" w:space="0"/>
              <w:left w:val="single" w:color="000000" w:sz="4" w:space="0"/>
              <w:bottom w:val="single" w:color="000000" w:sz="4" w:space="0"/>
              <w:right w:val="single" w:color="000000" w:sz="4" w:space="0"/>
            </w:tcBorders>
            <w:noWrap/>
            <w:vAlign w:val="center"/>
          </w:tcPr>
          <w:p w14:paraId="7A76DC1D">
            <w:pPr>
              <w:rPr>
                <w:rFonts w:hint="eastAsia"/>
                <w:b w:val="0"/>
                <w:bCs/>
                <w:color w:val="auto"/>
                <w:sz w:val="22"/>
                <w:szCs w:val="21"/>
              </w:rPr>
            </w:pPr>
            <w:r>
              <w:rPr>
                <w:rFonts w:hint="eastAsia"/>
                <w:b w:val="0"/>
                <w:bCs/>
                <w:color w:val="auto"/>
                <w:sz w:val="22"/>
                <w:szCs w:val="21"/>
                <w:lang w:val="en-US" w:eastAsia="zh-CN"/>
              </w:rPr>
              <w:t>10</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468DEFE3">
            <w:pPr>
              <w:rPr>
                <w:rFonts w:hint="eastAsia"/>
                <w:b w:val="0"/>
                <w:bCs/>
                <w:color w:val="auto"/>
                <w:sz w:val="22"/>
                <w:szCs w:val="21"/>
              </w:rPr>
            </w:pPr>
            <w:r>
              <w:rPr>
                <w:rFonts w:hint="eastAsia"/>
                <w:b w:val="0"/>
                <w:bCs/>
                <w:color w:val="auto"/>
                <w:sz w:val="22"/>
                <w:szCs w:val="21"/>
                <w:lang w:val="en-US" w:eastAsia="zh-CN"/>
              </w:rPr>
              <w:t>条</w:t>
            </w:r>
          </w:p>
        </w:tc>
      </w:tr>
      <w:tr w14:paraId="7C561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4F0414DE">
            <w:pPr>
              <w:rPr>
                <w:rFonts w:hint="eastAsia"/>
                <w:b w:val="0"/>
                <w:bCs/>
                <w:color w:val="auto"/>
                <w:sz w:val="22"/>
                <w:szCs w:val="21"/>
              </w:rPr>
            </w:pPr>
            <w:r>
              <w:rPr>
                <w:rFonts w:hint="eastAsia"/>
                <w:b w:val="0"/>
                <w:bCs/>
                <w:color w:val="auto"/>
                <w:sz w:val="22"/>
                <w:szCs w:val="21"/>
                <w:lang w:val="en-US" w:eastAsia="zh-CN"/>
              </w:rPr>
              <w:t>3</w:t>
            </w: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57BEDF4C">
            <w:pPr>
              <w:rPr>
                <w:rFonts w:hint="eastAsia"/>
                <w:b w:val="0"/>
                <w:bCs/>
                <w:color w:val="auto"/>
                <w:sz w:val="22"/>
                <w:szCs w:val="21"/>
              </w:rPr>
            </w:pPr>
            <w:r>
              <w:rPr>
                <w:rFonts w:hint="eastAsia"/>
                <w:b w:val="0"/>
                <w:bCs/>
                <w:color w:val="auto"/>
                <w:sz w:val="22"/>
                <w:szCs w:val="21"/>
                <w:lang w:val="en-US" w:eastAsia="zh-CN"/>
              </w:rPr>
              <w:t>音频线</w:t>
            </w:r>
          </w:p>
        </w:tc>
        <w:tc>
          <w:tcPr>
            <w:tcW w:w="9139" w:type="dxa"/>
            <w:gridSpan w:val="10"/>
            <w:tcBorders>
              <w:top w:val="single" w:color="000000" w:sz="4" w:space="0"/>
              <w:left w:val="single" w:color="000000" w:sz="4" w:space="0"/>
              <w:bottom w:val="single" w:color="000000" w:sz="4" w:space="0"/>
              <w:right w:val="single" w:color="000000" w:sz="4" w:space="0"/>
            </w:tcBorders>
            <w:noWrap w:val="0"/>
            <w:vAlign w:val="center"/>
          </w:tcPr>
          <w:p w14:paraId="7983BA8A">
            <w:pPr>
              <w:rPr>
                <w:rFonts w:hint="eastAsia"/>
                <w:b w:val="0"/>
                <w:bCs/>
                <w:color w:val="auto"/>
                <w:sz w:val="22"/>
                <w:szCs w:val="21"/>
              </w:rPr>
            </w:pPr>
            <w:r>
              <w:rPr>
                <w:rFonts w:hint="eastAsia"/>
                <w:b w:val="0"/>
                <w:bCs/>
                <w:color w:val="auto"/>
                <w:sz w:val="22"/>
                <w:szCs w:val="21"/>
                <w:lang w:val="en-US" w:eastAsia="zh-CN"/>
              </w:rPr>
              <w:t>1.8米音频连接线：3.5转双6.35公延长线</w:t>
            </w:r>
          </w:p>
        </w:tc>
        <w:tc>
          <w:tcPr>
            <w:tcW w:w="1030" w:type="dxa"/>
            <w:gridSpan w:val="6"/>
            <w:tcBorders>
              <w:top w:val="single" w:color="000000" w:sz="4" w:space="0"/>
              <w:left w:val="single" w:color="000000" w:sz="4" w:space="0"/>
              <w:bottom w:val="single" w:color="000000" w:sz="4" w:space="0"/>
              <w:right w:val="single" w:color="000000" w:sz="4" w:space="0"/>
            </w:tcBorders>
            <w:noWrap/>
            <w:vAlign w:val="center"/>
          </w:tcPr>
          <w:p w14:paraId="22258C2B">
            <w:pPr>
              <w:rPr>
                <w:rFonts w:hint="eastAsia"/>
                <w:b w:val="0"/>
                <w:bCs/>
                <w:color w:val="auto"/>
                <w:sz w:val="22"/>
                <w:szCs w:val="21"/>
              </w:rPr>
            </w:pPr>
            <w:r>
              <w:rPr>
                <w:rFonts w:hint="eastAsia"/>
                <w:b w:val="0"/>
                <w:bCs/>
                <w:color w:val="auto"/>
                <w:sz w:val="22"/>
                <w:szCs w:val="21"/>
                <w:lang w:val="en-US" w:eastAsia="zh-CN"/>
              </w:rPr>
              <w:t>1</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2A72BC17">
            <w:pPr>
              <w:rPr>
                <w:rFonts w:hint="eastAsia"/>
                <w:b w:val="0"/>
                <w:bCs/>
                <w:color w:val="auto"/>
                <w:sz w:val="22"/>
                <w:szCs w:val="21"/>
              </w:rPr>
            </w:pPr>
            <w:r>
              <w:rPr>
                <w:rFonts w:hint="eastAsia"/>
                <w:b w:val="0"/>
                <w:bCs/>
                <w:color w:val="auto"/>
                <w:sz w:val="22"/>
                <w:szCs w:val="21"/>
                <w:lang w:val="en-US" w:eastAsia="zh-CN"/>
              </w:rPr>
              <w:t>条</w:t>
            </w:r>
          </w:p>
        </w:tc>
      </w:tr>
      <w:tr w14:paraId="6D63C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750DC359">
            <w:pPr>
              <w:rPr>
                <w:rFonts w:hint="eastAsia"/>
                <w:b w:val="0"/>
                <w:bCs/>
                <w:color w:val="auto"/>
                <w:sz w:val="22"/>
                <w:szCs w:val="21"/>
              </w:rPr>
            </w:pPr>
            <w:r>
              <w:rPr>
                <w:rFonts w:hint="eastAsia"/>
                <w:b w:val="0"/>
                <w:bCs/>
                <w:color w:val="auto"/>
                <w:sz w:val="22"/>
                <w:szCs w:val="21"/>
                <w:lang w:val="en-US" w:eastAsia="zh-CN"/>
              </w:rPr>
              <w:t>4</w:t>
            </w: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7CBED1A4">
            <w:pPr>
              <w:rPr>
                <w:rFonts w:hint="eastAsia"/>
                <w:b w:val="0"/>
                <w:bCs/>
                <w:color w:val="auto"/>
                <w:sz w:val="22"/>
                <w:szCs w:val="21"/>
              </w:rPr>
            </w:pPr>
            <w:r>
              <w:rPr>
                <w:rFonts w:hint="eastAsia"/>
                <w:b w:val="0"/>
                <w:bCs/>
                <w:color w:val="auto"/>
                <w:sz w:val="22"/>
                <w:szCs w:val="21"/>
                <w:lang w:val="en-US" w:eastAsia="zh-CN"/>
              </w:rPr>
              <w:t>视频线</w:t>
            </w:r>
          </w:p>
        </w:tc>
        <w:tc>
          <w:tcPr>
            <w:tcW w:w="9139" w:type="dxa"/>
            <w:gridSpan w:val="10"/>
            <w:tcBorders>
              <w:top w:val="single" w:color="000000" w:sz="4" w:space="0"/>
              <w:left w:val="single" w:color="000000" w:sz="4" w:space="0"/>
              <w:bottom w:val="single" w:color="000000" w:sz="4" w:space="0"/>
              <w:right w:val="single" w:color="000000" w:sz="4" w:space="0"/>
            </w:tcBorders>
            <w:noWrap w:val="0"/>
            <w:vAlign w:val="center"/>
          </w:tcPr>
          <w:p w14:paraId="4FA43157">
            <w:pPr>
              <w:rPr>
                <w:rFonts w:hint="eastAsia"/>
                <w:b w:val="0"/>
                <w:bCs/>
                <w:color w:val="auto"/>
                <w:sz w:val="22"/>
                <w:szCs w:val="21"/>
              </w:rPr>
            </w:pPr>
            <w:r>
              <w:rPr>
                <w:rFonts w:hint="eastAsia"/>
                <w:b w:val="0"/>
                <w:bCs/>
                <w:color w:val="auto"/>
                <w:sz w:val="22"/>
                <w:szCs w:val="21"/>
                <w:lang w:val="en-US" w:eastAsia="zh-CN"/>
              </w:rPr>
              <w:t>20米视频连接线：HDMI2.0版高清线</w:t>
            </w:r>
          </w:p>
        </w:tc>
        <w:tc>
          <w:tcPr>
            <w:tcW w:w="1030" w:type="dxa"/>
            <w:gridSpan w:val="6"/>
            <w:tcBorders>
              <w:top w:val="single" w:color="000000" w:sz="4" w:space="0"/>
              <w:left w:val="single" w:color="000000" w:sz="4" w:space="0"/>
              <w:bottom w:val="single" w:color="000000" w:sz="4" w:space="0"/>
              <w:right w:val="single" w:color="000000" w:sz="4" w:space="0"/>
            </w:tcBorders>
            <w:noWrap/>
            <w:vAlign w:val="center"/>
          </w:tcPr>
          <w:p w14:paraId="766CD394">
            <w:pPr>
              <w:rPr>
                <w:rFonts w:hint="eastAsia"/>
                <w:b w:val="0"/>
                <w:bCs/>
                <w:color w:val="auto"/>
                <w:sz w:val="22"/>
                <w:szCs w:val="21"/>
              </w:rPr>
            </w:pPr>
            <w:r>
              <w:rPr>
                <w:rFonts w:hint="eastAsia"/>
                <w:b w:val="0"/>
                <w:bCs/>
                <w:color w:val="auto"/>
                <w:sz w:val="22"/>
                <w:szCs w:val="21"/>
                <w:lang w:val="en-US" w:eastAsia="zh-CN"/>
              </w:rPr>
              <w:t>1</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7881B0F7">
            <w:pPr>
              <w:rPr>
                <w:rFonts w:hint="eastAsia"/>
                <w:b w:val="0"/>
                <w:bCs/>
                <w:color w:val="auto"/>
                <w:sz w:val="22"/>
                <w:szCs w:val="21"/>
              </w:rPr>
            </w:pPr>
            <w:r>
              <w:rPr>
                <w:rFonts w:hint="eastAsia"/>
                <w:b w:val="0"/>
                <w:bCs/>
                <w:color w:val="auto"/>
                <w:sz w:val="22"/>
                <w:szCs w:val="21"/>
                <w:lang w:val="en-US" w:eastAsia="zh-CN"/>
              </w:rPr>
              <w:t>条</w:t>
            </w:r>
          </w:p>
        </w:tc>
      </w:tr>
      <w:tr w14:paraId="6087D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3E24A365">
            <w:pPr>
              <w:rPr>
                <w:rFonts w:hint="eastAsia"/>
                <w:b w:val="0"/>
                <w:bCs/>
                <w:color w:val="auto"/>
                <w:sz w:val="22"/>
                <w:szCs w:val="21"/>
              </w:rPr>
            </w:pPr>
            <w:r>
              <w:rPr>
                <w:rFonts w:hint="eastAsia"/>
                <w:b w:val="0"/>
                <w:bCs/>
                <w:color w:val="auto"/>
                <w:sz w:val="22"/>
                <w:szCs w:val="21"/>
                <w:lang w:val="en-US" w:eastAsia="zh-CN"/>
              </w:rPr>
              <w:t>5</w:t>
            </w: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0E9221B6">
            <w:pPr>
              <w:rPr>
                <w:rFonts w:hint="eastAsia"/>
                <w:b w:val="0"/>
                <w:bCs/>
                <w:color w:val="auto"/>
                <w:sz w:val="22"/>
                <w:szCs w:val="21"/>
              </w:rPr>
            </w:pPr>
            <w:r>
              <w:rPr>
                <w:rFonts w:hint="eastAsia"/>
                <w:b w:val="0"/>
                <w:bCs/>
                <w:color w:val="auto"/>
                <w:sz w:val="22"/>
                <w:szCs w:val="21"/>
                <w:lang w:val="en-US" w:eastAsia="zh-CN"/>
              </w:rPr>
              <w:t>音箱线</w:t>
            </w:r>
          </w:p>
        </w:tc>
        <w:tc>
          <w:tcPr>
            <w:tcW w:w="9139" w:type="dxa"/>
            <w:gridSpan w:val="10"/>
            <w:tcBorders>
              <w:top w:val="single" w:color="000000" w:sz="4" w:space="0"/>
              <w:left w:val="single" w:color="000000" w:sz="4" w:space="0"/>
              <w:bottom w:val="single" w:color="000000" w:sz="4" w:space="0"/>
              <w:right w:val="single" w:color="000000" w:sz="4" w:space="0"/>
            </w:tcBorders>
            <w:noWrap w:val="0"/>
            <w:vAlign w:val="center"/>
          </w:tcPr>
          <w:p w14:paraId="62EABB52">
            <w:pPr>
              <w:rPr>
                <w:rFonts w:hint="eastAsia"/>
                <w:b w:val="0"/>
                <w:bCs/>
                <w:color w:val="auto"/>
                <w:sz w:val="22"/>
                <w:szCs w:val="21"/>
              </w:rPr>
            </w:pPr>
            <w:r>
              <w:rPr>
                <w:rFonts w:hint="eastAsia"/>
                <w:b w:val="0"/>
                <w:bCs/>
                <w:color w:val="auto"/>
                <w:sz w:val="22"/>
                <w:szCs w:val="21"/>
                <w:lang w:val="en-US" w:eastAsia="zh-CN"/>
              </w:rPr>
              <w:t>音响金银喇叭线纯铜2*300芯，100米/卷</w:t>
            </w:r>
          </w:p>
        </w:tc>
        <w:tc>
          <w:tcPr>
            <w:tcW w:w="1030" w:type="dxa"/>
            <w:gridSpan w:val="6"/>
            <w:tcBorders>
              <w:top w:val="single" w:color="000000" w:sz="4" w:space="0"/>
              <w:left w:val="single" w:color="000000" w:sz="4" w:space="0"/>
              <w:bottom w:val="single" w:color="000000" w:sz="4" w:space="0"/>
              <w:right w:val="single" w:color="000000" w:sz="4" w:space="0"/>
            </w:tcBorders>
            <w:noWrap/>
            <w:vAlign w:val="center"/>
          </w:tcPr>
          <w:p w14:paraId="47ABDCD7">
            <w:pPr>
              <w:rPr>
                <w:rFonts w:hint="eastAsia"/>
                <w:b w:val="0"/>
                <w:bCs/>
                <w:color w:val="auto"/>
                <w:sz w:val="22"/>
                <w:szCs w:val="21"/>
              </w:rPr>
            </w:pPr>
            <w:r>
              <w:rPr>
                <w:rFonts w:hint="eastAsia"/>
                <w:b w:val="0"/>
                <w:bCs/>
                <w:color w:val="auto"/>
                <w:sz w:val="22"/>
                <w:szCs w:val="21"/>
                <w:lang w:val="en-US" w:eastAsia="zh-CN"/>
              </w:rPr>
              <w:t>2</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55E26D6A">
            <w:pPr>
              <w:rPr>
                <w:rFonts w:hint="eastAsia"/>
                <w:b w:val="0"/>
                <w:bCs/>
                <w:color w:val="auto"/>
                <w:sz w:val="22"/>
                <w:szCs w:val="21"/>
              </w:rPr>
            </w:pPr>
            <w:r>
              <w:rPr>
                <w:rFonts w:hint="eastAsia"/>
                <w:b w:val="0"/>
                <w:bCs/>
                <w:color w:val="auto"/>
                <w:sz w:val="22"/>
                <w:szCs w:val="21"/>
                <w:lang w:val="en-US" w:eastAsia="zh-CN"/>
              </w:rPr>
              <w:t>卷</w:t>
            </w:r>
          </w:p>
        </w:tc>
      </w:tr>
      <w:tr w14:paraId="0888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16BB0651">
            <w:pPr>
              <w:rPr>
                <w:rFonts w:hint="eastAsia"/>
                <w:b w:val="0"/>
                <w:bCs/>
                <w:color w:val="auto"/>
                <w:sz w:val="22"/>
                <w:szCs w:val="21"/>
              </w:rPr>
            </w:pPr>
            <w:r>
              <w:rPr>
                <w:rFonts w:hint="eastAsia"/>
                <w:b w:val="0"/>
                <w:bCs/>
                <w:color w:val="auto"/>
                <w:sz w:val="22"/>
                <w:szCs w:val="21"/>
                <w:lang w:val="en-US" w:eastAsia="zh-CN"/>
              </w:rPr>
              <w:t>6</w:t>
            </w: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7326D2B8">
            <w:pPr>
              <w:rPr>
                <w:rFonts w:hint="eastAsia"/>
                <w:b w:val="0"/>
                <w:bCs/>
                <w:color w:val="auto"/>
                <w:sz w:val="22"/>
                <w:szCs w:val="21"/>
              </w:rPr>
            </w:pPr>
            <w:r>
              <w:rPr>
                <w:rFonts w:hint="eastAsia"/>
                <w:b w:val="0"/>
                <w:bCs/>
                <w:color w:val="auto"/>
                <w:sz w:val="22"/>
                <w:szCs w:val="21"/>
                <w:lang w:val="en-US" w:eastAsia="zh-CN"/>
              </w:rPr>
              <w:t>音频话筒线</w:t>
            </w:r>
          </w:p>
        </w:tc>
        <w:tc>
          <w:tcPr>
            <w:tcW w:w="9139" w:type="dxa"/>
            <w:gridSpan w:val="10"/>
            <w:tcBorders>
              <w:top w:val="single" w:color="000000" w:sz="4" w:space="0"/>
              <w:left w:val="single" w:color="000000" w:sz="4" w:space="0"/>
              <w:bottom w:val="single" w:color="000000" w:sz="4" w:space="0"/>
              <w:right w:val="single" w:color="000000" w:sz="4" w:space="0"/>
            </w:tcBorders>
            <w:noWrap w:val="0"/>
            <w:vAlign w:val="center"/>
          </w:tcPr>
          <w:p w14:paraId="4B91AA82">
            <w:pPr>
              <w:rPr>
                <w:rFonts w:hint="eastAsia"/>
                <w:b w:val="0"/>
                <w:bCs/>
                <w:color w:val="auto"/>
                <w:sz w:val="22"/>
                <w:szCs w:val="21"/>
              </w:rPr>
            </w:pPr>
            <w:r>
              <w:rPr>
                <w:rFonts w:hint="eastAsia"/>
                <w:b w:val="0"/>
                <w:bCs/>
                <w:color w:val="auto"/>
                <w:sz w:val="22"/>
                <w:szCs w:val="21"/>
                <w:lang w:val="en-US" w:eastAsia="zh-CN"/>
              </w:rPr>
              <w:t>双芯咪卡侬线RVPE2*0.5平方，100米/卷</w:t>
            </w:r>
          </w:p>
        </w:tc>
        <w:tc>
          <w:tcPr>
            <w:tcW w:w="1030" w:type="dxa"/>
            <w:gridSpan w:val="6"/>
            <w:tcBorders>
              <w:top w:val="single" w:color="000000" w:sz="4" w:space="0"/>
              <w:left w:val="single" w:color="000000" w:sz="4" w:space="0"/>
              <w:bottom w:val="single" w:color="000000" w:sz="4" w:space="0"/>
              <w:right w:val="single" w:color="000000" w:sz="4" w:space="0"/>
            </w:tcBorders>
            <w:noWrap/>
            <w:vAlign w:val="center"/>
          </w:tcPr>
          <w:p w14:paraId="0E53FEFD">
            <w:pPr>
              <w:rPr>
                <w:rFonts w:hint="eastAsia"/>
                <w:b w:val="0"/>
                <w:bCs/>
                <w:color w:val="auto"/>
                <w:sz w:val="22"/>
                <w:szCs w:val="21"/>
              </w:rPr>
            </w:pPr>
            <w:r>
              <w:rPr>
                <w:rFonts w:hint="eastAsia"/>
                <w:b w:val="0"/>
                <w:bCs/>
                <w:color w:val="auto"/>
                <w:sz w:val="22"/>
                <w:szCs w:val="21"/>
                <w:lang w:val="en-US" w:eastAsia="zh-CN"/>
              </w:rPr>
              <w:t>1</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1D462C3A">
            <w:pPr>
              <w:rPr>
                <w:rFonts w:hint="eastAsia"/>
                <w:b w:val="0"/>
                <w:bCs/>
                <w:color w:val="auto"/>
                <w:sz w:val="22"/>
                <w:szCs w:val="21"/>
              </w:rPr>
            </w:pPr>
            <w:r>
              <w:rPr>
                <w:rFonts w:hint="eastAsia"/>
                <w:b w:val="0"/>
                <w:bCs/>
                <w:color w:val="auto"/>
                <w:sz w:val="22"/>
                <w:szCs w:val="21"/>
                <w:lang w:val="en-US" w:eastAsia="zh-CN"/>
              </w:rPr>
              <w:t>卷</w:t>
            </w:r>
          </w:p>
        </w:tc>
      </w:tr>
      <w:tr w14:paraId="47252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69D8B6AD">
            <w:pPr>
              <w:rPr>
                <w:rFonts w:hint="eastAsia"/>
                <w:b w:val="0"/>
                <w:bCs/>
                <w:color w:val="auto"/>
                <w:sz w:val="22"/>
                <w:szCs w:val="21"/>
              </w:rPr>
            </w:pPr>
            <w:r>
              <w:rPr>
                <w:rFonts w:hint="eastAsia"/>
                <w:b w:val="0"/>
                <w:bCs/>
                <w:color w:val="auto"/>
                <w:sz w:val="22"/>
                <w:szCs w:val="21"/>
                <w:lang w:val="en-US" w:eastAsia="zh-CN"/>
              </w:rPr>
              <w:t>7</w:t>
            </w: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09C9EACD">
            <w:pPr>
              <w:rPr>
                <w:rFonts w:hint="eastAsia"/>
                <w:b w:val="0"/>
                <w:bCs/>
                <w:color w:val="auto"/>
                <w:sz w:val="22"/>
                <w:szCs w:val="21"/>
              </w:rPr>
            </w:pPr>
            <w:r>
              <w:rPr>
                <w:rFonts w:hint="eastAsia"/>
                <w:b w:val="0"/>
                <w:bCs/>
                <w:color w:val="auto"/>
                <w:sz w:val="22"/>
                <w:szCs w:val="21"/>
                <w:lang w:val="en-US" w:eastAsia="zh-CN"/>
              </w:rPr>
              <w:t>电缆线</w:t>
            </w:r>
          </w:p>
        </w:tc>
        <w:tc>
          <w:tcPr>
            <w:tcW w:w="9139" w:type="dxa"/>
            <w:gridSpan w:val="10"/>
            <w:tcBorders>
              <w:top w:val="single" w:color="000000" w:sz="4" w:space="0"/>
              <w:left w:val="single" w:color="000000" w:sz="4" w:space="0"/>
              <w:bottom w:val="single" w:color="000000" w:sz="4" w:space="0"/>
              <w:right w:val="single" w:color="000000" w:sz="4" w:space="0"/>
            </w:tcBorders>
            <w:noWrap w:val="0"/>
            <w:vAlign w:val="center"/>
          </w:tcPr>
          <w:p w14:paraId="43F4F895">
            <w:pPr>
              <w:rPr>
                <w:rFonts w:hint="eastAsia"/>
                <w:b w:val="0"/>
                <w:bCs/>
                <w:color w:val="auto"/>
                <w:sz w:val="22"/>
                <w:szCs w:val="21"/>
              </w:rPr>
            </w:pPr>
            <w:r>
              <w:rPr>
                <w:rFonts w:hint="eastAsia"/>
                <w:b w:val="0"/>
                <w:bCs/>
                <w:color w:val="auto"/>
                <w:sz w:val="22"/>
                <w:szCs w:val="21"/>
                <w:lang w:val="en-US" w:eastAsia="zh-CN"/>
              </w:rPr>
              <w:t>带屏蔽国标电源线/通信控制线RVVP3*1.5平方，100米/卷</w:t>
            </w:r>
          </w:p>
        </w:tc>
        <w:tc>
          <w:tcPr>
            <w:tcW w:w="1030" w:type="dxa"/>
            <w:gridSpan w:val="6"/>
            <w:tcBorders>
              <w:top w:val="single" w:color="000000" w:sz="4" w:space="0"/>
              <w:left w:val="single" w:color="000000" w:sz="4" w:space="0"/>
              <w:bottom w:val="single" w:color="000000" w:sz="4" w:space="0"/>
              <w:right w:val="single" w:color="000000" w:sz="4" w:space="0"/>
            </w:tcBorders>
            <w:noWrap/>
            <w:vAlign w:val="center"/>
          </w:tcPr>
          <w:p w14:paraId="5BBB393A">
            <w:pPr>
              <w:rPr>
                <w:rFonts w:hint="eastAsia"/>
                <w:b w:val="0"/>
                <w:bCs/>
                <w:color w:val="auto"/>
                <w:sz w:val="22"/>
                <w:szCs w:val="21"/>
              </w:rPr>
            </w:pPr>
            <w:r>
              <w:rPr>
                <w:rFonts w:hint="eastAsia"/>
                <w:b w:val="0"/>
                <w:bCs/>
                <w:color w:val="auto"/>
                <w:sz w:val="22"/>
                <w:szCs w:val="21"/>
                <w:lang w:val="en-US" w:eastAsia="zh-CN"/>
              </w:rPr>
              <w:t>1</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26CBCC3E">
            <w:pPr>
              <w:rPr>
                <w:rFonts w:hint="eastAsia"/>
                <w:b w:val="0"/>
                <w:bCs/>
                <w:color w:val="auto"/>
                <w:sz w:val="22"/>
                <w:szCs w:val="21"/>
              </w:rPr>
            </w:pPr>
            <w:r>
              <w:rPr>
                <w:rFonts w:hint="eastAsia"/>
                <w:b w:val="0"/>
                <w:bCs/>
                <w:color w:val="auto"/>
                <w:sz w:val="22"/>
                <w:szCs w:val="21"/>
                <w:lang w:val="en-US" w:eastAsia="zh-CN"/>
              </w:rPr>
              <w:t>卷</w:t>
            </w:r>
          </w:p>
        </w:tc>
      </w:tr>
      <w:tr w14:paraId="490AA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0" w:hRule="atLeast"/>
        </w:trPr>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14:paraId="3595CC00">
            <w:pPr>
              <w:rPr>
                <w:rFonts w:hint="eastAsia"/>
                <w:b w:val="0"/>
                <w:bCs/>
                <w:color w:val="auto"/>
                <w:sz w:val="22"/>
                <w:szCs w:val="21"/>
              </w:rPr>
            </w:pPr>
            <w:r>
              <w:rPr>
                <w:rFonts w:hint="eastAsia"/>
                <w:b w:val="0"/>
                <w:bCs/>
                <w:color w:val="auto"/>
                <w:sz w:val="22"/>
                <w:szCs w:val="21"/>
                <w:lang w:val="en-US" w:eastAsia="zh-CN"/>
              </w:rPr>
              <w:t>8</w:t>
            </w: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0B15DAB0">
            <w:pPr>
              <w:rPr>
                <w:rFonts w:hint="eastAsia"/>
                <w:b w:val="0"/>
                <w:bCs/>
                <w:color w:val="auto"/>
                <w:sz w:val="22"/>
                <w:szCs w:val="21"/>
              </w:rPr>
            </w:pPr>
            <w:r>
              <w:rPr>
                <w:rFonts w:hint="eastAsia"/>
                <w:b w:val="0"/>
                <w:bCs/>
                <w:color w:val="auto"/>
                <w:sz w:val="22"/>
                <w:szCs w:val="21"/>
                <w:lang w:val="en-US" w:eastAsia="zh-CN"/>
              </w:rPr>
              <w:t>管材</w:t>
            </w:r>
          </w:p>
        </w:tc>
        <w:tc>
          <w:tcPr>
            <w:tcW w:w="9139" w:type="dxa"/>
            <w:gridSpan w:val="10"/>
            <w:tcBorders>
              <w:top w:val="single" w:color="000000" w:sz="4" w:space="0"/>
              <w:left w:val="single" w:color="000000" w:sz="4" w:space="0"/>
              <w:bottom w:val="single" w:color="000000" w:sz="4" w:space="0"/>
              <w:right w:val="single" w:color="000000" w:sz="4" w:space="0"/>
            </w:tcBorders>
            <w:noWrap w:val="0"/>
            <w:vAlign w:val="center"/>
          </w:tcPr>
          <w:p w14:paraId="051AFCED">
            <w:pPr>
              <w:rPr>
                <w:rFonts w:hint="eastAsia"/>
                <w:b w:val="0"/>
                <w:bCs/>
                <w:color w:val="auto"/>
                <w:sz w:val="22"/>
                <w:szCs w:val="21"/>
              </w:rPr>
            </w:pPr>
            <w:r>
              <w:rPr>
                <w:rFonts w:hint="eastAsia"/>
                <w:b w:val="0"/>
                <w:bCs/>
                <w:color w:val="auto"/>
                <w:sz w:val="22"/>
                <w:szCs w:val="21"/>
                <w:lang w:val="en-US" w:eastAsia="zh-CN"/>
              </w:rPr>
              <w:t>DN=25mm，厚度：2.0mm，每支钢管通常定尺长度为6000mm</w:t>
            </w:r>
          </w:p>
        </w:tc>
        <w:tc>
          <w:tcPr>
            <w:tcW w:w="1030" w:type="dxa"/>
            <w:gridSpan w:val="6"/>
            <w:tcBorders>
              <w:top w:val="single" w:color="000000" w:sz="4" w:space="0"/>
              <w:left w:val="single" w:color="000000" w:sz="4" w:space="0"/>
              <w:bottom w:val="single" w:color="000000" w:sz="4" w:space="0"/>
              <w:right w:val="single" w:color="000000" w:sz="4" w:space="0"/>
            </w:tcBorders>
            <w:noWrap/>
            <w:vAlign w:val="center"/>
          </w:tcPr>
          <w:p w14:paraId="694EE930">
            <w:pPr>
              <w:rPr>
                <w:rFonts w:hint="eastAsia"/>
                <w:b w:val="0"/>
                <w:bCs/>
                <w:color w:val="auto"/>
                <w:sz w:val="22"/>
                <w:szCs w:val="21"/>
              </w:rPr>
            </w:pPr>
            <w:r>
              <w:rPr>
                <w:rFonts w:hint="eastAsia"/>
                <w:b w:val="0"/>
                <w:bCs/>
                <w:color w:val="auto"/>
                <w:sz w:val="22"/>
                <w:szCs w:val="21"/>
                <w:lang w:val="en-US" w:eastAsia="zh-CN"/>
              </w:rPr>
              <w:t>1</w:t>
            </w:r>
          </w:p>
        </w:tc>
        <w:tc>
          <w:tcPr>
            <w:tcW w:w="1110" w:type="dxa"/>
            <w:gridSpan w:val="4"/>
            <w:tcBorders>
              <w:top w:val="single" w:color="000000" w:sz="4" w:space="0"/>
              <w:left w:val="single" w:color="000000" w:sz="4" w:space="0"/>
              <w:bottom w:val="single" w:color="000000" w:sz="4" w:space="0"/>
              <w:right w:val="single" w:color="000000" w:sz="4" w:space="0"/>
            </w:tcBorders>
            <w:noWrap w:val="0"/>
            <w:vAlign w:val="center"/>
          </w:tcPr>
          <w:p w14:paraId="1B36B405">
            <w:pPr>
              <w:rPr>
                <w:rFonts w:hint="eastAsia"/>
                <w:b w:val="0"/>
                <w:bCs/>
                <w:color w:val="auto"/>
                <w:sz w:val="22"/>
                <w:szCs w:val="21"/>
              </w:rPr>
            </w:pPr>
            <w:r>
              <w:rPr>
                <w:rFonts w:hint="eastAsia"/>
                <w:b w:val="0"/>
                <w:bCs/>
                <w:color w:val="auto"/>
                <w:sz w:val="22"/>
                <w:szCs w:val="21"/>
                <w:lang w:val="en-US" w:eastAsia="zh-CN"/>
              </w:rPr>
              <w:t>批</w:t>
            </w:r>
          </w:p>
        </w:tc>
      </w:tr>
    </w:tbl>
    <w:p w14:paraId="122F070E">
      <w:pPr>
        <w:rPr>
          <w:b/>
          <w:color w:val="auto"/>
          <w:sz w:val="24"/>
        </w:rPr>
      </w:pPr>
    </w:p>
    <w:tbl>
      <w:tblPr>
        <w:tblStyle w:val="44"/>
        <w:tblW w:w="128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3"/>
        <w:gridCol w:w="542"/>
        <w:gridCol w:w="229"/>
        <w:gridCol w:w="979"/>
        <w:gridCol w:w="7954"/>
        <w:gridCol w:w="668"/>
        <w:gridCol w:w="385"/>
        <w:gridCol w:w="327"/>
        <w:gridCol w:w="549"/>
        <w:gridCol w:w="815"/>
      </w:tblGrid>
      <w:tr w14:paraId="14F94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520" w:hRule="atLeast"/>
        </w:trPr>
        <w:tc>
          <w:tcPr>
            <w:tcW w:w="11517" w:type="dxa"/>
            <w:gridSpan w:val="8"/>
            <w:tcBorders>
              <w:top w:val="single" w:color="000000" w:sz="4" w:space="0"/>
              <w:left w:val="single" w:color="000000" w:sz="4" w:space="0"/>
              <w:bottom w:val="single" w:color="000000" w:sz="4" w:space="0"/>
              <w:right w:val="nil"/>
            </w:tcBorders>
            <w:noWrap w:val="0"/>
            <w:vAlign w:val="center"/>
          </w:tcPr>
          <w:p w14:paraId="710A78E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广播系统</w:t>
            </w:r>
          </w:p>
        </w:tc>
      </w:tr>
      <w:tr w14:paraId="311F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6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361881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183C48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2662E8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功能描述&amp;技术参数</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513816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4437CB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4477D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500" w:hRule="atLeast"/>
        </w:trPr>
        <w:tc>
          <w:tcPr>
            <w:tcW w:w="11517" w:type="dxa"/>
            <w:gridSpan w:val="8"/>
            <w:tcBorders>
              <w:top w:val="single" w:color="000000" w:sz="4" w:space="0"/>
              <w:left w:val="single" w:color="000000" w:sz="4" w:space="0"/>
              <w:bottom w:val="single" w:color="000000" w:sz="4" w:space="0"/>
              <w:right w:val="single" w:color="000000" w:sz="4" w:space="0"/>
            </w:tcBorders>
            <w:noWrap w:val="0"/>
            <w:vAlign w:val="center"/>
          </w:tcPr>
          <w:p w14:paraId="67C768B4">
            <w:pPr>
              <w:keepNext w:val="0"/>
              <w:keepLines w:val="0"/>
              <w:widowControl/>
              <w:suppressLineNumbers w:val="0"/>
              <w:jc w:val="center"/>
              <w:textAlignment w:val="center"/>
              <w:rPr>
                <w:rFonts w:ascii="Arial" w:hAnsi="Arial" w:eastAsia="宋体"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一、机房设备</w:t>
            </w:r>
          </w:p>
        </w:tc>
      </w:tr>
      <w:tr w14:paraId="66FB5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35B72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4D873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私有云广播服务器(含控制主机运行处理软件V1.0)</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148A23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智慧云广播系统软件运行载体，是云广播系统管理控制中心。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专业机架式工控机箱体设计，采用铝合金+钢结构设计，有较高的防冲击的能力，散热效果十分出色，可抗EMC干扰，实现电磁屏蔽，有高超的防磁、防尘、防冲击能力。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整体极富创意的酷美外型，尽显高端、大气、强固、抗振、设备感的观感效果，更具价值感。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采用17.3英寸工业级加固触摸屏，人机交互界面，简单易用的触摸屏操控，带抽拉式鼠标键盘。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工业级专用主板设计，处理运行速度更快，运作性能更胜一筹，适用于长时间运行。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内置大容量固态硬盘，具有抗震动、抗摔、读写速度快、功耗低等特点。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支持专用百兆网/千兆网传输，适应高速数据传输的需求。可同时传输上百套节目源，可设置1000个分区。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提供4路独立电源输出插座，每路电流可达5A，2路电源输入插座，支持电源输出自定义开关控制，钥匙开启或关闭。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提供信号前置处理，4路话筒信号入，4路线路信号输入，4路信号输出。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内置监听喇叭，实时掌控使用系统。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具有2路短路触发接口，可实现触发自动开机运行，短路输出触发。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具有6个RS232控制串口，可接入具RS232或485协议的其它设备进行控制。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具有5口百兆交换机，网络传输方便快捷。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智能电源管理功能，无操作后进入待机符合国家节能标准。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高速率网络传输，先进连接控制方式，数字化产品，扩容方便，不受地理位置限制。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具有线路安全保护，保证输出负载安全工作。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标准RJ45网络接口，有以太网口的地方即可接入，支持跨网段和跨路由。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嵌入式服务器级系统作为核心操作平台，开放性强，易于扩展开发升级，网络支持性优越，并且开源，安全性高，兼容性强，并且使系统免于病毒的干扰与破坏。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系统管理控制中心，能自动或手动播放多种音频格式文件，具有同步广播，分区广播，终端广播，设备控制，终端控制，编辑程序，下载程序等功能。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负责音频流传输管理，响应各音频终端播放请求和音频全双工交换，具备终端管理、用户管理、节目播放管理、音频文件管理、内部通讯调度处理等功能；管理节目库资源，为所有终端器提供定时播放和实时点播媒体服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电脑、智能手机及平板等终端无需安装任何用户程序，通过浏览器登录系统，全新的人机交互界面，支持3D动态拖放操作，实时数据推送。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屏幕产品尺寸：17.3寸、亮度：350、对比度：600：1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操控方式：1920*1080分辨率液晶，电阻式（四线）触摸屏，可抽拉隐藏式键盘、滑鼠板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视角：可视角度：80/80/60/80（L/R/U/D）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机箱：整机铝合金+钢结构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芯片组：采用Intel® H410高速芯片组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处理器：i5 10400 2.9GHZ 六核十二线程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硬盘：1*240GB固态硬盘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内存：1*金士顿骇客神条DDR4/8G内存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系统：支持windows server 2016 及 以上版本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显示：1* VGA 接口，1* HDMI接口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音频：MIC-in/Line-out/Line-in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后板电脑IO接口：1*PS/2键盘接口；1*PS/2鼠标接口；6*RS232串口接口；1*HDMI接口；1*VGA接口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6*USB接口； 1*RJ-45网线接口；3*音频接口（MIC-in/Line-out/Line-in）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后板接口：4*AC220V输出插座，受面板钥匙开关控制开/关；2*AC220V品字电源输入插座；4*XLR/6.35音响组合插座；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4*RCA莲花插座信号输入，4*6.35话筒插座信号输出；6*音量电位器，控制XLR/6.35和RCA输入信号；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1*幻象电源开关；1*幻象电源指示灯（红色）；1*电脑远程开机接口；1*远程短路输出接口；1*5口百兆交换机；1*内置1.85寸监听喇叭；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面板：1*开机按钮，电脑开机；1*钥匙开关，控制后板4路AC220V输出插座；1*监听音量电位器，控制后板内置监听喇叭音量；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1*总音量电位器，控制后板4*6.35话筒插座音量；2*USB接口；1*消防按钮；1*抽拉式键盘（带触摸板、数字键盘）；1*17.3寸液晶屏/1920*1080带触摸屏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电源：升级版专业电源（AC 200-240V/5A/50-60Hz）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工作温度、湿度：-10℃～50℃，≤90%RH（无结露）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产品尺寸（W×D×H）：483×306×325mm</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2A5FD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6CF26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0F2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5988C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5B520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管理型主控软件(含数字IP网络平台控制软件V1.0)</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5D1BDE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1_5805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采用B/S架构，支持Web网页访问系统，可以随时随地管理广播任务。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支持中小型广域网和局域网系统搭建和永久免费维护和运维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支持1000个以下终端设备搭建，管理，授权，组织调整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支持无线音柱和无线功放及无线音频收扩终端无线控制广播。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具有自动搜索设备功能，未添加的设备会以列表的形式呈现，快速将设备添加到系统中。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查看设备状态可显示设备音量、电池电量、信号强度、故障等信息。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支持用户角色创建，可以给不同用户分配不同角色。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据界面具有在线用户、广播任务、求助报警、电子地图、终端占比，服务器CPU占用率、CPU温度、内存使用率、网速、硬盘等数据图文显示，其中在线用户、广播任务、求助报警可根据年月周选择不同时段进行图文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支持在线地图与平面图片地图呈现，通过定位可以精确知道设备所装的位置。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支持实时在线地图功能，可以实时显示设备的位置坐标信息、供电状态、工作状态等，并具备圈选广播功能。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具有敏感词过滤功能，设置敏感词后，文字广播时如有敏感词出现会自动过滤。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具有呼叫管理功能，可进行快捷呼叫、紧急呼叫、呼叫接驳等设置。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支持换肤功能，系统换肤可修改系统名称、数据面板标题、顶部颜色、数据面板颜色。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具有采播功能，可选择音频采集器不同音频通道进行采集，没有选择的音频通道不在采集范围之内。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具有摄像机管理功能，可以控制摄像机方向，并把摄像机画面推送给任务终端。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添加用户需填入角色选择、授权状态、移动APP登录权限等信息，并且具有24个权限栏目可供选择。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具有系统任务巡查功能，并可灵活指定任意终端进行巡查。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支持实时对讲、实时喊话录制生成MP3文件，并保存在服务器指定位置。用于事后追溯。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支持实时显示设备工作状态。可以远程查看设备当前执行的任务。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设备状态以表格和卡片两种模式呈现。并可根据用户设置自动保存，下次登录自动以保存模式进行呈现。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可实时查询系统中正在进行的实时语音广播任务。并且第三人可以根据情况终止任务。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可对媒体资源进行管理，可以分类管理音频文件、视频文件、文本文件，不同用户上传的文件可选择公开或私有。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定时广播功能，可创建多套广播方案，每套广播方案可以设置不同定时任务，任务广播源可选择文件、文字、采集等类型。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文件广播功能，可选择终端和歌曲直接广播，并可以根据使用情况将经常要执行的任务存为预案。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支持文字广播，可以将文档和输入的文字实时转换为语音广播出去。并支持定制地方方言。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支持远程设置设备参数：音量、服务器地址、优先级、呼叫转移等。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支持地图显示，可以实时显示设备的位置坐标信息、供电状态、工作状态等。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支持远程电源管理，可控制电源管理设备启停时间、打开模式、短路输出状态、打开通道等,并可实时查看每个通道打开状态。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支持消防联动功能，当消防主机收到触发时，联动设置启动。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支持GPS、北斗时钟授时，时间更准确。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跨网段广播，设备管理，异地寻呼和远程对讲。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支持多种网络协议：TCP/IP、UDP、RTP、RTCP、RTMP、RTSP、单播、组播。</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6D2B5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3FCC0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B19D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431674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59034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IP寻呼话筒(含分布式IP网络寻呼话筒控制软件V1.0)</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3567BE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采用桌面式新型设计，专业工业设计风格，美观时尚。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设有7.0寸数字真彩显示屏，采用图形化界面显示，电容式触摸屏操作，使用方便，显示直观。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采用强指向性话筒咪杆，保证广播时语音清晰无干扰，可对全区、分区、终端进行喊话广播。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具有硬件紧急按键，用于紧急呼叫报警。具有广播硬件按钮，支持一键全区广播。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内置3W扬声器用于对讲、广播或监听。具有1路线路输入和1路线路输出；1组短路输入和输出接口；一个USB接口，可用于音频文件本地播放；1组3.5音频输出与音频输入接口，可用于外接头戴耳麦。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具备自动刷新功能，可以实时显示所属分区设备的工作状态、在线状态、音量等。支持对讲功能，可实时对任意对讲设备发起对讲。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支持分区广播、可实时对指定分区进行喊话广播。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支持音频采集功能，可以将线路输入的音频信号实时采集到指定设备播放，并可支持混音功能。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支持点播功能，实时点播媒体库音乐到指定终端并支持歌曲名称实时显示、音量、切歌等。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具有设备记录功能，实时记录设备操作情况，并可查看记录详情。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支持自动获取或手动设置IP。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个性化铃声设计，支持来、去电铃声自定义功能。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支持音量、对讲增益、广播增益等功能设置，并支持在设备屏幕进行操作。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支持屏幕保护及密码保护功能。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采用网络通讯协议，支持跨网络广播，可通过平台同一管理，实时接收平台广播。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内置Flash存储,可以存储音频、配置信息及备份，支持远程修改和升级。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技术参数：网络通讯协议:TCP、UDP、ARP、HTTP、FTP等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网络芯片速率:10/100Mbps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音频编码格式:WAV、MP3、PCM、OPUS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采样率:8K-48KHZ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比特率:64Kbps~768Kbps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网络延时:音频&lt;5ms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输入灵敏度/阻抗:AUX775mV/10KΩ不平衡凤凰端子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输出灵敏度/阻抗:775mV/10KΩ不平衡凤凰端子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短路输入:0V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短路输出:≤0,3Aat 125VAC或1Aat30VDC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信噪比:&gt;75dB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频率响应:20HZ-20KHZ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最大功耗:10W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供电方式:DC24V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产品尺寸(WxHxD):254x134x58mm</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74870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313CE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851A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4AA8F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112C7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消防报警矩阵(含通讯配置软件V1.0)</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2E1AAD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标准19英寸机架式设计，1U高度，全铝合金工业面板，工艺考究，尽显高档气质。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单台消防报警矩阵支持32路消防短路及24V触发信号输入接口智能切换，支持多台报警采集器扩展接入系统。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16路短路输出接口，可实现与其它相关设备进行实时报警联动。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支持一键取消报警，在报警状态下，按下面板报警复位键，可以取消报警触发状态。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支持后台设置报警策略，可为每路短路及24V信号输入端口配置报警策略，关联联动的终端及播放曲目等功能。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支持系统后台WEB查看设备状态与管理设备信息。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支持广播系统对终端进行远程固件升级，无需到终端本地升级，减轻维护人员工作强度。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通讯协议：TCP、UDP、ARPP等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传输速度：10Mbps/100Mbps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短路输入：0V/24V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短路输出：≤0.3A at 125V AC或1A at 30V 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信噪比：≥90dB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频率响应：20Hz-20KHz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最大功耗：15W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供电方式：AC 220V/50-60Hz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产品尺寸(W×D×H)：484×350×45mm</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1A235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6C86D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A634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654DA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46BCA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音频采集器(含分布式音频采集系统管理软件V1.0)</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03236D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采用标准1U机架柜设计，全铝合金工业面板，简约沉稳。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设有6路模拟音频输入接口，包括两路MIC，两路XLR，两路RCA，支持将输入的音频信号实时采集到指定的区域或终端播放。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设有1路RCA输出音频接口，可用于外接音频设备。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支持本地或远程控制打开任意音频通道，实现自动混音。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支持被平台其他设备监听，远程实时掌握设备的工作情况。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支持通过前端页面对设备主动开启音频采集的区域进行绑定设置。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支持通过前端页面对设备主动开启音频采集的优先级、音量进行绑定设置。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支持通过平台页面，实时/定时对设备的通道进行开启，并可根据实际情况灵活指定播放区域，并可设置通道，优先级，音量等功能。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支持通过服务器页面进行IP地址、服务器地址等参数设置，并支持远程升级设备固件。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网络通讯协议：TCP、UDP、ARP、HTTP、FTP等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网络芯片速率：10/100/1000Mbps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音频编码格式：MP3、PCM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音频模式：48000Hz，16Bits超CD音质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采样率：8K-48KHz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比特率：64Kbps~768Kbps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网络延时：音频≤30ms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输入灵敏度/阻抗：MIC 15mV/600Ω不平衡TS端子输入；AUX 350mV/10KΩ不平衡凤凰/RCA端子；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输出灵敏度/阻抗：800mV /470Ω不平衡凤凰/RCA端子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信噪比：≥90dB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频率响应：20Hz-20KHz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最大功耗：10W（峰值）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供电方式：AC 220V/50-60Hz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产品尺寸(W×D×H)：483×300×44mm</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3A46E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67A97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B4EA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6357B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0445D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前置放大器</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735FED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1U机柜式设计，双层双色双拼面板，彰显立体美感；前面板采用隐藏式条形出气口及弧形进风口设计，设备散热均匀，有效延长使用寿命； 电源开关采用防触碰设计，安全省心。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有10个输入通道：包括5路话筒（MIC）输入，3路标准信号线路（AUX）输入，2路紧急线路（EMC）输入。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2路线路输出，可接入下一台功放或其它音频设备输入接口。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第1个话筒（MIC 1）具有最高优先、强行切入优先功能。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MIC 1具有钟声提示开关，点击可发出钟声提醒。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MIC 2、3、4、5采用XLR、TRS二合一接口，可接入卡侬公头，也可接入6.35直插头，方便不同话筒接口的接入。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各路话筒（MIC）输入通道和线路（AUX）输入通道均可独立调节音量。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MIC 2、3、4、5话筒接口带+48V幻象电源带有独立幻象电源开关，为电容话筒提供电源。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设有高音（TREBLE）和低音（BASS）、总音量（MAIN）独立调节。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具5个音频信号指示灯、1个削峰指示灯，实时显示音频信号输出情况。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话筒输入：5mV/600Ω 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辅助输入：3500mV/10KΩ 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紧急话筒输入：5mV-25mV/600Ω 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紧急线路输入：200mV-1000mV/10KΩ 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音频输出：10KΩ，0-6V非平衡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输出静噪：≤3mV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频率响应：20Hz-20KHz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信噪比：MIC 输入：50dB AUX输入：80dB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音调调节（低音）：±10dB @ 100Hz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音调调节（高音）：±10dB @ 10KHz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保护：AC FUSE×1A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工作电压：AC 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功率消耗：20W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产品尺寸（W×D×H）：484×347×49mm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重量：4.34kg</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27A49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1FF99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97B9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3EACD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158450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调谐器(含音源播放控制软件V1.0)</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1E75C6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1U机柜式设计，双层双色双拼面板，彰显立体美感；前面板采用隐藏式条形出气口及弧形进风口设计，设备散热均匀，有效延长使用寿命； 电源开关采用防触碰设计，安全省心。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微电脑控制，轻触式按键操作，高亮度动态LED数码显示屏，清晰醒目。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升级为开关电源供电，提供更宽的电压输入和精度更高的电压输出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石英锁相环路频率合成器式调谐回路技术，接收频率精确稳定。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电台频率记忆存储可达99个。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具电台频率自动搜索存储功能，且有断电记忆功能。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具4个操作按键，完成电台存储，选台等操作。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接收天线输入：FM接收天线75Ω输入。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1路音频信号左右声道（L/R）输出。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带红外遥控功能，可配置红外遥控器，完成调谐器操作控制。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接收范围FM：87.0-108.0MHz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灵敏度FM：18dBμ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信噪比FM：&gt;76dB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调谐频率步距FM：50KHz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中频频率FM：10.7MHz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音频输出：1KΩ，0.775V非平衡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频率响应：20Hz-20KHz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信噪比：92dB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保护：ACFUSE×1A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工作电压：AC220V/50Hz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功率消耗：15W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产品尺寸（W×D×H）：484×317×45mm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重量：4.48kg</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06542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348C2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84A5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63972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601DA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播放器(含音源播放控制软件V1.0)</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755639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1U机柜式设计，双层双色双拼面板，彰显立体美感；前面板采用隐藏式条形出气口及弧形进风口设计，设备散热均匀，有效延长使用寿命； 电源开关采用防触碰设计，安全省心。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微电脑控制，轻触式按键操作，高亮度动态LED显示，清晰醒目。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升级为开关电源供电，提供更宽的电压输入和精度更高的电压输出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采用进口数码机芯，吸入式防震机芯，可播放CD/VCD/MP3/DVD碟片，超强纠错功能。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自动播放控制，全数码伺服。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带USB接口，支持1G至32G U盘，支持MP3、WMA、APE、FLAC等格式播放。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具1路音频信号左右声道（L/R）输出。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支持2路视频输出端口，包含1路视频信号输出和1路色差信号输出。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具4个操作按键。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带红外遥控功能，可配置红外遥控器，完成播放器操作控制。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频率响应：20-20KHz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播放类型：CD/VCD/MP3/DVD碟片，U盘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播放格式：MP3、WMA、CD、AAC、FLAC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动态范围：90dB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音频输出：1KΩ0-1.5V非平衡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音频失真度：0.05%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信噪比：92dB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保护：ACFUSE×1A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工作电压：AC220V/50Hz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功率消耗：20W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产品尺寸（W×D×H）：483×323×49mm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重量：4.79kg</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0E704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56F41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F945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3C2A6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069630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网络有源音箱(含IP网络有源音箱管理软件V1.0)</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18E2B3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专业一体化壁挂式设计，室内豪华音箱，采用高密度木板结构。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服务软件远程调节音量，定时或实时播放音频节目，并可在本地用旋钮调节话筒输入音量。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具有1路话筒、1路线路输入，1路线路输出，1路短路输入，1路短路输出，1路IO输出，1路IO输入，支持485扩展。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1路30W定阻输出凤凰座，可连接至副箱使用。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双线路输入备份功能，定压100V与IP网络智能切换，切换时间&lt;10ms。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标准RJ45网络接口，有以太网口的地方即可接入，支持跨网段和跨路由。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支持实时接收服务器音频广播功能。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支持本地用旋钮调节话筒输入音量。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支持服务器分区分组远程管理功能。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支持服务器远程参数修改。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功率：30W（额定）/60W（峰值）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网络通讯协议：TCP、UDP、ARP、HTTP、FTP等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网络芯片速率：10/100Mbps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音频编码：WAV、MP3、PCM、OPUS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音频采样，位率：8KHz-44.1KHz，16位，8Kbps-768Kbps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信噪比：≥90dB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网络声音延迟：广播延迟≤100ms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频率响应：60Hz-18KHz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灵敏度：97dB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接口：RJ45×1，USB×1（预留拓展接口），mic×1，DC 24V×1，凤凰端子×2组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箱体尺寸（W×D×H）：200×165×300mm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重量：3.42kg</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15003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1D069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4982F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3F8C5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1746A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NTP授时器(含通讯配置软件V1.0)</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0991AE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 GPS 和 BD 双卫星授时，一级网络时间服务器，同步精度 1µs，用户终端同步授时精度：1-50ms，获取可靠安全的时间，可同步数万台客户端。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产品采用嵌入式双系统，操作简单方便，提升网络系统的可靠性和安全性。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标准1U结构机柜式设计，美观易于安装。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支持中英文液晶显示，前面板按键操作，方便快捷。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面板按键，可快速查与设置时区、访问量、网络设置、加载与保存、版本语言等。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支持市面基本上所有 NTP 客户端，兼容性强。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网络接口：标准RJ45输入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传输速率：100Mbps，每秒钟可处理10000次以上的授时请求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支持协议：NTP v1.v2.v3(RFC1119&amp;1305) SNTP(RFC2030)（RFC1321） DHCP (RFC2131) HTTP IPV4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电源：100VAC-240VAC，50Hz，25W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功耗：24W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拓展接口：RS485*1、RS232*1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工作温度：0～45℃（工作）；-20～80℃（储存）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环境气压：86-105KPa。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尺寸（W×D×H）：482mm×280mm×44mm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净重：4KG</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110DA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78FDB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4F79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2C7E3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07232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电源管理器(含电源时序控制器软件V2.0)</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604D61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标准机箱设计，1U铝合金面板，拉手+挂耳一体式设计，可与面板分离，适用于机柜或桌面安装。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大电流三芯电源输入缆线，电源输入连接方便，带负载总电流可达50A。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带2寸高清液晶显示屏，实时显示电压、电流、时间，通道状态操作菜单等信息。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配置1只安全空气开关及1个时序开启/关闭按键开关，保障设备安全的同时，又便于操控。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面板开关设计符合设备安全要求，顺序开启时序通道，逆序关闭时序通道。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带8个LED指示灯显示，实时查看每个通道的工作状态。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后面板带8路多功能标准插座输出，通用于国际多种类型插头。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前面板配1路直通220V电源座，2路USB DC-5V座，1A直流供电接口，用于调试照明或手机/平板充电。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带RJ45网口，通过TCP/IP协议远程开关机控制，可控制单路或多路电源开启/关闭。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带232和485智能化控制接口，具有标准串口控制功能，可连接中控系统。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带短路信号输入输出接口，可接入短路信号进行开关机控制，同时可级联至下一台设备。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通讯协议：TCP、UDP、ARPP等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传输速度：10Mbps/100Mbps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最大总电流：50A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每通道最大电流：16A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通道数：9路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电源供应：AC 110V/220V 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装机高度：1U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电源指示：LED指示灯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接口：前面板1个万能插座、后面板8个万能插座、1个网口、1个485口、1个短路输入输出口、2个USB口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重量：5.45kg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产品尺寸（W×D×H）：484×405×44mm</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49AB1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3FD72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62D5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500" w:hRule="atLeast"/>
        </w:trPr>
        <w:tc>
          <w:tcPr>
            <w:tcW w:w="11517" w:type="dxa"/>
            <w:gridSpan w:val="8"/>
            <w:tcBorders>
              <w:top w:val="single" w:color="000000" w:sz="4" w:space="0"/>
              <w:left w:val="single" w:color="000000" w:sz="4" w:space="0"/>
              <w:bottom w:val="single" w:color="000000" w:sz="4" w:space="0"/>
              <w:right w:val="single" w:color="000000" w:sz="4" w:space="0"/>
            </w:tcBorders>
            <w:noWrap/>
            <w:vAlign w:val="center"/>
          </w:tcPr>
          <w:p w14:paraId="4CADF4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二、听力备份系统</w:t>
            </w:r>
          </w:p>
        </w:tc>
      </w:tr>
      <w:tr w14:paraId="53DB1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170C9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66E5E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智能编程主机(含分布式音频采集系统管理软件V1.0)</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7920B5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4套一般时程方案+6套特殊时程方案，每套定时方案多达256个定时点。一般时程方案按7天循环，特殊时程方案按特定日期执行。满足各种时间、各种场合的使用需要。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内置MP3、FM收音，一路AUX普通音源输入，5路功率信号输入，10分区输出，6路电源输出，一路扩展电源控制输出。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一路消防紧急输入（24V信号），一路电源扩展输出（24V信号）。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微电脑控制，单键飞梭，图形化界面，多级菜单操作模式。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真彩色 4.3英寸TFT显示器，中文字幕，工作状态一目了然。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简体中文，繁体中文，英文三种语言菜单任意切换。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内置2GB内存，可外扩展SD卡。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可定时、定点、定曲，播放内存或SD卡节目，10分区、6电源+一扩展电源输出。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强大的音乐播放功能，支持MPEG 1/2 Layer3 、WMA、WAV、OGG等音频格式。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强大的媒体库功能，用户可以根据自己的个性需要灵活管理自己音乐文件。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强大的音效处理功能，支持3D，重低音，微软音效等多种音效功能。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HiFi级的音频解码性能，音质与专业 CD 相媲美。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支持高清MIC录音、 LINE IN录音、FM录音。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内置高清晰 FM 收音机，并支持 FM 节目录制，可随意录制选定的FM收音机节目。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可支持电脑联机编辑定时程序，全自动电源、广播分区管理。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高精度 RTC 时钟、定时可精确到秒。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支持消防联动功能，警报触发信号输入播放指定音乐文件。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存储方式：内置2G内存或外置SD卡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支持音频格式：MP3、WMA、AAC、WAV、APE、FLAC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收音方式：FM 88-108MHz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录音输入幅度：MIC 5mV。LINE 500mV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输出：LINE 500mV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整机音噪比：≥85dB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整机失真度：&lt;0.1%（1KHz）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频率响应：20Hz-20KHz ±3dB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分区输出：10路分区输出，合计最大容量3200W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可控电源输出：-220V/50Hz（最大功率1600W）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产品尺寸（W×D×H）：485×395×95mm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净重：5kg</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57FFC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19334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E7FB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3FD99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57F4C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钟声话筒</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2CB419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专为会议、演讲、广播、录音等场合使用设计制造，具多功能、外观新颖、品质极高等特点。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具前奏音提示功能及灯环指示，配以高保真线路，进口驻极体音头，使其音质优美动听。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具有开关键，一键打开或关闭话筒，抗手机、电磁、高频干扰。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指向性：心型指向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换能方式：电容式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频率响应：40Hz-16KHz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灵敏度：-45dB±2dB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低频衰减：125Hz 6dB/OCTAVE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输出阻抗（欧姆）：600Ω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最大承受音压：135dB SPL 1KHz@1%T.H.D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动态范围：111dB，1KHz@MAX SPL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信噪比：66dB，1Khz@1Pa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带前凑音（开启时，有前奏音乐放出），灯环提示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咪管长度：390mm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咪线长度、配置：10米单芯、卡龙母+6.35单声道插嘴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单支话筒重量：0.72kg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输出、指示：不平衡、座灯、管灯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开关：电子轻触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出厂配置：话筒、咪线、防风绵、9V电池、220V电源适配器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供电电压（V）：DC 9V/AC220V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产品尺寸（W*D*H）：183*112*43mm</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6A041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0E775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64737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2276D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218CE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应急音频主机</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349811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支持多种接线方式，可卡侬进莲花出，也可莲花进卡侬出。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液晶设置实时倒计时功能，输出音量可调功能。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可卡侬进莲花出，也可莲花进卡侬出。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前面板液晶实时显示，可调节延时后输出音频音量大小，可实现最大80秒延时，最小40毫秒延时，全工业级别宽温度范围设计。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音频双声道平衡分配器提供丰富的电源状态、音频链路状态、输入输出等。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有效指示功能使得用户安装调试十分方便。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输入信号：XLR 0dB 600Ω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输出信号：XLR 0dB 600Ω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物理接口：XLR插座数量4路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输入输出阻抗：XLR 600Ω平衡接口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音频幅频特性：20Hz-20KHz ±0.5%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谐波失真：±0.5%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信噪比：&gt;80dB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支持工作温度：-10-60度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工作湿度：0-90%不结凝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防护等级：通用工业标准和特殊定制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外形：独立式结构、标准19英寸机架式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产品尺寸（W×D×H）：485×260×44mm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供电电压：交流220V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功率：20W</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055C7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776080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1AB6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1869F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7FD5C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前置放大器</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34F5EF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1U机柜式设计，双层双色双拼面板，彰显立体美感；前面板采用隐藏式条形出气口及弧形进风口设计，设备散热均匀，有效延长使用寿命； 电源开关采用防触碰设计，安全省心。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有10个输入通道：包括5路话筒（MIC）输入，3路标准信号线路（AUX）输入，2路紧急线路（EMC）输入。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2路线路输出，可接入下一台功放或其它音频设备输入接口。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第1个话筒（MIC 1）具有最高优先、强行切入优先功能。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MIC 1具有钟声提示开关，点击可发出钟声提醒。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MIC 2、3、4、5采用XLR、TRS二合一接口，可接入卡侬公头，也可接入6.35直插头，方便不同话筒接口的接入。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各路话筒（MIC）输入通道和线路（AUX）输入通道均可独立调节音量。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MIC 2、3、4、5话筒接口带+48V幻象电源带有独立幻象电源开关，为电容话筒提供电源。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设有高音（TREBLE）和低音（BASS）、总音量（MAIN）独立调节。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具5个音频信号指示灯、1个削峰指示灯，实时显示音频信号输出情况。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话筒输入：5mV/600Ω 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辅助输入：3500mV/10KΩ 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紧急话筒输入：5mV-25mV/600Ω 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紧急线路输入：200mV-1000mV/10KΩ 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音频输出：10KΩ，0-6V非平衡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输出静噪：≤3mV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频率响应：20Hz-20KHz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信噪比：MIC 输入：50dB AUX输入：80dB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音调调节（低音）：±10dB @ 100Hz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音调调节（高音）：±10dB @ 10KHz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保护：AC FUSE×1A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工作电压：AC 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功率消耗：20W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产品尺寸（W×D×H）：484×347×49mm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重量：4.34kg</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4E284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4C270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4ACE4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3DD00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18CE4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纯后级功放(含定压功放控制软件V1.0)</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1B912E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1U机柜式设计，双层双色双拼面板，彰显立体美感；前面板采用隐藏式条形出气口及弧形进风口设计，设备散热均匀，有效延长使用寿命； 电源开关采用防触碰设计，安全省心。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设有4路音源输入接口，2路标准线路输入接口，1路标准话筒输入接口，1路紧急火警话筒输入接口，火警输入具有最高优先级。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线路输入与话筒输入均具有独立音量旋钮调节音量大小。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设有1路音源输出接口，可环接至下一台功放音频输入接口。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设有6个指示灯，3个电平指示灯，1个保护指示灯，1个失真指示灯，1个电源指示灯，可实时显示设备工作状态，直观方便。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设有70V、100V定压输出，4-16Ω定阻输出接口，可用于外接定压或定阻扬声器。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内置D类功率放大电路，损耗小，放大效率高。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采用高集成度数字芯片替代传统变压器，高数字化电路集成，绿色稳定，体积小巧轻便。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支持线路安全工作区保护，保证输出负载在短路、过载等任何恶劣环境下安全工作。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支持温度保护，当机器温度过高时，可自动进入保护状态。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支持负反馈保护，当峰值信号出现失真、冲击、或线电压严重过压时，能有效地对功放进行保护。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设有高频渲染电路，可对线间变压器所造成的高频进行渲染调音，高频信号纤细亮丽。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设有高倍频程低音切除电路，在不损失音质的情况下去除有安全隐患的超低频成份，保证升压系统安全工作。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额定功率：1500W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输出方式：70V，100V，4-16Ω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输入灵敏度/阻抗：MIC:25mV/600Ω，不平衡TRS端子输入；AUX:350mV/10KΩ，不平衡RCA端子输入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输出灵敏度/阻抗：1000mV/470Ω，不平衡RCA端子输入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过载源电动势：MIC:＞12dB，不平衡TRS端子输入；AUX:＞20dB，不平衡RCA端子输入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频率响应：50-16KHz（+1dB，-3dB）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信噪比：MIC:66dB；AUX:80dB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总谐波失真：1KHz时0.5%，1/3输出功率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默音功能：ALARM优先其他通道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通道串音衰减：≤50dB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散热：由前往后强制风冷，散热器温度55度时启动内置风扇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保护：过热，过载&amp;短路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电源：AC 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产品尺寸（W×D×H）：483×337×49mm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重量：5.7kg</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499FD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7DB56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47EE5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62ECC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0484D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纯后级功放(含定压功放控制软件V1.0)</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692786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1U机柜式设计，双层双色双拼面板，彰显立体美感；前面板采用隐藏式条形出气口及弧形进风口设计，设备散热均匀，有效延长使用寿命； 电源开关采用防触碰设计，安全省心。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设有4路音源输入接口，2路标准线路输入接口，1路标准话筒输入接口，1路紧急火警话筒输入接口，火警输入具有最高优先级。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线路输入与话筒输入均具有独立音量旋钮调节音量大小。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设有1路音源输出接口，可环接至下一台功放音频输入接口。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设有6个指示灯，3个电平指示灯，1个保护指示灯，1个失真指示灯，1个电源指示灯，可实时显示设备工作状态，直观方便。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设有70V、100V定压输出，4-16Ω定阻输出接口，可用于外接定压或定阻扬声器。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内置D类功率放大电路，损耗小，放大效率高。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采用高集成度数字芯片替代传统变压器，高数字化电路集成，绿色稳定，体积小巧轻便。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支持线路安全工作区保护，保证输出负载在短路、过载等任何恶劣环境下安全工作。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支持温度保护，当机器温度过高时，可自动进入保护状态。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支持负反馈保护，当峰值信号出现失真、冲击、或线电压严重过压时，能有效地对功放进行保护。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设有高频渲染电路，可对线间变压器所造成的高频进行渲染调音，高频信号纤细亮丽。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设有高倍频程低音切除电路，在不损失音质的情况下去除有安全隐患的超低频成份，保证升压系统安全工作。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额定功率：1500W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输出方式：70V，100V，4-16Ω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输入灵敏度/阻抗：MIC:25mV/600Ω，不平衡TRS端子输入；AUX:350mV/10KΩ，不平衡RCA端子输入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输出灵敏度/阻抗：1000mV/470Ω，不平衡RCA端子输入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过载源电动势：MIC:＞12dB，不平衡TRS端子输入；AUX:＞20dB，不平衡RCA端子输入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频率响应：50-16KHz（+1dB，-3dB）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信噪比：MIC:66dB；AUX:80dB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总谐波失真：1KHz时0.5%，1/3输出功率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默音功能：ALARM优先其他通道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通道串音衰减：≤50dB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散热：由前往后强制风冷，散热器温度55度时启动内置风扇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保护：过热，过载&amp;短路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电源：AC 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产品尺寸（W×D×H）：483×337×49mm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重量：5.7kg</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0EAD4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2BB905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9578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185116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3C2D4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主备切换器</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79A412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标准机箱设计，2U铝合金面板，拉手+挂耳一体式设计，可与面板分离，适用于机柜或桌面安装。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实时检测主备功放状态监测，并以不同的LED颜色指示。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主功放故障后0.1秒内自动切换到备用功放。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自动发现功放故障并在主功放和备用功放之间实现自动转换。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支持1主1备到4主4备的主备功放通道数量配置，分别进行主功放和备用功放自动切换。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主备功放矩阵式切换，断电将直通辅助信号和100V扬声器信号。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智能保护功能，喇叭短路将自动断开功放和喇叭连接。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超强带负载能力，最大支持15A音频信号输入。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主功放通道：4组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备用功放通道：4组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输出通道：4组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线路输入：10KΩ，0.775V非平衡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巡回检测周期：500ms巡回检测8次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可控功率：3KW（每个通道）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控制方式：自动/手动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接口类型：莲花头，1/4英寸TS插口，接线端子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显示方式：LED状态指示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保护：AC FUSE×1A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工作电压：AC220V/50Hz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功率消耗：&lt;50W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产品尺寸（W×D×H）：484×380×88mm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重量：9kg</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147BB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287E0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A902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1AE2C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3A187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电源时序器(含电源时序控制器软件V2.0)</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51F037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2U机柜式设计，双层双色双拼面板，彰显立体美感；前面板采用隐藏式条形出气口及弧形进风口设计，设备散热均匀，有效延长使用寿命； 电源开关采用防触碰设计，安全省心。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16路电源输出，每路输出AC 220V（10A），电源插口总容量达10KVA。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16路电源插座依次接通或断开，每一路接通或断开时间间隔1S。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采用万能电源插座设计，以适合不同标准插头的用电设备接入。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16个LED工作状态指示灯，显示当前接通的通道。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接口数量：16路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可控输入电压：AC 220V-AC 240V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可控输出容量：总容量≤5KVA，单路容量≤2KVA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每路通断时间间隔：1S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外部控制：485通信凤凰接口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接口类型：万能插座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工作电压：AC 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功率消耗：20W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产品尺寸（W×D×H）：484×405×89mm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重量：6.77kg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材质：黑色拉丝铝面板，SPCC冷轧板材质机箱</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51A1D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640E1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9B84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101F0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17D2E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UPS不间断电源</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5DF545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UPS不间断电源 SANTAK 山特 C3K 3000VA/2400W 延时10分钟 稳压</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38423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6E481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AA0F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500" w:hRule="atLeast"/>
        </w:trPr>
        <w:tc>
          <w:tcPr>
            <w:tcW w:w="11517" w:type="dxa"/>
            <w:gridSpan w:val="8"/>
            <w:tcBorders>
              <w:top w:val="single" w:color="000000" w:sz="4" w:space="0"/>
              <w:left w:val="single" w:color="000000" w:sz="4" w:space="0"/>
              <w:bottom w:val="single" w:color="000000" w:sz="4" w:space="0"/>
              <w:right w:val="single" w:color="000000" w:sz="4" w:space="0"/>
            </w:tcBorders>
            <w:noWrap/>
            <w:vAlign w:val="center"/>
          </w:tcPr>
          <w:p w14:paraId="4FF4A15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三、教室（共</w:t>
            </w:r>
            <w:r>
              <w:rPr>
                <w:rStyle w:val="263"/>
                <w:rFonts w:eastAsia="宋体"/>
                <w:lang w:val="en-US" w:eastAsia="zh-CN" w:bidi="ar"/>
              </w:rPr>
              <w:t>51</w:t>
            </w:r>
            <w:r>
              <w:rPr>
                <w:rFonts w:hint="eastAsia" w:ascii="宋体" w:hAnsi="宋体" w:eastAsia="宋体" w:cs="宋体"/>
                <w:b/>
                <w:bCs/>
                <w:i w:val="0"/>
                <w:iCs w:val="0"/>
                <w:color w:val="000000"/>
                <w:kern w:val="0"/>
                <w:sz w:val="20"/>
                <w:szCs w:val="20"/>
                <w:u w:val="none"/>
                <w:lang w:val="en-US" w:eastAsia="zh-CN" w:bidi="ar"/>
              </w:rPr>
              <w:t>间，每间教室</w:t>
            </w:r>
            <w:r>
              <w:rPr>
                <w:rStyle w:val="263"/>
                <w:rFonts w:eastAsia="宋体"/>
                <w:lang w:val="en-US" w:eastAsia="zh-CN" w:bidi="ar"/>
              </w:rPr>
              <w:t>1</w:t>
            </w:r>
            <w:r>
              <w:rPr>
                <w:rFonts w:hint="eastAsia" w:ascii="宋体" w:hAnsi="宋体" w:eastAsia="宋体" w:cs="宋体"/>
                <w:b/>
                <w:bCs/>
                <w:i w:val="0"/>
                <w:iCs w:val="0"/>
                <w:color w:val="000000"/>
                <w:kern w:val="0"/>
                <w:sz w:val="20"/>
                <w:szCs w:val="20"/>
                <w:u w:val="none"/>
                <w:lang w:val="en-US" w:eastAsia="zh-CN" w:bidi="ar"/>
              </w:rPr>
              <w:t>对音箱）</w:t>
            </w:r>
          </w:p>
        </w:tc>
      </w:tr>
      <w:tr w14:paraId="61E81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22D68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6960A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网络有源音箱(含IP网络有源音箱管理软件V1.0)</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329D08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专业一体化壁挂式设计，室内豪华音箱，采用高密度木板结构。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服务软件远程调节音量，定时或实时播放音频节目，并可在本地用旋钮调节话筒输入音量。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具有1路话筒、1路线路输入，1路线路输出，1路短路输入，1路短路输出，1路IO输出，1路IO输入，支持485扩展。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1路30W定阻输出凤凰座，可连接至副箱使用。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双线路输入备份功能，定压100V与IP网络智能切换，切换时间&lt;10ms。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标准RJ45网络接口，有以太网口的地方即可接入，支持跨网段和跨路由。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支持实时接收服务器音频广播功能。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支持本地用旋钮调节话筒输入音量。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支持服务器分区分组远程管理功能。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支持服务器远程参数修改。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功率：30W（额定）/60W（峰值）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网络通讯协议：TCP、UDP、ARP、HTTP、FTP等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网络芯片速率：10/100Mbps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音频编码：WAV、MP3、PCM、OPUS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音频采样，位率：8KHz-44.1KHz，16位，8Kbps-768Kbps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信噪比：≥90dB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网络声音延迟：广播延迟≤100ms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频率响应：60Hz-18KHz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灵敏度：97dB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接口：RJ45×1，USB×1（预留拓展接口），mic×1，DC 24V×1，凤凰端子×2组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箱体尺寸（W×D×H）：200×165×300mm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重量：3.42kg</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3F242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09FA6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4CA1E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49514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4CA9A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壁挂音箱</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6B3B79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室内豪华音箱，采用高密度木板结构，时尚美观。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采用全频喇叭单元，二分频设计，高低音衔接顺滑，声音清晰柔和。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采用壁挂式安装方式，安装简单方便。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具有极高的灵敏度，适用于教室、商场酒店、超市等室内场所。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功率：30W（额定）/60W（峰值）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灵敏度：97dB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频率响应：130Hz-18KHz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喇叭单元：6.5"×1  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颜色：白色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箱体尺寸（W×D×H）：200×165×300mm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重量：2.75kg</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4D2A5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245A2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00866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500" w:hRule="atLeast"/>
        </w:trPr>
        <w:tc>
          <w:tcPr>
            <w:tcW w:w="11517" w:type="dxa"/>
            <w:gridSpan w:val="8"/>
            <w:tcBorders>
              <w:top w:val="single" w:color="000000" w:sz="4" w:space="0"/>
              <w:left w:val="single" w:color="000000" w:sz="4" w:space="0"/>
              <w:bottom w:val="single" w:color="000000" w:sz="4" w:space="0"/>
              <w:right w:val="single" w:color="000000" w:sz="4" w:space="0"/>
            </w:tcBorders>
            <w:noWrap/>
            <w:vAlign w:val="center"/>
          </w:tcPr>
          <w:p w14:paraId="6D85A3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四、教学楼走廊（共</w:t>
            </w:r>
            <w:r>
              <w:rPr>
                <w:rStyle w:val="263"/>
                <w:rFonts w:eastAsia="宋体"/>
                <w:lang w:val="en-US" w:eastAsia="zh-CN" w:bidi="ar"/>
              </w:rPr>
              <w:t>6</w:t>
            </w:r>
            <w:r>
              <w:rPr>
                <w:rFonts w:hint="eastAsia" w:ascii="宋体" w:hAnsi="宋体" w:eastAsia="宋体" w:cs="宋体"/>
                <w:b/>
                <w:bCs/>
                <w:i w:val="0"/>
                <w:iCs w:val="0"/>
                <w:color w:val="000000"/>
                <w:kern w:val="0"/>
                <w:sz w:val="20"/>
                <w:szCs w:val="20"/>
                <w:u w:val="none"/>
                <w:lang w:val="en-US" w:eastAsia="zh-CN" w:bidi="ar"/>
              </w:rPr>
              <w:t>层）</w:t>
            </w:r>
          </w:p>
        </w:tc>
      </w:tr>
      <w:tr w14:paraId="2ED9F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7677C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230B0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壁挂音箱</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2A2696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室内壁挂音箱，独特的外观设计，声音辐射面广。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采用二分频设计，内置丝膜高音单元，高低音衔接顺滑，声音清晰柔和。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适用于学校、酒店、宾馆、超市等场景。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额定功率：10W/15W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输入：70V/100V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阻抗：6.7KΩ/3.3KΩ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灵敏度：92dB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频率响应：110Hz-15KHz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喇叭单元：5.5"×1  1.5"×1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防护等级：IP×5防尘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产品尺寸：185×105×275mm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重量：1.1kg</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0A336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4835C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08D15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6EBEE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643FC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机架式网络功放(含分布式IP网络机架式解码器管理软件V1.0)</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1C90E4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1U机柜式设计，双层双色双拼面板，彰显立体美感；前面板采用隐藏式条形出气口及弧形进风口设计，设备散热均匀，有效延长使用寿命；电源开关采用防触碰设计，安全省心。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内置D类功率放大电路设计，损耗小具备90%以上的放大效率。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智能电源管理功能，无信号时自动进入待机状态，待机功率小于3W，保障7×24小时不间断工作。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采用高集成度数字化电路集成，稳定性和绿色节能进一步显著提升。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专业噪声门控制输出信号，保证背景音乐的静噪。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设有4路音源输入，其中2路标准线路信号，1路标准话筒信号,1路报警信号输入接口。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设有2个音量调节旋钮，其中1个线路调节，1个话筒调节。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内置网络IP解码模块，支持TCP/IP、UDP、IGMP（组播）协议，实现网络化传输16位立体声CD音质和音乐信号。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ALARM IN具最高优先权，信号输入时自动默音，结型FET进行优先级转换，保证在默音过程中信号不失真。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设有1路音源输出，可环接至下一台功放音频输入接口。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设有1个复位按键，可恢复出厂设置的IP网段。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设有7个指示灯（3电平指示，1保护指示，1失真指示，1电源指示，1网络状态）可实时显示设备工作状态，直观方便。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设有70V、100V定压输出，4-16Ω定阻输出接口，可用于外接定压或定阻扬声器。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支持线路安全工作区保护，保证输出负载在短路、过载等任何恶劣环境下安全工作。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支持温度保护，当机器温度过高时，可自动进入保护状态。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支持负反馈保护，当峰值信号出现失真、冲击、或线电压严重过压时，能有效地对功放进行保护。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设有高频渲染电路，可对线间变压器所造成的高频进行渲染调音，高频信号纤细亮丽。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设有高倍频程低音切除电路，在不损失音质的情况下去除有安全隐患的超低频成份，保证升压系统安全工作。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额定功率：360W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输出方式：70V，100V，4-16Ω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网络通讯协议：TCP、UDP、ARP、IcmP、IGMP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网络芯片速率：10/100Mbps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音频编码：MP2/MP3/Pcm/ADPcm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音频采样，位率：8KHz～44.1KHz，16bit，8Kbps-320Kbps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网络声音延迟：广播延迟≤100ms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输入灵敏度/阻抗：MIC，25mV/600Ω，不平衡TS端子输入；AUX，350mV/10KΩ，不平衡RCA端子输入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输出灵敏度/阻抗：1000mV/470Ω，不平衡RCA端子输出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过载源电动势：MIC，&gt;12dB，不平衡TRS端子输入；AUX，&gt;20dB，不平衡RCA端子输入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频率响应：50-16KHz(+1dB，-3dB)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信噪比：MIC，66dB；AUX，80dB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总谐波失真：1KHz时0.5%，1/3输出功率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默音功能：ALARM优先其他通道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通道串音衰减：≤50dB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散热：由前往后强制风冷，散热器温度45度时启动内置风扇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保护：过热，过载&amp;短路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电源：AC220V/50Hz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最大消耗功率：540W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产品尺寸(W×D×H)：483×325×49mm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重量：3.65kg</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6EA89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41E99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499E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6A7CD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781683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机架式网络功放(含分布式IP网络机架式解码器管理软件V1.0)</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13CDDC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1U机柜式设计，双层双色双拼面板，彰显立体美感；前面板采用隐藏式条形出气口及弧形进风口设计，设备散热均匀，有效延长使用寿命；电源开关采用防触碰设计，安全省心。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内置D类功率放大电路设计，损耗小具备90%以上的放大效率。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智能电源管理功能，无信号时自动进入待机状态，待机功率小于3W，保障7×24小时不间断工作。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采用高集成度数字化电路集成，稳定性和绿色节能进一步显著提升。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专业噪声门控制输出信号，保证背景音乐的静噪。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设有4路音源输入，其中2路标准线路信号，1路标准话筒信号,1路报警信号输入接口。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设有2个音量调节旋钮，其中1个线路调节，1个话筒调节。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内置网络IP解码模块，支持TCP/IP、UDP、IGMP（组播）协议，实现网络化传输16位立体声CD音质和音乐信号。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ALARM IN具最高优先权，信号输入时自动默音，结型FET进行优先级转换，保证在默音过程中信号不失真。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设有1路音源输出，可环接至下一台功放音频输入接口。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设有1个复位按键，可恢复出厂设置的IP网段。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设有7个指示灯（3电平指示，1保护指示，1失真指示，1电源指示，1网络状态）可实时显示设备工作状态，直观方便。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设有70V、100V定压输出，4-16Ω定阻输出接口，可用于外接定压或定阻扬声器。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支持线路安全工作区保护，保证输出负载在短路、过载等任何恶劣环境下安全工作。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支持温度保护，当机器温度过高时，可自动进入保护状态。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支持负反馈保护，当峰值信号出现失真、冲击、或线电压严重过压时，能有效地对功放进行保护。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设有高频渲染电路，可对线间变压器所造成的高频进行渲染调音，高频信号纤细亮丽。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设有高倍频程低音切除电路，在不损失音质的情况下去除有安全隐患的超低频成份，保证升压系统安全工作。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额定功率：160W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输出方式：70V，100V，4-16Ω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网络通讯协议：TCP、UDP、ARP、IcmP、IGMP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网络芯片速率：10/100Mbps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音频编码：MP2/MP3/Pcm/ADPcm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音频采样，位率：8KHz～44.1KHz，16bit，8Kbps-320Kbps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网络声音延迟：广播延迟≤100ms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输入灵敏度/阻抗：MIC，25mV/600Ω，不平衡TS端子输入；AUX，350mV/10KΩ，不平衡RCA端子输入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输出灵敏度/阻抗：1000mV/470Ω，不平衡RCA端子输出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过载源电动势：MIC，&gt;12dB，不平衡TRS端子输入；AUX，&gt;20dB，不平衡RCA端子输入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频率响应：50-16KHz(+1dB，-3dB)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信噪比：MIC，66dB；AUX，80dB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总谐波失真：1KHz时0.5%，1/3输出功率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默音功能：ALARM优先其他通道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通道串音衰减：≤50dB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散热：由前往后强制风冷，散热器温度45度时启动内置风扇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保护：过热，过载&amp;短路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电源：AC220V/50Hz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最大消耗功率：240W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产品尺寸(W×D×H)：483×325×49mm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重量：3.65kg</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725C4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7F663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1EF3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500" w:hRule="atLeast"/>
        </w:trPr>
        <w:tc>
          <w:tcPr>
            <w:tcW w:w="11517" w:type="dxa"/>
            <w:gridSpan w:val="8"/>
            <w:tcBorders>
              <w:top w:val="single" w:color="000000" w:sz="4" w:space="0"/>
              <w:left w:val="single" w:color="000000" w:sz="4" w:space="0"/>
              <w:bottom w:val="single" w:color="000000" w:sz="4" w:space="0"/>
              <w:right w:val="single" w:color="000000" w:sz="4" w:space="0"/>
            </w:tcBorders>
            <w:noWrap/>
            <w:vAlign w:val="center"/>
          </w:tcPr>
          <w:p w14:paraId="711BD0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五、宿舍楼（共</w:t>
            </w:r>
            <w:r>
              <w:rPr>
                <w:rStyle w:val="263"/>
                <w:rFonts w:eastAsia="宋体"/>
                <w:lang w:val="en-US" w:eastAsia="zh-CN" w:bidi="ar"/>
              </w:rPr>
              <w:t>4</w:t>
            </w:r>
            <w:r>
              <w:rPr>
                <w:rFonts w:hint="eastAsia" w:ascii="宋体" w:hAnsi="宋体" w:eastAsia="宋体" w:cs="宋体"/>
                <w:b/>
                <w:bCs/>
                <w:i w:val="0"/>
                <w:iCs w:val="0"/>
                <w:color w:val="000000"/>
                <w:kern w:val="0"/>
                <w:sz w:val="20"/>
                <w:szCs w:val="20"/>
                <w:u w:val="none"/>
                <w:lang w:val="en-US" w:eastAsia="zh-CN" w:bidi="ar"/>
              </w:rPr>
              <w:t>栋，每栋</w:t>
            </w:r>
            <w:r>
              <w:rPr>
                <w:rStyle w:val="263"/>
                <w:rFonts w:eastAsia="宋体"/>
                <w:lang w:val="en-US" w:eastAsia="zh-CN" w:bidi="ar"/>
              </w:rPr>
              <w:t>6</w:t>
            </w:r>
            <w:r>
              <w:rPr>
                <w:rFonts w:hint="eastAsia" w:ascii="宋体" w:hAnsi="宋体" w:eastAsia="宋体" w:cs="宋体"/>
                <w:b/>
                <w:bCs/>
                <w:i w:val="0"/>
                <w:iCs w:val="0"/>
                <w:color w:val="000000"/>
                <w:kern w:val="0"/>
                <w:sz w:val="20"/>
                <w:szCs w:val="20"/>
                <w:u w:val="none"/>
                <w:lang w:val="en-US" w:eastAsia="zh-CN" w:bidi="ar"/>
              </w:rPr>
              <w:t>层，每层</w:t>
            </w:r>
            <w:r>
              <w:rPr>
                <w:rStyle w:val="263"/>
                <w:rFonts w:eastAsia="宋体"/>
                <w:lang w:val="en-US" w:eastAsia="zh-CN" w:bidi="ar"/>
              </w:rPr>
              <w:t>3</w:t>
            </w:r>
            <w:r>
              <w:rPr>
                <w:rFonts w:hint="eastAsia" w:ascii="宋体" w:hAnsi="宋体" w:eastAsia="宋体" w:cs="宋体"/>
                <w:b/>
                <w:bCs/>
                <w:i w:val="0"/>
                <w:iCs w:val="0"/>
                <w:color w:val="000000"/>
                <w:kern w:val="0"/>
                <w:sz w:val="20"/>
                <w:szCs w:val="20"/>
                <w:u w:val="none"/>
                <w:lang w:val="en-US" w:eastAsia="zh-CN" w:bidi="ar"/>
              </w:rPr>
              <w:t>只壁挂音响）</w:t>
            </w:r>
          </w:p>
        </w:tc>
      </w:tr>
      <w:tr w14:paraId="12859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4F123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6D26D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壁挂音箱</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795042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室内壁挂音箱，独特的外观设计，声音辐射面广。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采用二分频设计，内置丝膜高音单元，高低音衔接顺滑，声音清晰柔和。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适用于学校、酒店、宾馆、超市等场景。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额定功率：10W/15W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输入：70V/100V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阻抗：6.7KΩ/3.3KΩ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灵敏度：92dB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频率响应：110Hz-15KHz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喇叭单元：5.5"×1  1.5"×1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防护等级：IP×5防尘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产品尺寸：185×105×275mm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重量：1.1kg</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270D4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544FC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5D50B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2B7CC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1FB4A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机架式网络功放(含分布式IP网络机架式解码器管理软件V1.0)</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166A19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1U机柜式设计，双层双色双拼面板，彰显立体美感；前面板采用隐藏式条形出气口及弧形进风口设计，设备散热均匀，有效延长使用寿命；电源开关采用防触碰设计，安全省心。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内置D类功率放大电路设计，损耗小具备90%以上的放大效率。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智能电源管理功能，无信号时自动进入待机状态，待机功率小于3W，保障7×24小时不间断工作。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采用高集成度数字化电路集成，稳定性和绿色节能进一步显著提升。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专业噪声门控制输出信号，保证背景音乐的静噪。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设有4路音源输入，其中2路标准线路信号，1路标准话筒信号,1路报警信号输入接口。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设有2个音量调节旋钮，其中1个线路调节，1个话筒调节。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内置网络IP解码模块，支持TCP/IP、UDP、IGMP（组播）协议，实现网络化传输16位立体声CD音质和音乐信号。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ALARM IN具最高优先权，信号输入时自动默音，结型FET进行优先级转换，保证在默音过程中信号不失真。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设有1路音源输出，可环接至下一台功放音频输入接口。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设有1个复位按键，可恢复出厂设置的IP网段。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设有7个指示灯（3电平指示，1保护指示，1失真指示，1电源指示，1网络状态）可实时显示设备工作状态，直观方便。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设有70V、100V定压输出，4-16Ω定阻输出接口，可用于外接定压或定阻扬声器。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支持线路安全工作区保护，保证输出负载在短路、过载等任何恶劣环境下安全工作。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支持温度保护，当机器温度过高时，可自动进入保护状态。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支持负反馈保护，当峰值信号出现失真、冲击、或线电压严重过压时，能有效地对功放进行保护。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设有高频渲染电路，可对线间变压器所造成的高频进行渲染调音，高频信号纤细亮丽。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设有高倍频程低音切除电路，在不损失音质的情况下去除有安全隐患的超低频成份，保证升压系统安全工作。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额定功率：360W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输出方式：70V，100V，4-16Ω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网络通讯协议：TCP、UDP、ARP、IcmP、IGMP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网络芯片速率：10/100Mbps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音频编码：MP2/MP3/Pcm/ADPcm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音频采样，位率：8KHz～44.1KHz，16bit，8Kbps-320Kbps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网络声音延迟：广播延迟≤100ms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输入灵敏度/阻抗：MIC，25mV/600Ω，不平衡TS端子输入；AUX，350mV/10KΩ，不平衡RCA端子输入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输出灵敏度/阻抗：1000mV/470Ω，不平衡RCA端子输出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过载源电动势：MIC，&gt;12dB，不平衡TRS端子输入；AUX，&gt;20dB，不平衡RCA端子输入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频率响应：50-16KHz(+1dB，-3dB)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信噪比：MIC，66dB；AUX，80dB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总谐波失真：1KHz时0.5%，1/3输出功率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默音功能：ALARM优先其他通道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通道串音衰减：≤50dB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散热：由前往后强制风冷，散热器温度45度时启动内置风扇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保护：过热，过载&amp;短路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电源：AC220V/50Hz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最大消耗功率：540W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产品尺寸(W×D×H)：483×325×49mm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重量：3.65kg</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17B78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01BEF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FC24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500" w:hRule="atLeast"/>
        </w:trPr>
        <w:tc>
          <w:tcPr>
            <w:tcW w:w="11517" w:type="dxa"/>
            <w:gridSpan w:val="8"/>
            <w:tcBorders>
              <w:top w:val="single" w:color="000000" w:sz="4" w:space="0"/>
              <w:left w:val="single" w:color="000000" w:sz="4" w:space="0"/>
              <w:bottom w:val="single" w:color="000000" w:sz="4" w:space="0"/>
              <w:right w:val="single" w:color="000000" w:sz="4" w:space="0"/>
            </w:tcBorders>
            <w:noWrap/>
            <w:vAlign w:val="center"/>
          </w:tcPr>
          <w:p w14:paraId="0CE727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六、食堂（共</w:t>
            </w:r>
            <w:r>
              <w:rPr>
                <w:rStyle w:val="263"/>
                <w:rFonts w:eastAsia="宋体"/>
                <w:lang w:val="en-US" w:eastAsia="zh-CN" w:bidi="ar"/>
              </w:rPr>
              <w:t>2</w:t>
            </w:r>
            <w:r>
              <w:rPr>
                <w:rFonts w:hint="eastAsia" w:ascii="宋体" w:hAnsi="宋体" w:eastAsia="宋体" w:cs="宋体"/>
                <w:b/>
                <w:bCs/>
                <w:i w:val="0"/>
                <w:iCs w:val="0"/>
                <w:color w:val="000000"/>
                <w:kern w:val="0"/>
                <w:sz w:val="20"/>
                <w:szCs w:val="20"/>
                <w:u w:val="none"/>
                <w:lang w:val="en-US" w:eastAsia="zh-CN" w:bidi="ar"/>
              </w:rPr>
              <w:t>层，每层</w:t>
            </w:r>
            <w:r>
              <w:rPr>
                <w:rStyle w:val="263"/>
                <w:rFonts w:eastAsia="宋体"/>
                <w:lang w:val="en-US" w:eastAsia="zh-CN" w:bidi="ar"/>
              </w:rPr>
              <w:t>8</w:t>
            </w:r>
            <w:r>
              <w:rPr>
                <w:rFonts w:hint="eastAsia" w:ascii="宋体" w:hAnsi="宋体" w:eastAsia="宋体" w:cs="宋体"/>
                <w:b/>
                <w:bCs/>
                <w:i w:val="0"/>
                <w:iCs w:val="0"/>
                <w:color w:val="000000"/>
                <w:kern w:val="0"/>
                <w:sz w:val="20"/>
                <w:szCs w:val="20"/>
                <w:u w:val="none"/>
                <w:lang w:val="en-US" w:eastAsia="zh-CN" w:bidi="ar"/>
              </w:rPr>
              <w:t>只壁挂音响）</w:t>
            </w:r>
          </w:p>
        </w:tc>
      </w:tr>
      <w:tr w14:paraId="58E5A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1301F5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62DEA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广播音柱</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51FCD6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室内外铝制结构，防水防锈，坚固耐用，可抵挡日晒、风吹、雨淋。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适用于室内外各种环境之中，如：公共场所、超级市场、学校、车站等。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功率：20W（额定）/25W（峰值）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输入：100V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阻抗：500Ω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灵敏度：92dB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频率响应：150Hz-16KHz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喇叭单元：4"×2 2.5"×1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防护等级：IPX6防水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产品尺寸(W*D*H)：155mm*133*345mm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重量：2.84kg</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1D330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0B0BB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635C2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07CE8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52396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机架式网络功放(含分布式IP网络机架式解码器管理软件V1.0)</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798B5D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1U机柜式设计，双层双色双拼面板，彰显立体美感；前面板采用隐藏式条形出气口及弧形进风口设计，设备散热均匀，有效延长使用寿命；电源开关采用防触碰设计，安全省心。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内置D类功率放大电路设计，损耗小具备90%以上的放大效率。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智能电源管理功能，无信号时自动进入待机状态，待机功率小于3W，保障7×24小时不间断工作。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采用高集成度数字化电路集成，稳定性和绿色节能进一步显著提升。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专业噪声门控制输出信号，保证背景音乐的静噪。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设有4路音源输入，其中2路标准线路信号，1路标准话筒信号,1路报警信号输入接口。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设有2个音量调节旋钮，其中1个线路调节，1个话筒调节。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内置网络IP解码模块，支持TCP/IP、UDP、IGMP（组播）协议，实现网络化传输16位立体声CD音质和音乐信号。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ALARM IN具最高优先权，信号输入时自动默音，结型FET进行优先级转换，保证在默音过程中信号不失真。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设有1路音源输出，可环接至下一台功放音频输入接口。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设有1个复位按键，可恢复出厂设置的IP网段。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设有7个指示灯（3电平指示，1保护指示，1失真指示，1电源指示，1网络状态）可实时显示设备工作状态，直观方便。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设有70V、100V定压输出，4-16Ω定阻输出接口，可用于外接定压或定阻扬声器。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支持线路安全工作区保护，保证输出负载在短路、过载等任何恶劣环境下安全工作。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支持温度保护，当机器温度过高时，可自动进入保护状态。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支持负反馈保护，当峰值信号出现失真、冲击、或线电压严重过压时，能有效地对功放进行保护。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设有高频渲染电路，可对线间变压器所造成的高频进行渲染调音，高频信号纤细亮丽。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设有高倍频程低音切除电路，在不损失音质的情况下去除有安全隐患的超低频成份，保证升压系统安全工作。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额定功率：360W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输出方式：70V，100V，4-16Ω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网络通讯协议：TCP、UDP、ARP、IcmP、IGMP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网络芯片速率：10/100Mbps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音频编码：MP2/MP3/Pcm/ADPcm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音频采样，位率：8KHz～44.1KHz，16bit，8Kbps-320Kbps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网络声音延迟：广播延迟≤100ms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输入灵敏度/阻抗：MIC，25mV/600Ω，不平衡TS端子输入；AUX，350mV/10KΩ，不平衡RCA端子输入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输出灵敏度/阻抗：1000mV/470Ω，不平衡RCA端子输出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过载源电动势：MIC，&gt;12dB，不平衡TRS端子输入；AUX，&gt;20dB，不平衡RCA端子输入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频率响应：50-16KHz(+1dB，-3dB)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信噪比：MIC，66dB；AUX，80dB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总谐波失真：1KHz时0.5%，1/3输出功率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默音功能：ALARM优先其他通道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通道串音衰减：≤50dB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散热：由前往后强制风冷，散热器温度45度时启动内置风扇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保护：过热，过载&amp;短路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电源：AC220V/50Hz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最大消耗功率：540W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产品尺寸(W×D×H)：483×325×49mm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重量：3.65kg</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056A6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6E4E4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2540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500" w:hRule="atLeast"/>
        </w:trPr>
        <w:tc>
          <w:tcPr>
            <w:tcW w:w="11517" w:type="dxa"/>
            <w:gridSpan w:val="8"/>
            <w:tcBorders>
              <w:top w:val="single" w:color="000000" w:sz="4" w:space="0"/>
              <w:left w:val="single" w:color="000000" w:sz="4" w:space="0"/>
              <w:bottom w:val="single" w:color="000000" w:sz="4" w:space="0"/>
              <w:right w:val="single" w:color="000000" w:sz="4" w:space="0"/>
            </w:tcBorders>
            <w:noWrap/>
            <w:vAlign w:val="center"/>
          </w:tcPr>
          <w:p w14:paraId="044A89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七、综合办公楼（共</w:t>
            </w:r>
            <w:r>
              <w:rPr>
                <w:rStyle w:val="263"/>
                <w:rFonts w:eastAsia="宋体"/>
                <w:lang w:val="en-US" w:eastAsia="zh-CN" w:bidi="ar"/>
              </w:rPr>
              <w:t>5</w:t>
            </w:r>
            <w:r>
              <w:rPr>
                <w:rFonts w:hint="eastAsia" w:ascii="宋体" w:hAnsi="宋体" w:eastAsia="宋体" w:cs="宋体"/>
                <w:b/>
                <w:bCs/>
                <w:i w:val="0"/>
                <w:iCs w:val="0"/>
                <w:color w:val="000000"/>
                <w:kern w:val="0"/>
                <w:sz w:val="20"/>
                <w:szCs w:val="20"/>
                <w:u w:val="none"/>
                <w:lang w:val="en-US" w:eastAsia="zh-CN" w:bidi="ar"/>
              </w:rPr>
              <w:t>层，每层</w:t>
            </w:r>
            <w:r>
              <w:rPr>
                <w:rStyle w:val="263"/>
                <w:rFonts w:eastAsia="宋体"/>
                <w:lang w:val="en-US" w:eastAsia="zh-CN" w:bidi="ar"/>
              </w:rPr>
              <w:t>3</w:t>
            </w:r>
            <w:r>
              <w:rPr>
                <w:rFonts w:hint="eastAsia" w:ascii="宋体" w:hAnsi="宋体" w:eastAsia="宋体" w:cs="宋体"/>
                <w:b/>
                <w:bCs/>
                <w:i w:val="0"/>
                <w:iCs w:val="0"/>
                <w:color w:val="000000"/>
                <w:kern w:val="0"/>
                <w:sz w:val="20"/>
                <w:szCs w:val="20"/>
                <w:u w:val="none"/>
                <w:lang w:val="en-US" w:eastAsia="zh-CN" w:bidi="ar"/>
              </w:rPr>
              <w:t>只壁挂音响）</w:t>
            </w:r>
          </w:p>
        </w:tc>
      </w:tr>
      <w:tr w14:paraId="6B5BA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7FB4F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30B5F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壁挂音箱</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3EAEA7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室内壁挂音箱，独特的外观设计，声音辐射面广。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采用二分频设计，内置丝膜高音单元，高低音衔接顺滑，声音清晰柔和。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适用于学校、酒店、宾馆、超市等场景。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额定功率：10W/15W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输入：70V/100V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阻抗：6.7KΩ/3.3KΩ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灵敏度：92dB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频率响应：110Hz-15KHz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喇叭单元：5.5"×1  1.5"×1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防护等级：IP×5防尘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产品尺寸：185×105×275mm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重量：1.1kg</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6A559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0A680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6674D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12597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76038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机架式网络功放(含分布式IP网络机架式解码器管理软件V1.0)</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0E78D1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1U机柜式设计，双层双色双拼面板，彰显立体美感；前面板采用隐藏式条形出气口及弧形进风口设计，设备散热均匀，有效延长使用寿命；电源开关采用防触碰设计，安全省心。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内置D类功率放大电路设计，损耗小具备90%以上的放大效率。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智能电源管理功能，无信号时自动进入待机状态，待机功率小于3W，保障7×24小时不间断工作。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采用高集成度数字化电路集成，稳定性和绿色节能进一步显著提升。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专业噪声门控制输出信号，保证背景音乐的静噪。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设有4路音源输入，其中2路标准线路信号，1路标准话筒信号,1路报警信号输入接口。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设有2个音量调节旋钮，其中1个线路调节，1个话筒调节。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内置网络IP解码模块，支持TCP/IP、UDP、IGMP（组播）协议，实现网络化传输16位立体声CD音质和音乐信号。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ALARM IN具最高优先权，信号输入时自动默音，结型FET进行优先级转换，保证在默音过程中信号不失真。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设有1路音源输出，可环接至下一台功放音频输入接口。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设有1个复位按键，可恢复出厂设置的IP网段。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设有7个指示灯（3电平指示，1保护指示，1失真指示，1电源指示，1网络状态）可实时显示设备工作状态，直观方便。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设有70V、100V定压输出，4-16Ω定阻输出接口，可用于外接定压或定阻扬声器。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支持线路安全工作区保护，保证输出负载在短路、过载等任何恶劣环境下安全工作。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支持温度保护，当机器温度过高时，可自动进入保护状态。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支持负反馈保护，当峰值信号出现失真、冲击、或线电压严重过压时，能有效地对功放进行保护。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设有高频渲染电路，可对线间变压器所造成的高频进行渲染调音，高频信号纤细亮丽。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设有高倍频程低音切除电路，在不损失音质的情况下去除有安全隐患的超低频成份，保证升压系统安全工作。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额定功率：360W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输出方式：70V，100V，4-16Ω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网络通讯协议：TCP、UDP、ARP、IcmP、IGMP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网络芯片速率：10/100Mbps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音频编码：MP2/MP3/Pcm/ADPcm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音频采样，位率：8KHz～44.1KHz，16bit，8Kbps-320Kbps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网络声音延迟：广播延迟≤100ms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输入灵敏度/阻抗：MIC，25mV/600Ω，不平衡TS端子输入；AUX，350mV/10KΩ，不平衡RCA端子输入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输出灵敏度/阻抗：1000mV/470Ω，不平衡RCA端子输出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过载源电动势：MIC，&gt;12dB，不平衡TRS端子输入；AUX，&gt;20dB，不平衡RCA端子输入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频率响应：50-16KHz(+1dB，-3dB)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信噪比：MIC，66dB；AUX，80dB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总谐波失真：1KHz时0.5%，1/3输出功率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默音功能：ALARM优先其他通道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通道串音衰减：≤50dB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散热：由前往后强制风冷，散热器温度45度时启动内置风扇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保护：过热，过载&amp;短路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电源：AC220V/50Hz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最大消耗功率：540W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产品尺寸(W×D×H)：483×325×49mm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重量：3.65kg</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35F23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62CC5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4275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500" w:hRule="atLeast"/>
        </w:trPr>
        <w:tc>
          <w:tcPr>
            <w:tcW w:w="11517" w:type="dxa"/>
            <w:gridSpan w:val="8"/>
            <w:tcBorders>
              <w:top w:val="single" w:color="000000" w:sz="4" w:space="0"/>
              <w:left w:val="single" w:color="000000" w:sz="4" w:space="0"/>
              <w:bottom w:val="single" w:color="000000" w:sz="4" w:space="0"/>
              <w:right w:val="single" w:color="000000" w:sz="4" w:space="0"/>
            </w:tcBorders>
            <w:noWrap/>
            <w:vAlign w:val="center"/>
          </w:tcPr>
          <w:p w14:paraId="0FF2F0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八、风雨操场（共</w:t>
            </w:r>
            <w:r>
              <w:rPr>
                <w:rStyle w:val="263"/>
                <w:rFonts w:eastAsia="宋体"/>
                <w:lang w:val="en-US" w:eastAsia="zh-CN" w:bidi="ar"/>
              </w:rPr>
              <w:t>1</w:t>
            </w:r>
            <w:r>
              <w:rPr>
                <w:rFonts w:hint="eastAsia" w:ascii="宋体" w:hAnsi="宋体" w:eastAsia="宋体" w:cs="宋体"/>
                <w:b/>
                <w:bCs/>
                <w:i w:val="0"/>
                <w:iCs w:val="0"/>
                <w:color w:val="000000"/>
                <w:kern w:val="0"/>
                <w:sz w:val="20"/>
                <w:szCs w:val="20"/>
                <w:u w:val="none"/>
                <w:lang w:val="en-US" w:eastAsia="zh-CN" w:bidi="ar"/>
              </w:rPr>
              <w:t>层）</w:t>
            </w:r>
          </w:p>
        </w:tc>
      </w:tr>
      <w:tr w14:paraId="3DAF4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333AF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4F3E0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广播音柱</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72270C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室内外铝制结构，防水防锈，坚固耐用，可抵挡日晒、风吹、雨淋。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适用于室内外各种环境之中，如：公共场所、超级市场、学校、车站等。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额定功率：40W（额定）/45W（峰值）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输入：100V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阻抗：250Ω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灵敏度：92dB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频率响应：150Hz-16KHz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喇叭单元：4"×4 2.5"×1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防护等级：IPX6防水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产品尺寸（W*D*H）：155mm*133*680mm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重量：5.19kg</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4C8D8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086E0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5F8AA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00C18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131FC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机架式网络功放(含分布式IP网络机架式解码器管理软件V1.0)</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19B955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1U机柜式设计，双层双色双拼面板，彰显立体美感；前面板采用隐藏式条形出气口及弧形进风口设计，设备散热均匀，有效延长使用寿命；电源开关采用防触碰设计，安全省心。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内置D类功率放大电路设计，损耗小具备90%以上的放大效率。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智能电源管理功能，无信号时自动进入待机状态，待机功率小于3W，保障7×24小时不间断工作。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采用高集成度数字化电路集成，稳定性和绿色节能进一步显著提升。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专业噪声门控制输出信号，保证背景音乐的静噪。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设有4路音源输入，其中2路标准线路信号，1路标准话筒信号,1路报警信号输入接口。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设有2个音量调节旋钮，其中1个线路调节，1个话筒调节。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内置网络IP解码模块，支持TCP/IP、UDP、IGMP（组播）协议，实现网络化传输16位立体声CD音质和音乐信号。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ALARM IN具最高优先权，信号输入时自动默音，结型FET进行优先级转换，保证在默音过程中信号不失真。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设有1路音源输出，可环接至下一台功放音频输入接口。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设有1个复位按键，可恢复出厂设置的IP网段。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设有7个指示灯（3电平指示，1保护指示，1失真指示，1电源指示，1网络状态）可实时显示设备工作状态，直观方便。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设有70V、100V定压输出，4-16Ω定阻输出接口，可用于外接定压或定阻扬声器。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支持线路安全工作区保护，保证输出负载在短路、过载等任何恶劣环境下安全工作。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支持温度保护，当机器温度过高时，可自动进入保护状态。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支持负反馈保护，当峰值信号出现失真、冲击、或线电压严重过压时，能有效地对功放进行保护。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设有高频渲染电路，可对线间变压器所造成的高频进行渲染调音，高频信号纤细亮丽。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设有高倍频程低音切除电路，在不损失音质的情况下去除有安全隐患的超低频成份，保证升压系统安全工作。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额定功率：360W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输出方式：70V，100V，4-16Ω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网络通讯协议：TCP、UDP、ARP、IcmP、IGMP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网络芯片速率：10/100Mbps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音频编码：MP2/MP3/Pcm/ADPcm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音频采样，位率：8KHz～44.1KHz，16bit，8Kbps-320Kbps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网络声音延迟：广播延迟≤100ms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输入灵敏度/阻抗：MIC，25mV/600Ω，不平衡TS端子输入；AUX，350mV/10KΩ，不平衡RCA端子输入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输出灵敏度/阻抗：1000mV/470Ω，不平衡RCA端子输出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过载源电动势：MIC，&gt;12dB，不平衡TRS端子输入；AUX，&gt;20dB，不平衡RCA端子输入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频率响应：50-16KHz(+1dB，-3dB)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信噪比：MIC，66dB；AUX，80dB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总谐波失真：1KHz时0.5%，1/3输出功率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默音功能：ALARM优先其他通道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通道串音衰减：≤50dB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散热：由前往后强制风冷，散热器温度45度时启动内置风扇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保护：过热，过载&amp;短路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电源：AC220V/50Hz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最大消耗功率：540W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产品尺寸(W×D×H)：483×325×49mm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重量：3.65kg</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14FB8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57DB1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7237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0F33C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7F402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无线话筒(含无线话筒控制软件V1.0)</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00C52D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LED液晶显示可同时显示RF/AF信号强度，自动选讯，可设定频道/频率。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采用窄带滤波器，可有效减小外界信号干扰。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全新独特ID编码功能，对解决周围环境或是多套使用的干扰都非常有效。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天线分集，接收距离无阻隔理想状态下160米。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天线座带DC9V供电，可直接接放大天线使用，也可接天线放大器主机使用。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接收机有7档SQ，可调节接收机灵敏度，可适配更多环境；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发射器表面高温烤漆工艺技术，能在各种恶劣的使用环境下保持表面的美观。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发射器圆弧边缘设计，符合人体工程学，相比普通产品的菱角边缘，更易于单手持握。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还原性好，声音清晰，适用于企事业单位，各大中小会议室。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接收机参数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频道组数： 双频道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装配方式： 固定式接收模组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面板显示： LCD液晶显示可同时显示RF/AF信号强度,自动选讯,可设定频道/频率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振荡模式： PLL相位锁定频率合成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射频稳定度： ±0.005%(-5~50°C)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载波频段： UHF：640.125MHz -690.000MHz；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频带宽度： 50MHz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频率间隔：125KHz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可切换频率数： 400组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操作方式： 手动调整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接收方式： 双调谐器自动选讯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 在偏移度等于40KHz,输入6dBμ V时，S/N&gt;80dB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最大偏移度： ±68KHz具有音量扩展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综合S/N比： ±105dB(1KHz-A)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综合失真度： &lt;0.5% @ 1KHz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综合频率响应： 50Hz-18KHz±3dB具低频衰减滤频电路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最大输出电压： 平衡式MIC-LEVEL-0dBV/600Ω,非平衡式0dBV/600Ω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输出插座： XLR平衡式插座独立输出及Φ6.3不平衡式插座混合输出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音量输出调整： 输出电平可随意调整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静音控制模式： 独立“音码及杂讯锁定”双重静音控制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DC电源供应： 0.5A  12-15VDC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 426*185*50mm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话筒参数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振荡模式： PLL相位锁定频率合成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载波频率： UHF频段（640.125~690.000 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频带宽度： 50 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可调频率：400组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输出功率： 30MW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射频稳定性： ±0.005%（-5~50℃）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最大偏移： ±70KHz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拾音头： 电容式/动圈式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 2节AA电池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电池寿命： 约8小时</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630A4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05F78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E8E5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0DD65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6BA6F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天线分配器系统</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021D56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具有放大功能的UHF天线分配系统，通过将一对天线拆分给无线接收机来扩展无线话筒系统的功能。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一台分配器主机能为4台双天线的接收机提供信号，或能为2台四天线的接收机提供信号。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具有级联端口能够连接到第五个接收机或第二台分配器。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具有4组能够输出为无线接收机UHF系统供电的电源接口。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天线使用对数周期偶极子阵列提供增强的接收能力。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低噪信号放大补偿同轴电缆插入损耗。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两点增益选择开关，可选择3或10分贝增益。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配套定向天线板配合带有螺纹的集成式支架，可轻松固定在话筒支架上，也可将其悬挂在天花板或墙壁上。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兼容任何品牌UHF真分集和天线分集无线接收系统。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在户外使用不受天气影响。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频率范围：450~972MHz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噪声指数：&lt;2dB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系统阻抗：50Ω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天线输入接口：AB通道/12V150mA/BNC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信号输出接口：AB通道共8个/BNC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射频级联接口：AB通道/BNC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直流电源输出：12V/1A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主机供电：12V/5A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产品尺寸（W*D*H）：484*210*44mm</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1E5AA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0CC4F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BEEF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500" w:hRule="atLeast"/>
        </w:trPr>
        <w:tc>
          <w:tcPr>
            <w:tcW w:w="11517" w:type="dxa"/>
            <w:gridSpan w:val="8"/>
            <w:tcBorders>
              <w:top w:val="single" w:color="000000" w:sz="4" w:space="0"/>
              <w:left w:val="single" w:color="000000" w:sz="4" w:space="0"/>
              <w:bottom w:val="single" w:color="000000" w:sz="4" w:space="0"/>
              <w:right w:val="single" w:color="000000" w:sz="4" w:space="0"/>
            </w:tcBorders>
            <w:noWrap/>
            <w:vAlign w:val="center"/>
          </w:tcPr>
          <w:p w14:paraId="65F260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九、景观广场</w:t>
            </w:r>
          </w:p>
        </w:tc>
      </w:tr>
      <w:tr w14:paraId="744F6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7695E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32E00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广播音柱</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43DB84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优质户外防水音柱音色极佳。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采用铝镁合金制作的外壳，可抵挡日晒、风吹、雨淋。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适用于室内外各种环境之中，如：公共场所、超级市场、学校、车站等。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功率：60W（额定）/80W（峰值）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输入：100V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阻抗：167Ω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灵敏度：98dB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频率响应：50Hz-18KHz。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喇叭单元：5.25"×2 3"×1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防护等级：IPX6防水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产品尺寸（W×D×H）：165×140×426mm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重量：4.5kg</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10470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74C5F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0A2BF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27B88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49E37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机架式网络功放(含分布式IP网络机架式解码器管理软件V1.0)</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272D38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1U机柜式设计，双层双色双拼面板，彰显立体美感；前面板采用隐藏式条形出气口及弧形进风口设计，设备散热均匀，有效延长使用寿命；电源开关采用防触碰设计，安全省心。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内置D类功率放大电路设计，损耗小具备90%以上的放大效率。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智能电源管理功能，无信号时自动进入待机状态，待机功率小于3W，保障7×24小时不间断工作。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采用高集成度数字化电路集成，稳定性和绿色节能进一步显著提升。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专业噪声门控制输出信号，保证背景音乐的静噪。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设有4路音源输入，其中2路标准线路信号，1路标准话筒信号,1路报警信号输入接口。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设有2个音量调节旋钮，其中1个线路调节，1个话筒调节。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内置网络IP解码模块，支持TCP/IP、UDP、IGMP（组播）协议，实现网络化传输16位立体声CD音质和音乐信号。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ALARM IN具最高优先权，信号输入时自动默音，结型FET进行优先级转换，保证在默音过程中信号不失真。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设有1路音源输出，可环接至下一台功放音频输入接口。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设有1个复位按键，可恢复出厂设置的IP网段。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设有7个指示灯（3电平指示，1保护指示，1失真指示，1电源指示，1网络状态）可实时显示设备工作状态，直观方便。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设有70V、100V定压输出，4-16Ω定阻输出接口，可用于外接定压或定阻扬声器。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支持线路安全工作区保护，保证输出负载在短路、过载等任何恶劣环境下安全工作。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支持温度保护，当机器温度过高时，可自动进入保护状态。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支持负反馈保护，当峰值信号出现失真、冲击、或线电压严重过压时，能有效地对功放进行保护。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设有高频渲染电路，可对线间变压器所造成的高频进行渲染调音，高频信号纤细亮丽。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设有高倍频程低音切除电路，在不损失音质的情况下去除有安全隐患的超低频成份，保证升压系统安全工作。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额定功率：600W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输出方式：70V，100V，4-16Ω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网络通讯协议：TCP、UDP、ARP、IcmP、IGMP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网络芯片速率：10/100Mbps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音频编码：MP2/MP3/Pcm/ADPcm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音频采样，位率：8KHz～44.1KHz，16bit，8Kbps-320Kbps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网络声音延迟：广播延迟≤100ms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输入灵敏度/阻抗：MIC，25mV/600Ω，不平衡TS端子输入；AUX，350mV/10KΩ，不平衡RCA端子输入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输出灵敏度/阻抗：1000mV/470Ω，不平衡RCA端子输出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过载源电动势：MIC，&gt;12dB，不平衡TRS端子输入；AUX，&gt;20dB，不平衡RCA端子输入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频率响应：50-16KHz(+1dB，-3dB)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信噪比：MIC，66dB。AUX，80dB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总谐波失真：1KHz时0.5%，1/3输出功率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默音功能：ALARM优先其他通道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通道串音衰减：≤50dB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散热：由前往后强制风冷，散热器温度45度时启动内置风扇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保护：过热，过载&amp;短路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电源：AC220V/50Hz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最大消耗功率：700W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产品尺寸(W×D×H)：483×337×49mm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重量：5.7kg</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40D6D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4C577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6A73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500" w:hRule="atLeast"/>
        </w:trPr>
        <w:tc>
          <w:tcPr>
            <w:tcW w:w="11517" w:type="dxa"/>
            <w:gridSpan w:val="8"/>
            <w:tcBorders>
              <w:top w:val="single" w:color="000000" w:sz="4" w:space="0"/>
              <w:left w:val="single" w:color="000000" w:sz="4" w:space="0"/>
              <w:bottom w:val="single" w:color="000000" w:sz="4" w:space="0"/>
              <w:right w:val="single" w:color="000000" w:sz="4" w:space="0"/>
            </w:tcBorders>
            <w:noWrap/>
            <w:vAlign w:val="center"/>
          </w:tcPr>
          <w:p w14:paraId="166213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十、大操场</w:t>
            </w:r>
          </w:p>
        </w:tc>
      </w:tr>
      <w:tr w14:paraId="78BEC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691A4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4B270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机架式解码器(含分布式IP网络机架式解码器管理软件V1.0)</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48207A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标准19英寸机架设计，1U铝合金面板，全铝合金工业面板，机器外观高档大气。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基于智慧云系统运行，具有极高的安全性及优秀的稳定性。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工业级2.0英寸LCD显示屏，可以清晰显示大多数点阵图案和机器工作状态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具有USB接口，支持本地播放U盘MP3节目，通过面板按钮可实现播放任意一首歌曲和播放上一曲、下一曲、暂停、停止等功能。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1路话筒（MIC）输入接口，具有独立的音量调节；4路短路输出信号；1路线路输出，实现外接功率放大器扩音。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具备电源时序器功能，4路受控220V/1000W电源输出端口，内置智能电源管理，无音乐或呼叫时，自动切断输出座电源，有信号时自动打开输出座电源。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具有7个轻触操作按键，可用于功能参数设置，220V强制输出等。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数字化产品，扩容方便，不受地理位置限制，无需增加机房管理设备，采用共网免线路施工的设计理念，安装简便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支持广播系统对终端进行远程固件升级，无需到终端本地升级，减轻维护人员工作强度。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网络通讯协议：TCP、UDP、ARP、HTTP、FTP等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网络芯片速率：10/100Mbps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音频编码格式：MP3、PCM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采样率：8K-48KHz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比特率：64Kbps~768Kbps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网络延时：音频≤30ms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MIC输入灵敏度：5±0.5 mv/10KΩ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输出灵敏度/阻抗：775mV /10KΩ不平衡凤凰/RCA端子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信噪比：≥85dB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频率响应：60Hz-20KHz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整机功耗：10W/4500W（峰值）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供电方式：AC 220V/50-60Hz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产品尺寸(W×D×H)：483*300*44mm</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359A2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70025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23B9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4ADB6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53393E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前置放大器</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4AD602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1U机柜式设计，双层双色双拼面板，彰显立体美感；前面板采用隐藏式条形出气口及弧形进风口设计，设备散热均匀，有效延长使用寿命； 电源开关采用防触碰设计，安全省心。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有10个输入通道：包括5路话筒（MIC）输入，3路标准信号线路（AUX）输入，2路紧急线路（EMC）输入。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2路线路输出，可接入下一台功放或其它音频设备输入接口。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第1个话筒（MIC 1）具有最高优先、强行切入优先功能。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MIC 1具有钟声提示开关，点击可发出钟声提醒。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MIC 2、3、4、5采用XLR、TRS二合一接口，可接入卡侬公头，也可接入6.35直插头，方便不同话筒接口的接入。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各路话筒（MIC）输入通道和线路（AUX）输入通道均可独立调节音量。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MIC 2、3、4、5话筒接口带+48V幻象电源带有独立幻象电源开关，为电容话筒提供电源。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设有高音（TREBLE）和低音（BASS）、总音量（MAIN）独立调节。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具5个音频信号指示灯、1个削峰指示灯，实时显示音频信号输出情况。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话筒输入：5mV/600Ω 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辅助输入：3500mV/10KΩ 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紧急话筒输入：5mV-25mV/600Ω 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紧急线路输入：200mV-1000mV/10KΩ 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音频输出：10KΩ，0-6V非平衡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输出静噪：≤3mV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频率响应：20Hz-20KHz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信噪比：MIC 输入：50dB AUX输入：80dB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音调调节（低音）：±10dB @ 100Hz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音调调节（高音）：±10dB @ 10KHz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保护：AC FUSE×1A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工作电压：AC 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功率消耗：20W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产品尺寸（W×D×H）：484×347×49mm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重量：4.34kg</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535C7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579FC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D9A0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14B3E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5B59E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广播音柱</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6AA3BF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优质户外防水音柱音色极佳。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采用铝镁合金制作的外壳，可抵挡日晒、风吹、雨淋。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适用于室内外各种环境之中，如：公共场所、超级市场、学校、车站等。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功率：120W（额定）/160W（峰值）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输入：100V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阻抗：85Ω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灵敏度：92dB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频率响应：50Hz-18KHz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喇叭单元：5.25"×4 3"×1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防护等级：IPX6防水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产品尺寸（W×D×H）：165×140×750mm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重量：7.66kg</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73FD5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33B53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6287A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5BCA9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43279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广播音柱</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495EA2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室内外铝制结构，防水防锈，坚固耐用，可抵挡日晒、风吹、雨淋。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适用于室内外各种环境之中，如：公共场所、超级市场、学校、车站等。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额定功率：40W（额定）/45W（峰值）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输入：100V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阻抗：250Ω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灵敏度：92dB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频率响应：150Hz-16KHz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喇叭单元：4"×4 2.5"×1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防护等级：IPX6防水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产品尺寸（W*D*H）：155mm*133*680mm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重量：5.19kg</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512AA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0E3EF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527BD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41E3F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7A47E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纯后级功放(含定压功放控制软件V1.0)</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2C6CE6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1U机柜式设计，双层双色双拼面板，彰显立体美感；前面板采用隐藏式条形出气口及弧形进风口设计，设备散热均匀，有效延长使用寿命； 电源开关采用防触碰设计，安全省心。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设有4路音源输入接口，2路标准线路输入接口，1路标准话筒输入接口，1路紧急火警话筒输入接口，火警输入具有最高优先级。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线路输入与话筒输入均具有独立音量旋钮调节音量大小。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设有1路音源输出接口，可环接至下一台功放音频输入接口。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设有6个指示灯，3个电平指示灯，1个保护指示灯，1个失真指示灯，1个电源指示灯，可实时显示设备工作状态，直观方便。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设有70V、100V定压输出，4-16Ω定阻输出接口，可用于外接定压或定阻扬声器。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内置D类功率放大电路，损耗小，放大效率高。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采用高集成度数字芯片替代传统变压器，高数字化电路集成，绿色稳定，体积小巧轻便。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支持线路安全工作区保护，保证输出负载在短路、过载等任何恶劣环境下安全工作。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支持温度保护，当机器温度过高时，可自动进入保护状态。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支持负反馈保护，当峰值信号出现失真、冲击、或线电压严重过压时，能有效地对功放进行保护。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设有高频渲染电路，可对线间变压器所造成的高频进行渲染调音，高频信号纤细亮丽。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设有高倍频程低音切除电路，在不损失音质的情况下去除有安全隐患的超低频成份，保证升压系统安全工作。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额定功率：1500W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输出方式：70V，100V，4-16Ω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输入灵敏度/阻抗：MIC:25mV/600Ω，不平衡TRS端子输入；AUX:350mV/10KΩ，不平衡RCA端子输入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输出灵敏度/阻抗：1000mV/470Ω，不平衡RCA端子输入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过载源电动势：MIC:＞12dB，不平衡TRS端子输入；AUX:＞20dB，不平衡RCA端子输入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频率响应：50-16KHz（+1dB，-3dB）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信噪比：MIC:66dB；AUX:80dB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总谐波失真：1KHz时0.5%，1/3输出功率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默音功能：ALARM优先其他通道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通道串音衰减：≤50dB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散热：由前往后强制风冷，散热器温度55度时启动内置风扇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保护：过热，过载&amp;短路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电源：AC 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产品尺寸（W×D×H）：483×337×49mm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重量：5.7kg</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63A40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59168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7235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47411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40B95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数字定压功放(含定压功放控制软件V1.0)</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40CB0A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1U机柜式设计，双层双色双拼面板，彰显立体美感；前面板采用隐藏式条形出气口及弧形进风口设计，设备散热均匀，有效延长使用寿命； 电源开关采用防触碰设计，安全省心。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设有4路音源输入接口，2路标准线路输入接口，1路标准话筒输入接口，1路紧急火警话筒输入接口，火警输入具有最高优先级。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线路输入与话筒输入均具有独立音量旋钮调节音量大小。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设有1路音源输出接口，可环接至下一台功放音频输入接口。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设有6个指示灯，3个电平指示灯，1个保护指示灯，1个失真指示灯，1个电源指示灯，可实时显示设备工作状态，直观方便。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设有70V、100V定压输出，4-16Ω定阻输出接口，可用于外接定压或定阻扬声器。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内置D类功率放大电路，损耗小，放大效率高。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采用高集成度数字芯片替代传统变压器，高数字化电路集成，绿色稳定，体积小巧轻便。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支持线路安全工作区保护，保证输出负载在短路、过载等任何恶劣环境下安全工作。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支持温度保护，当机器温度过高时，可自动进入保护状态。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支持负反馈保护，当峰值信号出现失真、冲击、或线电压严重过压时，能有效地对功放进行保护。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设有高频渲染电路，可对线间变压器所造成的高频进行渲染调音，高频信号纤细亮丽。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设有高倍频程低音切除电路，在不损失音质的情况下去除有安全隐患的超低频成份，保证升压系统安全工作。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额定功率：240W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输出方式：70V，100V，4-16Ω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输入灵敏度/阻抗：MIC:25mV/600Ω，不平衡TRS端子输入；AUX:350mV/10KΩ，不平衡RCA端子输入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输出灵敏度/阻抗：1000mV/470Ω，不平衡RCA端子输入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过载源电动势：MIC:＞12dB，不平衡TRS端子输入；AUX:＞20dB，不平衡RCA端子输入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频率响应：50-16KHz（+1dB，-3dB）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信噪比：MIC:66dB；AUX1:80dB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总谐波失真：1KHz时0.5%，1/3输出功率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默音功能：MIC优先其他通道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通道串音衰减：≤50dB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散热：由前往后强制风冷，散热器温度55度时启动内置风扇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保护：过热，过载&amp;短路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电源：AC 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最大消耗功率：360W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产品尺寸（W×D×H）：483×317×45mm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重量：3.56kg</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02838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05112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57AA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1F664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24706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无线话筒(含无线话筒控制软件V1.0)</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65CA08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LED液晶显示可同时显示RF/AF信号强度，自动选讯，可设定频道/频率。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采用窄带滤波器，可有效减小外界信号干扰。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全新独特ID编码功能，对解决周围环境或是多套使用的干扰都非常有效。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天线分集，接收距离无阻隔理想状态下160米。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天线座带DC9V供电，可直接接放大天线使用，也可接天线放大器主机使用。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接收机有7档SQ，可调节接收机灵敏度，可适配更多环境；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发射器表面高温烤漆工艺技术，能在各种恶劣的使用环境下保持表面的美观。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发射器圆弧边缘设计，符合人体工程学，相比普通产品的菱角边缘，更易于单手持握。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还原性好，声音清晰，适用于企事业单位，各大中小会议室。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接收机参数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频道组数： 双频道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装配方式： 固定式接收模组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面板显示： LCD液晶显示可同时显示RF/AF信号强度,自动选讯,可设定频道/频率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振荡模式： PLL相位锁定频率合成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射频稳定度： ±0.005%(-5~50°C)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载波频段： UHF：640.125MHz -690.000MHz；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频带宽度： 50MHz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频率间隔：125KHz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可切换频率数： 400组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操作方式： 手动调整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接收方式： 双调谐器自动选讯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 在偏移度等于40KHz,输入6dBμ V时，S/N&gt;80dB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最大偏移度： ±68KHz具有音量扩展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综合S/N比： ±105dB(1KHz-A)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综合失真度： &lt;0.5% @ 1KHz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综合频率响应： 50Hz-18KHz±3dB具低频衰减滤频电路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最大输出电压： 平衡式MIC-LEVEL-0dBV/600Ω,非平衡式0dBV/600Ω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输出插座： XLR平衡式插座独立输出及Φ6.3不平衡式插座混合输出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音量输出调整： 输出电平可随意调整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静音控制模式： 独立“音码及杂讯锁定”双重静音控制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DC电源供应： 0.5A  12-15VDC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 426*185*50mm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话筒参数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振荡模式： PLL相位锁定频率合成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载波频率： UHF频段（640.125~690.000 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频带宽度： 50 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可调频率：400组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输出功率： 30MW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射频稳定性： ±0.005%（-5~50℃）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最大偏移： ±70KHz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拾音头： 电容式/动圈式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 2节AA电池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电池寿命： 约8小时</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68B00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00A29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8396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38E29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1CA3F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天线分配器系统</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41A1A1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具有放大功能的UHF天线分配系统，通过将一对天线拆分给无线接收机来扩展无线话筒系统的功能。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一台分配器主机能为4台双天线的接收机提供信号，或能为2台四天线的接收机提供信号。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具有级联端口能够连接到第五个接收机或第二台分配器。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具有4组能够输出为无线接收机UHF系统供电的电源接口。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天线使用对数周期偶极子阵列提供增强的接收能力。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低噪信号放大补偿同轴电缆插入损耗。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两点增益选择开关，可选择3或10分贝增益。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配套定向天线板配合带有螺纹的集成式支架，可轻松固定在话筒支架上，也可将其悬挂在天花板或墙壁上。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兼容任何品牌UHF真分集和天线分集无线接收系统。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在户外使用不受天气影响。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频率范围：450~972MHz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噪声指数：&lt;2dB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系统阻抗：50Ω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天线输入接口：AB通道/12V150mA/BNC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信号输出接口：AB通道共8个/BNC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射频级联接口：AB通道/BNC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直流电源输出：12V/1A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主机供电：12V/5A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产品尺寸（W*D*H）：484*210*44mm</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3B7C1F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5A1EB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130A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500" w:hRule="atLeast"/>
        </w:trPr>
        <w:tc>
          <w:tcPr>
            <w:tcW w:w="11517" w:type="dxa"/>
            <w:gridSpan w:val="8"/>
            <w:tcBorders>
              <w:top w:val="single" w:color="000000" w:sz="4" w:space="0"/>
              <w:left w:val="single" w:color="000000" w:sz="4" w:space="0"/>
              <w:bottom w:val="single" w:color="000000" w:sz="4" w:space="0"/>
              <w:right w:val="single" w:color="000000" w:sz="4" w:space="0"/>
            </w:tcBorders>
            <w:noWrap/>
            <w:vAlign w:val="center"/>
          </w:tcPr>
          <w:p w14:paraId="6EBC8C56">
            <w:pPr>
              <w:keepNext w:val="0"/>
              <w:keepLines w:val="0"/>
              <w:widowControl/>
              <w:suppressLineNumbers w:val="0"/>
              <w:jc w:val="center"/>
              <w:textAlignment w:val="center"/>
              <w:rPr>
                <w:rFonts w:hint="default" w:ascii="Arial" w:hAnsi="Arial" w:eastAsia="宋体"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辅材</w:t>
            </w:r>
          </w:p>
        </w:tc>
      </w:tr>
      <w:tr w14:paraId="01329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2F34D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26355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机房设备机柜</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7898CB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42U机柜，600*800*2055mm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8口PDU国标电源插排×1，固定板部件×3,风扇×4,2"重型脚轮×4，M12支脚×4，M6方螺母螺钉×40，内六角扳手×1</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4E045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5E189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7667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4EB4E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65D4A2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前端挂墙机柜</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00E902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9U挂墙机柜黑色，600*600*501mm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M6方螺母钉10套，内六角扳手1只，钥匙两把</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53332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2C63B2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r>
      <w:tr w14:paraId="0AF00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02B230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58C6C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音频线</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2830F6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1.8米音频连接线：3.5转双莲花公延长线</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519D8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23396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r>
      <w:tr w14:paraId="1E599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71E81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220A7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音频线</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1D88BF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1.8米音频连接线：莲花头公对公延长线</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3797C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57F58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r>
      <w:tr w14:paraId="0883B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792BB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636E2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音频线</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11CDDD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1.8米音频连接线：6.35公对公延长线</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378F2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0C04AC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r>
      <w:tr w14:paraId="70EF0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5F4E8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1C37E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天线同轴电缆</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2FE157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25米长度射频同轴标准成品线</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254BD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5572B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r>
      <w:tr w14:paraId="180C8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6BF72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0D7D0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467484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16口全千兆非网管企业级交换机</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44BA0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24B2B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r>
      <w:tr w14:paraId="61F69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297E67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6A86B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墙壁电源插座面板</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65AEEF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2插+3插，提供参考，需另购买</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3A650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07E91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7D8B8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162E0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0A310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室外音柱立杆</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79C86C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提供参考，需另购买</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196CC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2EBA9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401CF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75DEB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38D1A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电缆线</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4ACD86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带屏蔽国标电源线/通信控制线RVVP3*1.5平方，100米/卷</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7713F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44A14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r>
      <w:tr w14:paraId="1CF5E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3D71D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3F1E0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43D35F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超五类网线，200米/卷</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5F3EC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34475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r>
      <w:tr w14:paraId="6F7A2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79B64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43530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水晶头</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10BC98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超五类水晶头，100个/盒</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236E6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68D89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r w14:paraId="67572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5C364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53AAF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电缆线</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420882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带屏蔽国标电源线/通信控制线RVVP2*1.5平方，100米/卷</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77792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080CE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r>
      <w:tr w14:paraId="5C820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1CCD0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08" w:type="dxa"/>
            <w:gridSpan w:val="2"/>
            <w:tcBorders>
              <w:top w:val="single" w:color="000000" w:sz="4" w:space="0"/>
              <w:left w:val="single" w:color="000000" w:sz="4" w:space="0"/>
              <w:bottom w:val="single" w:color="000000" w:sz="4" w:space="0"/>
              <w:right w:val="single" w:color="000000" w:sz="4" w:space="0"/>
            </w:tcBorders>
            <w:noWrap w:val="0"/>
            <w:vAlign w:val="center"/>
          </w:tcPr>
          <w:p w14:paraId="0086B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电缆线</w:t>
            </w:r>
          </w:p>
        </w:tc>
        <w:tc>
          <w:tcPr>
            <w:tcW w:w="7954" w:type="dxa"/>
            <w:tcBorders>
              <w:top w:val="single" w:color="000000" w:sz="4" w:space="0"/>
              <w:left w:val="single" w:color="000000" w:sz="4" w:space="0"/>
              <w:bottom w:val="single" w:color="000000" w:sz="4" w:space="0"/>
              <w:right w:val="single" w:color="000000" w:sz="4" w:space="0"/>
            </w:tcBorders>
            <w:noWrap w:val="0"/>
            <w:vAlign w:val="center"/>
          </w:tcPr>
          <w:p w14:paraId="3733A8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带屏蔽国标电源线/通信控制线RVVP2*2.5平方，100米/卷</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78099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single" w:color="000000" w:sz="4" w:space="0"/>
              <w:right w:val="single" w:color="000000" w:sz="4" w:space="0"/>
            </w:tcBorders>
            <w:noWrap w:val="0"/>
            <w:vAlign w:val="center"/>
          </w:tcPr>
          <w:p w14:paraId="5F0D3B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r>
      <w:tr w14:paraId="1E328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single" w:color="000000" w:sz="4" w:space="0"/>
              <w:left w:val="single" w:color="000000" w:sz="4" w:space="0"/>
              <w:bottom w:val="nil"/>
              <w:right w:val="single" w:color="000000" w:sz="4" w:space="0"/>
            </w:tcBorders>
            <w:noWrap w:val="0"/>
            <w:vAlign w:val="center"/>
          </w:tcPr>
          <w:p w14:paraId="58BF4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08" w:type="dxa"/>
            <w:gridSpan w:val="2"/>
            <w:tcBorders>
              <w:top w:val="single" w:color="000000" w:sz="4" w:space="0"/>
              <w:left w:val="single" w:color="000000" w:sz="4" w:space="0"/>
              <w:bottom w:val="nil"/>
              <w:right w:val="single" w:color="000000" w:sz="4" w:space="0"/>
            </w:tcBorders>
            <w:noWrap w:val="0"/>
            <w:vAlign w:val="center"/>
          </w:tcPr>
          <w:p w14:paraId="762AE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PVC管/镀锌管</w:t>
            </w:r>
          </w:p>
        </w:tc>
        <w:tc>
          <w:tcPr>
            <w:tcW w:w="7954" w:type="dxa"/>
            <w:tcBorders>
              <w:top w:val="single" w:color="000000" w:sz="4" w:space="0"/>
              <w:left w:val="single" w:color="000000" w:sz="4" w:space="0"/>
              <w:bottom w:val="nil"/>
              <w:right w:val="single" w:color="000000" w:sz="4" w:space="0"/>
            </w:tcBorders>
            <w:noWrap w:val="0"/>
            <w:vAlign w:val="center"/>
          </w:tcPr>
          <w:p w14:paraId="4C3A9A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实地测量为准，提供参考，按需购买</w:t>
            </w:r>
          </w:p>
        </w:tc>
        <w:tc>
          <w:tcPr>
            <w:tcW w:w="668" w:type="dxa"/>
            <w:tcBorders>
              <w:top w:val="single" w:color="000000" w:sz="4" w:space="0"/>
              <w:left w:val="single" w:color="000000" w:sz="4" w:space="0"/>
              <w:bottom w:val="nil"/>
              <w:right w:val="single" w:color="000000" w:sz="4" w:space="0"/>
            </w:tcBorders>
            <w:noWrap w:val="0"/>
            <w:vAlign w:val="center"/>
          </w:tcPr>
          <w:p w14:paraId="7278F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2" w:type="dxa"/>
            <w:gridSpan w:val="2"/>
            <w:tcBorders>
              <w:top w:val="single" w:color="000000" w:sz="4" w:space="0"/>
              <w:left w:val="single" w:color="000000" w:sz="4" w:space="0"/>
              <w:bottom w:val="nil"/>
              <w:right w:val="single" w:color="000000" w:sz="4" w:space="0"/>
            </w:tcBorders>
            <w:noWrap w:val="0"/>
            <w:vAlign w:val="center"/>
          </w:tcPr>
          <w:p w14:paraId="02FEA3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r>
      <w:tr w14:paraId="34232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4" w:type="dxa"/>
          <w:trHeight w:val="700" w:hRule="atLeast"/>
        </w:trPr>
        <w:tc>
          <w:tcPr>
            <w:tcW w:w="975" w:type="dxa"/>
            <w:gridSpan w:val="2"/>
            <w:tcBorders>
              <w:top w:val="nil"/>
              <w:left w:val="nil"/>
              <w:bottom w:val="nil"/>
              <w:right w:val="single" w:color="000000" w:sz="4" w:space="0"/>
            </w:tcBorders>
            <w:noWrap w:val="0"/>
            <w:vAlign w:val="center"/>
          </w:tcPr>
          <w:p w14:paraId="46C4A9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61C3E3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8" w:type="dxa"/>
            <w:gridSpan w:val="2"/>
            <w:tcBorders>
              <w:top w:val="nil"/>
              <w:left w:val="single" w:color="000000" w:sz="4" w:space="0"/>
              <w:bottom w:val="nil"/>
              <w:right w:val="single" w:color="000000" w:sz="4" w:space="0"/>
            </w:tcBorders>
            <w:noWrap w:val="0"/>
            <w:vAlign w:val="center"/>
          </w:tcPr>
          <w:p w14:paraId="46E48F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954" w:type="dxa"/>
            <w:tcBorders>
              <w:top w:val="nil"/>
              <w:left w:val="single" w:color="000000" w:sz="4" w:space="0"/>
              <w:bottom w:val="nil"/>
              <w:right w:val="single" w:color="000000" w:sz="4" w:space="0"/>
            </w:tcBorders>
            <w:noWrap w:val="0"/>
            <w:vAlign w:val="center"/>
          </w:tcPr>
          <w:p w14:paraId="3D7F7A2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668" w:type="dxa"/>
            <w:tcBorders>
              <w:top w:val="nil"/>
              <w:left w:val="single" w:color="000000" w:sz="4" w:space="0"/>
              <w:bottom w:val="nil"/>
              <w:right w:val="single" w:color="000000" w:sz="4" w:space="0"/>
            </w:tcBorders>
            <w:noWrap w:val="0"/>
            <w:vAlign w:val="center"/>
          </w:tcPr>
          <w:p w14:paraId="09FF03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12" w:type="dxa"/>
            <w:gridSpan w:val="2"/>
            <w:tcBorders>
              <w:top w:val="nil"/>
              <w:left w:val="single" w:color="000000" w:sz="4" w:space="0"/>
              <w:bottom w:val="nil"/>
              <w:right w:val="nil"/>
            </w:tcBorders>
            <w:noWrap w:val="0"/>
            <w:vAlign w:val="center"/>
          </w:tcPr>
          <w:p w14:paraId="6E39D7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31F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2066" w:type="dxa"/>
            <w:gridSpan w:val="9"/>
            <w:tcBorders>
              <w:top w:val="nil"/>
              <w:left w:val="nil"/>
              <w:bottom w:val="single" w:color="000000" w:sz="4" w:space="0"/>
              <w:right w:val="nil"/>
            </w:tcBorders>
            <w:noWrap/>
            <w:vAlign w:val="center"/>
          </w:tcPr>
          <w:p w14:paraId="373F0A4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计算机教室设备方案</w:t>
            </w:r>
          </w:p>
        </w:tc>
        <w:tc>
          <w:tcPr>
            <w:tcW w:w="815" w:type="dxa"/>
            <w:tcBorders>
              <w:top w:val="nil"/>
              <w:left w:val="nil"/>
              <w:bottom w:val="nil"/>
              <w:right w:val="nil"/>
            </w:tcBorders>
            <w:noWrap/>
            <w:vAlign w:val="center"/>
          </w:tcPr>
          <w:p w14:paraId="74EEB81A">
            <w:pPr>
              <w:rPr>
                <w:rFonts w:hint="eastAsia" w:ascii="宋体" w:hAnsi="宋体" w:eastAsia="宋体" w:cs="宋体"/>
                <w:i w:val="0"/>
                <w:iCs w:val="0"/>
                <w:color w:val="000000"/>
                <w:sz w:val="22"/>
                <w:szCs w:val="22"/>
                <w:u w:val="none"/>
              </w:rPr>
            </w:pPr>
          </w:p>
        </w:tc>
      </w:tr>
      <w:tr w14:paraId="18BD3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33" w:type="dxa"/>
            <w:tcBorders>
              <w:top w:val="single" w:color="000000" w:sz="4" w:space="0"/>
              <w:left w:val="single" w:color="000000" w:sz="4" w:space="0"/>
              <w:bottom w:val="single" w:color="000000" w:sz="4" w:space="0"/>
              <w:right w:val="single" w:color="000000" w:sz="4" w:space="0"/>
            </w:tcBorders>
            <w:noWrap/>
            <w:vAlign w:val="center"/>
          </w:tcPr>
          <w:p w14:paraId="125B0C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71" w:type="dxa"/>
            <w:gridSpan w:val="2"/>
            <w:tcBorders>
              <w:top w:val="single" w:color="000000" w:sz="4" w:space="0"/>
              <w:left w:val="single" w:color="000000" w:sz="4" w:space="0"/>
              <w:bottom w:val="single" w:color="000000" w:sz="4" w:space="0"/>
              <w:right w:val="single" w:color="000000" w:sz="4" w:space="0"/>
            </w:tcBorders>
            <w:noWrap/>
            <w:vAlign w:val="center"/>
          </w:tcPr>
          <w:p w14:paraId="6A7796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9986" w:type="dxa"/>
            <w:gridSpan w:val="4"/>
            <w:tcBorders>
              <w:top w:val="single" w:color="000000" w:sz="4" w:space="0"/>
              <w:left w:val="single" w:color="000000" w:sz="4" w:space="0"/>
              <w:bottom w:val="single" w:color="000000" w:sz="4" w:space="0"/>
              <w:right w:val="single" w:color="000000" w:sz="4" w:space="0"/>
            </w:tcBorders>
            <w:noWrap/>
            <w:vAlign w:val="center"/>
          </w:tcPr>
          <w:p w14:paraId="7EF325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规格型号及技术参数</w:t>
            </w:r>
          </w:p>
        </w:tc>
        <w:tc>
          <w:tcPr>
            <w:tcW w:w="876" w:type="dxa"/>
            <w:gridSpan w:val="2"/>
            <w:tcBorders>
              <w:top w:val="single" w:color="000000" w:sz="4" w:space="0"/>
              <w:left w:val="single" w:color="000000" w:sz="4" w:space="0"/>
              <w:bottom w:val="single" w:color="000000" w:sz="4" w:space="0"/>
              <w:right w:val="single" w:color="000000" w:sz="4" w:space="0"/>
            </w:tcBorders>
            <w:noWrap/>
            <w:vAlign w:val="center"/>
          </w:tcPr>
          <w:p w14:paraId="4A4B68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0216B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050CE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433" w:type="dxa"/>
            <w:tcBorders>
              <w:top w:val="single" w:color="000000" w:sz="4" w:space="0"/>
              <w:left w:val="single" w:color="000000" w:sz="4" w:space="0"/>
              <w:bottom w:val="single" w:color="000000" w:sz="4" w:space="0"/>
              <w:right w:val="single" w:color="000000" w:sz="4" w:space="0"/>
            </w:tcBorders>
            <w:noWrap/>
            <w:vAlign w:val="center"/>
          </w:tcPr>
          <w:p w14:paraId="0EA60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dxa"/>
            <w:gridSpan w:val="2"/>
            <w:tcBorders>
              <w:top w:val="single" w:color="000000" w:sz="4" w:space="0"/>
              <w:left w:val="single" w:color="000000" w:sz="4" w:space="0"/>
              <w:bottom w:val="single" w:color="000000" w:sz="4" w:space="0"/>
              <w:right w:val="single" w:color="000000" w:sz="4" w:space="0"/>
            </w:tcBorders>
            <w:noWrap w:val="0"/>
            <w:vAlign w:val="center"/>
          </w:tcPr>
          <w:p w14:paraId="7937E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学生机/电脑</w:t>
            </w:r>
          </w:p>
        </w:tc>
        <w:tc>
          <w:tcPr>
            <w:tcW w:w="9986" w:type="dxa"/>
            <w:gridSpan w:val="4"/>
            <w:tcBorders>
              <w:top w:val="single" w:color="000000" w:sz="4" w:space="0"/>
              <w:left w:val="single" w:color="000000" w:sz="4" w:space="0"/>
              <w:bottom w:val="single" w:color="000000" w:sz="4" w:space="0"/>
              <w:right w:val="single" w:color="000000" w:sz="4" w:space="0"/>
            </w:tcBorders>
            <w:noWrap w:val="0"/>
            <w:vAlign w:val="center"/>
          </w:tcPr>
          <w:p w14:paraId="527EFB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1.CPU：主频≥2.7GHz 、≥8核处理器8线程，二级缓存≥8MB。</w:t>
            </w:r>
          </w:p>
          <w:p w14:paraId="2A6BA50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2.主板：ZX200芯片组或以上。</w:t>
            </w:r>
          </w:p>
          <w:p w14:paraId="20209A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3.内存：8GB DDR4 2666MT/s </w:t>
            </w:r>
          </w:p>
          <w:p w14:paraId="0C1F6E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4.硬盘：≥256GB M.2 NVMe SSD硬盘</w:t>
            </w:r>
          </w:p>
          <w:p w14:paraId="05F924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5.支持拓展9.5mm标准光驱。</w:t>
            </w:r>
          </w:p>
          <w:p w14:paraId="571BBC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6.支持1000Mbps。网口支持wake on LAN。</w:t>
            </w:r>
          </w:p>
          <w:p w14:paraId="78EC16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7.集成标准声卡。</w:t>
            </w:r>
          </w:p>
          <w:p w14:paraId="26B889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8.USB有线键盘、鼠标。</w:t>
            </w:r>
          </w:p>
          <w:p w14:paraId="202C3E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9.前置面板：USB3.0≥3个；TypeC≥1个；音频接口≥1个（支持耳机麦克风二合一）</w:t>
            </w:r>
          </w:p>
          <w:p w14:paraId="32A3CF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2"/>
                <w:szCs w:val="22"/>
                <w:u w:val="none"/>
                <w:lang w:val="en-US" w:eastAsia="zh-CN" w:bidi="ar"/>
              </w:rPr>
              <w:t>支持物理网络开关按键。</w:t>
            </w:r>
          </w:p>
          <w:p w14:paraId="5EED6C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2"/>
                <w:szCs w:val="22"/>
                <w:u w:val="none"/>
                <w:lang w:val="en-US" w:eastAsia="zh-CN" w:bidi="ar"/>
              </w:rPr>
              <w:t>关机状态下，支持≥3前置USB端口对外供电。</w:t>
            </w:r>
          </w:p>
          <w:p w14:paraId="04950E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12.后置面板：USB3.0≥4个；HDMI输出≥1个；VGA输出≥1个；音频输入≥2个；音频输出≥1个；RJ45≥1个；PS/2≥2个；串口≥1个。</w:t>
            </w:r>
          </w:p>
          <w:p w14:paraId="5462B6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13.独立显卡：JM7201-2G：≥2G独立显卡；VGA≥1个；HDMI≥1个</w:t>
            </w:r>
          </w:p>
          <w:p w14:paraId="72F9D8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14.内部插槽：PCIEX16≥1个（支持拓展独立显卡）；PCIEX8≥2个；M.2≥2个；SATA≥4个。</w:t>
            </w:r>
          </w:p>
          <w:p w14:paraId="53D4E8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15.机箱体积：≤8L。</w:t>
            </w:r>
          </w:p>
          <w:p w14:paraId="7A2488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16.电源功率：≤200W。</w:t>
            </w:r>
          </w:p>
        </w:tc>
        <w:tc>
          <w:tcPr>
            <w:tcW w:w="876" w:type="dxa"/>
            <w:gridSpan w:val="2"/>
            <w:tcBorders>
              <w:top w:val="single" w:color="000000" w:sz="4" w:space="0"/>
              <w:left w:val="single" w:color="000000" w:sz="4" w:space="0"/>
              <w:bottom w:val="single" w:color="000000" w:sz="4" w:space="0"/>
              <w:right w:val="single" w:color="000000" w:sz="4" w:space="0"/>
            </w:tcBorders>
            <w:noWrap w:val="0"/>
            <w:vAlign w:val="center"/>
          </w:tcPr>
          <w:p w14:paraId="2F81B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4C2E3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09B4A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433" w:type="dxa"/>
            <w:tcBorders>
              <w:top w:val="single" w:color="000000" w:sz="4" w:space="0"/>
              <w:left w:val="single" w:color="000000" w:sz="4" w:space="0"/>
              <w:bottom w:val="single" w:color="000000" w:sz="4" w:space="0"/>
              <w:right w:val="single" w:color="000000" w:sz="4" w:space="0"/>
            </w:tcBorders>
            <w:noWrap/>
            <w:vAlign w:val="center"/>
          </w:tcPr>
          <w:p w14:paraId="507F4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1" w:type="dxa"/>
            <w:gridSpan w:val="2"/>
            <w:tcBorders>
              <w:top w:val="single" w:color="000000" w:sz="4" w:space="0"/>
              <w:left w:val="single" w:color="000000" w:sz="4" w:space="0"/>
              <w:bottom w:val="single" w:color="000000" w:sz="4" w:space="0"/>
              <w:right w:val="single" w:color="000000" w:sz="4" w:space="0"/>
            </w:tcBorders>
            <w:noWrap w:val="0"/>
            <w:vAlign w:val="center"/>
          </w:tcPr>
          <w:p w14:paraId="210D4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教师机/电脑</w:t>
            </w:r>
          </w:p>
        </w:tc>
        <w:tc>
          <w:tcPr>
            <w:tcW w:w="9986" w:type="dxa"/>
            <w:gridSpan w:val="4"/>
            <w:tcBorders>
              <w:top w:val="single" w:color="000000" w:sz="4" w:space="0"/>
              <w:left w:val="single" w:color="000000" w:sz="4" w:space="0"/>
              <w:bottom w:val="single" w:color="000000" w:sz="4" w:space="0"/>
              <w:right w:val="single" w:color="000000" w:sz="4" w:space="0"/>
            </w:tcBorders>
            <w:noWrap w:val="0"/>
            <w:vAlign w:val="center"/>
          </w:tcPr>
          <w:p w14:paraId="427C9C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1.CPU：主频≥2.7GHz 、≥8核处理器8线程，二级缓存≥8MB。</w:t>
            </w:r>
          </w:p>
          <w:p w14:paraId="37F05A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2.主板：ZX200芯片组或以上。</w:t>
            </w:r>
          </w:p>
          <w:p w14:paraId="577548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3.内存：8GB DDR4 2666MT/s </w:t>
            </w:r>
          </w:p>
          <w:p w14:paraId="16C89CA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4.硬盘：≥256GB M.2 NVMe SSD硬盘</w:t>
            </w:r>
          </w:p>
          <w:p w14:paraId="7DE04A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5.支持拓展9.5mm标准光驱。</w:t>
            </w:r>
          </w:p>
          <w:p w14:paraId="553967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6.支持1000Mbps。网口支持wake on LAN。</w:t>
            </w:r>
          </w:p>
          <w:p w14:paraId="11749A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7.集成标准声卡。</w:t>
            </w:r>
          </w:p>
          <w:p w14:paraId="409A10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8.USB有线键盘、鼠标。</w:t>
            </w:r>
          </w:p>
          <w:p w14:paraId="1CA3FB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9.前置面板：USB3.0≥3个；TypeC≥1个；音频接口≥1个（支持耳机麦克风二合一）</w:t>
            </w:r>
          </w:p>
          <w:p w14:paraId="6E2C1E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2"/>
                <w:szCs w:val="22"/>
                <w:u w:val="none"/>
                <w:lang w:val="en-US" w:eastAsia="zh-CN" w:bidi="ar"/>
              </w:rPr>
              <w:t>支持物理网络开关按键。</w:t>
            </w:r>
          </w:p>
          <w:p w14:paraId="4C5042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2"/>
                <w:szCs w:val="22"/>
                <w:u w:val="none"/>
                <w:lang w:val="en-US" w:eastAsia="zh-CN" w:bidi="ar"/>
              </w:rPr>
              <w:t>关机状态下，支持≥3前置USB端口对外供电。</w:t>
            </w:r>
          </w:p>
          <w:p w14:paraId="789DEF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12.后置面板：USB3.0≥4个；HDMI输出≥1个；VGA输出≥1个；音频输入≥2个；音频输出≥1个；RJ45≥1个；PS/2≥2个；串口≥1个。</w:t>
            </w:r>
          </w:p>
          <w:p w14:paraId="41C3CF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13.独立显卡：JM7201-2G：≥2G独立显卡；VGA≥1个；HDMI≥1个</w:t>
            </w:r>
          </w:p>
          <w:p w14:paraId="2E7F2D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14.内部插槽：PCIEX16≥1个（支持拓展独立显卡）；PCIEX8≥2个；M.2≥2个；SATA≥4个。</w:t>
            </w:r>
          </w:p>
          <w:p w14:paraId="3A9DF6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15.机箱体积：≤8L。</w:t>
            </w:r>
          </w:p>
          <w:p w14:paraId="640611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16.电源功率：≤200W。</w:t>
            </w:r>
          </w:p>
        </w:tc>
        <w:tc>
          <w:tcPr>
            <w:tcW w:w="876" w:type="dxa"/>
            <w:gridSpan w:val="2"/>
            <w:tcBorders>
              <w:top w:val="single" w:color="000000" w:sz="4" w:space="0"/>
              <w:left w:val="single" w:color="000000" w:sz="4" w:space="0"/>
              <w:bottom w:val="single" w:color="000000" w:sz="4" w:space="0"/>
              <w:right w:val="single" w:color="000000" w:sz="4" w:space="0"/>
            </w:tcBorders>
            <w:noWrap w:val="0"/>
            <w:vAlign w:val="center"/>
          </w:tcPr>
          <w:p w14:paraId="09727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5CD57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5CF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0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EF8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企业级路由</w:t>
            </w:r>
          </w:p>
        </w:tc>
        <w:tc>
          <w:tcPr>
            <w:tcW w:w="9986"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13DE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机架式10口全千兆路由器UR708,固化2个千兆电口,内置电源,推荐带终端数50台,推荐带宽1Gbps,内置AC功能,支持管理AP数20;、应用阻断,支持Uweb、云平台与小贝APP管理</w:t>
            </w:r>
          </w:p>
        </w:tc>
        <w:tc>
          <w:tcPr>
            <w:tcW w:w="876" w:type="dxa"/>
            <w:gridSpan w:val="2"/>
            <w:tcBorders>
              <w:top w:val="single" w:color="000000" w:sz="4" w:space="0"/>
              <w:left w:val="single" w:color="000000" w:sz="4" w:space="0"/>
              <w:bottom w:val="single" w:color="000000" w:sz="4" w:space="0"/>
              <w:right w:val="single" w:color="000000" w:sz="4" w:space="0"/>
            </w:tcBorders>
            <w:noWrap w:val="0"/>
            <w:vAlign w:val="center"/>
          </w:tcPr>
          <w:p w14:paraId="367CC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6AB97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8F7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9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96C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9986"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B81C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三层网管交换机,交换容量78Gbps/5.8Tbps,包转发率18Mpps/22Mpps;48个10/10/100Mbps自适应电口,SFP千兆光口;云平台统一管理</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CF9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04010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13A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3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E81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9986"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8049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二层网管交换机,交换容量36Gbps,包转发率26Mpps;24个10/10/100Mbps自适应电口,4个SFP千兆光口;支持VLAN、ACL、端口镜像、端口聚合等功能,支持小贝APP和云平台统一管理</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0A6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21E40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405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3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46A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网络机柜</w:t>
            </w:r>
          </w:p>
        </w:tc>
        <w:tc>
          <w:tcPr>
            <w:tcW w:w="9986"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8C04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22U大机柜，高度不低于2000MM，宽度不低于600MM</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5F0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0C999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2E6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433" w:type="dxa"/>
            <w:tcBorders>
              <w:top w:val="single" w:color="000000" w:sz="4" w:space="0"/>
              <w:left w:val="single" w:color="000000" w:sz="4" w:space="0"/>
              <w:bottom w:val="single" w:color="000000" w:sz="4" w:space="0"/>
              <w:right w:val="single" w:color="000000" w:sz="4" w:space="0"/>
            </w:tcBorders>
            <w:noWrap/>
            <w:vAlign w:val="center"/>
          </w:tcPr>
          <w:p w14:paraId="2C068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1" w:type="dxa"/>
            <w:gridSpan w:val="2"/>
            <w:tcBorders>
              <w:top w:val="single" w:color="000000" w:sz="4" w:space="0"/>
              <w:left w:val="single" w:color="000000" w:sz="4" w:space="0"/>
              <w:bottom w:val="single" w:color="000000" w:sz="4" w:space="0"/>
              <w:right w:val="single" w:color="000000" w:sz="4" w:space="0"/>
            </w:tcBorders>
            <w:noWrap w:val="0"/>
            <w:vAlign w:val="center"/>
          </w:tcPr>
          <w:p w14:paraId="4ABBD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多媒体教学网软件</w:t>
            </w:r>
          </w:p>
        </w:tc>
        <w:tc>
          <w:tcPr>
            <w:tcW w:w="9986" w:type="dxa"/>
            <w:gridSpan w:val="4"/>
            <w:tcBorders>
              <w:top w:val="single" w:color="000000" w:sz="4" w:space="0"/>
              <w:left w:val="single" w:color="000000" w:sz="4" w:space="0"/>
              <w:bottom w:val="single" w:color="000000" w:sz="4" w:space="0"/>
              <w:right w:val="single" w:color="000000" w:sz="4" w:space="0"/>
            </w:tcBorders>
            <w:noWrap w:val="0"/>
            <w:vAlign w:val="center"/>
          </w:tcPr>
          <w:p w14:paraId="0EC1BA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1.登录方式多样性：支持账号/密码和手机微信扫码两种登录方式。</w:t>
            </w:r>
          </w:p>
          <w:p w14:paraId="229AB6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2.设备管理：可实现实时监控学生机画面、以及进行统一的教学管理，文件共享和回收。</w:t>
            </w:r>
          </w:p>
          <w:p w14:paraId="734C000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3.教师云空间：支持老师自定义上传、存储文件内容。</w:t>
            </w:r>
          </w:p>
          <w:p w14:paraId="2E94CB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支持上传的格式有：</w:t>
            </w:r>
          </w:p>
          <w:p w14:paraId="66B99F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文档：ppt、pptx、word、pdf;</w:t>
            </w:r>
          </w:p>
          <w:p w14:paraId="784325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图片：bmp、png、jpg、jpeg、gif;</w:t>
            </w:r>
          </w:p>
          <w:p w14:paraId="599746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音视频：mp3、wav、ogg、aac、mp4</w:t>
            </w:r>
          </w:p>
          <w:p w14:paraId="44BC46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4.教师广播：不需要借助任何外接设备，支持将教师机的画面以及声音广播给全班学生。</w:t>
            </w:r>
          </w:p>
          <w:p w14:paraId="51E3EB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5.教师广播批注：教师在屏幕广播状态下，提供授课小工具，包括提供可自由调整笔迹颜色及笔触粗细的画笔、黑板、橡皮擦、以及支持撤销和加页码，最多支持增加页数到10页。</w:t>
            </w:r>
          </w:p>
          <w:p w14:paraId="487D79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6.手写智能识别：在批注状态下，支持将手写的字体自动识别成标准字体。</w:t>
            </w:r>
          </w:p>
          <w:p w14:paraId="341CE0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7.学生演示：支持老师将指定学生的屏幕画面广播给其他所有学生，同时老师也能看到该指定学生的屏幕图像。</w:t>
            </w:r>
          </w:p>
          <w:p w14:paraId="21EFBD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8.下发课堂活动：在开启授课时支持教师发起不低于4种课堂活动，支持学生拖动答案进行作答，系统将自动判断是否正确。该功能为保证兼容性,通过一套应用实现，非多个软件组合实现。</w:t>
            </w:r>
          </w:p>
          <w:p w14:paraId="7E266AE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9.▲学生未进入课堂通知：支持在管理后台录入学生名单后，教师选择授课班级，学生在开课后输入个人姓名即可完成班级点名签到，当未签到人数低于6人时会自动显示未进入课堂的学生名单。</w:t>
            </w:r>
          </w:p>
          <w:p w14:paraId="2EB29A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10.切换课堂通知：当课堂通知大于或等于2条时，支持用户手动切换查看。</w:t>
            </w:r>
          </w:p>
          <w:p w14:paraId="57F3F2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11.教学白板课件同步：支持同步教学白板软件的课件内容，支持按照大小、更新时间进行排序，支持按照按照文件类型进行筛选。</w:t>
            </w:r>
          </w:p>
          <w:p w14:paraId="566337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12.文件上传：支持上传“本地文件”到终端应用软件的教师云空间。</w:t>
            </w:r>
          </w:p>
          <w:p w14:paraId="49331D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13.▲文件共享：支持教师把云空间的文件批量共享给指定的多个授课班级，资料被删除后文件仍可重新下载。支持教师把已共享的资料进行取消共享。</w:t>
            </w:r>
          </w:p>
          <w:p w14:paraId="63C13E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14.文件传输：显示上传和下载的文件历史记录。</w:t>
            </w:r>
          </w:p>
          <w:p w14:paraId="7C23BA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15.导入文件共享：支持教师直接把“我的文件”内容共享给班级学生。</w:t>
            </w:r>
          </w:p>
          <w:p w14:paraId="54784B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16.黑屏管控：教师可以选定学生执行黑屏操作。</w:t>
            </w:r>
          </w:p>
          <w:p w14:paraId="4A9FC4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17.离线自动黑屏：支持教师授课时开启离线黑屏。</w:t>
            </w:r>
          </w:p>
          <w:p w14:paraId="3AD37D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18.设备环境检测：开始授课后，若学生设备离线，支持自动在教师端显示离线的设备总量以及对应离线的设备IP</w:t>
            </w:r>
          </w:p>
          <w:p w14:paraId="2BCFFA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19.程序限制：通过设置应用程序白名单，可防止学生在教学过程中使用跟课程无关的应用程序。</w:t>
            </w:r>
          </w:p>
          <w:p w14:paraId="2CF383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20.自动获取学生端应用环境：开启授课后自动获取授课学生设备安装的应用环境，教师可以直接禁用学生设备的应用。</w:t>
            </w:r>
          </w:p>
          <w:p w14:paraId="69F6E7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21.违规使用记录：支持显示最近一节课的违规使用应用程序的名称、违规操作人、设备IP，以及支持教师禁用和取消禁用学生使用违规应用程序。</w:t>
            </w:r>
          </w:p>
          <w:p w14:paraId="21D7A4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22.一键禁用违规应用：支持教师对最近一节课违规使用的应用程序进行一键禁用。</w:t>
            </w:r>
          </w:p>
          <w:p w14:paraId="6D5C42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22.网页限制：支持设定学生访问网站的白名单信息，对学生可以访问的网址进行管理。</w:t>
            </w:r>
          </w:p>
          <w:p w14:paraId="62B5FC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23.应用防卸载：支持防止通过控制面板或使用第三方软件卸载学生端应用。</w:t>
            </w:r>
          </w:p>
          <w:p w14:paraId="354C7A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24.应用进程防杀：支持防止通过任务管理器或使用第三方软件结束学生端应用进程。</w:t>
            </w:r>
          </w:p>
          <w:p w14:paraId="3139D2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25.学生画面监看：教师机可以监视全体、单一学生机的实时画面。</w:t>
            </w:r>
          </w:p>
          <w:p w14:paraId="4148C2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36.学生名单管理：支持在管理后台导入、增加、删除、更改、查询班级学生名单，并同步到终端应用教学软件中。</w:t>
            </w:r>
          </w:p>
          <w:p w14:paraId="7B7752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教师名单管理：支持在管理后台导入、增加、删除、更改、查询教师名单。9、支持多个小组同时开展活动  可以将班级学生同时分多个小组，各组长可以同时对组内成员实现屏幕广播、远程监看、网络画板等不同操作，支持静态分组和动态临时分组。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10、具有动态频道多屏同步实时监看功能   支持64屏同屏监看，每个窗口都自动分配一个频道，效率高，实时性强；监看过程可直接对学生机进行控制。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11、具有在线考试功能   老师可以对学生进行课堂测验和试卷考试；支持对试题（类型、知识点、难度、格式、题干及答案）的创建、编辑、导入、导出管理；支持对试卷（内容、模式、出题方案、参数）的创建、编辑、导入、导出管理；支持发放试卷、开始考试、允许交卷、结束考试、阅卷评分等考试控制管理；支持脱机阅卷、评分、统计功能；支持考试时的语音、及时消息、媒体播放、举手请求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12、具有视频直播功能  教师端可以将摄像头等外设采集的内容，通过系统自动采集、压缩、传输，向单个、部分、全部学生机直播，支持结合声音直播，支持录制。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13、具有录播教学功能   可以将教师端的电脑屏幕和多个摄像头的内容实时地合成录制成一个流媒体文件，并广播给学生端。支持自定义画布背景；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14、具有课件点播功能 教师端可以将教学课件提供给学生端点播。学生可以点播观看或下载老师提供的各类课件。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15、具有视频监视功能  教师端可以通过学生端的摄像头，监控学生端学习情况，支持25路同时监视，同时可以监听指定学生端的语音。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16、具有文件管理功能 教师机能够直接查看所有学生机的硬盘文件，并且在文件管理功能中能够任意移动、复制、粘贴同一、不同学生机间的硬盘文件。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17、支持网络过滤、断网保护、登录控制、多进程嵌套及后台服务等机制，保证教学活动高效、有序的进行。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18、支持过滤控制功能  支持IP过滤、网址过滤、端口过滤、程序过滤、USB设备过滤、文件过滤等多种模式，支持过滤策略的自动调度；支持禁止/许可双模式；支持过滤日志的查看。</w:t>
            </w:r>
          </w:p>
        </w:tc>
        <w:tc>
          <w:tcPr>
            <w:tcW w:w="876" w:type="dxa"/>
            <w:gridSpan w:val="2"/>
            <w:tcBorders>
              <w:top w:val="single" w:color="000000" w:sz="4" w:space="0"/>
              <w:left w:val="single" w:color="000000" w:sz="4" w:space="0"/>
              <w:bottom w:val="single" w:color="000000" w:sz="4" w:space="0"/>
              <w:right w:val="single" w:color="000000" w:sz="4" w:space="0"/>
            </w:tcBorders>
            <w:noWrap w:val="0"/>
            <w:vAlign w:val="center"/>
          </w:tcPr>
          <w:p w14:paraId="61465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0420B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5DE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6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CCE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9986"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80B7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主线为4平米铜芯线、分线为2.5平米铜芯线。</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557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5B72F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6C0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33" w:type="dxa"/>
            <w:tcBorders>
              <w:top w:val="single" w:color="000000" w:sz="4" w:space="0"/>
              <w:left w:val="single" w:color="000000" w:sz="4" w:space="0"/>
              <w:bottom w:val="single" w:color="000000" w:sz="4" w:space="0"/>
              <w:right w:val="single" w:color="000000" w:sz="4" w:space="0"/>
            </w:tcBorders>
            <w:noWrap/>
            <w:vAlign w:val="center"/>
          </w:tcPr>
          <w:p w14:paraId="10AAE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71" w:type="dxa"/>
            <w:gridSpan w:val="2"/>
            <w:tcBorders>
              <w:top w:val="single" w:color="000000" w:sz="4" w:space="0"/>
              <w:left w:val="single" w:color="000000" w:sz="4" w:space="0"/>
              <w:bottom w:val="single" w:color="000000" w:sz="4" w:space="0"/>
              <w:right w:val="single" w:color="000000" w:sz="4" w:space="0"/>
            </w:tcBorders>
            <w:noWrap/>
            <w:vAlign w:val="center"/>
          </w:tcPr>
          <w:p w14:paraId="4BB4E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w:t>
            </w:r>
          </w:p>
        </w:tc>
        <w:tc>
          <w:tcPr>
            <w:tcW w:w="9986" w:type="dxa"/>
            <w:gridSpan w:val="4"/>
            <w:tcBorders>
              <w:top w:val="single" w:color="000000" w:sz="4" w:space="0"/>
              <w:left w:val="single" w:color="000000" w:sz="4" w:space="0"/>
              <w:bottom w:val="single" w:color="000000" w:sz="4" w:space="0"/>
              <w:right w:val="single" w:color="000000" w:sz="4" w:space="0"/>
            </w:tcBorders>
            <w:noWrap/>
            <w:vAlign w:val="center"/>
          </w:tcPr>
          <w:p w14:paraId="017918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六类无氧铜国标线</w:t>
            </w:r>
          </w:p>
        </w:tc>
        <w:tc>
          <w:tcPr>
            <w:tcW w:w="876" w:type="dxa"/>
            <w:gridSpan w:val="2"/>
            <w:tcBorders>
              <w:top w:val="single" w:color="000000" w:sz="4" w:space="0"/>
              <w:left w:val="single" w:color="000000" w:sz="4" w:space="0"/>
              <w:bottom w:val="single" w:color="000000" w:sz="4" w:space="0"/>
              <w:right w:val="single" w:color="000000" w:sz="4" w:space="0"/>
            </w:tcBorders>
            <w:noWrap/>
            <w:vAlign w:val="center"/>
          </w:tcPr>
          <w:p w14:paraId="1FDB8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0C29C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3B2F0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433" w:type="dxa"/>
            <w:tcBorders>
              <w:top w:val="single" w:color="000000" w:sz="4" w:space="0"/>
              <w:left w:val="single" w:color="000000" w:sz="4" w:space="0"/>
              <w:bottom w:val="single" w:color="000000" w:sz="4" w:space="0"/>
              <w:right w:val="single" w:color="000000" w:sz="4" w:space="0"/>
            </w:tcBorders>
            <w:noWrap/>
            <w:vAlign w:val="center"/>
          </w:tcPr>
          <w:p w14:paraId="595AC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1" w:type="dxa"/>
            <w:gridSpan w:val="2"/>
            <w:tcBorders>
              <w:top w:val="single" w:color="000000" w:sz="4" w:space="0"/>
              <w:left w:val="single" w:color="000000" w:sz="4" w:space="0"/>
              <w:bottom w:val="single" w:color="000000" w:sz="4" w:space="0"/>
              <w:right w:val="single" w:color="000000" w:sz="4" w:space="0"/>
            </w:tcBorders>
            <w:noWrap/>
            <w:vAlign w:val="center"/>
          </w:tcPr>
          <w:p w14:paraId="174FA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教师电脑桌</w:t>
            </w:r>
          </w:p>
        </w:tc>
        <w:tc>
          <w:tcPr>
            <w:tcW w:w="9986" w:type="dxa"/>
            <w:gridSpan w:val="4"/>
            <w:tcBorders>
              <w:top w:val="single" w:color="000000" w:sz="4" w:space="0"/>
              <w:left w:val="single" w:color="000000" w:sz="4" w:space="0"/>
              <w:bottom w:val="single" w:color="000000" w:sz="4" w:space="0"/>
              <w:right w:val="single" w:color="000000" w:sz="4" w:space="0"/>
            </w:tcBorders>
            <w:noWrap w:val="0"/>
            <w:vAlign w:val="center"/>
          </w:tcPr>
          <w:p w14:paraId="587531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桌子长度1.6m宽度0.6m高度0.75m，木板采用电子锯精密开料，桌面2.5厘米实木颗粒环保板，封边利用全自动封边1.2mm优质PVC同色封边带，对板材截面进行封边，粘力强，密封性好，E1级环保板可提供质检报告，架子管，管壁厚度≥0.8毫米,（不含表面喷涂后的厚度）后侧主机箱采用冷轧板(ST13/14),厚度≥0.5毫米，设计有透气孔防止机箱过热，后背设有冷轧板走线隐藏式，使桌子更加牢固，机箱高度合适，宽度20厘米内径，下身铁架表面是经过磷化除锈除油处理后静电喷涂，喷后均匀，光洁度好，塑面经久耐用，表面垫固性粉末涂层，环保无毒害无气味，且耐候性强，桌脚为耐磨防滑尼龙脚垫.颜色：白色 </w:t>
            </w:r>
          </w:p>
        </w:tc>
        <w:tc>
          <w:tcPr>
            <w:tcW w:w="876" w:type="dxa"/>
            <w:gridSpan w:val="2"/>
            <w:tcBorders>
              <w:top w:val="single" w:color="000000" w:sz="4" w:space="0"/>
              <w:left w:val="single" w:color="000000" w:sz="4" w:space="0"/>
              <w:bottom w:val="single" w:color="000000" w:sz="4" w:space="0"/>
              <w:right w:val="single" w:color="000000" w:sz="4" w:space="0"/>
            </w:tcBorders>
            <w:noWrap/>
            <w:vAlign w:val="center"/>
          </w:tcPr>
          <w:p w14:paraId="1CBB0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020E3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173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433" w:type="dxa"/>
            <w:tcBorders>
              <w:top w:val="single" w:color="000000" w:sz="4" w:space="0"/>
              <w:left w:val="single" w:color="000000" w:sz="4" w:space="0"/>
              <w:bottom w:val="single" w:color="000000" w:sz="4" w:space="0"/>
              <w:right w:val="single" w:color="000000" w:sz="4" w:space="0"/>
            </w:tcBorders>
            <w:noWrap/>
            <w:vAlign w:val="center"/>
          </w:tcPr>
          <w:p w14:paraId="4F099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71" w:type="dxa"/>
            <w:gridSpan w:val="2"/>
            <w:tcBorders>
              <w:top w:val="single" w:color="000000" w:sz="4" w:space="0"/>
              <w:left w:val="single" w:color="000000" w:sz="4" w:space="0"/>
              <w:bottom w:val="single" w:color="000000" w:sz="4" w:space="0"/>
              <w:right w:val="single" w:color="000000" w:sz="4" w:space="0"/>
            </w:tcBorders>
            <w:noWrap/>
            <w:vAlign w:val="center"/>
          </w:tcPr>
          <w:p w14:paraId="7BAEC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教师转椅</w:t>
            </w:r>
          </w:p>
        </w:tc>
        <w:tc>
          <w:tcPr>
            <w:tcW w:w="9986" w:type="dxa"/>
            <w:gridSpan w:val="4"/>
            <w:tcBorders>
              <w:top w:val="single" w:color="000000" w:sz="4" w:space="0"/>
              <w:left w:val="single" w:color="000000" w:sz="4" w:space="0"/>
              <w:bottom w:val="single" w:color="000000" w:sz="4" w:space="0"/>
              <w:right w:val="single" w:color="000000" w:sz="4" w:space="0"/>
            </w:tcBorders>
            <w:noWrap w:val="0"/>
            <w:vAlign w:val="center"/>
          </w:tcPr>
          <w:p w14:paraId="00D4A3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面料：优质台湾”颐达” 网布，舒适、透气性好。                                                                                                               海棉：台湾“阿福洛”合成乳胶(PU)发泡一体成型泡棉，曲度依照人体工程学背部曲线设   计，力求高标准的舒适性，密度36kg/m2，回弹力47%。柔软性能好、回弹性高。   脚架：优质五星级脚架。</w:t>
            </w:r>
          </w:p>
        </w:tc>
        <w:tc>
          <w:tcPr>
            <w:tcW w:w="876" w:type="dxa"/>
            <w:gridSpan w:val="2"/>
            <w:tcBorders>
              <w:top w:val="single" w:color="000000" w:sz="4" w:space="0"/>
              <w:left w:val="single" w:color="000000" w:sz="4" w:space="0"/>
              <w:bottom w:val="single" w:color="000000" w:sz="4" w:space="0"/>
              <w:right w:val="single" w:color="000000" w:sz="4" w:space="0"/>
            </w:tcBorders>
            <w:noWrap/>
            <w:vAlign w:val="center"/>
          </w:tcPr>
          <w:p w14:paraId="67784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79159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A84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33" w:type="dxa"/>
            <w:tcBorders>
              <w:top w:val="single" w:color="000000" w:sz="4" w:space="0"/>
              <w:left w:val="single" w:color="000000" w:sz="4" w:space="0"/>
              <w:bottom w:val="single" w:color="000000" w:sz="4" w:space="0"/>
              <w:right w:val="single" w:color="000000" w:sz="4" w:space="0"/>
            </w:tcBorders>
            <w:noWrap/>
            <w:vAlign w:val="center"/>
          </w:tcPr>
          <w:p w14:paraId="2BA65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71" w:type="dxa"/>
            <w:gridSpan w:val="2"/>
            <w:tcBorders>
              <w:top w:val="single" w:color="000000" w:sz="4" w:space="0"/>
              <w:left w:val="single" w:color="000000" w:sz="4" w:space="0"/>
              <w:bottom w:val="single" w:color="000000" w:sz="4" w:space="0"/>
              <w:right w:val="single" w:color="000000" w:sz="4" w:space="0"/>
            </w:tcBorders>
            <w:noWrap w:val="0"/>
            <w:vAlign w:val="center"/>
          </w:tcPr>
          <w:p w14:paraId="4467F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插座</w:t>
            </w:r>
          </w:p>
        </w:tc>
        <w:tc>
          <w:tcPr>
            <w:tcW w:w="9986" w:type="dxa"/>
            <w:gridSpan w:val="4"/>
            <w:tcBorders>
              <w:top w:val="single" w:color="000000" w:sz="4" w:space="0"/>
              <w:left w:val="single" w:color="000000" w:sz="4" w:space="0"/>
              <w:bottom w:val="single" w:color="000000" w:sz="4" w:space="0"/>
              <w:right w:val="single" w:color="000000" w:sz="4" w:space="0"/>
            </w:tcBorders>
            <w:noWrap w:val="0"/>
            <w:vAlign w:val="center"/>
          </w:tcPr>
          <w:p w14:paraId="394A83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1.插板口≥5插位 2.国产一线品牌 3.要求有过载保护功能、强电电流 产品要符合国家CCC认证标准。</w:t>
            </w:r>
          </w:p>
        </w:tc>
        <w:tc>
          <w:tcPr>
            <w:tcW w:w="876" w:type="dxa"/>
            <w:gridSpan w:val="2"/>
            <w:tcBorders>
              <w:top w:val="single" w:color="000000" w:sz="4" w:space="0"/>
              <w:left w:val="single" w:color="000000" w:sz="4" w:space="0"/>
              <w:bottom w:val="single" w:color="000000" w:sz="4" w:space="0"/>
              <w:right w:val="single" w:color="000000" w:sz="4" w:space="0"/>
            </w:tcBorders>
            <w:noWrap w:val="0"/>
            <w:vAlign w:val="center"/>
          </w:tcPr>
          <w:p w14:paraId="3BB38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7A97B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r>
      <w:tr w14:paraId="2A592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33" w:type="dxa"/>
            <w:tcBorders>
              <w:top w:val="single" w:color="000000" w:sz="4" w:space="0"/>
              <w:left w:val="single" w:color="000000" w:sz="4" w:space="0"/>
              <w:bottom w:val="single" w:color="000000" w:sz="4" w:space="0"/>
              <w:right w:val="single" w:color="000000" w:sz="4" w:space="0"/>
            </w:tcBorders>
            <w:noWrap/>
            <w:vAlign w:val="center"/>
          </w:tcPr>
          <w:p w14:paraId="71BA0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71" w:type="dxa"/>
            <w:gridSpan w:val="2"/>
            <w:tcBorders>
              <w:top w:val="single" w:color="000000" w:sz="4" w:space="0"/>
              <w:left w:val="single" w:color="000000" w:sz="4" w:space="0"/>
              <w:bottom w:val="single" w:color="000000" w:sz="4" w:space="0"/>
              <w:right w:val="single" w:color="000000" w:sz="4" w:space="0"/>
            </w:tcBorders>
            <w:noWrap w:val="0"/>
            <w:vAlign w:val="center"/>
          </w:tcPr>
          <w:p w14:paraId="4BA42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学生桌</w:t>
            </w:r>
          </w:p>
        </w:tc>
        <w:tc>
          <w:tcPr>
            <w:tcW w:w="9986" w:type="dxa"/>
            <w:gridSpan w:val="4"/>
            <w:tcBorders>
              <w:top w:val="single" w:color="000000" w:sz="4" w:space="0"/>
              <w:left w:val="single" w:color="000000" w:sz="4" w:space="0"/>
              <w:bottom w:val="single" w:color="000000" w:sz="4" w:space="0"/>
              <w:right w:val="single" w:color="000000" w:sz="4" w:space="0"/>
            </w:tcBorders>
            <w:noWrap w:val="0"/>
            <w:vAlign w:val="center"/>
          </w:tcPr>
          <w:p w14:paraId="6A6769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机桌技术参数:1.规格:1400mm长*600mm宽*750mm高，桌面采用25mm厚压缩颗粒板外贴防火板，带穿线孔。2.桌腿采用30mm*30mm*1.1mm方钢管，桌腿中间封板采用0.6mm钢板制作，折弯成型，带穿线功能，双包结构，保证线不外漏，外面布局散热孔。3.后连板为框架结构，带可拆卸门板，便于售后维修，材质为0.6mm冷轧钢板制作，与桌腿采用拉铆螺母连接，并且布局散热孔；前面连板采用0.6mm冷轧钢板制作并布局散热孔，与桌腿采用拉铆螺母链接；前后连板中间底部设置横隔板，可放主机，两头带穿线孔，整体布局合理，排线方便。4.工艺釆用激光切割、模具冲压、折弯、组焊接成型，喷涂、装配而成。焊接部分采用高标准熔接焊,确保表面平整光滑，焊接点牢固、无虚焊。整体表面经酸洗、水洗、磷化、水洗、钝化等后全封闭最新环保静电橘纹喷塑，塑粉采用环氧聚酯粉末，漆膜附着力强，无污染，无甲醛释放。</w:t>
            </w:r>
          </w:p>
        </w:tc>
        <w:tc>
          <w:tcPr>
            <w:tcW w:w="876" w:type="dxa"/>
            <w:gridSpan w:val="2"/>
            <w:tcBorders>
              <w:top w:val="single" w:color="000000" w:sz="4" w:space="0"/>
              <w:left w:val="single" w:color="000000" w:sz="4" w:space="0"/>
              <w:bottom w:val="single" w:color="000000" w:sz="4" w:space="0"/>
              <w:right w:val="single" w:color="000000" w:sz="4" w:space="0"/>
            </w:tcBorders>
            <w:noWrap w:val="0"/>
            <w:vAlign w:val="center"/>
          </w:tcPr>
          <w:p w14:paraId="6B267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670B8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48013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33" w:type="dxa"/>
            <w:tcBorders>
              <w:top w:val="single" w:color="000000" w:sz="4" w:space="0"/>
              <w:left w:val="single" w:color="000000" w:sz="4" w:space="0"/>
              <w:bottom w:val="single" w:color="000000" w:sz="4" w:space="0"/>
              <w:right w:val="single" w:color="000000" w:sz="4" w:space="0"/>
            </w:tcBorders>
            <w:noWrap/>
            <w:vAlign w:val="center"/>
          </w:tcPr>
          <w:p w14:paraId="073DA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71" w:type="dxa"/>
            <w:gridSpan w:val="2"/>
            <w:tcBorders>
              <w:top w:val="single" w:color="000000" w:sz="4" w:space="0"/>
              <w:left w:val="single" w:color="000000" w:sz="4" w:space="0"/>
              <w:bottom w:val="single" w:color="000000" w:sz="4" w:space="0"/>
              <w:right w:val="single" w:color="000000" w:sz="4" w:space="0"/>
            </w:tcBorders>
            <w:noWrap w:val="0"/>
            <w:vAlign w:val="center"/>
          </w:tcPr>
          <w:p w14:paraId="1908B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学生凳</w:t>
            </w:r>
          </w:p>
        </w:tc>
        <w:tc>
          <w:tcPr>
            <w:tcW w:w="9986" w:type="dxa"/>
            <w:gridSpan w:val="4"/>
            <w:tcBorders>
              <w:top w:val="single" w:color="000000" w:sz="4" w:space="0"/>
              <w:left w:val="single" w:color="000000" w:sz="4" w:space="0"/>
              <w:bottom w:val="single" w:color="000000" w:sz="4" w:space="0"/>
              <w:right w:val="single" w:color="000000" w:sz="4" w:space="0"/>
            </w:tcBorders>
            <w:noWrap w:val="0"/>
            <w:vAlign w:val="center"/>
          </w:tcPr>
          <w:p w14:paraId="0E6D73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340*240*420mm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凳架采用厚度为1.0mm25方管焊接成型，酸洗磷化、静电喷塑；凳面采用采用优质环保三聚氰胺饰面16mm厚，四周优质PVC1.5mm厚封边，连接方式：采用优质五金螺丝连接      </w:t>
            </w:r>
          </w:p>
        </w:tc>
        <w:tc>
          <w:tcPr>
            <w:tcW w:w="876" w:type="dxa"/>
            <w:gridSpan w:val="2"/>
            <w:tcBorders>
              <w:top w:val="single" w:color="000000" w:sz="4" w:space="0"/>
              <w:left w:val="single" w:color="000000" w:sz="4" w:space="0"/>
              <w:bottom w:val="single" w:color="000000" w:sz="4" w:space="0"/>
              <w:right w:val="single" w:color="000000" w:sz="4" w:space="0"/>
            </w:tcBorders>
            <w:noWrap w:val="0"/>
            <w:vAlign w:val="center"/>
          </w:tcPr>
          <w:p w14:paraId="7F447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32D37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0C614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33" w:type="dxa"/>
            <w:tcBorders>
              <w:top w:val="single" w:color="000000" w:sz="4" w:space="0"/>
              <w:left w:val="single" w:color="000000" w:sz="4" w:space="0"/>
              <w:bottom w:val="single" w:color="000000" w:sz="4" w:space="0"/>
              <w:right w:val="single" w:color="000000" w:sz="4" w:space="0"/>
            </w:tcBorders>
            <w:noWrap/>
            <w:vAlign w:val="center"/>
          </w:tcPr>
          <w:p w14:paraId="1F4F9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1" w:type="dxa"/>
            <w:gridSpan w:val="2"/>
            <w:tcBorders>
              <w:top w:val="single" w:color="000000" w:sz="4" w:space="0"/>
              <w:left w:val="single" w:color="000000" w:sz="4" w:space="0"/>
              <w:bottom w:val="single" w:color="000000" w:sz="4" w:space="0"/>
              <w:right w:val="single" w:color="000000" w:sz="4" w:space="0"/>
            </w:tcBorders>
            <w:noWrap/>
            <w:vAlign w:val="center"/>
          </w:tcPr>
          <w:p w14:paraId="4EE48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w:t>
            </w:r>
          </w:p>
        </w:tc>
        <w:tc>
          <w:tcPr>
            <w:tcW w:w="9986" w:type="dxa"/>
            <w:gridSpan w:val="4"/>
            <w:tcBorders>
              <w:top w:val="single" w:color="000000" w:sz="4" w:space="0"/>
              <w:left w:val="single" w:color="000000" w:sz="4" w:space="0"/>
              <w:bottom w:val="single" w:color="000000" w:sz="4" w:space="0"/>
              <w:right w:val="single" w:color="000000" w:sz="4" w:space="0"/>
            </w:tcBorders>
            <w:noWrap/>
            <w:vAlign w:val="center"/>
          </w:tcPr>
          <w:p w14:paraId="45DFB8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系统集成、布线、安装及调试.</w:t>
            </w:r>
          </w:p>
        </w:tc>
        <w:tc>
          <w:tcPr>
            <w:tcW w:w="876" w:type="dxa"/>
            <w:gridSpan w:val="2"/>
            <w:tcBorders>
              <w:top w:val="single" w:color="000000" w:sz="4" w:space="0"/>
              <w:left w:val="single" w:color="000000" w:sz="4" w:space="0"/>
              <w:bottom w:val="single" w:color="000000" w:sz="4" w:space="0"/>
              <w:right w:val="single" w:color="000000" w:sz="4" w:space="0"/>
            </w:tcBorders>
            <w:noWrap/>
            <w:vAlign w:val="center"/>
          </w:tcPr>
          <w:p w14:paraId="2288B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26340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403E7442">
      <w:pPr>
        <w:rPr>
          <w:b/>
          <w:color w:val="auto"/>
          <w:sz w:val="24"/>
        </w:rPr>
      </w:pPr>
    </w:p>
    <w:tbl>
      <w:tblPr>
        <w:tblStyle w:val="44"/>
        <w:tblW w:w="12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
        <w:gridCol w:w="1427"/>
        <w:gridCol w:w="8536"/>
        <w:gridCol w:w="978"/>
        <w:gridCol w:w="981"/>
      </w:tblGrid>
      <w:tr w14:paraId="06363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3" w:hRule="atLeast"/>
        </w:trPr>
        <w:tc>
          <w:tcPr>
            <w:tcW w:w="12900" w:type="dxa"/>
            <w:gridSpan w:val="5"/>
            <w:tcBorders>
              <w:top w:val="single" w:color="000000" w:sz="4" w:space="0"/>
              <w:left w:val="single" w:color="000000" w:sz="4" w:space="0"/>
              <w:bottom w:val="single" w:color="000000" w:sz="4" w:space="0"/>
              <w:right w:val="single" w:color="000000" w:sz="4" w:space="0"/>
            </w:tcBorders>
            <w:noWrap/>
            <w:vAlign w:val="bottom"/>
          </w:tcPr>
          <w:p w14:paraId="60999628">
            <w:pPr>
              <w:keepNext w:val="0"/>
              <w:keepLines w:val="0"/>
              <w:widowControl/>
              <w:suppressLineNumbers w:val="0"/>
              <w:jc w:val="center"/>
              <w:textAlignment w:val="bottom"/>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60座物理综合实验室配置清单</w:t>
            </w:r>
          </w:p>
        </w:tc>
      </w:tr>
      <w:tr w14:paraId="12862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978" w:type="dxa"/>
            <w:tcBorders>
              <w:top w:val="single" w:color="000000" w:sz="4" w:space="0"/>
              <w:left w:val="single" w:color="000000" w:sz="4" w:space="0"/>
              <w:bottom w:val="single" w:color="000000" w:sz="4" w:space="0"/>
              <w:right w:val="single" w:color="000000" w:sz="4" w:space="0"/>
            </w:tcBorders>
            <w:noWrap/>
            <w:vAlign w:val="center"/>
          </w:tcPr>
          <w:p w14:paraId="31B45C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27" w:type="dxa"/>
            <w:tcBorders>
              <w:top w:val="single" w:color="000000" w:sz="4" w:space="0"/>
              <w:left w:val="single" w:color="000000" w:sz="4" w:space="0"/>
              <w:bottom w:val="single" w:color="000000" w:sz="4" w:space="0"/>
              <w:right w:val="single" w:color="000000" w:sz="4" w:space="0"/>
            </w:tcBorders>
            <w:noWrap/>
            <w:vAlign w:val="center"/>
          </w:tcPr>
          <w:p w14:paraId="735C3A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8536" w:type="dxa"/>
            <w:tcBorders>
              <w:top w:val="single" w:color="000000" w:sz="4" w:space="0"/>
              <w:left w:val="single" w:color="000000" w:sz="4" w:space="0"/>
              <w:bottom w:val="single" w:color="000000" w:sz="4" w:space="0"/>
              <w:right w:val="single" w:color="000000" w:sz="4" w:space="0"/>
            </w:tcBorders>
            <w:noWrap/>
            <w:vAlign w:val="center"/>
          </w:tcPr>
          <w:p w14:paraId="597D70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2604AE1D">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12EBC1F8">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14:paraId="69F9E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7" w:hRule="atLeast"/>
        </w:trPr>
        <w:tc>
          <w:tcPr>
            <w:tcW w:w="978" w:type="dxa"/>
            <w:tcBorders>
              <w:top w:val="single" w:color="000000" w:sz="4" w:space="0"/>
              <w:left w:val="single" w:color="000000" w:sz="4" w:space="0"/>
              <w:bottom w:val="single" w:color="000000" w:sz="4" w:space="0"/>
              <w:right w:val="single" w:color="000000" w:sz="4" w:space="0"/>
            </w:tcBorders>
            <w:noWrap/>
            <w:vAlign w:val="center"/>
          </w:tcPr>
          <w:p w14:paraId="15364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59E5C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教师演示台</w:t>
            </w:r>
          </w:p>
        </w:tc>
        <w:tc>
          <w:tcPr>
            <w:tcW w:w="8536" w:type="dxa"/>
            <w:tcBorders>
              <w:top w:val="single" w:color="000000" w:sz="4" w:space="0"/>
              <w:left w:val="single" w:color="000000" w:sz="4" w:space="0"/>
              <w:bottom w:val="single" w:color="000000" w:sz="4" w:space="0"/>
              <w:right w:val="single" w:color="000000" w:sz="4" w:space="0"/>
            </w:tcBorders>
            <w:noWrap w:val="0"/>
            <w:vAlign w:val="center"/>
          </w:tcPr>
          <w:p w14:paraId="42702C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1、规格：2400*700*850mm；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2"/>
                <w:szCs w:val="22"/>
                <w:u w:val="none"/>
                <w:lang w:val="en-US" w:eastAsia="zh-CN" w:bidi="ar"/>
              </w:rPr>
              <w:t>2、台面：采用湛蓝色13mm厚优抗板，且依据GB/T4893.1-2021《家具表面漆膜理化性能试验第1部分：耐冷液测定法》、JC/T908-2013《人造石》、GB/T3854-2017《增强塑料巴柯尔硬度试验方法》、GB/T35601-2017《绿色产品评价人造板和木质地板》、GB/T32487-2016《塑料家具通用技术条件》、GB6566-2010《建筑材料放射性核素限量》、GB6675.4-2014《玩具安全第4部分：特定元素的迁移》、GB8624-2012《建筑材料及制品燃烧性能分级》、AfPS  GS 2019:01 PAK《在GS标志认证过程中多环芳香烃（PAHs）的检测和验证产品限量依据产品安全法案第三章节21（1）条款》满足如下参数要求：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2"/>
                <w:szCs w:val="22"/>
                <w:u w:val="none"/>
                <w:lang w:val="en-US" w:eastAsia="zh-CN" w:bidi="ar"/>
              </w:rPr>
              <w:t>2-1、表面耐污染性能：耐污染性能不少于60项试验污染物的检测，且包含：丙酮、食盐溶液（10%溶液）、氢氧化钠（25%的溶液）、双氧水（30%的溶液）、硝酸银（1%的溶液）、硝酸（65%的溶液）、硫酸（98%的溶液）、柠檬酸（10%溶液）等试剂，覆盖玻璃盖板和未覆盖玻璃盖板检验结果均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2"/>
                <w:szCs w:val="22"/>
                <w:u w:val="none"/>
                <w:lang w:val="en-US" w:eastAsia="zh-CN" w:bidi="ar"/>
              </w:rPr>
              <w:t>2-2、密度：检验结果≥1.48g/cm³。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2-3、24h吸水率：检验结果≤0.4%。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2-4、静曲强度：检验结果≥78.0MPa。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2-5、弹性模量：检验结果≥11480MPa。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2-6、尺寸稳定性：检验结果≤0.6%。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2-7、耐高温性能：检验结果为试件表面无裂纹。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2-8、耐光色牢度：检验结果为4-5级。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2-9、表面耐水蒸气性能：检验结果为5级。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2-10、表面耐龟裂性能：检验结果为5级。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2-11、表面耐冷热循环性能：检验结果为无裂纹、鼓泡。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2-12、表面耐划痕性能：检验结果为表面无大于90%的连续划痕。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2-13、表面耐磨性能：检验结果为700r（转）。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2-14、表面耐香烟灼烧性能：检验结果为5级。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2-15、表面耐干热性能：检验结果为5级。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2-16、表面耐湿热性能：检验结果为5级。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2-17、抗冲击性能：检查结果为落球高度1000mm，压痕直径≤4.47mm，有轻微压痕。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2-18、耐液性：检验结果为耐酸（10%乙酸溶液）1级，耐碱（10%碳酸钠溶液）1级。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2-19、巴氏硬度：实体面材：UPR类：检验结果≥73。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2-20、含水率：检验结果≤0.7%。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-21、品质属性：①甲醛释放量：检验结果≤0.03mg/m³。②挥发性有机化合物（72h）：A、苯，检验结果为未检出。B、甲苯，检验结果为未检出。C、二甲苯，检验结果为未检出。D、总挥发性有机化合物，检验结果为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2-22、建筑材料放射性核素限量：检验结果为IRa=0，Ir=0。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-23、玩具材料中可迁移元素的最大限量要求：其他玩具材料（除造型黏土和指画颜料）：A、锑，检验结果为未检出。B、砷，检验结果为未检出。C、钡，检验结果≤2.8mg/kg。D、镉，检验结果≤0.5mg/kg。E、铬，检验结果≤2.4mg/kg。F、铅，检验结果≤7.3mg/kg。G、汞，检验结果≤0.02mg/kg。H、硒，检验结果为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2-24、火焰横向蔓延未到达试样长翼边缘：检验结果为三组试样火焰横向蔓延均未到试样长翼边缘。</w:t>
            </w:r>
            <w:r>
              <w:rPr>
                <w:rFonts w:hint="eastAsia" w:ascii="宋体" w:hAnsi="宋体" w:eastAsia="宋体" w:cs="宋体"/>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2"/>
                <w:szCs w:val="22"/>
                <w:u w:val="none"/>
                <w:lang w:val="en-US" w:eastAsia="zh-CN" w:bidi="ar"/>
              </w:rPr>
              <w:t>2-25、600s的总放热量（MJ）：检验结果≤15  15  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2-26、60s内焰尖高度：检验结果为纵向1、纵向2、纵向3、横向1、横向2、横向3火焰均未传播至150mm刻度线。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2-27、60s内无燃烧滴落物引燃滤纸现象：检验结果为纵向1、纵向2、纵向3、横向1、横向2、横向3燃烧滴落物均未引燃滤纸。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2-28、燃烧性能等级：检验结果为B1（C）级。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2-29、多环芳烃：检验结果为15种多环芳烃总和：未检出。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2-30、投标人需提供带CMA和CNAS标志的省级及以上委托抽样检验的检测报告复印件，且需注明本次招标采购项目名称及编号并加盖受检单位公章。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3、桌身：整体采用1.0mm厚优质冷轧钢板，全部钢制件纳米陶瓷镀膜防锈处理；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4、结构：演示台设有储物柜，中间为演示台,设置电源主控系统、多媒体设备（主机、显示器、中控、功放、交换机）的位置预留；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5、滑道：抽屉全部采用优质三节承重式滚珠滑道开合十万次不变形；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6、铰链：采用优质铰链，开合十万次不变形。</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2BE8C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3C782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44B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8" w:hRule="atLeast"/>
        </w:trPr>
        <w:tc>
          <w:tcPr>
            <w:tcW w:w="978" w:type="dxa"/>
            <w:tcBorders>
              <w:top w:val="single" w:color="000000" w:sz="4" w:space="0"/>
              <w:left w:val="single" w:color="000000" w:sz="4" w:space="0"/>
              <w:bottom w:val="single" w:color="000000" w:sz="4" w:space="0"/>
              <w:right w:val="single" w:color="000000" w:sz="4" w:space="0"/>
            </w:tcBorders>
            <w:noWrap/>
            <w:vAlign w:val="center"/>
          </w:tcPr>
          <w:p w14:paraId="77E65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265C7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实验桌</w:t>
            </w:r>
          </w:p>
        </w:tc>
        <w:tc>
          <w:tcPr>
            <w:tcW w:w="8536" w:type="dxa"/>
            <w:tcBorders>
              <w:top w:val="single" w:color="000000" w:sz="4" w:space="0"/>
              <w:left w:val="single" w:color="000000" w:sz="4" w:space="0"/>
              <w:bottom w:val="single" w:color="000000" w:sz="4" w:space="0"/>
              <w:right w:val="single" w:color="000000" w:sz="4" w:space="0"/>
            </w:tcBorders>
            <w:noWrap w:val="0"/>
            <w:vAlign w:val="center"/>
          </w:tcPr>
          <w:p w14:paraId="7A8F4C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蓝色；1、规格：1200*600*780mm；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2"/>
                <w:szCs w:val="22"/>
                <w:u w:val="none"/>
                <w:lang w:val="en-US" w:eastAsia="zh-CN" w:bidi="ar"/>
              </w:rPr>
              <w:t>2、台面：采用湛蓝色12.7mm厚双面膜实芯理化板，且依据GB/T4893.1-2021《家具表面漆膜理化性能试验第1部分：耐冷液测定法》、JC/T908-2013《人造石》、GB/T3854-2017《增强塑料巴柯尔硬度试验方法》、GB/T35601-2017《绿色产品评价人造板和木质地板》、GB/T32487-2016《塑料家具通用技术条件》、GB6566-2010《建筑材料放射性核素限量》、GB6675.4-2014《玩具安全第4部分：特定元素的迁移》、GB8624-2012《建筑材料及制品燃烧性能分级》、GB/T20284-2006《建筑材料或制品的单体燃烧试验》、GB/T8626-2007《建筑材料可燃性试验方法》、AfPS  GS 2019:01 PAK《在GS标志认证过程中多环芳香烃（PAHs）的检测和验证产品限量依据产品安全法案第三章节21（1）条款》满足如下参数要求：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2"/>
                <w:szCs w:val="22"/>
                <w:u w:val="none"/>
                <w:lang w:val="en-US" w:eastAsia="zh-CN" w:bidi="ar"/>
              </w:rPr>
              <w:t>2-1、表面耐污染性能：耐污染性能不少于60项试验污染物的检测，且包含：丙酮、食盐溶液（10%溶液）、氢氧化钠（25%的溶液）、双氧水（30%的溶液）、硝酸银（1%的溶液）、硝酸（65%的溶液）、硫酸（98%的溶液）、柠檬酸（10%溶液）等试剂，覆盖玻璃盖板和未覆盖玻璃盖板检验结果均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2-2、密度：检验结果为1.46g/cm³。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2-3、24h吸水率：检验结果为0.3%。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2-4、静曲强度：检验结果≥81.8MPa。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2-5、弹性模量：检验结果≥12060MPa。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2-6、尺寸稳定性：检验结果为0.1%。</w:t>
            </w:r>
          </w:p>
          <w:p w14:paraId="4DB376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2-7、耐高温性能：检验结果为试件表面无裂纹。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2-8、耐光色牢度：检验结果为4-5级。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2-9、表面耐水蒸气性能：检验结果为5级。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2-10、表面耐龟裂性能：检验结果为5级。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2-11、表面耐冷热循环性能：检验结果为无裂纹、鼓泡。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2-12、表面耐划痕性能：检验结果为表面无大于90%的连续划痕。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2-13、表面耐磨性能：检验结果≥650r（转）。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2-14、表面耐香烟灼烧性能：检验结果为5级。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2-15、表面耐干热性能：检验结果为5级。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2-16、表面耐湿热性能：检验结果为5级。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2-17、抗冲击性能：检查结果为落球高度1000mm，压痕直径≤4.26mm，有轻微压痕。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2-18、耐液性：检验结果为耐酸（10%乙酸溶液）1级，耐碱（10%碳酸钠溶液）1级。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2-19、巴氏硬度：实体面材：UPR类：检验结果≥72。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2-20、含水率：检验结果≤0.8%。</w:t>
            </w:r>
            <w:r>
              <w:rPr>
                <w:rFonts w:hint="eastAsia" w:ascii="宋体" w:hAnsi="宋体" w:eastAsia="宋体" w:cs="宋体"/>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2"/>
                <w:szCs w:val="22"/>
                <w:u w:val="none"/>
                <w:lang w:val="en-US" w:eastAsia="zh-CN" w:bidi="ar"/>
              </w:rPr>
              <w:t>2-21、品质属性：①甲醛释放量：检验结果≤0.02mg/m³。②挥发性有机化合物（72h）：A、苯，检验结果为未检出。B、甲苯，检验结果为6ug/m³。C、二甲苯，检验结果为未检出。D、总挥发性有机化合物，检验结果为46ug/m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2-22、建筑材料放射性核素限量：检验结果为IRa=0，Ir=0。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-23、玩具材料中可迁移元素的最大限量要求：其他玩具材料（除造型黏土和指画颜料）：A、锑，检验结果为未检出。B、砷，检验结果为未检出。C、钡，检验结果≤3.7mg/kg。D、镉，检验结果≤0.5mg/kg。E、铬，检验结果≤2.6mg/kg。F、铅，检验结果≤8.2mg/kg。G、汞，检验结果为0.02mg/kg。H、硒，检验结果为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2-24、火焰横向蔓延未到达试样长翼边缘：检验结果为三组试样火焰横向蔓延均未到达试样长翼边缘。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2-25、600s的总放热量（MJ）：检验结果≤15  15  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2-26、60s内焰尖高度（mm）：检验结果为纵向1、纵向2、纵向3、横向1、横向2、横向3火焰均未传播至150mm刻度线。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2-27、60s内无燃烧滴落物引燃滤纸现象：检验结果为纵向1、纵向2、纵向3、横向1、横向2、横向3燃烧滴落物均未引燃滤纸。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2-28、燃烧性能等级：检验结果为B1（C）级。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2-29、多环芳烃：检验结果为15种多环芳烃总和：未检出。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2"/>
                <w:szCs w:val="22"/>
                <w:u w:val="none"/>
                <w:lang w:val="en-US" w:eastAsia="zh-CN" w:bidi="ar"/>
              </w:rPr>
              <w:t>2-30、投标人需提供带CMA和CNAS标志的省级及以上委托抽样检验的检测报告复印件，且需注明本次招标采购项目名称及编号并加盖受检单位公章。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桌体采用流线型设计，支撑受力点合理布局，采用优质五金配件连接，不用胶水粘接，便于安装。外表面和内表面以可触及的隐蔽处，均无锐利的棱角、毛刺以及五金配件露出的锐利尖锐,所有接触人体的边棱均为倒圆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4、台身结构：新型塑铝结构，整体1180*570*760mm；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5、桌腿：采用工字型压铸铝一次成型，三段链接，材料表面经高压静电喷涂环氧树脂防护层，耐酸碱，耐腐蚀处理；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6、上腿规格：565*58*110mm，壁厚不小于2mm内部设有加强筋；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7、下腿规格：550*72*125mm，壁厚不小于2mm，配有M8*60mm的升降调节脚垫；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立柱：采用110×55mm，壁厚1.3mm，立柱两端内部有2个铸铝成型的螺丝链接位；内侧设有12*5mm的凹槽，使用锁拉扣链接桌体下横梁，调节方便，外侧设有装饰条。下横梁采用80*14.5mm目型铝型材制作壁厚1.2mm。前横梁采用29*27mm凹型铝型材制作壁厚1mm。中横梁采用29*31mm，D型铝型材制作壁厚1mm。后横梁：采用29*27mm，凹型铝型材制作壁厚1mm。材料表面经高压静电喷涂环氧树脂防护层，耐酸碱，耐腐蚀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9、学生位设书包斗；书包斗:采用环保型ABS工程塑料一次性注塑成型。两个书包斗中间设有电源盒，方便使用。</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00266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10C90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192E4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7" w:hRule="atLeast"/>
        </w:trPr>
        <w:tc>
          <w:tcPr>
            <w:tcW w:w="978" w:type="dxa"/>
            <w:tcBorders>
              <w:top w:val="single" w:color="000000" w:sz="4" w:space="0"/>
              <w:left w:val="single" w:color="000000" w:sz="4" w:space="0"/>
              <w:bottom w:val="single" w:color="000000" w:sz="4" w:space="0"/>
              <w:right w:val="single" w:color="000000" w:sz="4" w:space="0"/>
            </w:tcBorders>
            <w:noWrap/>
            <w:vAlign w:val="center"/>
          </w:tcPr>
          <w:p w14:paraId="2C4D0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55316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功能柱</w:t>
            </w:r>
          </w:p>
        </w:tc>
        <w:tc>
          <w:tcPr>
            <w:tcW w:w="8536" w:type="dxa"/>
            <w:tcBorders>
              <w:top w:val="single" w:color="000000" w:sz="4" w:space="0"/>
              <w:left w:val="single" w:color="000000" w:sz="4" w:space="0"/>
              <w:bottom w:val="single" w:color="000000" w:sz="4" w:space="0"/>
              <w:right w:val="single" w:color="000000" w:sz="4" w:space="0"/>
            </w:tcBorders>
            <w:noWrap w:val="0"/>
            <w:vAlign w:val="center"/>
          </w:tcPr>
          <w:p w14:paraId="5D0ADC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蓝色：1、功能柱:由底座、立柱、两端装饰条组成；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2、规格：长390mm宽220mm高720mm，采用环保型ABS工程塑料注塑成型；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3、底座尺寸：390*220*30mm，壁厚3mm，内部设有加强筋；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底座上设有6个螺丝口用于连接立柱和固定地面。立柱主体尺寸：340*195*690mm，上下口尺寸：300*145mm，立柱两端各设有两个螺丝固定口，装饰条用于掩盖螺丝口使其更加美观。主要功能是保护学生通风管道及电线电缆作用，配套于学生桌，美观大方。</w:t>
            </w: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5625F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1E528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145C6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2" w:hRule="atLeast"/>
        </w:trPr>
        <w:tc>
          <w:tcPr>
            <w:tcW w:w="978" w:type="dxa"/>
            <w:tcBorders>
              <w:top w:val="single" w:color="000000" w:sz="4" w:space="0"/>
              <w:left w:val="single" w:color="000000" w:sz="4" w:space="0"/>
              <w:bottom w:val="single" w:color="000000" w:sz="4" w:space="0"/>
              <w:right w:val="single" w:color="000000" w:sz="4" w:space="0"/>
            </w:tcBorders>
            <w:noWrap/>
            <w:vAlign w:val="center"/>
          </w:tcPr>
          <w:p w14:paraId="586BC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128D2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教师电源</w:t>
            </w:r>
          </w:p>
        </w:tc>
        <w:tc>
          <w:tcPr>
            <w:tcW w:w="8536" w:type="dxa"/>
            <w:tcBorders>
              <w:top w:val="single" w:color="000000" w:sz="4" w:space="0"/>
              <w:left w:val="single" w:color="000000" w:sz="4" w:space="0"/>
              <w:bottom w:val="single" w:color="000000" w:sz="4" w:space="0"/>
              <w:right w:val="single" w:color="000000" w:sz="4" w:space="0"/>
            </w:tcBorders>
            <w:noWrap w:val="0"/>
            <w:vAlign w:val="center"/>
          </w:tcPr>
          <w:p w14:paraId="7C97CF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l、漏电保护开关、工作指示灯选用国产优质产品，220V交流输出插座(六孔插座)取用国产优质产品；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2、低压交流电源：2-24V可调(每档2V)，额定电流3A(短路、过载自动保护、自动复位)；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3、直流稳压电源：1.5-18V连续可调，额定电流6A，18v—24v额定电流3A，(短路、过载自动保护、自动复位)；85系指针表显示；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4、直流大电流输出：9V／40A；8秒自动断开；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5、教师插座电源：220V交流，负载电流10A。五孔(或三孔两用)交流电源插座1个，设置在演示台的中间抽屉内；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A:由教师控制学生实验台交流220V电源，每组由空气开关控制，共分四组，并配有漏电保护开关；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B:由教师统一控制学生实验台低压电源，交流每档2V,共12档。直流可以在控制范围内微调。</w:t>
            </w: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07101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0BADF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A11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9" w:hRule="atLeast"/>
        </w:trPr>
        <w:tc>
          <w:tcPr>
            <w:tcW w:w="978" w:type="dxa"/>
            <w:tcBorders>
              <w:top w:val="single" w:color="000000" w:sz="4" w:space="0"/>
              <w:left w:val="single" w:color="000000" w:sz="4" w:space="0"/>
              <w:bottom w:val="single" w:color="000000" w:sz="4" w:space="0"/>
              <w:right w:val="single" w:color="000000" w:sz="4" w:space="0"/>
            </w:tcBorders>
            <w:noWrap/>
            <w:vAlign w:val="center"/>
          </w:tcPr>
          <w:p w14:paraId="31E6F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10135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学生安全电源</w:t>
            </w:r>
          </w:p>
        </w:tc>
        <w:tc>
          <w:tcPr>
            <w:tcW w:w="8536" w:type="dxa"/>
            <w:tcBorders>
              <w:top w:val="single" w:color="000000" w:sz="4" w:space="0"/>
              <w:left w:val="single" w:color="000000" w:sz="4" w:space="0"/>
              <w:bottom w:val="single" w:color="000000" w:sz="4" w:space="0"/>
              <w:right w:val="single" w:color="000000" w:sz="4" w:space="0"/>
            </w:tcBorders>
            <w:noWrap w:val="0"/>
            <w:vAlign w:val="center"/>
          </w:tcPr>
          <w:p w14:paraId="371D62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1、接受教师演示台送来的交流电源；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2、低压交直流电源：交流0-24每2V一档由教师统一调节控制，低压直流可在送来交流电源范围内微调，并配有表头显示输出（短路、过载自动保护、自动复位）；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3、交流电源：每台配备220V交流输出电源，电源全部由教师台控制。</w:t>
            </w: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55886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2BE84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67D33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978" w:type="dxa"/>
            <w:tcBorders>
              <w:top w:val="single" w:color="000000" w:sz="4" w:space="0"/>
              <w:left w:val="single" w:color="000000" w:sz="4" w:space="0"/>
              <w:bottom w:val="single" w:color="000000" w:sz="4" w:space="0"/>
              <w:right w:val="single" w:color="000000" w:sz="4" w:space="0"/>
            </w:tcBorders>
            <w:noWrap/>
            <w:vAlign w:val="center"/>
          </w:tcPr>
          <w:p w14:paraId="70820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3D56F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教师椅</w:t>
            </w:r>
          </w:p>
        </w:tc>
        <w:tc>
          <w:tcPr>
            <w:tcW w:w="8536" w:type="dxa"/>
            <w:tcBorders>
              <w:top w:val="single" w:color="000000" w:sz="4" w:space="0"/>
              <w:left w:val="single" w:color="000000" w:sz="4" w:space="0"/>
              <w:bottom w:val="single" w:color="000000" w:sz="4" w:space="0"/>
              <w:right w:val="single" w:color="000000" w:sz="4" w:space="0"/>
            </w:tcBorders>
            <w:noWrap w:val="0"/>
            <w:vAlign w:val="center"/>
          </w:tcPr>
          <w:p w14:paraId="68A658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1、五轮气动升降转椅，椅面及靠背为高回弹高密度海绵，黑色优质网面；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2、铝合金五星脚，带扶手。</w:t>
            </w: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78009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433D2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A8A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3" w:hRule="atLeast"/>
        </w:trPr>
        <w:tc>
          <w:tcPr>
            <w:tcW w:w="978" w:type="dxa"/>
            <w:tcBorders>
              <w:top w:val="single" w:color="000000" w:sz="4" w:space="0"/>
              <w:left w:val="single" w:color="000000" w:sz="4" w:space="0"/>
              <w:bottom w:val="single" w:color="000000" w:sz="4" w:space="0"/>
              <w:right w:val="single" w:color="000000" w:sz="4" w:space="0"/>
            </w:tcBorders>
            <w:noWrap/>
            <w:vAlign w:val="center"/>
          </w:tcPr>
          <w:p w14:paraId="1306C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68627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学生凳</w:t>
            </w:r>
          </w:p>
        </w:tc>
        <w:tc>
          <w:tcPr>
            <w:tcW w:w="8536" w:type="dxa"/>
            <w:tcBorders>
              <w:top w:val="single" w:color="000000" w:sz="4" w:space="0"/>
              <w:left w:val="single" w:color="000000" w:sz="4" w:space="0"/>
              <w:bottom w:val="single" w:color="000000" w:sz="4" w:space="0"/>
              <w:right w:val="single" w:color="000000" w:sz="4" w:space="0"/>
            </w:tcBorders>
            <w:noWrap w:val="0"/>
            <w:vAlign w:val="center"/>
          </w:tcPr>
          <w:p w14:paraId="33B0EF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一、凳面：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1、材质：采用湛蓝色环保型ABS改性塑料一次性注塑成型；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2、尺寸：直径300mm；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3、表面防滑不发光。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二、脚钢架：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1、材质及形状：椭圆形无缝钢管；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2、尺寸:20×40×1.2mm；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3、全圆满焊接完成，结构牢固，经高温粉体烤漆处理，长时间使用也不会产生表面烤漆剥落现象；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4、脚垫材质：采用PP加耐磨纤维质塑料，实心倒勾式一体射出成型；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5、凳面可通过旋转螺杆来升降凳子高度,可调高度5cm。</w:t>
            </w: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000E3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0BA62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6D95C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1" w:hRule="atLeast"/>
        </w:trPr>
        <w:tc>
          <w:tcPr>
            <w:tcW w:w="978" w:type="dxa"/>
            <w:tcBorders>
              <w:top w:val="single" w:color="000000" w:sz="4" w:space="0"/>
              <w:left w:val="single" w:color="000000" w:sz="4" w:space="0"/>
              <w:bottom w:val="single" w:color="000000" w:sz="4" w:space="0"/>
              <w:right w:val="single" w:color="000000" w:sz="4" w:space="0"/>
            </w:tcBorders>
            <w:noWrap/>
            <w:vAlign w:val="center"/>
          </w:tcPr>
          <w:p w14:paraId="0011F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3FE7C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电气布线</w:t>
            </w:r>
          </w:p>
        </w:tc>
        <w:tc>
          <w:tcPr>
            <w:tcW w:w="8536" w:type="dxa"/>
            <w:tcBorders>
              <w:top w:val="single" w:color="000000" w:sz="4" w:space="0"/>
              <w:left w:val="single" w:color="000000" w:sz="4" w:space="0"/>
              <w:bottom w:val="single" w:color="000000" w:sz="4" w:space="0"/>
              <w:right w:val="single" w:color="000000" w:sz="4" w:space="0"/>
            </w:tcBorders>
            <w:noWrap w:val="0"/>
            <w:vAlign w:val="center"/>
          </w:tcPr>
          <w:p w14:paraId="7D07DE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1、电工管采用优质PVC-U管，管直径20mm，直接、管卡、电工胶布等。根据实验室实际，也可采用铝合金或不锈钢地面走线槽。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2、主干电源线采用4 mm2优质多芯铜质护套线。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3、支干电源线采用2.5mm2、1.5mm2优质多芯铜质护套线。</w:t>
            </w: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7AF0D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0E031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8A3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1" w:hRule="atLeast"/>
        </w:trPr>
        <w:tc>
          <w:tcPr>
            <w:tcW w:w="978" w:type="dxa"/>
            <w:tcBorders>
              <w:top w:val="single" w:color="000000" w:sz="4" w:space="0"/>
              <w:left w:val="single" w:color="000000" w:sz="4" w:space="0"/>
              <w:bottom w:val="single" w:color="000000" w:sz="4" w:space="0"/>
              <w:right w:val="single" w:color="000000" w:sz="4" w:space="0"/>
            </w:tcBorders>
            <w:noWrap/>
            <w:vAlign w:val="center"/>
          </w:tcPr>
          <w:p w14:paraId="4D850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4B1E9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w:t>
            </w:r>
          </w:p>
        </w:tc>
        <w:tc>
          <w:tcPr>
            <w:tcW w:w="8536" w:type="dxa"/>
            <w:tcBorders>
              <w:top w:val="single" w:color="000000" w:sz="4" w:space="0"/>
              <w:left w:val="single" w:color="000000" w:sz="4" w:space="0"/>
              <w:bottom w:val="single" w:color="000000" w:sz="4" w:space="0"/>
              <w:right w:val="single" w:color="000000" w:sz="4" w:space="0"/>
            </w:tcBorders>
            <w:noWrap w:val="0"/>
            <w:vAlign w:val="center"/>
          </w:tcPr>
          <w:p w14:paraId="1CAE8F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1、组织设备安装，解决设备安装过程中的各种技术疑难问题。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2、进行设备调试，处理设备调试过程中发生的各种异常现象。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3、确保所供货设备能正常投入使用。</w:t>
            </w: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4DD73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129D8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556ADF73">
      <w:pPr>
        <w:rPr>
          <w:b/>
          <w:color w:val="auto"/>
          <w:sz w:val="24"/>
        </w:rPr>
      </w:pPr>
    </w:p>
    <w:tbl>
      <w:tblPr>
        <w:tblStyle w:val="44"/>
        <w:tblW w:w="12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41"/>
        <w:gridCol w:w="2085"/>
        <w:gridCol w:w="7568"/>
        <w:gridCol w:w="942"/>
        <w:gridCol w:w="1144"/>
      </w:tblGrid>
      <w:tr w14:paraId="61D11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2880" w:type="dxa"/>
            <w:gridSpan w:val="5"/>
            <w:tcBorders>
              <w:top w:val="single" w:color="000000" w:sz="4" w:space="0"/>
              <w:left w:val="single" w:color="000000" w:sz="4" w:space="0"/>
              <w:bottom w:val="single" w:color="000000" w:sz="4" w:space="0"/>
              <w:right w:val="single" w:color="000000" w:sz="4" w:space="0"/>
            </w:tcBorders>
            <w:noWrap/>
            <w:vAlign w:val="bottom"/>
          </w:tcPr>
          <w:p w14:paraId="50286E81">
            <w:pPr>
              <w:keepNext w:val="0"/>
              <w:keepLines w:val="0"/>
              <w:widowControl/>
              <w:suppressLineNumbers w:val="0"/>
              <w:jc w:val="center"/>
              <w:textAlignment w:val="bottom"/>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物理准备室配置清单</w:t>
            </w:r>
          </w:p>
        </w:tc>
      </w:tr>
      <w:tr w14:paraId="7C320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2166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F71E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015A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7F721C">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0BCFAC">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14:paraId="1479C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0" w:hRule="atLeast"/>
        </w:trPr>
        <w:tc>
          <w:tcPr>
            <w:tcW w:w="935" w:type="dxa"/>
            <w:tcBorders>
              <w:top w:val="single" w:color="000000" w:sz="4" w:space="0"/>
              <w:left w:val="single" w:color="000000" w:sz="4" w:space="0"/>
              <w:bottom w:val="single" w:color="000000" w:sz="4" w:space="0"/>
              <w:right w:val="single" w:color="000000" w:sz="4" w:space="0"/>
            </w:tcBorders>
            <w:noWrap w:val="0"/>
            <w:vAlign w:val="center"/>
          </w:tcPr>
          <w:p w14:paraId="2C389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25F63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准备桌</w:t>
            </w:r>
          </w:p>
        </w:tc>
        <w:tc>
          <w:tcPr>
            <w:tcW w:w="8261" w:type="dxa"/>
            <w:tcBorders>
              <w:top w:val="single" w:color="000000" w:sz="4" w:space="0"/>
              <w:left w:val="single" w:color="000000" w:sz="4" w:space="0"/>
              <w:bottom w:val="single" w:color="000000" w:sz="4" w:space="0"/>
              <w:right w:val="single" w:color="000000" w:sz="4" w:space="0"/>
            </w:tcBorders>
            <w:noWrap w:val="0"/>
            <w:vAlign w:val="center"/>
          </w:tcPr>
          <w:p w14:paraId="777970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蓝色；1、规格：2400*1200*780mm；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2、台面：湛蓝色12.7mm厚实芯理化板，台面具耐热、耐磨、耐撞击、耐酸碱、耐腐蚀、防水等功能。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桌体采用流线型设计，支撑受力点合理布局，采用优质五金配件连接，不用胶水粘接，便于安装。外表面和内表面以可触及的隐蔽处，均无锐利的棱角、毛刺以及五金配件露出的锐利尖锐,所有接触人体的边棱均为倒圆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4、台身结构：整体1180*570四张框架对拼，新型塑铝结构，整体1180*570*760mm。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5、桌腿：采用工字型压铸铝一次成型，三段链接，材料表面经高压静电喷涂环氧树脂防护层，耐酸碱，耐腐蚀处理。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6、上腿规格：565*58*110mm，壁厚不小于2mm内部设有加强筋。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7、下腿规格：550*72*125mm，壁厚不小于2mm，配有M8*60mm的升降调节脚垫。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立柱：采用110×55mm，壁厚1.3mm，立柱两端内部有2个铸铝成型的螺丝链接位；内侧设有12*5mm的凹槽，使用锁拉扣链接桌体下横梁，调节方便，外侧设有装饰条。下横梁采用80*14.5mm目型铝型材制作壁厚1.2mm。前横梁采用29*27mm凹型铝型材制作壁厚1mm。中横梁采用29*31mmD型铝型材制作壁厚1mm。后横梁：采用29*27mm，凹型铝型材制作壁厚1mm。材料表面经高压静电喷涂环氧树脂防护层，耐酸碱，耐腐蚀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9、学生位设书包斗；书包斗:采用环保型ABS工程塑料一次性注塑成型。两个书包斗中间设有电源盒，方便使用。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00A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FD7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D59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935" w:type="dxa"/>
            <w:tcBorders>
              <w:top w:val="single" w:color="000000" w:sz="4" w:space="0"/>
              <w:left w:val="single" w:color="000000" w:sz="4" w:space="0"/>
              <w:bottom w:val="single" w:color="000000" w:sz="4" w:space="0"/>
              <w:right w:val="single" w:color="000000" w:sz="4" w:space="0"/>
            </w:tcBorders>
            <w:noWrap w:val="0"/>
            <w:vAlign w:val="center"/>
          </w:tcPr>
          <w:p w14:paraId="6FF7A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2FBE6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w:t>
            </w:r>
          </w:p>
        </w:tc>
        <w:tc>
          <w:tcPr>
            <w:tcW w:w="8261" w:type="dxa"/>
            <w:tcBorders>
              <w:top w:val="single" w:color="000000" w:sz="4" w:space="0"/>
              <w:left w:val="single" w:color="000000" w:sz="4" w:space="0"/>
              <w:bottom w:val="single" w:color="000000" w:sz="4" w:space="0"/>
              <w:right w:val="single" w:color="000000" w:sz="4" w:space="0"/>
            </w:tcBorders>
            <w:noWrap w:val="0"/>
            <w:vAlign w:val="center"/>
          </w:tcPr>
          <w:p w14:paraId="334CF8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长度约：200mm，两个五孔10A插座模块，220V交流输出，。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E49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08095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3F57A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1" w:hRule="atLeast"/>
        </w:trPr>
        <w:tc>
          <w:tcPr>
            <w:tcW w:w="935" w:type="dxa"/>
            <w:tcBorders>
              <w:top w:val="single" w:color="000000" w:sz="4" w:space="0"/>
              <w:left w:val="single" w:color="000000" w:sz="4" w:space="0"/>
              <w:bottom w:val="single" w:color="000000" w:sz="4" w:space="0"/>
              <w:right w:val="single" w:color="000000" w:sz="4" w:space="0"/>
            </w:tcBorders>
            <w:noWrap w:val="0"/>
            <w:vAlign w:val="center"/>
          </w:tcPr>
          <w:p w14:paraId="1BB67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59441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仪器柜</w:t>
            </w:r>
          </w:p>
        </w:tc>
        <w:tc>
          <w:tcPr>
            <w:tcW w:w="8261" w:type="dxa"/>
            <w:tcBorders>
              <w:top w:val="single" w:color="000000" w:sz="4" w:space="0"/>
              <w:left w:val="single" w:color="000000" w:sz="4" w:space="0"/>
              <w:bottom w:val="single" w:color="000000" w:sz="4" w:space="0"/>
              <w:right w:val="single" w:color="000000" w:sz="4" w:space="0"/>
            </w:tcBorders>
            <w:noWrap w:val="0"/>
            <w:vAlign w:val="center"/>
          </w:tcPr>
          <w:p w14:paraId="6C6F69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蓝色：1、规格：1000×500×2000mm；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2、柜体：侧板、顶底板采用改性PP材料模具一次成型，表面沙面和光面相结合处理，保证柜体之坚固及密封性，耐腐蚀性强，顶板、底板预留模具成型排风孔。底部镶嵌15mm*30mm*1.2mm钢制横梁，承重力强；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3、下柜柜门：内框采用改性PP材质模具一次成型，外嵌5mm厚钢化烤漆玻璃。上下拉手及三角对称五点固定，防止玻璃的松动或开合。伸缩式PP旋转门轴，四角圆弧倒角，内侧弧形圆边，配锁；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层板：上柜配置两块活动层板，下柜配置一块活动层板，层板全部采用改性PP材料模具一次成型，表面沙面和光面相结合处理，四周有阻水边，底部镶嵌两根15mm*30mm*1.2mm钢制横梁，承重力强。整体设计为活动式，可随意抽取放在合适的隔层，自由组合各层空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6、拉手：采用改性PP材料模具一次成型，直角梯形四周倒圆与柜门平行，开启方便；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7、门铰链：采用改性PP材料模具一次成型，伸缩式PP旋转门轴，永不生锈，耐腐蚀性好；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8、螺丝：不锈钢材质。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EBC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78914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r>
      <w:tr w14:paraId="16C07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935" w:type="dxa"/>
            <w:tcBorders>
              <w:top w:val="single" w:color="000000" w:sz="4" w:space="0"/>
              <w:left w:val="single" w:color="000000" w:sz="4" w:space="0"/>
              <w:bottom w:val="single" w:color="000000" w:sz="4" w:space="0"/>
              <w:right w:val="single" w:color="000000" w:sz="4" w:space="0"/>
            </w:tcBorders>
            <w:noWrap w:val="0"/>
            <w:vAlign w:val="center"/>
          </w:tcPr>
          <w:p w14:paraId="1D4C1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061A2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教师椅</w:t>
            </w:r>
          </w:p>
        </w:tc>
        <w:tc>
          <w:tcPr>
            <w:tcW w:w="8261" w:type="dxa"/>
            <w:tcBorders>
              <w:top w:val="single" w:color="000000" w:sz="4" w:space="0"/>
              <w:left w:val="single" w:color="000000" w:sz="4" w:space="0"/>
              <w:bottom w:val="single" w:color="000000" w:sz="4" w:space="0"/>
              <w:right w:val="single" w:color="000000" w:sz="4" w:space="0"/>
            </w:tcBorders>
            <w:noWrap w:val="0"/>
            <w:vAlign w:val="center"/>
          </w:tcPr>
          <w:p w14:paraId="64E204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1、五轮气动升降转椅，椅面及靠背为高回弹高密度海绵，黑色优质网面；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2、铝合金五星脚，带扶手。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62B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914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F3A7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935" w:type="dxa"/>
            <w:tcBorders>
              <w:top w:val="single" w:color="000000" w:sz="4" w:space="0"/>
              <w:left w:val="single" w:color="000000" w:sz="4" w:space="0"/>
              <w:bottom w:val="single" w:color="000000" w:sz="4" w:space="0"/>
              <w:right w:val="single" w:color="000000" w:sz="4" w:space="0"/>
            </w:tcBorders>
            <w:noWrap w:val="0"/>
            <w:vAlign w:val="center"/>
          </w:tcPr>
          <w:p w14:paraId="686CC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5BB59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电气布线</w:t>
            </w:r>
          </w:p>
        </w:tc>
        <w:tc>
          <w:tcPr>
            <w:tcW w:w="8261" w:type="dxa"/>
            <w:tcBorders>
              <w:top w:val="single" w:color="000000" w:sz="4" w:space="0"/>
              <w:left w:val="single" w:color="000000" w:sz="4" w:space="0"/>
              <w:bottom w:val="single" w:color="000000" w:sz="4" w:space="0"/>
              <w:right w:val="single" w:color="000000" w:sz="4" w:space="0"/>
            </w:tcBorders>
            <w:noWrap w:val="0"/>
            <w:vAlign w:val="center"/>
          </w:tcPr>
          <w:p w14:paraId="69504C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1、电工管采用优质PVC-U管，管直径20mm，直接、管卡、电工胶布等。根据实验室实际，也可采用铝合金或不锈钢地面走线槽。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2、主干电源线采用4 mm2优质多芯铜质护套线。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3、支干电源线采用2.5mm2、1.5mm2优质多芯铜质护套线。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176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FD1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0D3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935" w:type="dxa"/>
            <w:tcBorders>
              <w:top w:val="single" w:color="000000" w:sz="4" w:space="0"/>
              <w:left w:val="single" w:color="000000" w:sz="4" w:space="0"/>
              <w:bottom w:val="single" w:color="000000" w:sz="4" w:space="0"/>
              <w:right w:val="single" w:color="000000" w:sz="4" w:space="0"/>
            </w:tcBorders>
            <w:noWrap w:val="0"/>
            <w:vAlign w:val="center"/>
          </w:tcPr>
          <w:p w14:paraId="4D31FDDE">
            <w:pPr>
              <w:jc w:val="center"/>
              <w:rPr>
                <w:rFonts w:hint="eastAsia" w:ascii="宋体" w:hAnsi="宋体" w:eastAsia="宋体" w:cs="宋体"/>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5F02C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安装费</w:t>
            </w:r>
          </w:p>
        </w:tc>
        <w:tc>
          <w:tcPr>
            <w:tcW w:w="8261" w:type="dxa"/>
            <w:tcBorders>
              <w:top w:val="single" w:color="000000" w:sz="4" w:space="0"/>
              <w:left w:val="single" w:color="000000" w:sz="4" w:space="0"/>
              <w:bottom w:val="single" w:color="000000" w:sz="4" w:space="0"/>
              <w:right w:val="single" w:color="000000" w:sz="4" w:space="0"/>
            </w:tcBorders>
            <w:noWrap w:val="0"/>
            <w:vAlign w:val="center"/>
          </w:tcPr>
          <w:p w14:paraId="4139BB7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170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8FA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4C342697">
      <w:pPr>
        <w:rPr>
          <w:b/>
          <w:color w:val="auto"/>
          <w:sz w:val="24"/>
        </w:rPr>
      </w:pPr>
    </w:p>
    <w:tbl>
      <w:tblPr>
        <w:tblStyle w:val="44"/>
        <w:tblW w:w="12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0"/>
        <w:gridCol w:w="1523"/>
        <w:gridCol w:w="7690"/>
        <w:gridCol w:w="1048"/>
        <w:gridCol w:w="1419"/>
      </w:tblGrid>
      <w:tr w14:paraId="1D533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2880" w:type="dxa"/>
            <w:gridSpan w:val="5"/>
            <w:tcBorders>
              <w:top w:val="single" w:color="000000" w:sz="4" w:space="0"/>
              <w:left w:val="single" w:color="000000" w:sz="4" w:space="0"/>
              <w:bottom w:val="single" w:color="000000" w:sz="4" w:space="0"/>
              <w:right w:val="single" w:color="000000" w:sz="4" w:space="0"/>
            </w:tcBorders>
            <w:noWrap/>
            <w:vAlign w:val="bottom"/>
          </w:tcPr>
          <w:p w14:paraId="3F29235E">
            <w:pPr>
              <w:keepNext w:val="0"/>
              <w:keepLines w:val="0"/>
              <w:widowControl/>
              <w:suppressLineNumbers w:val="0"/>
              <w:jc w:val="center"/>
              <w:textAlignment w:val="bottom"/>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60座化学普通实验室配置清单</w:t>
            </w:r>
          </w:p>
        </w:tc>
      </w:tr>
      <w:tr w14:paraId="43D3A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200" w:type="dxa"/>
            <w:tcBorders>
              <w:top w:val="single" w:color="000000" w:sz="4" w:space="0"/>
              <w:left w:val="single" w:color="000000" w:sz="4" w:space="0"/>
              <w:bottom w:val="single" w:color="000000" w:sz="4" w:space="0"/>
              <w:right w:val="single" w:color="000000" w:sz="4" w:space="0"/>
            </w:tcBorders>
            <w:noWrap/>
            <w:vAlign w:val="center"/>
          </w:tcPr>
          <w:p w14:paraId="6D4302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23" w:type="dxa"/>
            <w:tcBorders>
              <w:top w:val="single" w:color="000000" w:sz="4" w:space="0"/>
              <w:left w:val="single" w:color="000000" w:sz="4" w:space="0"/>
              <w:bottom w:val="single" w:color="000000" w:sz="4" w:space="0"/>
              <w:right w:val="single" w:color="000000" w:sz="4" w:space="0"/>
            </w:tcBorders>
            <w:noWrap/>
            <w:vAlign w:val="center"/>
          </w:tcPr>
          <w:p w14:paraId="73D05C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7690" w:type="dxa"/>
            <w:tcBorders>
              <w:top w:val="single" w:color="000000" w:sz="4" w:space="0"/>
              <w:left w:val="single" w:color="000000" w:sz="4" w:space="0"/>
              <w:bottom w:val="single" w:color="000000" w:sz="4" w:space="0"/>
              <w:right w:val="single" w:color="000000" w:sz="4" w:space="0"/>
            </w:tcBorders>
            <w:noWrap/>
            <w:vAlign w:val="center"/>
          </w:tcPr>
          <w:p w14:paraId="4002AC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1048" w:type="dxa"/>
            <w:tcBorders>
              <w:top w:val="single" w:color="000000" w:sz="4" w:space="0"/>
              <w:left w:val="single" w:color="000000" w:sz="4" w:space="0"/>
              <w:bottom w:val="single" w:color="000000" w:sz="4" w:space="0"/>
              <w:right w:val="single" w:color="000000" w:sz="4" w:space="0"/>
            </w:tcBorders>
            <w:noWrap/>
            <w:vAlign w:val="center"/>
          </w:tcPr>
          <w:p w14:paraId="0187118F">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4030FEA6">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14:paraId="6797A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1"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2386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57F2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教师演示台</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14:paraId="27CCB9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1、规格：2400*700*850mm；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2"/>
                <w:szCs w:val="22"/>
                <w:u w:val="none"/>
                <w:lang w:val="en-US" w:eastAsia="zh-CN" w:bidi="ar"/>
              </w:rPr>
              <w:t>2、台面：采用米黄色13mm厚优抗板，且依据GB/T4893.1-2021《家具表面漆膜理化性能试验第1部分：耐冷液测定法》、JC/T908-2013《人造石》、GB/T3854-2017《增强塑料巴柯尔硬度试验方法》、GB/T35601-2017《绿色产品评价人造板和木质地板》、GB/T32487-2016《塑料家具通用技术条件》、GB6566-2010《建筑材料放射性核素限量》、GB6675.4-2014《玩具安全第4部分：特定元素的迁移》、GB8624-2012《建筑材料及制品燃烧性能分级》、AfPS  GS 2019:01 PAK《在GS标志认证过程中多环芳香烃（PAHs）的检测和验证产品限量依据产品安全法案第三章节21（1）条款》满足如下参数要求：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2"/>
                <w:szCs w:val="22"/>
                <w:u w:val="none"/>
                <w:lang w:val="en-US" w:eastAsia="zh-CN" w:bidi="ar"/>
              </w:rPr>
              <w:t>2-1、表面耐污染性能：耐污染性能不少于60项试验污染物的检测，且包含：丙酮、食盐溶液（10%溶液）、氢氧化钠（25%的溶液）、双氧水（30%的溶液）、硝酸银（1%的溶液）、硝酸（65%的溶液）、硫酸（98%的溶液）、柠檬酸（10%溶液）等试剂，覆盖玻璃盖板和未覆盖玻璃盖板检验结果均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2"/>
                <w:szCs w:val="22"/>
                <w:u w:val="none"/>
                <w:lang w:val="en-US" w:eastAsia="zh-CN" w:bidi="ar"/>
              </w:rPr>
              <w:t>2-2、密度：检验结果≥1.48g/cm³。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2-3、24h吸水率：检验结果≤0.4%。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2-4、静曲强度：检验结果≥78.0MPa。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2-5、弹性模量：检验结果≥11480MPa。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2-6、尺寸稳定性：检验结果≤0.6%。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2-7、耐高温性能：检验结果为试件表面无裂纹。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2-8、耐光色牢度：检验结果为4-5级。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2-9、表面耐水蒸气性能：检验结果为5级。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2-10、表面耐龟裂性能：检验结果为5级。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2-11、表面耐冷热循环性能：检验结果为无裂纹、鼓泡。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2-12、表面耐划痕性能：检验结果为表面无大于90%的连续划痕。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2-13、表面耐磨性能：检验结果为700r（转）。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2-14、表面耐香烟灼烧性能：检验结果为5级。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2-15、表面耐干热性能：检验结果为5级。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2-16、表面耐湿热性能：检验结果为5级。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2-17、抗冲击性能：检查结果为落球高度1000mm，压痕直径≤4.47mm，有轻微压痕。</w:t>
            </w:r>
            <w:r>
              <w:rPr>
                <w:rFonts w:hint="eastAsia" w:ascii="宋体" w:hAnsi="宋体" w:eastAsia="宋体" w:cs="宋体"/>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2"/>
                <w:szCs w:val="22"/>
                <w:u w:val="none"/>
                <w:lang w:val="en-US" w:eastAsia="zh-CN" w:bidi="ar"/>
              </w:rPr>
              <w:t>2-18、耐液性：检验结果为耐酸（10%乙酸溶液）1级，耐碱（10%碳酸钠溶液）1级。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2-19、巴氏硬度：实体面材：UPR类：检验结果≥73。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2-20、含水率：检验结果≤0.7%。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-21、品质属性：①甲醛释放量：检验结果≤0.03mg/m³。②挥发性有机化合物（72h）：A、苯，检验结果为未检出。B、甲苯，检验结果为未检出。C、二甲苯，检验结果为未检出。D、总挥发性有机化合物，检验结果为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2-22、建筑材料放射性核素限量：检验结果为IRa=0，Ir=0。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-23、玩具材料中可迁移元素的最大限量要求：其他玩具材料（除造型黏土和指画颜料）：A、锑，检验结果为未检出。B、砷，检验结果为未检出。C、钡，检验结果≤2.8mg/kg。D、镉，检验结果≤0.5mg/kg。E、铬，检验结果≤2.4mg/kg。F、铅，检验结果≤7.3mg/kg。G、汞，检验结果≤0.02mg/kg。H、硒，检验结果为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2-24、火焰横向蔓延未到达试样长翼边缘：检验结果为三组试样火焰横向蔓延均未到达试样长翼边缘。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2-25、600s的总放热量（MJ）：检验结果≤15  15  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2-26、60s内焰尖高度：检验结果为纵向1、纵向2、纵向3、横向1、横向2、横向3火焰均未传播至150mm刻度线。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2-27、60s内无燃烧滴落物引燃滤纸现象：检验结果为纵向1、纵向2、纵向3、横向1、横向2、横向3燃烧滴落物均未引燃滤纸。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2-28、燃烧性能等级：检验结果为B1（C）级。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2-29、多环芳烃：检验结果为15种多环芳烃总和：未检出。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2-30、投标人需提供带CMA和CNAS标志的省级及以上委托抽样检验的检测报告复印件，且需注明本次招标采购项目名称及编号并加盖受检单位公章。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3、桌身：整体采用1.0mm厚优质冷轧钢板，全部钢制件纳米陶瓷镀膜防锈处理；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结构：演示台设有储物柜，中间为演示台,设置电源主控系统、多媒体设备（主机、显示器、中控、功放、交换机）的位置预留。含330*440mmPP水槽、上下水软管和三联水嘴。滑道：抽屉全部采用优质三节承重式滚珠滑道开合十万次不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5、铰链：采用优质铰链，开合十万次不变形；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三联水嘴：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1048" w:type="dxa"/>
            <w:tcBorders>
              <w:top w:val="single" w:color="000000" w:sz="4" w:space="0"/>
              <w:left w:val="single" w:color="000000" w:sz="4" w:space="0"/>
              <w:bottom w:val="single" w:color="000000" w:sz="4" w:space="0"/>
              <w:right w:val="single" w:color="000000" w:sz="4" w:space="0"/>
            </w:tcBorders>
            <w:noWrap/>
            <w:vAlign w:val="center"/>
          </w:tcPr>
          <w:p w14:paraId="095FA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69436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FB5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7E60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80EA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教师洗眼器</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14:paraId="3B2714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1、洗眼喷头要求：采用不助燃PC材质模铸一体成形制作；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2、具有过滤泡棉及防尘功能，上面防尘盖平常可防尘，使用时可随时被水冲开，并降低突然打开时短暂的高水压，避免冲伤眼睛。</w:t>
            </w:r>
          </w:p>
        </w:tc>
        <w:tc>
          <w:tcPr>
            <w:tcW w:w="1048" w:type="dxa"/>
            <w:tcBorders>
              <w:top w:val="single" w:color="000000" w:sz="4" w:space="0"/>
              <w:left w:val="single" w:color="000000" w:sz="4" w:space="0"/>
              <w:bottom w:val="single" w:color="000000" w:sz="4" w:space="0"/>
              <w:right w:val="single" w:color="000000" w:sz="4" w:space="0"/>
            </w:tcBorders>
            <w:noWrap/>
            <w:vAlign w:val="center"/>
          </w:tcPr>
          <w:p w14:paraId="1CBDC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2B4F1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72B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7DA2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A8B2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教师大号三联水嘴</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14:paraId="21B26C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1、鹅颈式实验室专用优质化验水嘴：要求防酸碱、防锈、防虹吸、防阻塞，表面环氧树脂喷涂；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2、出水嘴为铜质瓷芯，高头，便于多用途使用，可拆卸清洗阻塞。出水嘴可拆卸，内有成型螺纹，可方便连接循环等特殊用水水管。</w:t>
            </w:r>
          </w:p>
        </w:tc>
        <w:tc>
          <w:tcPr>
            <w:tcW w:w="1048" w:type="dxa"/>
            <w:tcBorders>
              <w:top w:val="single" w:color="000000" w:sz="4" w:space="0"/>
              <w:left w:val="single" w:color="000000" w:sz="4" w:space="0"/>
              <w:bottom w:val="single" w:color="000000" w:sz="4" w:space="0"/>
              <w:right w:val="single" w:color="000000" w:sz="4" w:space="0"/>
            </w:tcBorders>
            <w:noWrap/>
            <w:vAlign w:val="center"/>
          </w:tcPr>
          <w:p w14:paraId="3A320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43BCB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363C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5"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9212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6349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实验桌</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14:paraId="17D073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米黄色:1、规格：1200*600*780mm；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2"/>
                <w:szCs w:val="22"/>
                <w:u w:val="none"/>
                <w:lang w:val="en-US" w:eastAsia="zh-CN" w:bidi="ar"/>
              </w:rPr>
              <w:t>2、台面：采用米黄色12.7mm厚双面膜实芯理化板，且依据GB/T4893.1-2021《家具表面漆膜理化性能试验第1部分：耐冷液测定法》、JC/T908-2013《人造石》、GB/T3854-2017《增强塑料巴柯尔硬度试验方法》、GB/T35601-2017《绿色产品评价人造板和木质地板》、GB/T32487-2016《塑料家具通用技术条件》、GB6566-2010《建筑材料放射性核素限量》、GB6675.4-2014《玩具安全第4部分：特定元素的迁移》、GB8624-2012《建筑材料及制品燃烧性能分级》、GB/T20284-2006《建筑材料或制品的单体燃烧试验》、GB/T8626-2007《建筑材料可燃性试验方法》、AfPS  GS 2019:01 PAK《在GS标志认证过程中多环芳香烃（PAHs）的检测和验证产品限量依据产品安全法案第三章节21（1）条款》满足如下参数要求：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表面耐污染性能：耐污染性能不少于60项试验污染物的检测，且包含：丙酮、食盐溶液（10%溶液）、氢氧化钠（25%的溶液）、双氧水（30%的溶液）、硝酸银（1%的溶液）、硝酸（65%的溶液）、硫酸（98%的溶液）、柠檬酸（10%溶液）等试剂，覆盖玻璃盖板和未覆盖玻璃盖板检验结果均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2-2、密度：检验结果为1.46g/cm³。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2-3、24h吸水率：检验结果为0.3%。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2-4、静曲强度：检验结果≥81.8MPa。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2-5、弹性模量：检验结果≥12060MPa。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2-6、尺寸稳定性：检验结果为0.1%。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2-7、耐高温性能：检验结果为试件表面无裂纹。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2-8、耐光色牢度：检验结果为4-5级。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2-9、表面耐水蒸气性能：检验结果为5级。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2-10、表面耐龟裂性能：检验结果为5级。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2-11、表面耐冷热循环性能：检验结果为无裂纹、鼓泡。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2-12、表面耐划痕性能：检验结果为表面无大于90%的连续划痕。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2-13、表面耐磨性能：检验结果≥650r（转）。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2-14、表面耐香烟灼烧性能：检验结果为5级。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2-15、表面耐干热性能：检验结果为5级。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2-16、表面耐湿热性能：检验结果为5级。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2-17、抗冲击性能：检查结果为落球高度1000mm，压痕直径≤4.26mm，有轻微压痕。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2-18、耐液性：检验结果为耐酸（10%乙酸溶液）1级，耐碱（10%碳酸钠溶液）1级。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2-19、巴氏硬度：实体面材：UPR类：检验结果≥72。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2-20、含水率：检验结果≤0.8%。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-21、品质属性：①甲醛释放量：检验结果≤0.02mg/m³。②挥发性有机化合物（72h）：A、苯，检验结果为未检出。B、甲苯，检验结果为6ug/m³。C、二甲苯，检验结果为未检出。D、总挥发性有机化合物，检验结果为46ug/m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2-22、建筑材料放射性核素限量：检验结果为IRa=0，Ir=0。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-23、玩具材料中可迁移元素的最大限量要求：其他玩具材料（除造型黏土和指画颜料）：A、锑，检验结果为未检出。B、砷，检验结果为未检出。C、钡，检验结果≤3.7mg/kg。D、镉，检验结果≤0.5mg/kg。E、铬，检验结果≤2.6mg/kg。F、铅，检验结果≤8.2mg/kg。G、汞，检验结果为0.02mg/kg。H、硒，检验结果为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2-24、火焰横向蔓延未到达试样长翼边缘：检验结果为三组试样火焰横向蔓延均未到达试样长翼边缘。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2-25、600s的总放热量（MJ）：检验结果≤15  15  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2-26、60s内焰尖高度（mm）：检验结果为纵向1、纵向2、纵向3、横向1、横向2、横向3火焰均未传播至150mm刻度线。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2-27、60s内无燃烧滴落物引燃滤纸现象：检验结果为纵向1、纵向2、纵向3、横向1、横向2、横向3燃烧滴落物均未引燃滤纸。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2-28、燃烧性能等级：检验结果为B1（C）级。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2-29、多环芳烃：检验结果为15种多环芳烃总和：未检出。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2-30、投标人需提供带CMA和CNAS标志的省级及以上委托抽样检验的检测报告复印件，且需注明本次招标采购项目名称及编号并加盖受检单位公章。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桌体采用流线型设计，支撑受力点合理布局，采用优质五金配件连接，不用胶水粘接，便于安装。外表面和内表面以可触及的隐蔽处，均无锐利的棱角、毛刺以及五金配件露出的锐利尖锐,所有接触人体的边棱均为倒圆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4、台身结构：新型塑铝结构，整体1180*570*760mm；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5、桌腿：采用工字型压铸铝一次成型，三段链接，材料表面经高压静电喷涂环氧树脂防护层，耐酸碱，耐腐蚀处理；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6、上腿规格：565*58*110mm，壁厚不小于2mm内部设有加强筋；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7、下腿规格：550*72*125mm，壁厚不小于2mm，配有M8*60mm的升降调节脚垫；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立柱：采用110×55mm，壁厚1.3mm，立柱两端内部有2个铸铝成型的螺丝链接位；内侧设有12*5mm的凹槽，使用锁拉扣链接桌体下横梁，调节方便，外侧设有装饰条。下横梁采用80*14.5mm目型铝型材制作壁厚1.2mm。前横梁采用29*27mm凹型铝型材制作壁厚1mm。中横梁采用29*31mm，D型铝型材制作壁厚1mm。后横梁：采用100*27mm，L型铝型材制作壁厚1mm。后横梁上侧设有挡水条。材料表面经高压静电喷涂环氧树脂防护层，耐酸碱，耐腐蚀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9、学生位设书包斗；书包斗:采用环保型ABS工程塑料一次性注塑成型。两个书包斗中间设有电源盒，方便使用。</w:t>
            </w:r>
          </w:p>
        </w:tc>
        <w:tc>
          <w:tcPr>
            <w:tcW w:w="1048" w:type="dxa"/>
            <w:tcBorders>
              <w:top w:val="single" w:color="000000" w:sz="4" w:space="0"/>
              <w:left w:val="single" w:color="000000" w:sz="4" w:space="0"/>
              <w:bottom w:val="single" w:color="000000" w:sz="4" w:space="0"/>
              <w:right w:val="single" w:color="000000" w:sz="4" w:space="0"/>
            </w:tcBorders>
            <w:noWrap/>
            <w:vAlign w:val="center"/>
          </w:tcPr>
          <w:p w14:paraId="6D0A0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49184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345A4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1"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6E57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4055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功能柱</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14:paraId="06EA7A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米黄色：1、功能柱:由底座、立柱、两端装饰条组成；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2、规格：长390mm宽220mm高720mm，采用环保型ABS工程塑料注塑成型；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3、底座尺寸：390*220*30mm，壁厚3mm，内部设有加强筋；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底座上设有6个螺丝口用于连接立柱和固定地面。立柱主体尺寸：340*195*690mm，上下口尺寸：300*145mm，立柱两端各设有两个螺丝固定口，装饰条用于掩盖螺丝口使其更加美观。主要功能是保护学生通风管道及电线电缆作用，配套于学生桌，美观大方。</w:t>
            </w:r>
          </w:p>
        </w:tc>
        <w:tc>
          <w:tcPr>
            <w:tcW w:w="1048" w:type="dxa"/>
            <w:tcBorders>
              <w:top w:val="single" w:color="000000" w:sz="4" w:space="0"/>
              <w:left w:val="single" w:color="000000" w:sz="4" w:space="0"/>
              <w:bottom w:val="single" w:color="000000" w:sz="4" w:space="0"/>
              <w:right w:val="single" w:color="000000" w:sz="4" w:space="0"/>
            </w:tcBorders>
            <w:noWrap/>
            <w:vAlign w:val="center"/>
          </w:tcPr>
          <w:p w14:paraId="2D700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0E8C1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78563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7"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30D7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D5A8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塑料水槽柜</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14:paraId="17160A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米黄色：1、柜体规格:595×400×790mm；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2、榫卯连接结构并合理布局加强筋，安装时不用胶水粘结，使用产品自身力量相互连接，产品不变形，不扭曲，用M6螺丝固定；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3、前门规格：510*365mm，主体壁厚不小于2mm背面设有厚2mm、高度不低于4.5mm的加强筋横6根竖6根；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4、前门带内凹式塑料扣手，门与整体水柜不用铰链连接，直接采用内嵌式组装。柜子整体采用环保型ABS工程塑料注塑成型；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5、水槽规格：595*380*300mm，水槽采用环保型PP材料一次性注塑成型，耐强酸碱&lt;80度有机溶剂并耐150度以下高温，壁厚3.5mm（含上水软管）；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6、侧板规格：495*550*30mm，左右侧板一致、主体壁厚不小于2.5mm，背面设有厚2mm、高度不低于5.5mm的加强筋横4根竖4根。</w:t>
            </w:r>
          </w:p>
        </w:tc>
        <w:tc>
          <w:tcPr>
            <w:tcW w:w="1048" w:type="dxa"/>
            <w:tcBorders>
              <w:top w:val="single" w:color="000000" w:sz="4" w:space="0"/>
              <w:left w:val="single" w:color="000000" w:sz="4" w:space="0"/>
              <w:bottom w:val="single" w:color="000000" w:sz="4" w:space="0"/>
              <w:right w:val="single" w:color="000000" w:sz="4" w:space="0"/>
            </w:tcBorders>
            <w:noWrap/>
            <w:vAlign w:val="center"/>
          </w:tcPr>
          <w:p w14:paraId="3DD32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4ACDD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3096F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3"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3359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7F96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学生小号三联水嘴</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14:paraId="629285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1、鹅颈式实验室专用优质化验水嘴：要求防酸碱、防锈、防虹吸、防阻塞，表面环氧树脂喷涂；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2、出水嘴为铜质瓷芯，高头，便于多用途使用，可拆卸清洗阻塞。出水嘴可拆卸，内有成型螺纹，可方便连接循环等特殊用水水管。</w:t>
            </w:r>
          </w:p>
        </w:tc>
        <w:tc>
          <w:tcPr>
            <w:tcW w:w="1048" w:type="dxa"/>
            <w:tcBorders>
              <w:top w:val="single" w:color="000000" w:sz="4" w:space="0"/>
              <w:left w:val="single" w:color="000000" w:sz="4" w:space="0"/>
              <w:bottom w:val="single" w:color="000000" w:sz="4" w:space="0"/>
              <w:right w:val="single" w:color="000000" w:sz="4" w:space="0"/>
            </w:tcBorders>
            <w:noWrap/>
            <w:vAlign w:val="center"/>
          </w:tcPr>
          <w:p w14:paraId="09CA1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55162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7DBCC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7"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D566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2468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教师电源</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14:paraId="3DC61F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l、漏电保护开关、工作指示灯选用国产优质产品，220V交流输出插座(六孔插座)取用国产优质产品；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2、低压交流电源：2-24V可调(每档2V)，额定电流3A(短路、过载自动保护、自动复位)；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3、直流稳压电源：1.5-18V连续可调，额定电流6A，18v—24v额定电流3A，(短路、过载自动保护、自动复位)；85系指针表显示；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4、直流大电流输出：9V／40A；8秒自动断开；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5、教师插座电源：220V交流，负载电流10A。五孔(或三孔两用)交流电源插座1个，设置在演示台的中间抽屉内；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A:由教师控制学生实验台交流220V电源，每组由空气开关控制，共分四组，并配有漏电保护开关；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B:由教师统一控制学生实验台低压电源，交流每档2V,共12档。直流可以在控制范围内微调。</w:t>
            </w:r>
          </w:p>
        </w:tc>
        <w:tc>
          <w:tcPr>
            <w:tcW w:w="1048" w:type="dxa"/>
            <w:tcBorders>
              <w:top w:val="single" w:color="000000" w:sz="4" w:space="0"/>
              <w:left w:val="single" w:color="000000" w:sz="4" w:space="0"/>
              <w:bottom w:val="single" w:color="000000" w:sz="4" w:space="0"/>
              <w:right w:val="single" w:color="000000" w:sz="4" w:space="0"/>
            </w:tcBorders>
            <w:noWrap/>
            <w:vAlign w:val="center"/>
          </w:tcPr>
          <w:p w14:paraId="423EB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17C76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E42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4"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D731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7158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学生实验电源</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14:paraId="2E904F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1、接受教师演示台送来的交流电源；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2、低压交直流电源：交流0-24每2V一档由教师统一调节控制，低压直流可在送来交流电源范围内微调，并配有表头显示输出（短路、过载自动保护、自动复位）；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3、交流电源：每台配备220V交流输出电源，电源全部由教师台控制。</w:t>
            </w:r>
          </w:p>
        </w:tc>
        <w:tc>
          <w:tcPr>
            <w:tcW w:w="1048" w:type="dxa"/>
            <w:tcBorders>
              <w:top w:val="single" w:color="000000" w:sz="4" w:space="0"/>
              <w:left w:val="single" w:color="000000" w:sz="4" w:space="0"/>
              <w:bottom w:val="single" w:color="000000" w:sz="4" w:space="0"/>
              <w:right w:val="single" w:color="000000" w:sz="4" w:space="0"/>
            </w:tcBorders>
            <w:noWrap/>
            <w:vAlign w:val="center"/>
          </w:tcPr>
          <w:p w14:paraId="4107C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660E0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20669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6F5F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C795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教师椅</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14:paraId="0346D7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1、五轮气动升降转椅，椅面及靠背为高回弹高密度海绵，黑色优质网面；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2、铝合金五星脚，带扶手。</w:t>
            </w:r>
          </w:p>
        </w:tc>
        <w:tc>
          <w:tcPr>
            <w:tcW w:w="1048" w:type="dxa"/>
            <w:tcBorders>
              <w:top w:val="single" w:color="000000" w:sz="4" w:space="0"/>
              <w:left w:val="single" w:color="000000" w:sz="4" w:space="0"/>
              <w:bottom w:val="single" w:color="000000" w:sz="4" w:space="0"/>
              <w:right w:val="single" w:color="000000" w:sz="4" w:space="0"/>
            </w:tcBorders>
            <w:noWrap/>
            <w:vAlign w:val="center"/>
          </w:tcPr>
          <w:p w14:paraId="09C7E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6AEB8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160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1"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DF7F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0540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学生凳</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14:paraId="57E1C5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一、凳面：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1、材质：采用米黄色环保型ABS改性塑料一次性注塑成型；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2、尺寸：直径300mm；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3、表面防滑不发光。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二、脚钢架：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1、材质及形状：椭圆形无缝钢管；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2、尺寸:20×40×1.2mm；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3、全圆满焊接完成，结构牢固，经高温粉体烤漆处理，长时间使用也不会产生表面烤漆剥落现象；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4、脚垫材质：采用PP加耐磨纤维质塑料，实心倒勾式一体射出成型；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5、凳面可通过旋转螺杆来升降凳子高度,可调高度5cm。</w:t>
            </w:r>
          </w:p>
        </w:tc>
        <w:tc>
          <w:tcPr>
            <w:tcW w:w="1048" w:type="dxa"/>
            <w:tcBorders>
              <w:top w:val="single" w:color="000000" w:sz="4" w:space="0"/>
              <w:left w:val="single" w:color="000000" w:sz="4" w:space="0"/>
              <w:bottom w:val="single" w:color="000000" w:sz="4" w:space="0"/>
              <w:right w:val="single" w:color="000000" w:sz="4" w:space="0"/>
            </w:tcBorders>
            <w:noWrap/>
            <w:vAlign w:val="center"/>
          </w:tcPr>
          <w:p w14:paraId="033A0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7AF66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51059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4"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B5C9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4E8B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供排水系统</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14:paraId="7F43BC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1、进水管采用优质PP-R管，主管直径25mm。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2、排水管采用优质PVC-U管，管直径50mm。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3、弯头、直接、三通、外丝管套、生料带、PVC管胶水等。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4、教室进水总开关配截止阀1个。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5、上水管采用不锈钢波纹管编织软管，长度不小于75cm，下水管采用优质硅胶接口PVC软管。</w:t>
            </w:r>
          </w:p>
        </w:tc>
        <w:tc>
          <w:tcPr>
            <w:tcW w:w="1048" w:type="dxa"/>
            <w:tcBorders>
              <w:top w:val="single" w:color="000000" w:sz="4" w:space="0"/>
              <w:left w:val="single" w:color="000000" w:sz="4" w:space="0"/>
              <w:bottom w:val="single" w:color="000000" w:sz="4" w:space="0"/>
              <w:right w:val="single" w:color="000000" w:sz="4" w:space="0"/>
            </w:tcBorders>
            <w:noWrap/>
            <w:vAlign w:val="center"/>
          </w:tcPr>
          <w:p w14:paraId="0B8AA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2D8D7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3AC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4"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7966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DDFA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电气布线</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14:paraId="2BE03F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1、电工管采用优质PVC-U管，管直径20mm，直接、管卡、电工胶布等。根据实验室实际，也可采用铝合金或不锈钢地面走线槽。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2、主干电源线采用4 mm2优质多芯铜质护套线。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3、支干电源线采用2.5mm2、1.5mm2优质多芯铜质护套线。</w:t>
            </w:r>
          </w:p>
        </w:tc>
        <w:tc>
          <w:tcPr>
            <w:tcW w:w="1048" w:type="dxa"/>
            <w:tcBorders>
              <w:top w:val="single" w:color="000000" w:sz="4" w:space="0"/>
              <w:left w:val="single" w:color="000000" w:sz="4" w:space="0"/>
              <w:bottom w:val="single" w:color="000000" w:sz="4" w:space="0"/>
              <w:right w:val="single" w:color="000000" w:sz="4" w:space="0"/>
            </w:tcBorders>
            <w:noWrap/>
            <w:vAlign w:val="center"/>
          </w:tcPr>
          <w:p w14:paraId="21BD8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5AD23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FD3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2578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104DE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调试安装</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14:paraId="785A18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组织设备安装，解决设备安装过程中的各种技术疑难问题。进行设备调试，处理设备调试过程中发生的各种异常现象。确保所供货设备能正常投入使用。</w:t>
            </w:r>
          </w:p>
        </w:tc>
        <w:tc>
          <w:tcPr>
            <w:tcW w:w="1048" w:type="dxa"/>
            <w:tcBorders>
              <w:top w:val="single" w:color="000000" w:sz="4" w:space="0"/>
              <w:left w:val="single" w:color="000000" w:sz="4" w:space="0"/>
              <w:bottom w:val="single" w:color="000000" w:sz="4" w:space="0"/>
              <w:right w:val="single" w:color="000000" w:sz="4" w:space="0"/>
            </w:tcBorders>
            <w:noWrap/>
            <w:vAlign w:val="center"/>
          </w:tcPr>
          <w:p w14:paraId="62112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6064B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0BE315E3">
      <w:pPr>
        <w:rPr>
          <w:b/>
          <w:color w:val="auto"/>
          <w:sz w:val="24"/>
        </w:rPr>
      </w:pPr>
    </w:p>
    <w:tbl>
      <w:tblPr>
        <w:tblStyle w:val="44"/>
        <w:tblW w:w="12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16"/>
        <w:gridCol w:w="1969"/>
        <w:gridCol w:w="7561"/>
        <w:gridCol w:w="1016"/>
        <w:gridCol w:w="1018"/>
      </w:tblGrid>
      <w:tr w14:paraId="5F441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7" w:hRule="atLeast"/>
        </w:trPr>
        <w:tc>
          <w:tcPr>
            <w:tcW w:w="12580" w:type="dxa"/>
            <w:gridSpan w:val="5"/>
            <w:tcBorders>
              <w:top w:val="single" w:color="000000" w:sz="4" w:space="0"/>
              <w:left w:val="single" w:color="000000" w:sz="4" w:space="0"/>
              <w:bottom w:val="single" w:color="000000" w:sz="4" w:space="0"/>
              <w:right w:val="single" w:color="000000" w:sz="4" w:space="0"/>
            </w:tcBorders>
            <w:noWrap/>
            <w:vAlign w:val="bottom"/>
          </w:tcPr>
          <w:p w14:paraId="3647D00F">
            <w:pPr>
              <w:keepNext w:val="0"/>
              <w:keepLines w:val="0"/>
              <w:widowControl/>
              <w:suppressLineNumbers w:val="0"/>
              <w:jc w:val="center"/>
              <w:textAlignment w:val="bottom"/>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化学准备室配置清单</w:t>
            </w:r>
          </w:p>
        </w:tc>
      </w:tr>
      <w:tr w14:paraId="56EDB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35F2B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8AF1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19C2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00FC81">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3588D9">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14:paraId="6E0A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5" w:hRule="atLeast"/>
        </w:trPr>
        <w:tc>
          <w:tcPr>
            <w:tcW w:w="1016" w:type="dxa"/>
            <w:tcBorders>
              <w:top w:val="single" w:color="000000" w:sz="4" w:space="0"/>
              <w:left w:val="single" w:color="000000" w:sz="4" w:space="0"/>
              <w:bottom w:val="single" w:color="000000" w:sz="4" w:space="0"/>
              <w:right w:val="single" w:color="000000" w:sz="4" w:space="0"/>
            </w:tcBorders>
            <w:noWrap w:val="0"/>
            <w:vAlign w:val="center"/>
          </w:tcPr>
          <w:p w14:paraId="4D887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14:paraId="4B80A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准备桌</w:t>
            </w:r>
          </w:p>
        </w:tc>
        <w:tc>
          <w:tcPr>
            <w:tcW w:w="7561" w:type="dxa"/>
            <w:tcBorders>
              <w:top w:val="single" w:color="000000" w:sz="4" w:space="0"/>
              <w:left w:val="single" w:color="000000" w:sz="4" w:space="0"/>
              <w:bottom w:val="single" w:color="000000" w:sz="4" w:space="0"/>
              <w:right w:val="single" w:color="000000" w:sz="4" w:space="0"/>
            </w:tcBorders>
            <w:noWrap w:val="0"/>
            <w:vAlign w:val="center"/>
          </w:tcPr>
          <w:p w14:paraId="6D1791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米黄色:1、规格：2400*1200*780mm；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2、台面：米黄色12.7mm厚实芯理化板，台面具耐热、耐磨、耐撞击、耐酸碱、耐腐蚀、防水等功能。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桌体采用流线型设计，支撑受力点合理布局，采用优质五金配件连接，不用胶水粘接，便于安装。外表面和内表面以可触及的隐蔽处，均无锐利的棱角、毛刺以及五金配件露出的锐利尖锐,所有接触人体的边棱均为倒圆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4、台身结构：整体1180*570四张框架对拼，新型塑铝结构，整体1180*570*760mm。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5、桌腿：采用工字型压铸铝一次成型，三段链接，材料表面经高压静电喷涂环氧树脂防护层，耐酸碱，耐腐蚀处理。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6、上腿规格：565*58*110mm，壁厚不小于2mm内部设有加强筋。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7、下腿规格：550*72*125mm，壁厚不小于2mm，配有M8*60mm的升降调节脚垫。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立柱：采用110×55mm，壁厚1.3mm，立柱两端内部有2个铸铝成型的螺丝链接位；内侧设有12*5mm的凹槽，使用锁拉扣链接桌体下横梁，调节方便，外侧设有装饰条。下横梁采用80*14.5mm目型铝型材制作壁厚1.2mm。前横梁采用29*27mm凹型铝型材制作壁厚1mm。中横梁采用29*31mmD型铝型材制作壁厚1mm。后横梁：采用29*27mm，凹型铝型材制作壁厚1mm。材料表面经高压静电喷涂环氧树脂防护层，耐酸碱，耐腐蚀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9、学生位设书包斗；书包斗:采用环保型ABS工程塑料一次性注塑成型。两个书包斗中间设有电源盒，方便使用。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B5F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D71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B1A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4" w:hRule="atLeast"/>
        </w:trPr>
        <w:tc>
          <w:tcPr>
            <w:tcW w:w="1016" w:type="dxa"/>
            <w:tcBorders>
              <w:top w:val="single" w:color="000000" w:sz="4" w:space="0"/>
              <w:left w:val="single" w:color="000000" w:sz="4" w:space="0"/>
              <w:bottom w:val="single" w:color="000000" w:sz="4" w:space="0"/>
              <w:right w:val="single" w:color="000000" w:sz="4" w:space="0"/>
            </w:tcBorders>
            <w:noWrap w:val="0"/>
            <w:vAlign w:val="center"/>
          </w:tcPr>
          <w:p w14:paraId="3922B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14:paraId="33DE2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塑料水槽柜</w:t>
            </w:r>
          </w:p>
        </w:tc>
        <w:tc>
          <w:tcPr>
            <w:tcW w:w="7561" w:type="dxa"/>
            <w:tcBorders>
              <w:top w:val="single" w:color="000000" w:sz="4" w:space="0"/>
              <w:left w:val="single" w:color="000000" w:sz="4" w:space="0"/>
              <w:bottom w:val="single" w:color="000000" w:sz="4" w:space="0"/>
              <w:right w:val="single" w:color="000000" w:sz="4" w:space="0"/>
            </w:tcBorders>
            <w:noWrap w:val="0"/>
            <w:vAlign w:val="center"/>
          </w:tcPr>
          <w:p w14:paraId="2E7E37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685165</wp:posOffset>
                  </wp:positionH>
                  <wp:positionV relativeFrom="paragraph">
                    <wp:posOffset>0</wp:posOffset>
                  </wp:positionV>
                  <wp:extent cx="9525" cy="149860"/>
                  <wp:effectExtent l="0" t="0" r="635" b="2540"/>
                  <wp:wrapNone/>
                  <wp:docPr id="1" name="Picture_1"/>
                  <wp:cNvGraphicFramePr/>
                  <a:graphic xmlns:a="http://schemas.openxmlformats.org/drawingml/2006/main">
                    <a:graphicData uri="http://schemas.openxmlformats.org/drawingml/2006/picture">
                      <pic:pic xmlns:pic="http://schemas.openxmlformats.org/drawingml/2006/picture">
                        <pic:nvPicPr>
                          <pic:cNvPr id="1" name="Picture_1"/>
                          <pic:cNvPicPr/>
                        </pic:nvPicPr>
                        <pic:blipFill>
                          <a:blip r:embed="rId14"/>
                          <a:stretch>
                            <a:fillRect/>
                          </a:stretch>
                        </pic:blipFill>
                        <pic:spPr>
                          <a:xfrm>
                            <a:off x="0" y="0"/>
                            <a:ext cx="9525" cy="1498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米黄色：1、柜体规格:595×400×790mm；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2、榫卯连接结构并合理布局加强筋，安装时不用胶水粘结，使用产品自身力量相互连接，产品不变形，不扭曲，用M6螺丝固定；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3、前门规格：510*365mm，主体壁厚不小于2mm背面设有厚2mm、高度不低于4.5mm的加强筋横6根竖6根；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4、前门带内凹式塑料扣手，门与整体水柜不用铰链连接，直接采用内嵌式组装。柜子整体采用环保型ABS工程塑料注塑成型；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5、水槽规格：595*380*300mm，水槽采用环保型PP材料一次性注塑成型，耐强酸碱&lt;80度有机溶剂并耐150度以下高温，壁厚3.5mm（含上水软管）；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6、侧板规格：495*550*30mm，左右侧板一致、主体壁厚不小于2.5mm，背面设有厚2mm、高度不低于5.5mm的加强筋横4根竖4根。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85E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357EE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49B9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3" w:hRule="atLeast"/>
        </w:trPr>
        <w:tc>
          <w:tcPr>
            <w:tcW w:w="1016" w:type="dxa"/>
            <w:tcBorders>
              <w:top w:val="single" w:color="000000" w:sz="4" w:space="0"/>
              <w:left w:val="single" w:color="000000" w:sz="4" w:space="0"/>
              <w:bottom w:val="single" w:color="000000" w:sz="4" w:space="0"/>
              <w:right w:val="single" w:color="000000" w:sz="4" w:space="0"/>
            </w:tcBorders>
            <w:noWrap w:val="0"/>
            <w:vAlign w:val="center"/>
          </w:tcPr>
          <w:p w14:paraId="63024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14:paraId="318EB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学生小号三联水嘴</w:t>
            </w:r>
          </w:p>
        </w:tc>
        <w:tc>
          <w:tcPr>
            <w:tcW w:w="7561" w:type="dxa"/>
            <w:tcBorders>
              <w:top w:val="single" w:color="000000" w:sz="4" w:space="0"/>
              <w:left w:val="single" w:color="000000" w:sz="4" w:space="0"/>
              <w:bottom w:val="single" w:color="000000" w:sz="4" w:space="0"/>
              <w:right w:val="single" w:color="000000" w:sz="4" w:space="0"/>
            </w:tcBorders>
            <w:noWrap w:val="0"/>
            <w:vAlign w:val="center"/>
          </w:tcPr>
          <w:p w14:paraId="35E0FF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1、鹅颈式实验室专用优质化验水嘴：要求防酸碱、防锈、防虹吸、防阻塞，表面环氧树脂喷涂；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2、出水嘴为铜质瓷芯，高头，便于多用途使用，可拆卸清洗阻塞。出水嘴可拆卸，内有成型螺纹，可方便连接循环等特殊用水水管。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4E1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188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6D9C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6" w:hRule="atLeast"/>
        </w:trPr>
        <w:tc>
          <w:tcPr>
            <w:tcW w:w="1016" w:type="dxa"/>
            <w:tcBorders>
              <w:top w:val="single" w:color="000000" w:sz="4" w:space="0"/>
              <w:left w:val="single" w:color="000000" w:sz="4" w:space="0"/>
              <w:bottom w:val="single" w:color="000000" w:sz="4" w:space="0"/>
              <w:right w:val="single" w:color="000000" w:sz="4" w:space="0"/>
            </w:tcBorders>
            <w:noWrap w:val="0"/>
            <w:vAlign w:val="center"/>
          </w:tcPr>
          <w:p w14:paraId="0FE1D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14:paraId="04611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洗眼器</w:t>
            </w:r>
          </w:p>
        </w:tc>
        <w:tc>
          <w:tcPr>
            <w:tcW w:w="7561" w:type="dxa"/>
            <w:tcBorders>
              <w:top w:val="single" w:color="000000" w:sz="4" w:space="0"/>
              <w:left w:val="single" w:color="000000" w:sz="4" w:space="0"/>
              <w:bottom w:val="single" w:color="000000" w:sz="4" w:space="0"/>
              <w:right w:val="single" w:color="000000" w:sz="4" w:space="0"/>
            </w:tcBorders>
            <w:noWrap w:val="0"/>
            <w:vAlign w:val="center"/>
          </w:tcPr>
          <w:p w14:paraId="7A91C1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1、洗眼喷头要求：采用不助燃PC材质模铸一体成形制作；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2、具有过滤泡棉及防尘功能，上面防尘盖平常可防尘，使用时可随时被水冲开，并降低突然打开时短暂的高水压，避免冲伤眼睛。</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181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4007E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69D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016" w:type="dxa"/>
            <w:tcBorders>
              <w:top w:val="single" w:color="000000" w:sz="4" w:space="0"/>
              <w:left w:val="single" w:color="000000" w:sz="4" w:space="0"/>
              <w:bottom w:val="single" w:color="000000" w:sz="4" w:space="0"/>
              <w:right w:val="single" w:color="000000" w:sz="4" w:space="0"/>
            </w:tcBorders>
            <w:noWrap w:val="0"/>
            <w:vAlign w:val="center"/>
          </w:tcPr>
          <w:p w14:paraId="2677F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14:paraId="30865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试剂架</w:t>
            </w:r>
          </w:p>
        </w:tc>
        <w:tc>
          <w:tcPr>
            <w:tcW w:w="7561" w:type="dxa"/>
            <w:tcBorders>
              <w:top w:val="single" w:color="000000" w:sz="4" w:space="0"/>
              <w:left w:val="single" w:color="000000" w:sz="4" w:space="0"/>
              <w:bottom w:val="single" w:color="000000" w:sz="4" w:space="0"/>
              <w:right w:val="single" w:color="000000" w:sz="4" w:space="0"/>
            </w:tcBorders>
            <w:noWrap w:val="0"/>
            <w:vAlign w:val="center"/>
          </w:tcPr>
          <w:p w14:paraId="30F71D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尺寸：≥2000mm*350mm*750mm。材料：钢玻结构制造。</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7AA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0FAF0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789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3" w:hRule="atLeast"/>
        </w:trPr>
        <w:tc>
          <w:tcPr>
            <w:tcW w:w="1016" w:type="dxa"/>
            <w:tcBorders>
              <w:top w:val="single" w:color="000000" w:sz="4" w:space="0"/>
              <w:left w:val="single" w:color="000000" w:sz="4" w:space="0"/>
              <w:bottom w:val="single" w:color="000000" w:sz="4" w:space="0"/>
              <w:right w:val="single" w:color="000000" w:sz="4" w:space="0"/>
            </w:tcBorders>
            <w:noWrap w:val="0"/>
            <w:vAlign w:val="center"/>
          </w:tcPr>
          <w:p w14:paraId="09291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14:paraId="1BCEA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仪器柜</w:t>
            </w:r>
          </w:p>
        </w:tc>
        <w:tc>
          <w:tcPr>
            <w:tcW w:w="7561" w:type="dxa"/>
            <w:tcBorders>
              <w:top w:val="single" w:color="000000" w:sz="4" w:space="0"/>
              <w:left w:val="single" w:color="000000" w:sz="4" w:space="0"/>
              <w:bottom w:val="single" w:color="000000" w:sz="4" w:space="0"/>
              <w:right w:val="single" w:color="000000" w:sz="4" w:space="0"/>
            </w:tcBorders>
            <w:noWrap w:val="0"/>
            <w:vAlign w:val="center"/>
          </w:tcPr>
          <w:p w14:paraId="75084D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米黄色：1、规格：1000×500×2000mm；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2、柜体：侧板、顶底板采用改性PP材料模具一次成型，表面沙面和光面相结合处理，保证柜体之坚固及密封性，耐腐蚀性强，顶板、底板预留模具成型排风孔。底部镶嵌15mm*30mm*1.2mm钢制横梁，承重力强；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3、下柜柜门：内框采用改性PP材质模具一次成型，外嵌5mm厚钢化烤漆玻璃。上下拉手及三角对称五点固定，防止玻璃的松动或开合。伸缩式PP旋转门轴，四角圆弧倒角，内侧弧形圆边，配锁；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层板：上柜配置两块活动层板，下柜配置一块活动层板，层板全部采用改性PP材料模具一次成型，表面沙面和光面相结合处理，四周有阻水边，底部镶嵌两根15mm*30mm*1.2mm钢制横梁，承重力强。整体设计为活动式，可随意抽取放在合适的隔层，自由组合各层空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6、拉手：采用改性PP材料模具一次成型，直角梯形四周倒圆与柜门平行，开启方便；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7、门铰链：采用改性PP材料模具一次成型，伸缩式PP旋转门轴，永不生锈，耐腐蚀性好；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8、螺丝：不锈钢材质。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15E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4D7BD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r>
      <w:tr w14:paraId="79EF4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4" w:hRule="atLeast"/>
        </w:trPr>
        <w:tc>
          <w:tcPr>
            <w:tcW w:w="1016" w:type="dxa"/>
            <w:tcBorders>
              <w:top w:val="single" w:color="000000" w:sz="4" w:space="0"/>
              <w:left w:val="single" w:color="000000" w:sz="4" w:space="0"/>
              <w:bottom w:val="single" w:color="000000" w:sz="4" w:space="0"/>
              <w:right w:val="single" w:color="000000" w:sz="4" w:space="0"/>
            </w:tcBorders>
            <w:noWrap w:val="0"/>
            <w:vAlign w:val="center"/>
          </w:tcPr>
          <w:p w14:paraId="3C71B79E">
            <w:pPr>
              <w:jc w:val="center"/>
              <w:rPr>
                <w:rFonts w:hint="eastAsia" w:ascii="宋体" w:hAnsi="宋体" w:eastAsia="宋体" w:cs="宋体"/>
                <w:i w:val="0"/>
                <w:iCs w:val="0"/>
                <w:color w:val="000000"/>
                <w:sz w:val="22"/>
                <w:szCs w:val="22"/>
                <w:u w:val="none"/>
              </w:rPr>
            </w:pPr>
          </w:p>
        </w:tc>
        <w:tc>
          <w:tcPr>
            <w:tcW w:w="1969" w:type="dxa"/>
            <w:tcBorders>
              <w:top w:val="single" w:color="000000" w:sz="4" w:space="0"/>
              <w:left w:val="single" w:color="000000" w:sz="4" w:space="0"/>
              <w:bottom w:val="single" w:color="000000" w:sz="4" w:space="0"/>
              <w:right w:val="single" w:color="000000" w:sz="4" w:space="0"/>
            </w:tcBorders>
            <w:noWrap w:val="0"/>
            <w:vAlign w:val="center"/>
          </w:tcPr>
          <w:p w14:paraId="5175C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易燃品储存柜</w:t>
            </w:r>
          </w:p>
        </w:tc>
        <w:tc>
          <w:tcPr>
            <w:tcW w:w="7561" w:type="dxa"/>
            <w:tcBorders>
              <w:top w:val="single" w:color="000000" w:sz="4" w:space="0"/>
              <w:left w:val="single" w:color="000000" w:sz="4" w:space="0"/>
              <w:bottom w:val="single" w:color="000000" w:sz="4" w:space="0"/>
              <w:right w:val="single" w:color="000000" w:sz="4" w:space="0"/>
            </w:tcBorders>
            <w:noWrap w:val="0"/>
            <w:vAlign w:val="center"/>
          </w:tcPr>
          <w:p w14:paraId="2376D8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1、规格：900×500×1840mm；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2、柜整体为两层构造，壳体全部采用1.2mm优质冷轧钢板，柜底采用2.0mm冷轧钢板，柜体内胆采用pp板，柜底配有可调风阀；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3、柜体的底板中部有直径为10mm的漏液孔，柜体底部设有高度为160mm的黄沙挡板，最下层留有120mm厚的黄沙填埋腔，柜底装有4个移动钢轮，前轮后有2个手动调节螺杆，柜中有3个三层阶梯式活动隔板并附有pp板；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4、下层隔板边沿镶有护栏，护栏中间嵌有红黄蓝警示标志，柜子顶部中间带有风机出风口，电源电压220V，控制开关位于柜体右上角，柜门上安装有电子密码锁和机械锁（双锁结构）；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5、防火，防盗，防腐蚀。</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14:paraId="62CD0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2BBC5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452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4" w:hRule="atLeast"/>
        </w:trPr>
        <w:tc>
          <w:tcPr>
            <w:tcW w:w="1016" w:type="dxa"/>
            <w:tcBorders>
              <w:top w:val="single" w:color="000000" w:sz="4" w:space="0"/>
              <w:left w:val="single" w:color="000000" w:sz="4" w:space="0"/>
              <w:bottom w:val="single" w:color="000000" w:sz="4" w:space="0"/>
              <w:right w:val="single" w:color="000000" w:sz="4" w:space="0"/>
            </w:tcBorders>
            <w:noWrap w:val="0"/>
            <w:vAlign w:val="center"/>
          </w:tcPr>
          <w:p w14:paraId="60B32871">
            <w:pPr>
              <w:jc w:val="center"/>
              <w:rPr>
                <w:rFonts w:hint="eastAsia" w:ascii="宋体" w:hAnsi="宋体" w:eastAsia="宋体" w:cs="宋体"/>
                <w:i w:val="0"/>
                <w:iCs w:val="0"/>
                <w:color w:val="000000"/>
                <w:sz w:val="22"/>
                <w:szCs w:val="22"/>
                <w:u w:val="none"/>
              </w:rPr>
            </w:pPr>
          </w:p>
        </w:tc>
        <w:tc>
          <w:tcPr>
            <w:tcW w:w="1969" w:type="dxa"/>
            <w:tcBorders>
              <w:top w:val="single" w:color="000000" w:sz="4" w:space="0"/>
              <w:left w:val="single" w:color="000000" w:sz="4" w:space="0"/>
              <w:bottom w:val="single" w:color="000000" w:sz="4" w:space="0"/>
              <w:right w:val="single" w:color="000000" w:sz="4" w:space="0"/>
            </w:tcBorders>
            <w:noWrap w:val="0"/>
            <w:vAlign w:val="center"/>
          </w:tcPr>
          <w:p w14:paraId="01526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毒害品储存柜</w:t>
            </w:r>
          </w:p>
        </w:tc>
        <w:tc>
          <w:tcPr>
            <w:tcW w:w="7561" w:type="dxa"/>
            <w:tcBorders>
              <w:top w:val="single" w:color="000000" w:sz="4" w:space="0"/>
              <w:left w:val="single" w:color="000000" w:sz="4" w:space="0"/>
              <w:bottom w:val="single" w:color="000000" w:sz="4" w:space="0"/>
              <w:right w:val="single" w:color="000000" w:sz="4" w:space="0"/>
            </w:tcBorders>
            <w:noWrap w:val="0"/>
            <w:vAlign w:val="center"/>
          </w:tcPr>
          <w:p w14:paraId="1B9372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1、规格：900×500×1840mm；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2、柜整体为两层构造，壳体全部采用1.2mm优质冷轧钢板，柜底采用2.0mm冷轧钢板，柜体内胆采用pp板，柜底配有可调风阀；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3、柜体的底板中部有直径为10mm的漏液孔，柜体底部设有高度为160mm的黄沙挡板，最下层留有120mm厚的黄沙填埋腔，柜底装有4个移动钢轮，前轮后有2个手动调节螺杆，柜中有3个三层阶梯式活动隔板并附有pp板；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4、下层隔板边沿镶有护栏，护栏中间嵌有红黄蓝警示标志，柜子顶部中间带有风机出风口，电源电压220V，控制开关位于柜体右上角，柜门上安装有电子密码锁和机械锁（双锁结构）；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5、防火，防盗，防腐蚀。</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14:paraId="28C5B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69233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7D5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1016" w:type="dxa"/>
            <w:tcBorders>
              <w:top w:val="single" w:color="000000" w:sz="4" w:space="0"/>
              <w:left w:val="single" w:color="000000" w:sz="4" w:space="0"/>
              <w:bottom w:val="single" w:color="000000" w:sz="4" w:space="0"/>
              <w:right w:val="single" w:color="000000" w:sz="4" w:space="0"/>
            </w:tcBorders>
            <w:noWrap w:val="0"/>
            <w:vAlign w:val="center"/>
          </w:tcPr>
          <w:p w14:paraId="4CDA2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14:paraId="5BCB2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教师椅</w:t>
            </w:r>
          </w:p>
        </w:tc>
        <w:tc>
          <w:tcPr>
            <w:tcW w:w="7561" w:type="dxa"/>
            <w:tcBorders>
              <w:top w:val="single" w:color="000000" w:sz="4" w:space="0"/>
              <w:left w:val="single" w:color="000000" w:sz="4" w:space="0"/>
              <w:bottom w:val="single" w:color="000000" w:sz="4" w:space="0"/>
              <w:right w:val="single" w:color="000000" w:sz="4" w:space="0"/>
            </w:tcBorders>
            <w:noWrap w:val="0"/>
            <w:vAlign w:val="center"/>
          </w:tcPr>
          <w:p w14:paraId="0B550B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1、五轮气动升降转椅，椅面及靠背为高回弹高密度海绵，黑色优质网面；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2、铝合金五星脚，带扶手。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50C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156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D8AD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1016" w:type="dxa"/>
            <w:tcBorders>
              <w:top w:val="single" w:color="000000" w:sz="4" w:space="0"/>
              <w:left w:val="single" w:color="000000" w:sz="4" w:space="0"/>
              <w:bottom w:val="single" w:color="000000" w:sz="4" w:space="0"/>
              <w:right w:val="single" w:color="000000" w:sz="4" w:space="0"/>
            </w:tcBorders>
            <w:noWrap w:val="0"/>
            <w:vAlign w:val="center"/>
          </w:tcPr>
          <w:p w14:paraId="5E6E8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14:paraId="03DBE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电气布线</w:t>
            </w:r>
          </w:p>
        </w:tc>
        <w:tc>
          <w:tcPr>
            <w:tcW w:w="7561" w:type="dxa"/>
            <w:tcBorders>
              <w:top w:val="single" w:color="000000" w:sz="4" w:space="0"/>
              <w:left w:val="single" w:color="000000" w:sz="4" w:space="0"/>
              <w:bottom w:val="single" w:color="000000" w:sz="4" w:space="0"/>
              <w:right w:val="single" w:color="000000" w:sz="4" w:space="0"/>
            </w:tcBorders>
            <w:noWrap w:val="0"/>
            <w:vAlign w:val="center"/>
          </w:tcPr>
          <w:p w14:paraId="24F528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1、电工管采用优质PVC-U管，管直径20mm，直接、管卡、电工胶布等。根据实验室实际，也可采用铝合金或不锈钢地面走线槽。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2、主干电源线采用4 mm2优质多芯铜质护套线。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3、支干电源线采用2.5mm2、1.5mm2优质多芯铜质护套线。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50F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19D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16F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1016" w:type="dxa"/>
            <w:tcBorders>
              <w:top w:val="single" w:color="000000" w:sz="4" w:space="0"/>
              <w:left w:val="single" w:color="000000" w:sz="4" w:space="0"/>
              <w:bottom w:val="single" w:color="000000" w:sz="4" w:space="0"/>
              <w:right w:val="single" w:color="000000" w:sz="4" w:space="0"/>
            </w:tcBorders>
            <w:noWrap w:val="0"/>
            <w:vAlign w:val="center"/>
          </w:tcPr>
          <w:p w14:paraId="372C9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14:paraId="41081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供排水系统</w:t>
            </w:r>
          </w:p>
        </w:tc>
        <w:tc>
          <w:tcPr>
            <w:tcW w:w="7561" w:type="dxa"/>
            <w:tcBorders>
              <w:top w:val="single" w:color="000000" w:sz="4" w:space="0"/>
              <w:left w:val="single" w:color="000000" w:sz="4" w:space="0"/>
              <w:bottom w:val="single" w:color="000000" w:sz="4" w:space="0"/>
              <w:right w:val="single" w:color="000000" w:sz="4" w:space="0"/>
            </w:tcBorders>
            <w:noWrap w:val="0"/>
            <w:vAlign w:val="center"/>
          </w:tcPr>
          <w:p w14:paraId="7EC340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1、进水管采用优质PP-R管，主管直径25mm。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2、排水管采用优质PVC-U管，管直径50mm。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3、弯头、直接、三通、外丝管套、生料带、PVC管胶水等。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4、上水管采用不锈钢波纹管编织软管，长度不小于75cm，下水管采用优质硅胶接口PVC软管。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2DC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202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418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16" w:type="dxa"/>
            <w:tcBorders>
              <w:top w:val="single" w:color="000000" w:sz="4" w:space="0"/>
              <w:left w:val="single" w:color="000000" w:sz="4" w:space="0"/>
              <w:bottom w:val="single" w:color="000000" w:sz="4" w:space="0"/>
              <w:right w:val="single" w:color="000000" w:sz="4" w:space="0"/>
            </w:tcBorders>
            <w:noWrap w:val="0"/>
            <w:vAlign w:val="center"/>
          </w:tcPr>
          <w:p w14:paraId="6F77E6F4">
            <w:pPr>
              <w:jc w:val="center"/>
              <w:rPr>
                <w:rFonts w:hint="eastAsia" w:ascii="宋体" w:hAnsi="宋体" w:eastAsia="宋体" w:cs="宋体"/>
                <w:i w:val="0"/>
                <w:iCs w:val="0"/>
                <w:color w:val="000000"/>
                <w:sz w:val="22"/>
                <w:szCs w:val="22"/>
                <w:u w:val="none"/>
              </w:rPr>
            </w:pPr>
          </w:p>
        </w:tc>
        <w:tc>
          <w:tcPr>
            <w:tcW w:w="1969" w:type="dxa"/>
            <w:tcBorders>
              <w:top w:val="single" w:color="000000" w:sz="4" w:space="0"/>
              <w:left w:val="single" w:color="000000" w:sz="4" w:space="0"/>
              <w:bottom w:val="single" w:color="000000" w:sz="4" w:space="0"/>
              <w:right w:val="single" w:color="000000" w:sz="4" w:space="0"/>
            </w:tcBorders>
            <w:noWrap w:val="0"/>
            <w:vAlign w:val="center"/>
          </w:tcPr>
          <w:p w14:paraId="398F8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w:t>
            </w:r>
          </w:p>
        </w:tc>
        <w:tc>
          <w:tcPr>
            <w:tcW w:w="7561" w:type="dxa"/>
            <w:tcBorders>
              <w:top w:val="single" w:color="000000" w:sz="4" w:space="0"/>
              <w:left w:val="single" w:color="000000" w:sz="4" w:space="0"/>
              <w:bottom w:val="single" w:color="000000" w:sz="4" w:space="0"/>
              <w:right w:val="single" w:color="000000" w:sz="4" w:space="0"/>
            </w:tcBorders>
            <w:noWrap w:val="0"/>
            <w:vAlign w:val="center"/>
          </w:tcPr>
          <w:p w14:paraId="69B669D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5A9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581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017C5F7B">
      <w:pPr>
        <w:rPr>
          <w:b/>
          <w:color w:val="auto"/>
          <w:sz w:val="24"/>
        </w:rPr>
      </w:pPr>
    </w:p>
    <w:tbl>
      <w:tblPr>
        <w:tblStyle w:val="44"/>
        <w:tblW w:w="12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5"/>
        <w:gridCol w:w="1831"/>
        <w:gridCol w:w="7971"/>
        <w:gridCol w:w="945"/>
        <w:gridCol w:w="948"/>
      </w:tblGrid>
      <w:tr w14:paraId="6BEA9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2640" w:type="dxa"/>
            <w:gridSpan w:val="5"/>
            <w:tcBorders>
              <w:top w:val="single" w:color="000000" w:sz="4" w:space="0"/>
              <w:left w:val="single" w:color="000000" w:sz="4" w:space="0"/>
              <w:bottom w:val="single" w:color="000000" w:sz="4" w:space="0"/>
              <w:right w:val="single" w:color="000000" w:sz="4" w:space="0"/>
            </w:tcBorders>
            <w:noWrap/>
            <w:vAlign w:val="bottom"/>
          </w:tcPr>
          <w:p w14:paraId="178F960B">
            <w:pPr>
              <w:keepNext w:val="0"/>
              <w:keepLines w:val="0"/>
              <w:widowControl/>
              <w:suppressLineNumbers w:val="0"/>
              <w:jc w:val="center"/>
              <w:textAlignment w:val="bottom"/>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60座生物综合实验室配置清单</w:t>
            </w:r>
          </w:p>
        </w:tc>
      </w:tr>
      <w:tr w14:paraId="61A58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34C9B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725A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26FD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AA04D4">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DE9873">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14:paraId="55F4B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5AC8E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3D02F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教师演示台</w:t>
            </w:r>
          </w:p>
        </w:tc>
        <w:tc>
          <w:tcPr>
            <w:tcW w:w="7971" w:type="dxa"/>
            <w:tcBorders>
              <w:top w:val="single" w:color="000000" w:sz="4" w:space="0"/>
              <w:left w:val="single" w:color="000000" w:sz="4" w:space="0"/>
              <w:bottom w:val="single" w:color="000000" w:sz="4" w:space="0"/>
              <w:right w:val="single" w:color="000000" w:sz="4" w:space="0"/>
            </w:tcBorders>
            <w:noWrap w:val="0"/>
            <w:vAlign w:val="center"/>
          </w:tcPr>
          <w:p w14:paraId="599CE6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1、规格：2400*700*850mm；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2"/>
                <w:szCs w:val="22"/>
                <w:u w:val="none"/>
                <w:lang w:val="en-US" w:eastAsia="zh-CN" w:bidi="ar"/>
              </w:rPr>
              <w:t>、台面：采用浅豆绿色13mm厚优抗板，且依据GB/T4893.1-2021《家具表面漆膜理化性能试验第1部分：耐冷液测定法》、JC/T908-2013《人造石》、GB/T3854-2017《增强塑料巴柯尔硬度试验方法》、GB/T35601-2017《绿色产品评价人造板和木质地板》、GB/T32487-2016《塑料家具通用技术条件》、GB6566-2010《建筑材料放射性核素限量》、GB6675.4-2014《玩具安全第4部分：特定元素的迁移》、GB8624-2012《建筑材料及制品燃烧性能分级》、AfPS  GS 2019:01 PAK《在GS标志认证过程中多环芳香烃（PAHs）的检测和验证产品限量依据产品安全法案第三章节21（1）条款》满足如下参数要求：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2"/>
                <w:szCs w:val="22"/>
                <w:u w:val="none"/>
                <w:lang w:val="en-US" w:eastAsia="zh-CN" w:bidi="ar"/>
              </w:rPr>
              <w:t>2-1、表面耐污染性能：耐污染性能不少于60项试验污染物的检测，且包含：丙酮、食盐溶液（10%溶液）、氢氧化钠（25%的溶液）、双氧水（30%的溶液）、硝酸银（1%的溶液）、硝酸（65%的溶液）、硫酸（98%的溶液）、柠檬酸（10%溶液）等试剂，覆盖玻璃盖板和未覆盖玻璃盖板检验结果均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2-2、密度：检验结果≥1.48g/cm³。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2-3、24h吸水率：检验结果≤0.4%。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2-4、静曲强度：检验结果≥78.0MPa。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-5、弹性模量：检验结果≥11480MPa。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2-6、尺寸稳定性：检验结果≤0.6%。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2-7、耐高温性能：检验结果为试件表面无裂纹。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2-8、耐光色牢度：检验结果为4-5级。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2-9、表面耐水蒸气性能：检验结果为5级。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2-10、表面耐龟裂性能：检验结果为5级。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2-11、表面耐冷热循环性能：检验结果为无裂纹、鼓泡。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2-12、表面耐划痕性能：检验结果为表面无大于90%的连续划痕。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2-13、表面耐磨性能：检验结果为700r（转）。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2-14、表面耐香烟灼烧性能：检验结果为5级。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2-15、表面耐干热性能：检验结果为5级。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2-16、表面耐湿热性能：检验结果为5级。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2-17、抗冲击性能：检查结果为落球高度1000mm，压痕直径≤4.47mm，有轻微压痕。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2-18、耐液性：检验结果为耐酸（10%乙酸溶液）1级，耐碱（10%碳酸钠溶液）1级。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2-19、巴氏硬度：实体面材：UPR类：检验结果≥73。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2-20、含水率：检验结果≤0.7%。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-21、品质属性：①甲醛释放量：检验结果≤0.03mg/m³。②挥发性有机化合物（72h）：A、苯，检验结果为未检出。B、甲苯，检验结果为未检出。C、二甲苯，检验结果为未检出。D、总挥发性有机化合物，检验结果为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2-22、建筑材料放射性核素限量：检验结果为IRa=0，Ir=0。</w:t>
            </w:r>
            <w:r>
              <w:rPr>
                <w:rFonts w:hint="eastAsia" w:ascii="宋体" w:hAnsi="宋体" w:eastAsia="宋体" w:cs="宋体"/>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2"/>
                <w:szCs w:val="22"/>
                <w:u w:val="none"/>
                <w:lang w:val="en-US" w:eastAsia="zh-CN" w:bidi="ar"/>
              </w:rPr>
              <w:t>2-23、玩具材料中可迁移元素的最大限量要求：其他玩具材料（除造型黏土和指画颜料）：A、锑，检验结果为未检出。B、砷，检验结果为未检出。C、钡，检验结果≤2.8mg/kg。D、镉，检验结果≤0.5mg/kg。E、铬，检验结果≤2.4mg/kg。F、铅，检验结果≤7.3mg/kg。G、汞，检验结果≤0.02mg/kg。H、硒，检验结果为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2-24、火焰横向蔓延未到达试样长翼边缘：检验结果为三组试样火焰横向蔓延均未到达试样长翼边缘。</w:t>
            </w:r>
            <w:r>
              <w:rPr>
                <w:rFonts w:hint="eastAsia" w:ascii="宋体" w:hAnsi="宋体" w:eastAsia="宋体" w:cs="宋体"/>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2"/>
                <w:szCs w:val="22"/>
                <w:u w:val="none"/>
                <w:lang w:val="en-US" w:eastAsia="zh-CN" w:bidi="ar"/>
              </w:rPr>
              <w:t>2-25、600s的总放热量（MJ）：检验结果≤15  15  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2-26、60s内焰尖高度：检验结果为纵向1、纵向2、纵向3、横向1、横向2、横向3火焰均未传播至150mm刻度线。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2"/>
                <w:szCs w:val="22"/>
                <w:u w:val="none"/>
                <w:lang w:val="en-US" w:eastAsia="zh-CN" w:bidi="ar"/>
              </w:rPr>
              <w:t>2-27、60s内无燃烧滴落物引燃滤纸现象：检验结果为纵向1、纵向2、纵向3、横向1、横向2、横向3燃烧滴落物均未引燃滤纸。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2-28、燃烧性能等级：检验结果为B1（C）级。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2-29、多环芳烃：检验结果为15种多环芳烃总和：未检出。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2-30、投标人需提供带CMA和CNAS标志的省级及以上委托抽样检验的检测报告复印件，且需注明本次招标采购项目名称及编号并加盖受检单位公章。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3、桌身：整体采用1.0mm厚优质冷轧钢板，全部钢制件纳米陶瓷镀膜防锈处理；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结构：演示台设有储物柜，中间为演示台,设置电源主控系统、多媒体设备（主机、显示器、中控、功放、交换机）的位置预留。含330*440mmPP水槽、上下水软管和三联水嘴。滑道：抽屉全部采用优质三节承重式滚珠滑道开合十万次不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5、铰链：采用优质铰链，开合十万次不变形；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三联水嘴：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FD1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15D34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3E0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1"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74237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13886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教师洗眼器</w:t>
            </w:r>
          </w:p>
        </w:tc>
        <w:tc>
          <w:tcPr>
            <w:tcW w:w="7971" w:type="dxa"/>
            <w:tcBorders>
              <w:top w:val="single" w:color="000000" w:sz="4" w:space="0"/>
              <w:left w:val="single" w:color="000000" w:sz="4" w:space="0"/>
              <w:bottom w:val="single" w:color="000000" w:sz="4" w:space="0"/>
              <w:right w:val="single" w:color="000000" w:sz="4" w:space="0"/>
            </w:tcBorders>
            <w:noWrap w:val="0"/>
            <w:vAlign w:val="center"/>
          </w:tcPr>
          <w:p w14:paraId="6B5990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1、洗眼喷头要求：采用不助燃PC材质模铸一体成形制作；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2、具有过滤泡棉及防尘功能，上面防尘盖平常可防尘，使用时可随时被水冲开，并降低突然打开时短暂的高水压，避免冲伤眼睛。</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A98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422A9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395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1"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6914C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5CBF2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教师大号三联水嘴</w:t>
            </w:r>
          </w:p>
        </w:tc>
        <w:tc>
          <w:tcPr>
            <w:tcW w:w="7971" w:type="dxa"/>
            <w:tcBorders>
              <w:top w:val="single" w:color="000000" w:sz="4" w:space="0"/>
              <w:left w:val="single" w:color="000000" w:sz="4" w:space="0"/>
              <w:bottom w:val="single" w:color="000000" w:sz="4" w:space="0"/>
              <w:right w:val="single" w:color="000000" w:sz="4" w:space="0"/>
            </w:tcBorders>
            <w:noWrap w:val="0"/>
            <w:vAlign w:val="center"/>
          </w:tcPr>
          <w:p w14:paraId="46B088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1、鹅颈式实验室专用优质化验水嘴：要求防酸碱、防锈、防虹吸、防阻塞，表面环氧树脂喷涂；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2、出水嘴为铜质瓷芯，高头，便于多用途使用，可拆卸清洗阻塞。出水嘴可拆卸，内有成型螺纹，可方便连接循环等特殊用水水管。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D4A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D08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BF6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4"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69DBB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0E16A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实验桌</w:t>
            </w:r>
          </w:p>
        </w:tc>
        <w:tc>
          <w:tcPr>
            <w:tcW w:w="7971" w:type="dxa"/>
            <w:tcBorders>
              <w:top w:val="single" w:color="000000" w:sz="4" w:space="0"/>
              <w:left w:val="single" w:color="000000" w:sz="4" w:space="0"/>
              <w:bottom w:val="single" w:color="000000" w:sz="4" w:space="0"/>
              <w:right w:val="single" w:color="000000" w:sz="4" w:space="0"/>
            </w:tcBorders>
            <w:noWrap w:val="0"/>
            <w:vAlign w:val="center"/>
          </w:tcPr>
          <w:p w14:paraId="7C18A3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豆绿色;1、规格：1200*600*780mm；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2"/>
                <w:szCs w:val="22"/>
                <w:u w:val="none"/>
                <w:lang w:val="en-US" w:eastAsia="zh-CN" w:bidi="ar"/>
              </w:rPr>
              <w:t>2、台面：采用浅豆绿色12.7mm厚双面膜实芯理化板，且依据GB/T4893.1-2021《家具表面漆膜理化性能试验第1部分：耐冷液测定法》、JC/T908-2013《人造石》、GB/T3854-2017《增强塑料巴柯尔硬度试验方法》、GB/T35601-2017《绿色产品评价人造板和木质地板》、GB/T32487-2016《塑料家具通用技术条件》、GB6566-2010《建筑材料放射性核素限量》、GB6675.4-2014《玩具安全第4部分：特定元素的迁移》、GB8624-2012《建筑材料及制品燃烧性能分级》、GB/T20284-2006《建筑材料或制品的单体燃烧试验》、GB/T8626-2007《建筑材料可燃性试验方法》、AfPS  GS 2019:01 PAK《在GS标志认证过程中多环芳香烃（PAHs）的检测和验证产品限量依据产品安全法案第三章节21（1）条款》满足如下参数要求：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color w:val="auto"/>
                <w:kern w:val="2"/>
                <w:sz w:val="24"/>
                <w:szCs w:val="24"/>
                <w:lang w:val="en-US" w:eastAsia="zh-CN" w:bidi="ar-SA"/>
              </w:rPr>
              <w:t>▲</w:t>
            </w:r>
            <w:r>
              <w:rPr>
                <w:rFonts w:hint="eastAsia" w:ascii="宋体" w:hAnsi="宋体" w:eastAsia="宋体" w:cs="宋体"/>
                <w:i w:val="0"/>
                <w:iCs w:val="0"/>
                <w:color w:val="000000"/>
                <w:kern w:val="0"/>
                <w:sz w:val="22"/>
                <w:szCs w:val="22"/>
                <w:u w:val="none"/>
                <w:lang w:val="en-US" w:eastAsia="zh-CN" w:bidi="ar"/>
              </w:rPr>
              <w:t>2-1、表面耐污染性能：耐污染性能不少于60项试验污染物的检测，且包含：丙酮、食盐溶液（10%溶液）、氢氧化钠（25%的溶液）、双氧水（30%的溶液）、硝酸银（1%的溶液）、硝酸（65%的溶液）、硫酸（98%的溶液）、柠檬酸（10%溶液）等试剂，覆盖玻璃盖板和未覆盖玻璃盖板检验结果均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2-2、密度：检验结果为1.46g/cm³。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2-3、24h吸水率：检验结果为0.3%。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2-4、静曲强度：检验结果≥81.8MPa。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2-5、弹性模量：检验结果≥12060MPa。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2-6、尺寸稳定性：检验结果为0.1%。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2-7、耐高温性能：检验结果为试件表面无裂纹。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2-8、耐光色牢度：检验结果为4-5级。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2-9、表面耐水蒸气性能：检验结果为5级。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2-10、表面耐龟裂性能：检验结果为5级。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2-11、表面耐冷热循环性能：检验结果为无裂纹、鼓泡。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2-12、表面耐划痕性能：检验结果为表面无大于90%的连续划痕。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2-13、表面耐磨性能：检验结果≥650r（转）。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2-14、表面耐香烟灼烧性能：检验结果为5级。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2-15、表面耐干热性能：检验结果为5级。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2-16、表面耐湿热性能：检验结果为5级。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2-17、抗冲击性能：检查结果为落球高度1000mm，压痕直径≤4.26mm，有轻微压痕。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2-18、耐液性：检验结果为耐酸（10%乙酸溶液）1级，耐碱（10%碳酸钠溶液）1级。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2-19、巴氏硬度：实体面材：UPR类：检验结果≥72。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2-20、含水率：检验结果≤0.8%。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-21、品质属性：①甲醛释放量：检验结果≤0.02mg/m³。②挥发性有机化合物（72h）：A、苯，检验结果为未检出。B、甲苯，检验结果为6ug/m³。C、二甲苯，检验结果为未检出。D、总挥发性有机化合物，检验结果为46ug/m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2-22、建筑材料放射性核素限量：检验结果为IRa=0，Ir=0。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-23、玩具材料中可迁移元素的最大限量要求：其他玩具材料（除造型黏土和指画颜料）：A、锑，检验结果为未检出。B、砷，检验结果为未检出。C、钡，检验结果≤3.7mg/kg。D、镉，检验结果≤0.5mg/kg。E、铬，检验结果≤2.6mg/kg。F、铅，检验结果≤8.2mg/kg。G、汞，检验结果为0.02mg/kg。H、硒，检验结果为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2-24、火焰横向蔓延未到达试样长翼边缘：检验结果为三组试样火焰横向蔓延均未到达试样长翼边缘。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2-25、600s的总放热量（MJ）：检验结果≤15  15  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2-26、60s内焰尖高度（mm）：检验结果为纵向1、纵向2、纵向3、横向1、横向2、横向3火焰均未传播至150mm刻度线。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2-27、60s内无燃烧滴落物引燃滤纸现象：检验结果为纵向1、纵向2、纵向3、横向1、横向2、横向3燃烧滴落物均未引燃滤纸。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2-28、燃烧性能等级：检验结果为B1（C）级。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2-29、多环芳烃：检验结果为15种多环芳烃总和：未检出。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2-30、投标人需提供带CMA和CNAS标志的省级及以上委托抽样检验的检测报告复印件，且需注明本次招标采购项目名称及编号并加盖受检单位公章。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桌体采用流线型设计，支撑受力点合理布局，采用优质五金配件连接，不用胶水粘接，便于安装。外表面和内表面以可触及的隐蔽处，均无锐利的棱角、毛刺以及五金配件露出的锐利尖锐,所有接触人体的边棱均为倒圆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4、台身结构：新型塑铝结构，整体1180*570*760mm；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5、桌腿：采用工字型压铸铝一次成型，三段链接，材料表面经高压静电喷涂环氧树脂防护层，耐酸碱，耐腐蚀处理；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6、上腿规格：565*58*110mm，壁厚不小于2mm内部设有加强筋；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7、下腿规格：550*72*125mm，壁厚不小于2mm，配有M8*60mm的升降调节脚垫；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立柱：采用110×55mm，壁厚1.3mm，立柱两端内部有2个铸铝成型的螺丝链接位；内侧设有12*5mm的凹槽，使用锁拉扣链接桌体下横梁，调节方便，外侧设有装饰条。下横梁采用80*14.5mm目型铝型材制作壁厚1.2mm。前横梁采用29*27mm凹型铝型材制作壁厚1mm。中横梁采用29*31mm，D型铝型材制作壁厚1mm。后横梁：采用100*27mm，L型铝型材制作壁厚1mm。后横梁上侧设有挡水条。材料表面经高压静电喷涂环氧树脂防护层，耐酸碱，耐腐蚀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9、学生位设书包斗；书包斗:采用环保型ABS工程塑料一次性注塑成型。两个书包斗中间设有电源盒，方便使用。</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D413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020DF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3A292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8"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06E5D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04372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功能柱</w:t>
            </w:r>
          </w:p>
        </w:tc>
        <w:tc>
          <w:tcPr>
            <w:tcW w:w="7971" w:type="dxa"/>
            <w:tcBorders>
              <w:top w:val="single" w:color="000000" w:sz="4" w:space="0"/>
              <w:left w:val="single" w:color="000000" w:sz="4" w:space="0"/>
              <w:bottom w:val="single" w:color="000000" w:sz="4" w:space="0"/>
              <w:right w:val="single" w:color="000000" w:sz="4" w:space="0"/>
            </w:tcBorders>
            <w:noWrap w:val="0"/>
            <w:vAlign w:val="center"/>
          </w:tcPr>
          <w:p w14:paraId="44AE69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豆绿色:1、功能柱:由底座、立柱、两端装饰条组成；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2、规格：长390mm宽220mm高720mm，采用环保型ABS工程塑料注塑成型；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3、底座尺寸：390*220*30mm，壁厚3mm，内部设有加强筋；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底座上设有6个螺丝口用于连接立柱和固定地面。立柱主体尺寸：340*195*690mm，上下口尺寸：300*145mm，立柱两端各设有两个螺丝固定口，装饰条用于掩盖螺丝口使其更加美观。主要功能是保护学生通风管道及电线电缆作用，配套于学生桌，美观大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4E9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25C2B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4D855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3"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6F9F8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5A240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塑料水槽柜</w:t>
            </w:r>
          </w:p>
        </w:tc>
        <w:tc>
          <w:tcPr>
            <w:tcW w:w="7971" w:type="dxa"/>
            <w:tcBorders>
              <w:top w:val="single" w:color="000000" w:sz="4" w:space="0"/>
              <w:left w:val="single" w:color="000000" w:sz="4" w:space="0"/>
              <w:bottom w:val="single" w:color="000000" w:sz="4" w:space="0"/>
              <w:right w:val="single" w:color="000000" w:sz="4" w:space="0"/>
            </w:tcBorders>
            <w:noWrap w:val="0"/>
            <w:vAlign w:val="center"/>
          </w:tcPr>
          <w:p w14:paraId="2BB70B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豆绿色：1、柜体规格:595×400×790mm；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2、榫卯连接结构并合理布局加强筋，安装时不用胶水粘结，使用产品自身力量相互连接，产品不变形，不扭曲，用M6螺丝固定；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3、前门规格：510*365mm，主体壁厚不小于2mm背面设有厚2mm、高度不低于4.5mm的加强筋横6根竖6根；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4、前门带内凹式塑料扣手，门与整体水柜不用铰链连接，直接采用内嵌式组装。柜子整体采用环保型ABS工程塑料注塑成型；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5、水槽规格：595*380*300mm，水槽采用环保型PP材料一次性注塑成型，耐强酸碱&lt;80度有机溶剂并耐150度以下高温，壁厚3.5mm（含上水软管）；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6、侧板规格：495*550*30mm，左右侧板一致、主体壁厚不小于2.5mm，背面设有厚2mm、高度不低于5.5mm的加强筋横4根竖4根。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742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1CEEB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1FF68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1"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64595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3228A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学生小号三联水嘴</w:t>
            </w:r>
          </w:p>
        </w:tc>
        <w:tc>
          <w:tcPr>
            <w:tcW w:w="7971" w:type="dxa"/>
            <w:tcBorders>
              <w:top w:val="single" w:color="000000" w:sz="4" w:space="0"/>
              <w:left w:val="single" w:color="000000" w:sz="4" w:space="0"/>
              <w:bottom w:val="single" w:color="000000" w:sz="4" w:space="0"/>
              <w:right w:val="single" w:color="000000" w:sz="4" w:space="0"/>
            </w:tcBorders>
            <w:noWrap w:val="0"/>
            <w:vAlign w:val="center"/>
          </w:tcPr>
          <w:p w14:paraId="4368BB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1、鹅颈式实验室专用优质化验水嘴：要求防酸碱、防锈、防虹吸、防阻塞，表面环氧树脂喷涂；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2、出水嘴为铜质瓷芯，高头，便于多用途使用，可拆卸清洗阻塞。出水嘴可拆卸，内有成型螺纹，可方便连接循环等特殊用水水管。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2F6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197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013A2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4"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493F8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2EBAF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教师电源</w:t>
            </w:r>
          </w:p>
        </w:tc>
        <w:tc>
          <w:tcPr>
            <w:tcW w:w="7971" w:type="dxa"/>
            <w:tcBorders>
              <w:top w:val="single" w:color="000000" w:sz="4" w:space="0"/>
              <w:left w:val="single" w:color="000000" w:sz="4" w:space="0"/>
              <w:bottom w:val="single" w:color="000000" w:sz="4" w:space="0"/>
              <w:right w:val="single" w:color="000000" w:sz="4" w:space="0"/>
            </w:tcBorders>
            <w:noWrap w:val="0"/>
            <w:vAlign w:val="center"/>
          </w:tcPr>
          <w:p w14:paraId="3B3805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l、漏电保护开关、工作指示灯选用国产优质产品，220V交流输出插座(六孔插座)取用国产优质产品；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2、低压交流电源：2-24V可调(每档2V)，额定电流3A(短路、过载自动保护、自动复位)；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3、直流稳压电源：1.5-18V连续可调，额定电流6A，18v—24v额定电流3A，(短路、过载自动保护、自动复位)；85系指针表显示；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4、直流大电流输出：9V／40A；8秒自动断开；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5、教师插座电源：220V交流，负载电流10A。五孔(或三孔两用)交流电源插座1个，设置在演示台的中间抽屉内；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A:由教师控制学生实验台交流220V电源，每组由空气开关控制，共分四组，并配有漏电保护开关；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B:由教师统一控制学生实验台低压电源，交流每档2V,共12档。直流可以在控制范围内微调。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E63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0BD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63C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4"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08606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34E0C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学生实验电源</w:t>
            </w:r>
          </w:p>
        </w:tc>
        <w:tc>
          <w:tcPr>
            <w:tcW w:w="7971" w:type="dxa"/>
            <w:tcBorders>
              <w:top w:val="single" w:color="000000" w:sz="4" w:space="0"/>
              <w:left w:val="single" w:color="000000" w:sz="4" w:space="0"/>
              <w:bottom w:val="single" w:color="000000" w:sz="4" w:space="0"/>
              <w:right w:val="single" w:color="000000" w:sz="4" w:space="0"/>
            </w:tcBorders>
            <w:noWrap w:val="0"/>
            <w:vAlign w:val="center"/>
          </w:tcPr>
          <w:p w14:paraId="0642C1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1、接受教师演示台送来的交流电源；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2、低压交直流电源：交流0-24每2V一档由教师统一调节控制，低压直流可在送来交流电源范围内微调，并配有表头显示输出（短路、过载自动保护、自动复位）；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3、交流电源：每台配备220V交流输出电源，电源全部由教师台控制。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0E2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2C7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6CA3F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77FD8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04A48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教师椅</w:t>
            </w:r>
          </w:p>
        </w:tc>
        <w:tc>
          <w:tcPr>
            <w:tcW w:w="7971" w:type="dxa"/>
            <w:tcBorders>
              <w:top w:val="single" w:color="000000" w:sz="4" w:space="0"/>
              <w:left w:val="single" w:color="000000" w:sz="4" w:space="0"/>
              <w:bottom w:val="single" w:color="000000" w:sz="4" w:space="0"/>
              <w:right w:val="single" w:color="000000" w:sz="4" w:space="0"/>
            </w:tcBorders>
            <w:noWrap w:val="0"/>
            <w:vAlign w:val="center"/>
          </w:tcPr>
          <w:p w14:paraId="470E47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1、五轮气动升降转椅，椅面及靠背为高回弹高密度海绵，黑色优质网面；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2、铝合金五星脚，带扶手。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3B3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4A8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279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4"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634FE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75B8C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学生凳</w:t>
            </w:r>
          </w:p>
        </w:tc>
        <w:tc>
          <w:tcPr>
            <w:tcW w:w="7971" w:type="dxa"/>
            <w:tcBorders>
              <w:top w:val="single" w:color="000000" w:sz="4" w:space="0"/>
              <w:left w:val="single" w:color="000000" w:sz="4" w:space="0"/>
              <w:bottom w:val="single" w:color="000000" w:sz="4" w:space="0"/>
              <w:right w:val="single" w:color="000000" w:sz="4" w:space="0"/>
            </w:tcBorders>
            <w:noWrap w:val="0"/>
            <w:vAlign w:val="center"/>
          </w:tcPr>
          <w:p w14:paraId="5FB330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一、凳面：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1、材质：采用浅豆绿色环保型ABS改性塑料一次性注塑成型；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2、尺寸：直径300mm；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3、表面防滑不发光。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二、脚钢架：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1、材质及形状：椭圆形无缝钢管；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2、尺寸:20×40×1.2mm；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3、全圆满焊接完成，结构牢固，经高温粉体烤漆处理，长时间使用也不会产生表面烤漆剥落现象；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4、脚垫材质：采用PP加耐磨纤维质塑料，实心倒勾式一体射出成型；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5、凳面可通过旋转螺杆来升降凳子高度,可调高度5cm。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F96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EF5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466EF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0BA38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79574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光源系统</w:t>
            </w:r>
          </w:p>
        </w:tc>
        <w:tc>
          <w:tcPr>
            <w:tcW w:w="7971" w:type="dxa"/>
            <w:tcBorders>
              <w:top w:val="single" w:color="000000" w:sz="4" w:space="0"/>
              <w:left w:val="single" w:color="000000" w:sz="4" w:space="0"/>
              <w:bottom w:val="single" w:color="000000" w:sz="4" w:space="0"/>
              <w:right w:val="single" w:color="000000" w:sz="4" w:space="0"/>
            </w:tcBorders>
            <w:noWrap w:val="0"/>
            <w:vAlign w:val="center"/>
          </w:tcPr>
          <w:p w14:paraId="6567C0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1、采用塑料材质的灯座支架；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2、7w的LED光源，亮度高，光照角度可调。</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42D9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盏</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674E5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08D2F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20444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07522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供排水系统</w:t>
            </w:r>
          </w:p>
        </w:tc>
        <w:tc>
          <w:tcPr>
            <w:tcW w:w="7971" w:type="dxa"/>
            <w:tcBorders>
              <w:top w:val="single" w:color="000000" w:sz="4" w:space="0"/>
              <w:left w:val="single" w:color="000000" w:sz="4" w:space="0"/>
              <w:bottom w:val="single" w:color="000000" w:sz="4" w:space="0"/>
              <w:right w:val="single" w:color="000000" w:sz="4" w:space="0"/>
            </w:tcBorders>
            <w:noWrap w:val="0"/>
            <w:vAlign w:val="center"/>
          </w:tcPr>
          <w:p w14:paraId="69AED8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1、进水管采用优质PP-R管，主管直径25mm。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2、排水管采用优质PVC-U管，管直径50mm。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3、弯头、直接、三通、外丝管套、生料带、PVC管胶水等。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4、教室进水总开关配截止阀1个。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5、上水管采用不锈钢波纹管编织软管，长度不小于75cm，下水管采用优质硅胶接口PVC软管。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074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9F2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E0A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1"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77532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3D7F7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电气布线</w:t>
            </w:r>
          </w:p>
        </w:tc>
        <w:tc>
          <w:tcPr>
            <w:tcW w:w="7971" w:type="dxa"/>
            <w:tcBorders>
              <w:top w:val="single" w:color="000000" w:sz="4" w:space="0"/>
              <w:left w:val="single" w:color="000000" w:sz="4" w:space="0"/>
              <w:bottom w:val="single" w:color="000000" w:sz="4" w:space="0"/>
              <w:right w:val="single" w:color="000000" w:sz="4" w:space="0"/>
            </w:tcBorders>
            <w:noWrap w:val="0"/>
            <w:vAlign w:val="center"/>
          </w:tcPr>
          <w:p w14:paraId="50DA79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1、电工管采用优质PVC-U管，管直径20mm，直接、管卡、电工胶布等。根据实验室实际，也可采用铝合金或不锈钢地面走线槽。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2、主干电源线采用4 mm2优质多芯铜质护套线。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3、支干电源线采用2.5mm2、1.5mm2优质多芯铜质护套线。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66C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6F2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302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05E25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10E2A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调试安装</w:t>
            </w:r>
          </w:p>
        </w:tc>
        <w:tc>
          <w:tcPr>
            <w:tcW w:w="7971" w:type="dxa"/>
            <w:tcBorders>
              <w:top w:val="single" w:color="000000" w:sz="4" w:space="0"/>
              <w:left w:val="single" w:color="000000" w:sz="4" w:space="0"/>
              <w:bottom w:val="single" w:color="000000" w:sz="4" w:space="0"/>
              <w:right w:val="single" w:color="000000" w:sz="4" w:space="0"/>
            </w:tcBorders>
            <w:noWrap w:val="0"/>
            <w:vAlign w:val="center"/>
          </w:tcPr>
          <w:p w14:paraId="182CC2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组织设备安装，解决设备安装过程中的各种技术疑难问题。进行设备调试，处理设备调试过程中发生的各种异常现象。确保所供货设备能正常投入使用。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B47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47F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3D70B8F5">
      <w:pPr>
        <w:rPr>
          <w:b/>
          <w:color w:val="auto"/>
          <w:sz w:val="24"/>
        </w:rPr>
      </w:pPr>
    </w:p>
    <w:tbl>
      <w:tblPr>
        <w:tblStyle w:val="44"/>
        <w:tblW w:w="12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83"/>
        <w:gridCol w:w="2553"/>
        <w:gridCol w:w="6331"/>
        <w:gridCol w:w="948"/>
        <w:gridCol w:w="1385"/>
      </w:tblGrid>
      <w:tr w14:paraId="51366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2600" w:type="dxa"/>
            <w:gridSpan w:val="5"/>
            <w:tcBorders>
              <w:top w:val="single" w:color="000000" w:sz="4" w:space="0"/>
              <w:left w:val="single" w:color="000000" w:sz="4" w:space="0"/>
              <w:bottom w:val="single" w:color="000000" w:sz="4" w:space="0"/>
              <w:right w:val="single" w:color="000000" w:sz="4" w:space="0"/>
            </w:tcBorders>
            <w:noWrap/>
            <w:vAlign w:val="bottom"/>
          </w:tcPr>
          <w:p w14:paraId="1FA09BA2">
            <w:pPr>
              <w:keepNext w:val="0"/>
              <w:keepLines w:val="0"/>
              <w:widowControl/>
              <w:suppressLineNumbers w:val="0"/>
              <w:jc w:val="center"/>
              <w:textAlignment w:val="bottom"/>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生物准备室配置清单</w:t>
            </w:r>
          </w:p>
        </w:tc>
      </w:tr>
      <w:tr w14:paraId="379C7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383" w:type="dxa"/>
            <w:tcBorders>
              <w:top w:val="single" w:color="000000" w:sz="4" w:space="0"/>
              <w:left w:val="single" w:color="000000" w:sz="4" w:space="0"/>
              <w:bottom w:val="single" w:color="000000" w:sz="4" w:space="0"/>
              <w:right w:val="single" w:color="000000" w:sz="4" w:space="0"/>
            </w:tcBorders>
            <w:noWrap/>
            <w:vAlign w:val="center"/>
          </w:tcPr>
          <w:p w14:paraId="24785B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553" w:type="dxa"/>
            <w:tcBorders>
              <w:top w:val="single" w:color="000000" w:sz="4" w:space="0"/>
              <w:left w:val="single" w:color="000000" w:sz="4" w:space="0"/>
              <w:bottom w:val="single" w:color="000000" w:sz="4" w:space="0"/>
              <w:right w:val="single" w:color="000000" w:sz="4" w:space="0"/>
            </w:tcBorders>
            <w:noWrap/>
            <w:vAlign w:val="center"/>
          </w:tcPr>
          <w:p w14:paraId="584E8C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6331" w:type="dxa"/>
            <w:tcBorders>
              <w:top w:val="single" w:color="000000" w:sz="4" w:space="0"/>
              <w:left w:val="single" w:color="000000" w:sz="4" w:space="0"/>
              <w:bottom w:val="single" w:color="000000" w:sz="4" w:space="0"/>
              <w:right w:val="single" w:color="000000" w:sz="4" w:space="0"/>
            </w:tcBorders>
            <w:noWrap/>
            <w:vAlign w:val="center"/>
          </w:tcPr>
          <w:p w14:paraId="40091D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28EE9C1">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385" w:type="dxa"/>
            <w:tcBorders>
              <w:top w:val="single" w:color="000000" w:sz="4" w:space="0"/>
              <w:left w:val="single" w:color="000000" w:sz="4" w:space="0"/>
              <w:bottom w:val="single" w:color="000000" w:sz="4" w:space="0"/>
              <w:right w:val="single" w:color="000000" w:sz="4" w:space="0"/>
            </w:tcBorders>
            <w:noWrap/>
            <w:vAlign w:val="center"/>
          </w:tcPr>
          <w:p w14:paraId="07814483">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14:paraId="48F63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0" w:hRule="atLeast"/>
        </w:trPr>
        <w:tc>
          <w:tcPr>
            <w:tcW w:w="1383" w:type="dxa"/>
            <w:tcBorders>
              <w:top w:val="single" w:color="000000" w:sz="4" w:space="0"/>
              <w:left w:val="single" w:color="000000" w:sz="4" w:space="0"/>
              <w:bottom w:val="single" w:color="000000" w:sz="4" w:space="0"/>
              <w:right w:val="single" w:color="000000" w:sz="4" w:space="0"/>
            </w:tcBorders>
            <w:noWrap w:val="0"/>
            <w:vAlign w:val="center"/>
          </w:tcPr>
          <w:p w14:paraId="162A7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53" w:type="dxa"/>
            <w:tcBorders>
              <w:top w:val="single" w:color="000000" w:sz="4" w:space="0"/>
              <w:left w:val="single" w:color="000000" w:sz="4" w:space="0"/>
              <w:bottom w:val="single" w:color="000000" w:sz="4" w:space="0"/>
              <w:right w:val="single" w:color="000000" w:sz="4" w:space="0"/>
            </w:tcBorders>
            <w:noWrap w:val="0"/>
            <w:vAlign w:val="center"/>
          </w:tcPr>
          <w:p w14:paraId="0F0C7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准备桌</w:t>
            </w:r>
          </w:p>
        </w:tc>
        <w:tc>
          <w:tcPr>
            <w:tcW w:w="6331" w:type="dxa"/>
            <w:tcBorders>
              <w:top w:val="single" w:color="000000" w:sz="4" w:space="0"/>
              <w:left w:val="single" w:color="000000" w:sz="4" w:space="0"/>
              <w:bottom w:val="single" w:color="000000" w:sz="4" w:space="0"/>
              <w:right w:val="single" w:color="000000" w:sz="4" w:space="0"/>
            </w:tcBorders>
            <w:noWrap w:val="0"/>
            <w:vAlign w:val="center"/>
          </w:tcPr>
          <w:p w14:paraId="79A789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1、规格：2400*1200*780mm；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2、台面：浅豆绿色12.7mm厚实芯理化板，台面具耐热、耐磨、耐撞击、耐酸碱、耐腐蚀、防水等功能。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桌体采用流线型设计，支撑受力点合理布局，采用优质五金配件连接，不用胶水粘接，便于安装。外表面和内表面以可触及的隐蔽处，均无锐利的棱角、毛刺以及五金配件露出的锐利尖锐,所有接触人体的边棱均为倒圆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4、台身结构：整体1180*570四张框架对拼，新型塑铝结构，整体1180*570*760mm。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5、桌腿：采用工字型压铸铝一次成型，三段链接，材料表面经高压静电喷涂环氧树脂防护层，耐酸碱，耐腐蚀处理。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6、上腿规格：565*58*110mm，壁厚不小于2mm内部设有加强筋。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7、下腿规格：550*72*125mm，壁厚不小于2mm，配有M8*60mm的升降调节脚垫。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立柱：采用110×55mm，壁厚1.3mm，立柱两端内部有2个铸铝成型的螺丝链接位；内侧设有12*5mm的凹槽，使用锁拉扣链接桌体下横梁，调节方便，外侧设有装饰条。下横梁采用80*14.5mm目型铝型材制作壁厚1.2mm。前横梁采用29*27mm凹型铝型材制作壁厚1mm。中横梁采用29*31mmD型铝型材制作壁厚1mm。后横梁：采用29*27mm，凹型铝型材制作壁厚1mm。材料表面经高压静电喷涂环氧树脂防护层，耐酸碱，耐腐蚀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9、学生位设书包斗；书包斗:采用环保型ABS工程塑料一次性注塑成型。两个书包斗中间设有电源盒，方便使用。</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E01F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385" w:type="dxa"/>
            <w:tcBorders>
              <w:top w:val="single" w:color="000000" w:sz="4" w:space="0"/>
              <w:left w:val="single" w:color="000000" w:sz="4" w:space="0"/>
              <w:bottom w:val="single" w:color="000000" w:sz="4" w:space="0"/>
              <w:right w:val="single" w:color="000000" w:sz="4" w:space="0"/>
            </w:tcBorders>
            <w:noWrap/>
            <w:vAlign w:val="center"/>
          </w:tcPr>
          <w:p w14:paraId="69876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633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1" w:hRule="atLeast"/>
        </w:trPr>
        <w:tc>
          <w:tcPr>
            <w:tcW w:w="1383" w:type="dxa"/>
            <w:tcBorders>
              <w:top w:val="single" w:color="000000" w:sz="4" w:space="0"/>
              <w:left w:val="single" w:color="000000" w:sz="4" w:space="0"/>
              <w:bottom w:val="single" w:color="000000" w:sz="4" w:space="0"/>
              <w:right w:val="single" w:color="000000" w:sz="4" w:space="0"/>
            </w:tcBorders>
            <w:noWrap w:val="0"/>
            <w:vAlign w:val="center"/>
          </w:tcPr>
          <w:p w14:paraId="45DF9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53" w:type="dxa"/>
            <w:tcBorders>
              <w:top w:val="single" w:color="000000" w:sz="4" w:space="0"/>
              <w:left w:val="single" w:color="000000" w:sz="4" w:space="0"/>
              <w:bottom w:val="single" w:color="000000" w:sz="4" w:space="0"/>
              <w:right w:val="single" w:color="000000" w:sz="4" w:space="0"/>
            </w:tcBorders>
            <w:noWrap w:val="0"/>
            <w:vAlign w:val="center"/>
          </w:tcPr>
          <w:p w14:paraId="0FA28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塑料水槽柜</w:t>
            </w:r>
          </w:p>
        </w:tc>
        <w:tc>
          <w:tcPr>
            <w:tcW w:w="6331" w:type="dxa"/>
            <w:tcBorders>
              <w:top w:val="single" w:color="000000" w:sz="4" w:space="0"/>
              <w:left w:val="single" w:color="000000" w:sz="4" w:space="0"/>
              <w:bottom w:val="single" w:color="000000" w:sz="4" w:space="0"/>
              <w:right w:val="single" w:color="000000" w:sz="4" w:space="0"/>
            </w:tcBorders>
            <w:noWrap w:val="0"/>
            <w:vAlign w:val="center"/>
          </w:tcPr>
          <w:p w14:paraId="2DEE34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豆绿色：1、柜体规格:595×400×790mm；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2、榫卯连接结构并合理布局加强筋，安装时不用胶水粘结，使用产品自身力量相互连接，产品不变形，不扭曲，用M6螺丝固定；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3、前门规格：510*365mm，主体壁厚不小于2mm背面设有厚2mm、高度不低于4.5mm的加强筋横6根竖6根；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4、前门带内凹式塑料扣手，门与整体水柜不用铰链连接，直接采用内嵌式组装。柜子整体采用环保型ABS工程塑料注塑成型；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5、水槽规格：595*380*300mm，水槽采用环保型PP材料一次性注塑成型，耐强酸碱&lt;80度有机溶剂并耐150度以下高温，壁厚3.5mm（含上水软管）；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6、侧板规格：495*550*30mm，左右侧板一致、主体壁厚不小于2.5mm，背面设有厚2mm、高度不低于5.5mm的加强筋横4根竖4根。</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1B54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A278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404B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6" w:hRule="atLeast"/>
        </w:trPr>
        <w:tc>
          <w:tcPr>
            <w:tcW w:w="1383" w:type="dxa"/>
            <w:tcBorders>
              <w:top w:val="single" w:color="000000" w:sz="4" w:space="0"/>
              <w:left w:val="single" w:color="000000" w:sz="4" w:space="0"/>
              <w:bottom w:val="single" w:color="000000" w:sz="4" w:space="0"/>
              <w:right w:val="single" w:color="000000" w:sz="4" w:space="0"/>
            </w:tcBorders>
            <w:noWrap w:val="0"/>
            <w:vAlign w:val="center"/>
          </w:tcPr>
          <w:p w14:paraId="2C302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53" w:type="dxa"/>
            <w:tcBorders>
              <w:top w:val="single" w:color="000000" w:sz="4" w:space="0"/>
              <w:left w:val="single" w:color="000000" w:sz="4" w:space="0"/>
              <w:bottom w:val="single" w:color="000000" w:sz="4" w:space="0"/>
              <w:right w:val="single" w:color="000000" w:sz="4" w:space="0"/>
            </w:tcBorders>
            <w:noWrap w:val="0"/>
            <w:vAlign w:val="center"/>
          </w:tcPr>
          <w:p w14:paraId="44F0D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学生小号三联水嘴</w:t>
            </w:r>
          </w:p>
        </w:tc>
        <w:tc>
          <w:tcPr>
            <w:tcW w:w="6331" w:type="dxa"/>
            <w:tcBorders>
              <w:top w:val="single" w:color="000000" w:sz="4" w:space="0"/>
              <w:left w:val="single" w:color="000000" w:sz="4" w:space="0"/>
              <w:bottom w:val="single" w:color="000000" w:sz="4" w:space="0"/>
              <w:right w:val="single" w:color="000000" w:sz="4" w:space="0"/>
            </w:tcBorders>
            <w:noWrap w:val="0"/>
            <w:vAlign w:val="center"/>
          </w:tcPr>
          <w:p w14:paraId="086343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1、鹅颈式实验室专用优质化验水嘴：要求防酸碱、防锈、防虹吸、防阻塞，表面环氧树脂喷涂；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2、出水嘴为铜质瓷芯，高头，便于多用途使用，可拆卸清洗阻塞。出水嘴可拆卸，内有成型螺纹，可方便连接循环等特殊用水水管。</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BE06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385" w:type="dxa"/>
            <w:tcBorders>
              <w:top w:val="single" w:color="000000" w:sz="4" w:space="0"/>
              <w:left w:val="single" w:color="000000" w:sz="4" w:space="0"/>
              <w:bottom w:val="single" w:color="000000" w:sz="4" w:space="0"/>
              <w:right w:val="single" w:color="000000" w:sz="4" w:space="0"/>
            </w:tcBorders>
            <w:noWrap/>
            <w:vAlign w:val="center"/>
          </w:tcPr>
          <w:p w14:paraId="4F4CC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F687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4" w:hRule="atLeast"/>
        </w:trPr>
        <w:tc>
          <w:tcPr>
            <w:tcW w:w="1383" w:type="dxa"/>
            <w:tcBorders>
              <w:top w:val="single" w:color="000000" w:sz="4" w:space="0"/>
              <w:left w:val="single" w:color="000000" w:sz="4" w:space="0"/>
              <w:bottom w:val="single" w:color="000000" w:sz="4" w:space="0"/>
              <w:right w:val="single" w:color="000000" w:sz="4" w:space="0"/>
            </w:tcBorders>
            <w:noWrap w:val="0"/>
            <w:vAlign w:val="center"/>
          </w:tcPr>
          <w:p w14:paraId="76AF3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53" w:type="dxa"/>
            <w:tcBorders>
              <w:top w:val="single" w:color="000000" w:sz="4" w:space="0"/>
              <w:left w:val="single" w:color="000000" w:sz="4" w:space="0"/>
              <w:bottom w:val="single" w:color="000000" w:sz="4" w:space="0"/>
              <w:right w:val="single" w:color="000000" w:sz="4" w:space="0"/>
            </w:tcBorders>
            <w:noWrap w:val="0"/>
            <w:vAlign w:val="center"/>
          </w:tcPr>
          <w:p w14:paraId="67DF7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洗眼器</w:t>
            </w:r>
          </w:p>
        </w:tc>
        <w:tc>
          <w:tcPr>
            <w:tcW w:w="6331" w:type="dxa"/>
            <w:tcBorders>
              <w:top w:val="single" w:color="000000" w:sz="4" w:space="0"/>
              <w:left w:val="single" w:color="000000" w:sz="4" w:space="0"/>
              <w:bottom w:val="single" w:color="000000" w:sz="4" w:space="0"/>
              <w:right w:val="single" w:color="000000" w:sz="4" w:space="0"/>
            </w:tcBorders>
            <w:noWrap w:val="0"/>
            <w:vAlign w:val="center"/>
          </w:tcPr>
          <w:p w14:paraId="177FB6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1、洗眼喷头要求：采用不助燃PC材质模铸一体成形制作；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2、具有过滤泡棉及防尘功能，上面防尘盖平常可防尘，使用时可随时被水冲开，并降低突然打开时短暂的高水压，避免冲伤眼睛。</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1FDDF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1E594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374A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383" w:type="dxa"/>
            <w:tcBorders>
              <w:top w:val="single" w:color="000000" w:sz="4" w:space="0"/>
              <w:left w:val="single" w:color="000000" w:sz="4" w:space="0"/>
              <w:bottom w:val="single" w:color="000000" w:sz="4" w:space="0"/>
              <w:right w:val="single" w:color="000000" w:sz="4" w:space="0"/>
            </w:tcBorders>
            <w:noWrap w:val="0"/>
            <w:vAlign w:val="center"/>
          </w:tcPr>
          <w:p w14:paraId="6244F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53" w:type="dxa"/>
            <w:tcBorders>
              <w:top w:val="single" w:color="000000" w:sz="4" w:space="0"/>
              <w:left w:val="single" w:color="000000" w:sz="4" w:space="0"/>
              <w:bottom w:val="single" w:color="000000" w:sz="4" w:space="0"/>
              <w:right w:val="single" w:color="000000" w:sz="4" w:space="0"/>
            </w:tcBorders>
            <w:noWrap w:val="0"/>
            <w:vAlign w:val="center"/>
          </w:tcPr>
          <w:p w14:paraId="62CD8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试剂架</w:t>
            </w:r>
          </w:p>
        </w:tc>
        <w:tc>
          <w:tcPr>
            <w:tcW w:w="6331" w:type="dxa"/>
            <w:tcBorders>
              <w:top w:val="single" w:color="000000" w:sz="4" w:space="0"/>
              <w:left w:val="single" w:color="000000" w:sz="4" w:space="0"/>
              <w:bottom w:val="single" w:color="000000" w:sz="4" w:space="0"/>
              <w:right w:val="single" w:color="000000" w:sz="4" w:space="0"/>
            </w:tcBorders>
            <w:noWrap w:val="0"/>
            <w:vAlign w:val="center"/>
          </w:tcPr>
          <w:p w14:paraId="78DE29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尺寸：≥2000mm*350mm*750mm。材料：钢玻结构制造。</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8D2C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00800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13A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6" w:hRule="atLeast"/>
        </w:trPr>
        <w:tc>
          <w:tcPr>
            <w:tcW w:w="1383" w:type="dxa"/>
            <w:tcBorders>
              <w:top w:val="single" w:color="000000" w:sz="4" w:space="0"/>
              <w:left w:val="single" w:color="000000" w:sz="4" w:space="0"/>
              <w:bottom w:val="single" w:color="000000" w:sz="4" w:space="0"/>
              <w:right w:val="single" w:color="000000" w:sz="4" w:space="0"/>
            </w:tcBorders>
            <w:noWrap w:val="0"/>
            <w:vAlign w:val="center"/>
          </w:tcPr>
          <w:p w14:paraId="724CC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53" w:type="dxa"/>
            <w:tcBorders>
              <w:top w:val="single" w:color="000000" w:sz="4" w:space="0"/>
              <w:left w:val="single" w:color="000000" w:sz="4" w:space="0"/>
              <w:bottom w:val="single" w:color="000000" w:sz="4" w:space="0"/>
              <w:right w:val="single" w:color="000000" w:sz="4" w:space="0"/>
            </w:tcBorders>
            <w:noWrap w:val="0"/>
            <w:vAlign w:val="center"/>
          </w:tcPr>
          <w:p w14:paraId="49490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仪器柜</w:t>
            </w:r>
          </w:p>
        </w:tc>
        <w:tc>
          <w:tcPr>
            <w:tcW w:w="6331" w:type="dxa"/>
            <w:tcBorders>
              <w:top w:val="single" w:color="000000" w:sz="4" w:space="0"/>
              <w:left w:val="single" w:color="000000" w:sz="4" w:space="0"/>
              <w:bottom w:val="single" w:color="000000" w:sz="4" w:space="0"/>
              <w:right w:val="single" w:color="000000" w:sz="4" w:space="0"/>
            </w:tcBorders>
            <w:noWrap w:val="0"/>
            <w:vAlign w:val="center"/>
          </w:tcPr>
          <w:p w14:paraId="250E69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绿色：1、规格：1000×500×2000mm；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2、柜体：侧板、顶底板采用改性PP材料模具一次成型，表面沙面和光面相结合处理，保证柜体之坚固及密封性，耐腐蚀性强，顶板、底板预留模具成型排风孔。底部镶嵌15mm*30mm*1.2mm钢制横梁，承重力强；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3、下柜柜门：内框采用改性PP材质模具一次成型，外嵌5mm厚钢化烤漆玻璃。上下拉手及三角对称五点固定，防止玻璃的松动或开合。伸缩式PP旋转门轴，四角圆弧倒角，内侧弧形圆边，配锁；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层板：上柜配置两块活动层板，下柜配置一块活动层板，层板全部采用改性PP材料模具一次成型，表面沙面和光面相结合处理，四周有阻水边，底部镶嵌两根15mm*30mm*1.2mm钢制横梁，承重力强。整体设计为活动式，可随意抽取放在合适的隔层，自由组合各层空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6、拉手：采用改性PP材料模具一次成型，直角梯形四周倒圆与柜门平行，开启方便；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7、门铰链：采用改性PP材料模具一次成型，伸缩式PP旋转门轴，永不生锈，耐腐蚀性好；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8、螺丝：不锈钢材质。</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DBE7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802D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r>
      <w:tr w14:paraId="3E44C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3" w:hRule="atLeast"/>
        </w:trPr>
        <w:tc>
          <w:tcPr>
            <w:tcW w:w="1383" w:type="dxa"/>
            <w:tcBorders>
              <w:top w:val="single" w:color="000000" w:sz="4" w:space="0"/>
              <w:left w:val="single" w:color="000000" w:sz="4" w:space="0"/>
              <w:bottom w:val="single" w:color="000000" w:sz="4" w:space="0"/>
              <w:right w:val="single" w:color="000000" w:sz="4" w:space="0"/>
            </w:tcBorders>
            <w:noWrap w:val="0"/>
            <w:vAlign w:val="center"/>
          </w:tcPr>
          <w:p w14:paraId="7EEA5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53" w:type="dxa"/>
            <w:tcBorders>
              <w:top w:val="single" w:color="000000" w:sz="4" w:space="0"/>
              <w:left w:val="single" w:color="000000" w:sz="4" w:space="0"/>
              <w:bottom w:val="single" w:color="000000" w:sz="4" w:space="0"/>
              <w:right w:val="single" w:color="000000" w:sz="4" w:space="0"/>
            </w:tcBorders>
            <w:noWrap w:val="0"/>
            <w:vAlign w:val="center"/>
          </w:tcPr>
          <w:p w14:paraId="2584E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教师椅</w:t>
            </w:r>
          </w:p>
        </w:tc>
        <w:tc>
          <w:tcPr>
            <w:tcW w:w="6331" w:type="dxa"/>
            <w:tcBorders>
              <w:top w:val="single" w:color="000000" w:sz="4" w:space="0"/>
              <w:left w:val="single" w:color="000000" w:sz="4" w:space="0"/>
              <w:bottom w:val="single" w:color="000000" w:sz="4" w:space="0"/>
              <w:right w:val="single" w:color="000000" w:sz="4" w:space="0"/>
            </w:tcBorders>
            <w:noWrap w:val="0"/>
            <w:vAlign w:val="center"/>
          </w:tcPr>
          <w:p w14:paraId="68C184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1、五轮气动升降转椅，椅面及靠背为高回弹高密度海绵，黑色优质网面；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2、铝合金五星脚，带扶手。</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45A30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385" w:type="dxa"/>
            <w:tcBorders>
              <w:top w:val="single" w:color="000000" w:sz="4" w:space="0"/>
              <w:left w:val="single" w:color="000000" w:sz="4" w:space="0"/>
              <w:bottom w:val="single" w:color="000000" w:sz="4" w:space="0"/>
              <w:right w:val="single" w:color="000000" w:sz="4" w:space="0"/>
            </w:tcBorders>
            <w:noWrap/>
            <w:vAlign w:val="center"/>
          </w:tcPr>
          <w:p w14:paraId="715DF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72CC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6" w:hRule="atLeast"/>
        </w:trPr>
        <w:tc>
          <w:tcPr>
            <w:tcW w:w="1383" w:type="dxa"/>
            <w:tcBorders>
              <w:top w:val="single" w:color="000000" w:sz="4" w:space="0"/>
              <w:left w:val="single" w:color="000000" w:sz="4" w:space="0"/>
              <w:bottom w:val="single" w:color="000000" w:sz="4" w:space="0"/>
              <w:right w:val="single" w:color="000000" w:sz="4" w:space="0"/>
            </w:tcBorders>
            <w:noWrap w:val="0"/>
            <w:vAlign w:val="center"/>
          </w:tcPr>
          <w:p w14:paraId="6C0D2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553" w:type="dxa"/>
            <w:tcBorders>
              <w:top w:val="single" w:color="000000" w:sz="4" w:space="0"/>
              <w:left w:val="single" w:color="000000" w:sz="4" w:space="0"/>
              <w:bottom w:val="single" w:color="000000" w:sz="4" w:space="0"/>
              <w:right w:val="single" w:color="000000" w:sz="4" w:space="0"/>
            </w:tcBorders>
            <w:noWrap w:val="0"/>
            <w:vAlign w:val="center"/>
          </w:tcPr>
          <w:p w14:paraId="52DE9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电气布线</w:t>
            </w:r>
          </w:p>
        </w:tc>
        <w:tc>
          <w:tcPr>
            <w:tcW w:w="6331" w:type="dxa"/>
            <w:tcBorders>
              <w:top w:val="single" w:color="000000" w:sz="4" w:space="0"/>
              <w:left w:val="single" w:color="000000" w:sz="4" w:space="0"/>
              <w:bottom w:val="single" w:color="000000" w:sz="4" w:space="0"/>
              <w:right w:val="single" w:color="000000" w:sz="4" w:space="0"/>
            </w:tcBorders>
            <w:noWrap w:val="0"/>
            <w:vAlign w:val="center"/>
          </w:tcPr>
          <w:p w14:paraId="7439A9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1、电工管采用优质PVC-U管，管直径20mm，直接、管卡、电工胶布等。根据实验室实际，也可采用铝合金或不锈钢地面走线槽。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2、主干电源线采用4 mm2优质多芯铜质护套线。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3、支干电源线采用2.5mm2、1.5mm2优质多芯铜质护套线。</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49E36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385" w:type="dxa"/>
            <w:tcBorders>
              <w:top w:val="single" w:color="000000" w:sz="4" w:space="0"/>
              <w:left w:val="single" w:color="000000" w:sz="4" w:space="0"/>
              <w:bottom w:val="single" w:color="000000" w:sz="4" w:space="0"/>
              <w:right w:val="single" w:color="000000" w:sz="4" w:space="0"/>
            </w:tcBorders>
            <w:noWrap/>
            <w:vAlign w:val="center"/>
          </w:tcPr>
          <w:p w14:paraId="652BF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FEA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2" w:hRule="atLeast"/>
        </w:trPr>
        <w:tc>
          <w:tcPr>
            <w:tcW w:w="1383" w:type="dxa"/>
            <w:tcBorders>
              <w:top w:val="single" w:color="000000" w:sz="4" w:space="0"/>
              <w:left w:val="single" w:color="000000" w:sz="4" w:space="0"/>
              <w:bottom w:val="single" w:color="000000" w:sz="4" w:space="0"/>
              <w:right w:val="single" w:color="000000" w:sz="4" w:space="0"/>
            </w:tcBorders>
            <w:noWrap w:val="0"/>
            <w:vAlign w:val="center"/>
          </w:tcPr>
          <w:p w14:paraId="12D20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553" w:type="dxa"/>
            <w:tcBorders>
              <w:top w:val="single" w:color="000000" w:sz="4" w:space="0"/>
              <w:left w:val="single" w:color="000000" w:sz="4" w:space="0"/>
              <w:bottom w:val="single" w:color="000000" w:sz="4" w:space="0"/>
              <w:right w:val="single" w:color="000000" w:sz="4" w:space="0"/>
            </w:tcBorders>
            <w:noWrap w:val="0"/>
            <w:vAlign w:val="center"/>
          </w:tcPr>
          <w:p w14:paraId="4486E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供排水系统</w:t>
            </w:r>
          </w:p>
        </w:tc>
        <w:tc>
          <w:tcPr>
            <w:tcW w:w="6331" w:type="dxa"/>
            <w:tcBorders>
              <w:top w:val="single" w:color="000000" w:sz="4" w:space="0"/>
              <w:left w:val="single" w:color="000000" w:sz="4" w:space="0"/>
              <w:bottom w:val="single" w:color="000000" w:sz="4" w:space="0"/>
              <w:right w:val="single" w:color="000000" w:sz="4" w:space="0"/>
            </w:tcBorders>
            <w:noWrap w:val="0"/>
            <w:vAlign w:val="center"/>
          </w:tcPr>
          <w:p w14:paraId="3454B4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1、进水管采用优质PP-R管，主管直径25mm。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2、排水管采用优质PVC-U管，管直径50mm。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3、弯头、直接、三通、外丝管套、生料带、PVC管胶水等。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4、上水管采用不锈钢波纹管编织软管，长度不小于75cm，下水管采用优质硅胶接口PVC软管。</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F057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385" w:type="dxa"/>
            <w:tcBorders>
              <w:top w:val="single" w:color="000000" w:sz="4" w:space="0"/>
              <w:left w:val="single" w:color="000000" w:sz="4" w:space="0"/>
              <w:bottom w:val="single" w:color="000000" w:sz="4" w:space="0"/>
              <w:right w:val="single" w:color="000000" w:sz="4" w:space="0"/>
            </w:tcBorders>
            <w:noWrap/>
            <w:vAlign w:val="center"/>
          </w:tcPr>
          <w:p w14:paraId="44705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E51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383" w:type="dxa"/>
            <w:tcBorders>
              <w:top w:val="single" w:color="000000" w:sz="4" w:space="0"/>
              <w:left w:val="single" w:color="000000" w:sz="4" w:space="0"/>
              <w:bottom w:val="single" w:color="000000" w:sz="4" w:space="0"/>
              <w:right w:val="single" w:color="000000" w:sz="4" w:space="0"/>
            </w:tcBorders>
            <w:noWrap w:val="0"/>
            <w:vAlign w:val="center"/>
          </w:tcPr>
          <w:p w14:paraId="6330F18B">
            <w:pPr>
              <w:jc w:val="center"/>
              <w:rPr>
                <w:rFonts w:hint="eastAsia" w:ascii="宋体" w:hAnsi="宋体" w:eastAsia="宋体" w:cs="宋体"/>
                <w:i w:val="0"/>
                <w:iCs w:val="0"/>
                <w:color w:val="000000"/>
                <w:sz w:val="22"/>
                <w:szCs w:val="22"/>
                <w:u w:val="none"/>
              </w:rPr>
            </w:pPr>
          </w:p>
        </w:tc>
        <w:tc>
          <w:tcPr>
            <w:tcW w:w="2553" w:type="dxa"/>
            <w:tcBorders>
              <w:top w:val="single" w:color="000000" w:sz="4" w:space="0"/>
              <w:left w:val="single" w:color="000000" w:sz="4" w:space="0"/>
              <w:bottom w:val="single" w:color="000000" w:sz="4" w:space="0"/>
              <w:right w:val="single" w:color="000000" w:sz="4" w:space="0"/>
            </w:tcBorders>
            <w:noWrap w:val="0"/>
            <w:vAlign w:val="center"/>
          </w:tcPr>
          <w:p w14:paraId="2E9F1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w:t>
            </w:r>
          </w:p>
        </w:tc>
        <w:tc>
          <w:tcPr>
            <w:tcW w:w="6331" w:type="dxa"/>
            <w:tcBorders>
              <w:top w:val="single" w:color="000000" w:sz="4" w:space="0"/>
              <w:left w:val="single" w:color="000000" w:sz="4" w:space="0"/>
              <w:bottom w:val="single" w:color="000000" w:sz="4" w:space="0"/>
              <w:right w:val="single" w:color="000000" w:sz="4" w:space="0"/>
            </w:tcBorders>
            <w:noWrap w:val="0"/>
            <w:vAlign w:val="center"/>
          </w:tcPr>
          <w:p w14:paraId="6A7EF0E7">
            <w:pPr>
              <w:jc w:val="left"/>
              <w:rPr>
                <w:rFonts w:hint="eastAsia" w:ascii="宋体" w:hAnsi="宋体" w:eastAsia="宋体" w:cs="宋体"/>
                <w:i w:val="0"/>
                <w:iCs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0A1D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385" w:type="dxa"/>
            <w:tcBorders>
              <w:top w:val="single" w:color="000000" w:sz="4" w:space="0"/>
              <w:left w:val="single" w:color="000000" w:sz="4" w:space="0"/>
              <w:bottom w:val="single" w:color="000000" w:sz="4" w:space="0"/>
              <w:right w:val="single" w:color="000000" w:sz="4" w:space="0"/>
            </w:tcBorders>
            <w:noWrap/>
            <w:vAlign w:val="center"/>
          </w:tcPr>
          <w:p w14:paraId="40681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10F7880A"/>
    <w:p w14:paraId="1F2C7839"/>
    <w:p w14:paraId="396B6DBA"/>
    <w:p w14:paraId="0D2CFED1"/>
    <w:p w14:paraId="00E4BEA6"/>
    <w:p w14:paraId="09E6935F"/>
    <w:p w14:paraId="03C7B076">
      <w:pPr>
        <w:rPr>
          <w:rFonts w:hint="default" w:eastAsia="宋体"/>
          <w:lang w:val="en-US" w:eastAsia="zh-CN"/>
        </w:rPr>
      </w:pPr>
    </w:p>
    <w:p w14:paraId="74832A67">
      <w:pPr>
        <w:jc w:val="center"/>
        <w:rPr>
          <w:rFonts w:hint="eastAsia"/>
          <w:b/>
          <w:bCs/>
          <w:sz w:val="30"/>
          <w:szCs w:val="30"/>
          <w:lang w:val="en-US" w:eastAsia="zh-CN"/>
        </w:rPr>
      </w:pPr>
      <w:r>
        <w:rPr>
          <w:rFonts w:hint="eastAsia"/>
          <w:b/>
          <w:bCs/>
          <w:sz w:val="30"/>
          <w:szCs w:val="30"/>
          <w:lang w:val="en-US" w:eastAsia="zh-CN"/>
        </w:rPr>
        <w:t>精品录播系统</w:t>
      </w:r>
    </w:p>
    <w:p w14:paraId="692ED15C">
      <w:pPr>
        <w:jc w:val="center"/>
        <w:rPr>
          <w:rFonts w:hint="eastAsia"/>
          <w:lang w:val="en-US" w:eastAsia="zh-CN"/>
        </w:rPr>
      </w:pPr>
    </w:p>
    <w:p w14:paraId="0C47BC21">
      <w:pPr>
        <w:jc w:val="center"/>
        <w:rPr>
          <w:rFonts w:hint="eastAsia"/>
          <w:lang w:val="en-US" w:eastAsia="zh-CN"/>
        </w:rPr>
      </w:pPr>
    </w:p>
    <w:tbl>
      <w:tblPr>
        <w:tblStyle w:val="44"/>
        <w:tblW w:w="125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8"/>
        <w:gridCol w:w="1270"/>
        <w:gridCol w:w="9048"/>
        <w:gridCol w:w="831"/>
        <w:gridCol w:w="974"/>
      </w:tblGrid>
      <w:tr w14:paraId="13203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26"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00820FB8">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子项</w:t>
            </w:r>
          </w:p>
        </w:tc>
        <w:tc>
          <w:tcPr>
            <w:tcW w:w="1402"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6B0E208E">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货物名称</w:t>
            </w:r>
          </w:p>
        </w:tc>
        <w:tc>
          <w:tcPr>
            <w:tcW w:w="8313"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12BED2FD">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技术参数</w:t>
            </w:r>
          </w:p>
        </w:tc>
        <w:tc>
          <w:tcPr>
            <w:tcW w:w="908"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255B9402">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数量</w:t>
            </w:r>
          </w:p>
        </w:tc>
        <w:tc>
          <w:tcPr>
            <w:tcW w:w="1067"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642E2755">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单位</w:t>
            </w:r>
          </w:p>
        </w:tc>
      </w:tr>
      <w:tr w14:paraId="0F77B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ADFBDA">
            <w:pPr>
              <w:keepNext w:val="0"/>
              <w:keepLines w:val="0"/>
              <w:widowControl/>
              <w:suppressLineNumbers w:val="0"/>
              <w:jc w:val="center"/>
              <w:textAlignment w:val="center"/>
              <w:rPr>
                <w:rFonts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70B2D">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录播主机</w:t>
            </w:r>
          </w:p>
        </w:tc>
        <w:tc>
          <w:tcPr>
            <w:tcW w:w="83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255F0">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主机需采用≥3颗ARM架构处理器，主处理器采用8核架构，2颗协处理器均采用4核架构，主机存储容量不低于1TB。（该检测项需在CMA和CNAS认证的检测范围内，提供具有CNAS及CMA标识的国家权威检测机构出具的检测报告复印件并加盖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2)内置蓝牙无线物联模块，主机无需线缆就可以实现对同品牌音箱的音量控制，也可通过同品牌讲台实现对主机开关机控制。</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支持标准USB音视频信号输出，通过主机TypeC接口可以实现图像和声音同步输出，最大支持4K图像输出，输出音频可通过主机控制软件实现混音，兼容主流视频会议软件。（该检测项需在CMA和CNAS认证的检测范围内，提供具有CNAS及CMA标识的国家权威检测机构出具的检测报告复印件并加盖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4)主机采用高度集成化设计，能够独立完成视频采集、音频采集、音频编码、视频编码、音频处理、视频处理、直播、录制、互动、专业导播、远程运维参数设置功能。</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5)内置音频接收模块。无需外接无线音频接收模块，即可完成无线音频采集，支持同时≥2个无线麦克风接入，且同时支持≥2种对频模式。麦克风链接成功后，主机会显示无线麦克风连接成功图标，可通过麦表动态查看声音采集状态。（该检测项需在CMA和CNAS认证的检测范围内，提供具有CNAS及CMA标识的国家权威检测机构出具的检测报告复印件并加盖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6)支持断电扩声，在主机完全断电的情况下，从主机线性音频通道上输入的音频可以从主机输出通道输出，且≥2个音频输入通道可以支持该功能。（该检测项需在CMA和CNAS认证的检测范围内，提供具有CNAS及CMA标识的国家权威检测机构出具的检测报告复印件并加盖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7)支持≥2个HDMI高清采集接口，支持分辨率包含：340×2160p@30Hz、1920×1080p@60Hz、1920×1080p@30Hz、1680×1050p@30Hz、1600×900p@30Hz、1400×1050p@30fps、1280×1024p@30Hz、1280×1024p@60Hz、1280×960p@30Hz、1280×800p@30Hz、1280×720p@60Hz、1280×720p@30Hz、720×480p@60Hz、640×480p@30Hz 。（需提供具有CNAS及CMA标识的国家权威检测机构出具的检测报告复印件并加盖厂家公章）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8)支持≥4路高清视频输出，4路视频输出可同一时间输出不同视频源，且输出最大分辨率均可达到4K，其中HDMI信号输出≥3路且UVC信号输出≥1路。（该检测项需在CMA和CNAS认证的检测范围内，提供具有CNAS及CMA标识的国家权威检测机构出具的检测报告复印件并加盖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9)支持≥5个RJ45接口，其中≥3个支持POE，支持≥2个线路信号立体声输入，支持≥2个线路立体声音频输出，支持≥5个USB类型接口，其中USB-A接口≥3个，Type-C接口≥2个。</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10)支持开机后自动实现与无线音频设备链接，支持自动对频，可通过主机屏幕查看对频是否成功。</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11)支持≥32 路 1080p@30fps 编/解码。（该检测项需在CMA和CNAS认证的检测范围内，提供具有CNAS及CMA标识的国家权威检测机构出具的检测报告复印件并加盖公章）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12)支持录制清晰度设定，支持可选择4K、1080p、720p、VGA、QVGA；支持录制帧率设定，可选择 25fps/30fps/60fps；支持录制画质选择，可选择≥5种等级；录制编码码率≥16Mbps。</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13)支持网络监测功能，无需安装第三方软件，在触控屏幕上显示教室网络状态，包括：服务联通性、网络稳定性、上下行速度、网络追踪性、网卡信息。（该检测项需在CMA和CNAS认证的检测范围内，提供具有CNAS及CMA标识的国家权威检测机构出具的检测报告复印件并加盖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14)直播视频清晰度可设置，支持 1080p@60fps，可选择1080p、720p、VGA、QVGA；支持帧率设定，可选择 25fps/30fps/60fps；支持多种画质选择，可选择极佳、好、一般、流畅四个不同等级。</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15)支持单个文件、文件夹拷贝；多个文件、多个文件夹批量拷贝；支持动态显示拷贝进度，完成时自动提醒；当有多个 U 盘插入时，可在互动录播电脑主机一体化触控屏进行 U 盘选择。</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16)支持 FTP 远程自动上传录像，录制停止后自动上传视频文件到 FTP 服务器，支持断点续传。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17)支持通过互联网，查看当前的主机总数、日活个数、月活个数、当前在线数量，支持通过平台查看设备在线和离线状态，支持通过平台查看设备 ID 地址、IP 地址、激活时间信息，远程开关机（该检测项需在CMA和CNAS认证的检测范围内，提供具有CNAS及CMA标识的国家权威检测机构出具的检测报告复印件并加盖公章）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18)音频编码码率支持320Kbps并向下兼容，支持128 Kbps 、48Kbps可选。采样率支持48kHz。音频信号处理延时≤20ms。频率响应20Hz~20kHz。</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19)主机采用15.6英寸触控电容屏，屏幕色域≥72% NTSC，表面硬度≥7H，屏幕分辨率≥1920*1080。</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20)支持用户在录播主机上随时查看已录制视频总容量，并采用百分比的形式展示。</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21)主机噪声小于15dB（A）。（该检测项需在CMA和CNAS认证的检测范围内，提供具有CNAS及CMA标识的国家权威检测机构出具的检测报告复印件并加盖公章）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22)为保证设备稳定运行，要求设备平均无故障运行时间（MTBF）≥250000小时。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9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7" w:type="dxa"/>
            <w:tcBorders>
              <w:top w:val="nil"/>
              <w:left w:val="single" w:color="000000" w:sz="4" w:space="0"/>
              <w:bottom w:val="single" w:color="000000" w:sz="4" w:space="0"/>
              <w:right w:val="single" w:color="000000" w:sz="4" w:space="0"/>
            </w:tcBorders>
            <w:shd w:val="clear" w:color="auto" w:fill="FFFFFF"/>
            <w:noWrap w:val="0"/>
            <w:vAlign w:val="center"/>
          </w:tcPr>
          <w:p w14:paraId="3B5CA281">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台</w:t>
            </w:r>
          </w:p>
        </w:tc>
      </w:tr>
      <w:tr w14:paraId="77D15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BE7116">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2</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92063">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导播系统</w:t>
            </w:r>
          </w:p>
        </w:tc>
        <w:tc>
          <w:tcPr>
            <w:tcW w:w="83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D0F6F">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1)自动导播默认画面支持自定义设定，支持选择自动导播画面，可设置自动导播画面的保护时间和保持时间。</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2)支持多种画面模式，支持单画面、画中画、左右等分、三画面、四画面多种画面合成模式，支持自动导播、手动导播，可通过互动录播电脑主机一体化触控屏实现模式选择。</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3)导播优先级可自定义设定，支持定时切换设置，可自由选择切换时间和切换画面，支持根据学生、老师行为状态实现画面智能切换。</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4)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5)支持课件画面自动检测，可设置检测灵敏度；支持课件画面检测区域设定，可屏蔽电脑弹窗区域。</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6)支持云台摄像机控制，支持 PTZ（云台全方位移动及镜头变倍、变焦），可设置和调用9个预置位；同时支持通过鼠标点击画面，实现云台摄像机跟踪，可通过鼠标滑轮实现镜头画面放大缩小。</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7)在导播界面的预览窗口可实时观看教师全景/特写、学生全景/特写、多媒体电脑、板书画面共6路画面，点击可进行画面切换。预监画面可实时推流给资源平台，实现平台直播。</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8)支持选择画面进行录制，可录制导播画面，同时在“学生全景、学生特写、教师全景、教师特写、多媒体画面、板书画面”中选择一路或多路画面进行录制存储。</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9)支持外接导播台，可通过导播台实现对录播主机的录制控制、画面切换、云台跟踪、预置位设定与调取、音量调节。</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支持通过U盘导入视频、图片作为片头片尾素材，不少于3种格式；支持单个视频文件≥200MB，单个图片文件≥20MB，可保存≥10个素材；支持设定片头片尾保持时间，保持时间在5s~10s之间可选，片头片尾素材可直接在主机一体化屏幕上进行删除。（该检测项需在CMA和CNAS认证的检测范围内，提供具有CNAS及CMA标识的国家权威检测机构出具的检测报告复印件并加盖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1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FF4A48">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套</w:t>
            </w:r>
          </w:p>
        </w:tc>
      </w:tr>
      <w:tr w14:paraId="35577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E8F330">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3</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BF4B7">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互动系统</w:t>
            </w:r>
          </w:p>
        </w:tc>
        <w:tc>
          <w:tcPr>
            <w:tcW w:w="83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52415">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同时支持自动连线和手动连线，自动连线模式下，听课端会自动接通来自主讲端的互动请求，可选择设置关闭，手动连线模式下，当主讲端发出呼叫请求后，在互动录播电脑主机一体化触控屏上会出现呼叫提醒，用户可选择接听或者挂断。</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2)支持标准SIP音视频互动协议，支持1080P@60fps全高清视频互动。（需提供具有CNAS及CMA标识的国家权威检测机构出具的检测报告复印件并加盖厂家公章）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3)支持互动清晰度设置：支持 1080p@60fps，分辨率可选择 1080p、720p、VGA、QVGA，帧率可选择 60fps、30fps、25fps。互动画质可选择极佳、好、一般、流畅四个等级。（需提供具有CNAS及CMA标识的国家权威检测机构出具的检测报告复印件并加盖厂家公章）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4)支持双流自动发送，设置自动发送后，建立呼叫，主讲教室自动发送双流。</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5)支持课程预约功能，互动录播电脑主机能接收平台下发的互动课表，并显示于互动电脑主机一体化触控屏上，用户点击课表即可立即加入课堂，进行实时互动。</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6)支持微信扫码登录，无需单独输入账号，使用微信扫描互动录播电脑主机一体化触控屏上显示的二维码即可登录互动系统，登陆后显示用户头像和用户名。（需提供具有CNAS及CMA标识的国家权威检测机构出具的检测报告复印件并加盖厂家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7)无需通过任何第三方软件即可进行网络监测，并在互动录播电脑主机一体化触控屏上显示主机的网络状态；实现对网络联通性、网络稳定性、上行速度、下行速度、网络追踪性、网卡信息实时检测；在一段时间内，支持以折线图方式实时呈现网络稳定性、上行速度和下行速度。（需提供具有CNAS及CMA标识的国家权威检测机构出具的检测报告复印件并加盖厂家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8)互动过程中，可以在互动录播电脑主机一体化触控屏调出累计视频卡顿次数、累计音频卡顿次数和当前视频参数，包括上行/下行速率、丢包率、视频分辨率、当前句柄数量、CPU使用率。（需提供具有CNAS及CMA标识的国家权威检测机构出具的检测报告复印件并加盖厂家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9)设备双向互动过程中，在系统总丢包率 50%的网络环境下，视频清晰流畅无卡顿，语音连贯。</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10)支持 3Mbps 网络带宽环境下实现 1080P@60fps 视频双向互动，支持1带3互动，支持三种混流方式，推流端混流、拉流端混流、服务端混流。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5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922921">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套</w:t>
            </w:r>
          </w:p>
        </w:tc>
      </w:tr>
      <w:tr w14:paraId="39538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31AF7E">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4</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FE00E">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视频处理系统</w:t>
            </w:r>
          </w:p>
        </w:tc>
        <w:tc>
          <w:tcPr>
            <w:tcW w:w="83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9517A">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w:t>
            </w:r>
            <w:r>
              <w:rPr>
                <w:rFonts w:ascii="Arial" w:hAnsi="Arial" w:eastAsia="Microsoft YaHei UI" w:cs="Arial"/>
                <w:i w:val="0"/>
                <w:iCs w:val="0"/>
                <w:color w:val="000000"/>
                <w:kern w:val="0"/>
                <w:sz w:val="16"/>
                <w:szCs w:val="16"/>
                <w:u w:val="none"/>
                <w:lang w:val="en-US" w:eastAsia="zh-CN" w:bidi="ar"/>
              </w:rPr>
              <w:t xml:space="preserve"> </w:t>
            </w:r>
            <w:r>
              <w:rPr>
                <w:rFonts w:hint="eastAsia" w:ascii="Microsoft YaHei UI" w:hAnsi="Microsoft YaHei UI" w:eastAsia="Microsoft YaHei UI" w:cs="Microsoft YaHei UI"/>
                <w:i w:val="0"/>
                <w:iCs w:val="0"/>
                <w:color w:val="000000"/>
                <w:kern w:val="0"/>
                <w:sz w:val="16"/>
                <w:szCs w:val="16"/>
                <w:u w:val="none"/>
                <w:lang w:val="en-US" w:eastAsia="zh-CN" w:bidi="ar"/>
              </w:rPr>
              <w:t>支持合成4K的PGM画面，包含导播画面、教师全景画面、教师特写画面、学生全景画面、学生特写画面、板书画面。</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w:t>
            </w:r>
            <w:r>
              <w:rPr>
                <w:rFonts w:ascii="Arial" w:hAnsi="Arial" w:eastAsia="Microsoft YaHei UI" w:cs="Arial"/>
                <w:i w:val="0"/>
                <w:iCs w:val="0"/>
                <w:color w:val="000000"/>
                <w:kern w:val="0"/>
                <w:sz w:val="16"/>
                <w:szCs w:val="16"/>
                <w:u w:val="none"/>
                <w:lang w:val="en-US" w:eastAsia="zh-CN" w:bidi="ar"/>
              </w:rPr>
              <w:t xml:space="preserve"> </w:t>
            </w:r>
            <w:r>
              <w:rPr>
                <w:rFonts w:hint="eastAsia" w:ascii="Microsoft YaHei UI" w:hAnsi="Microsoft YaHei UI" w:eastAsia="Microsoft YaHei UI" w:cs="Microsoft YaHei UI"/>
                <w:i w:val="0"/>
                <w:iCs w:val="0"/>
                <w:color w:val="000000"/>
                <w:kern w:val="0"/>
                <w:sz w:val="16"/>
                <w:szCs w:val="16"/>
                <w:u w:val="none"/>
                <w:lang w:val="en-US" w:eastAsia="zh-CN" w:bidi="ar"/>
              </w:rPr>
              <w:t>支持多种类型视频信号接入，支持标准网络视频信号接入、高速数字信号接入。</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w:t>
            </w:r>
            <w:r>
              <w:rPr>
                <w:rFonts w:ascii="Arial" w:hAnsi="Arial" w:eastAsia="Microsoft YaHei UI" w:cs="Arial"/>
                <w:i w:val="0"/>
                <w:iCs w:val="0"/>
                <w:color w:val="000000"/>
                <w:kern w:val="0"/>
                <w:sz w:val="16"/>
                <w:szCs w:val="16"/>
                <w:u w:val="none"/>
                <w:lang w:val="en-US" w:eastAsia="zh-CN" w:bidi="ar"/>
              </w:rPr>
              <w:t xml:space="preserve"> </w:t>
            </w:r>
            <w:r>
              <w:rPr>
                <w:rFonts w:hint="eastAsia" w:ascii="Microsoft YaHei UI" w:hAnsi="Microsoft YaHei UI" w:eastAsia="Microsoft YaHei UI" w:cs="Microsoft YaHei UI"/>
                <w:i w:val="0"/>
                <w:iCs w:val="0"/>
                <w:color w:val="000000"/>
                <w:kern w:val="0"/>
                <w:sz w:val="16"/>
                <w:szCs w:val="16"/>
                <w:u w:val="none"/>
                <w:lang w:val="en-US" w:eastAsia="zh-CN" w:bidi="ar"/>
              </w:rPr>
              <w:t>支持通过rtsp协议接入第三方摄像机视频流。</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4.</w:t>
            </w:r>
            <w:r>
              <w:rPr>
                <w:rFonts w:ascii="Arial" w:hAnsi="Arial" w:eastAsia="Microsoft YaHei UI" w:cs="Arial"/>
                <w:i w:val="0"/>
                <w:iCs w:val="0"/>
                <w:color w:val="000000"/>
                <w:kern w:val="0"/>
                <w:sz w:val="16"/>
                <w:szCs w:val="16"/>
                <w:u w:val="none"/>
                <w:lang w:val="en-US" w:eastAsia="zh-CN" w:bidi="ar"/>
              </w:rPr>
              <w:t xml:space="preserve"> </w:t>
            </w:r>
            <w:r>
              <w:rPr>
                <w:rFonts w:hint="eastAsia" w:ascii="Microsoft YaHei UI" w:hAnsi="Microsoft YaHei UI" w:eastAsia="Microsoft YaHei UI" w:cs="Microsoft YaHei UI"/>
                <w:i w:val="0"/>
                <w:iCs w:val="0"/>
                <w:color w:val="000000"/>
                <w:kern w:val="0"/>
                <w:sz w:val="16"/>
                <w:szCs w:val="16"/>
                <w:u w:val="none"/>
                <w:lang w:val="en-US" w:eastAsia="zh-CN" w:bidi="ar"/>
              </w:rPr>
              <w:t>支持不少于3种编码复杂度，支持Baseline Profile、Main profile、High profile</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5.</w:t>
            </w:r>
            <w:r>
              <w:rPr>
                <w:rFonts w:ascii="Arial" w:hAnsi="Arial" w:eastAsia="Microsoft YaHei UI" w:cs="Arial"/>
                <w:i w:val="0"/>
                <w:iCs w:val="0"/>
                <w:color w:val="000000"/>
                <w:kern w:val="0"/>
                <w:sz w:val="16"/>
                <w:szCs w:val="16"/>
                <w:u w:val="none"/>
                <w:lang w:val="en-US" w:eastAsia="zh-CN" w:bidi="ar"/>
              </w:rPr>
              <w:t xml:space="preserve"> </w:t>
            </w:r>
            <w:r>
              <w:rPr>
                <w:rFonts w:hint="eastAsia" w:ascii="Microsoft YaHei UI" w:hAnsi="Microsoft YaHei UI" w:eastAsia="Microsoft YaHei UI" w:cs="Microsoft YaHei UI"/>
                <w:i w:val="0"/>
                <w:iCs w:val="0"/>
                <w:color w:val="000000"/>
                <w:kern w:val="0"/>
                <w:sz w:val="16"/>
                <w:szCs w:val="16"/>
                <w:u w:val="none"/>
                <w:lang w:val="en-US" w:eastAsia="zh-CN" w:bidi="ar"/>
              </w:rPr>
              <w:t>支持不少于两种码率控制方式，支持CBR（Constant Bit Rate）、VBR（Variable Bit Rate）。</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6.</w:t>
            </w:r>
            <w:r>
              <w:rPr>
                <w:rFonts w:ascii="Arial" w:hAnsi="Arial" w:eastAsia="Microsoft YaHei UI" w:cs="Arial"/>
                <w:i w:val="0"/>
                <w:iCs w:val="0"/>
                <w:color w:val="000000"/>
                <w:kern w:val="0"/>
                <w:sz w:val="16"/>
                <w:szCs w:val="16"/>
                <w:u w:val="none"/>
                <w:lang w:val="en-US" w:eastAsia="zh-CN" w:bidi="ar"/>
              </w:rPr>
              <w:t xml:space="preserve"> </w:t>
            </w:r>
            <w:r>
              <w:rPr>
                <w:rFonts w:hint="eastAsia" w:ascii="Microsoft YaHei UI" w:hAnsi="Microsoft YaHei UI" w:eastAsia="Microsoft YaHei UI" w:cs="Microsoft YaHei UI"/>
                <w:i w:val="0"/>
                <w:iCs w:val="0"/>
                <w:color w:val="000000"/>
                <w:kern w:val="0"/>
                <w:sz w:val="16"/>
                <w:szCs w:val="16"/>
                <w:u w:val="none"/>
                <w:lang w:val="en-US" w:eastAsia="zh-CN" w:bidi="ar"/>
              </w:rPr>
              <w:t>主机可通过网络实现对接入摄像机的设备信息检索。</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7.</w:t>
            </w:r>
            <w:r>
              <w:rPr>
                <w:rFonts w:ascii="Arial" w:hAnsi="Arial" w:eastAsia="Microsoft YaHei UI" w:cs="Arial"/>
                <w:i w:val="0"/>
                <w:iCs w:val="0"/>
                <w:color w:val="000000"/>
                <w:kern w:val="0"/>
                <w:sz w:val="16"/>
                <w:szCs w:val="16"/>
                <w:u w:val="none"/>
                <w:lang w:val="en-US" w:eastAsia="zh-CN" w:bidi="ar"/>
              </w:rPr>
              <w:t xml:space="preserve"> </w:t>
            </w:r>
            <w:r>
              <w:rPr>
                <w:rFonts w:hint="eastAsia" w:ascii="Microsoft YaHei UI" w:hAnsi="Microsoft YaHei UI" w:eastAsia="Microsoft YaHei UI" w:cs="Microsoft YaHei UI"/>
                <w:i w:val="0"/>
                <w:iCs w:val="0"/>
                <w:color w:val="000000"/>
                <w:kern w:val="0"/>
                <w:sz w:val="16"/>
                <w:szCs w:val="16"/>
                <w:u w:val="none"/>
                <w:lang w:val="en-US" w:eastAsia="zh-CN" w:bidi="ar"/>
              </w:rPr>
              <w:t>支持POE摄像机接入。</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8.</w:t>
            </w:r>
            <w:r>
              <w:rPr>
                <w:rFonts w:ascii="Arial" w:hAnsi="Arial" w:eastAsia="Microsoft YaHei UI" w:cs="Arial"/>
                <w:i w:val="0"/>
                <w:iCs w:val="0"/>
                <w:color w:val="000000"/>
                <w:kern w:val="0"/>
                <w:sz w:val="16"/>
                <w:szCs w:val="16"/>
                <w:u w:val="none"/>
                <w:lang w:val="en-US" w:eastAsia="zh-CN" w:bidi="ar"/>
              </w:rPr>
              <w:t xml:space="preserve"> </w:t>
            </w:r>
            <w:r>
              <w:rPr>
                <w:rFonts w:hint="eastAsia" w:ascii="Microsoft YaHei UI" w:hAnsi="Microsoft YaHei UI" w:eastAsia="Microsoft YaHei UI" w:cs="Microsoft YaHei UI"/>
                <w:i w:val="0"/>
                <w:iCs w:val="0"/>
                <w:color w:val="000000"/>
                <w:kern w:val="0"/>
                <w:sz w:val="16"/>
                <w:szCs w:val="16"/>
                <w:u w:val="none"/>
                <w:lang w:val="en-US" w:eastAsia="zh-CN" w:bidi="ar"/>
              </w:rPr>
              <w:t>HDMI采集通道支持画面缩放，可完成4K图像采集。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A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BFE0FA">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套</w:t>
            </w:r>
          </w:p>
        </w:tc>
      </w:tr>
      <w:tr w14:paraId="3C0B4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2B864A">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5</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FED77">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远程互动助手软件</w:t>
            </w:r>
          </w:p>
        </w:tc>
        <w:tc>
          <w:tcPr>
            <w:tcW w:w="83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594D2">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【电脑端】</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1.支持微信扫码登录，无需输入帐号密码即可登录软件进入课堂，支持显示预约的活动信息，包括直播活动、互动课堂、网络教研的活动类型、活动名称、活动时间、活动状态及对应授课老师。</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2.支持搭配互动录播主机，进入录制视频、直播活动、互动课堂、网络教研活动。</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3.支持在课前设置互动录播电脑主机的录制画面、导播模式。</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4.支持课中更改导播模式，可切换为手动或者自动导播。</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5.支持修改自动导播设置，可设置参与自动导播的画面。</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6.支持手动导播模式下，支持切换任一画面。</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9支持录制过程显示已录制时间，可进行暂停和结束录制。</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8.支持查看参与互动的教室网络连接情况，可看到彼此的设备网络环境。房间内所有用户都可以查看到每个上台成员的网络情况。支持由低到高至少4档位的信号展示。（需提供具有CNAS及CMA标识的国家权威检测机构出具的检测报告复印件并加盖厂家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9.支持无绿幕虚拟抠像功能，老师可更换画面背景，对本地摄像头画面进行虚拟背景处理，并显示对应的实时画面，老师可查看虚拟背景效果；支持对比控制，显示虚拟背景前后的画面效果；支持背景虚化和更换背景；提供不少于3个默认背景图；支持添加本地图片设置为背景图。（该检测项需在CMA和CNAS认证的检测范围内，提供具有CNAS及CMA标识的国家权威检测机构出具的检测报告复印件并加盖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10.在进行互动课堂或网络教研时，支持不少于3种角色实时切换。其中主持人角色可将课中任意成员实时设置为授课老师或学生。（该检测项需在CMA和CNAS认证的检测范围内，提供具有CNAS及CMA标识的国家权威检测机构出具的检测报告复印件并加盖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【移动端】</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1.为保证APP安全性，需通过官方应用商城进行下载并安装。iOS端支持通过官方AppStore下载，Android端支持通过应用宝进行下载。</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2.APP支持用户修改个人头像、昵称及学科学段。</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3.APP支持通过手机号或房间号加入互动课堂以及网络教研。（提供对应功能截图并加盖厂家公章）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4.APP支持创建“互动课堂”活动。创建过程中，可填写活动名称、学科、时间、授课教师、班级等基础信息。同时支持扩展更多设置，选择活动对应教室，设计活动封面，添加图文介绍，设置签到方式以及参与人权限。（提供对应功能截图并加盖厂家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5.APP支持创建“网络教研”活动。创建过程中，可填写活动名称、学科、时间、参会教师等基础信息。同时支持扩展更多设置，选择活动对应教室，添加图文介绍，选择评课表模板，设置签到方式以及参与人权限。（提供对应功能截图并加盖厂家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6.APP支持活动邀请参与，分享内容包括房间号、房间链接，可分享至微信、QQ等社交平台。（提供对应功能截图并加盖厂家公章）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7.APP支持活动直播分享，自动生成活动海报，可保存海报，并分享至微信、QQ等社交平台。（提供对应功能截图并加盖厂家公章）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8.APP支持在互动过程中，添加答题器，可选择正确答案，可选答案不少于8个。（提供对应功能截图并加盖厂家公章）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9.APP支持观看“互动课堂”课后报告，可查看互动数据、直播数据，互动数据包含：互动时长、人均参与时长、参与人数、互动工具使用次数，直播数据包含：观看人次、人气峰值、直播总时长、点评人数、点评条数、点赞总数、签到人数。（提供对应功能截图并加盖厂家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7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E5702F">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套</w:t>
            </w:r>
          </w:p>
        </w:tc>
      </w:tr>
      <w:tr w14:paraId="7B3A2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BACDE">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6</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CF9E7">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录制面板</w:t>
            </w:r>
          </w:p>
        </w:tc>
        <w:tc>
          <w:tcPr>
            <w:tcW w:w="83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A87F4">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1.支持≥1个RS232接口。</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2.支持≥1个RS422接口。</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3.支持≥1个RS485接口。</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4.支持≥1个USB接口。</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5.整机为可嵌入式设计，可嵌入讲台、墙壁内安装。</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6.整体支持≥19个物理按键。</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7.支持控制录播主机开关机、支持控制录播开启录制、直播和结束录播、直播。</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8.支持通过按键切换自动导播和手动导播。</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9.支持手动切换教师全景、教师特写、学生全景、学生特写、多媒体画面和板书画面，方便老师自由的切换需要的录制/直播画面。</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10.支持通过控制面板和远端建立远程连接，实现远程互动。</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11.支持通过控制面板控制拉起3个远端进行发言、挂断三个远端的发言。</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12.支持一键静音。</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13.支持按键灯设计、按键灯可显示当前录播主机工作状态。</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14.内置蜂鸣器，开关机时能提示操作是否生效。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5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7" w:type="dxa"/>
            <w:tcBorders>
              <w:top w:val="nil"/>
              <w:left w:val="single" w:color="000000" w:sz="4" w:space="0"/>
              <w:bottom w:val="single" w:color="000000" w:sz="4" w:space="0"/>
              <w:right w:val="single" w:color="000000" w:sz="4" w:space="0"/>
            </w:tcBorders>
            <w:shd w:val="clear" w:color="auto" w:fill="FFFFFF"/>
            <w:noWrap w:val="0"/>
            <w:vAlign w:val="center"/>
          </w:tcPr>
          <w:p w14:paraId="16C6D1BA">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套</w:t>
            </w:r>
          </w:p>
        </w:tc>
      </w:tr>
      <w:tr w14:paraId="0469A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E709E9">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7</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1C8CD">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Ai课堂分析系统</w:t>
            </w:r>
          </w:p>
        </w:tc>
        <w:tc>
          <w:tcPr>
            <w:tcW w:w="83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8E91F">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 系统支持对教室环境的3D还原重建，形成桌椅、讲台、一体机的真实环境建模，采集到的师生互动行为自动对应到具体课桌位置；支持≥5种视角转换，正前方、左前方、右前方、左后方、右后方。</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 在3D课堂孪生界面中，通过课桌的颜色深浅表示学生参与互动的活跃程度，基于学生上台次数、举手次数、问答次数计算学生活跃程度，颜色越深则代表越活跃。</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 在3D课堂孪生界面中，支持点击课堂活跃热力图中的学生头像，查看该学生的师生互动视频片段，统计该学生在本节课的上台互动、举手次数、问答次数。</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4. 在3D课堂孪生界面中，支持在地面上显示教师的巡堂轨迹，颜色越深代表停留时间越长。</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5. 系统根据教学内容自动生成师生问答、课堂互动、新课标落实三个维度的课堂反馈建议，可查看全部提问、符合知识性目标的提问、不合适的提问、提问优化建议、课堂互动建议、基于新课标的亮点和改进建议。</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6. 系统支持统计课程时长、课堂中教师讲授时长、教师讲授字数、教师授课平均语速。</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7. 系统自动统计教师授课、师生互动、小组讨论、课堂练习的时间分布情况，支持图形可视化展示不同课堂行为的整体时间占比。</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8. 系统自动统计教师授课、师生互动、小组讨论、课堂练习的时间分布情况，支持按照时序图样式展示，展示不同课堂行为发生的顺序、时长。</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9. 系统将课堂中老师和学生的声音转写为文字，按照前后文逻辑关系自动切割为不同的片段；片段支持展开查看详细文字，支持跳转到文字段落对应的视频片段。</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10. 系统支持对语音转写中的师生问答进行自动识别，将提问内容自动高亮显示，支持将识别出的问答实录一键导出为云文档。</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11. 系统支持对识别出的文字进行手动校准，支持对识别出的问答片段标注是否有效，被标注有效的问答片段，在播放器时间轴对应的时间点上会高亮显示。</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12. 系统支持自动识别问答模式分类，按简单型、追问型、思考再答型、自问自答、无响应进行分类统计，通过柱状图表呈现。</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13. 系统支持点击问答模式柱状图对该类型的提问进行筛选，问答实录中显示对应文字明细，明细会按师生角色区分，并自动进行分段分句，支持跳转到文字段落对应的视频片段。</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14. 系统支持通过弗兰德斯编码规则对课堂数据进行每秒1次的打点，自动计算出启发/指导比（I/D）、学生稳态比（PSSR）、教学内容比（CCR）、学生发言比（PIR）、教师提问比（TQR）、教学/调控比（TRR）的指标数值，通过雷达图呈现。</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15. 系统支持将本堂课的弗兰德斯编码数值和标准数值进行对比，通过上下箭头呈现高于或低于标准数值；可查看弗兰德斯矩阵编码打点信息，每1秒为一个点，将课堂的全部过程进行打点标记。</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16. 系统支持教师画面、学生画面双窗口显示，小窗口可自由拖动位置和自由切换；视频画面于互动课件一一对应，点击互动课件缩略图，可跳转至对应视频片段。</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17. 系统将课堂实录自动切割为关键片段，根据模式的选择播放指定的片段内容；片段中包含提问、回答、举手、上台、齐读、讨论的教学事件，播放进度条支持显示事件类型、定位播放功能。</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18. 系统支持教学环节、课堂互动、完整回放三种播放模式，可任意切换。</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19. 系统支持将报告下载至本地，报告中包含基础数据、教学时间分配、讲学环节时间轴、弗兰德斯编码图、S-T/Rt-Ch教学分析图、高频词语分析、提问数据统计、提问详情列表。</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20. 系统支持计算本节课的教师行为占有率Rt、师生行为转换率Ch，基于本节课的Rt值、Ch值得出本节课的教学模式，教学模式包含：混合型、练习型、讲授型、对话型。</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21. 系统支持以海报、二维码、链接的方式分享给他人。</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22. 系统支持在移动端查看报告。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7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7" w:type="dxa"/>
            <w:tcBorders>
              <w:top w:val="nil"/>
              <w:left w:val="single" w:color="000000" w:sz="4" w:space="0"/>
              <w:bottom w:val="single" w:color="000000" w:sz="4" w:space="0"/>
              <w:right w:val="single" w:color="000000" w:sz="4" w:space="0"/>
            </w:tcBorders>
            <w:shd w:val="clear" w:color="auto" w:fill="FFFFFF"/>
            <w:noWrap w:val="0"/>
            <w:vAlign w:val="center"/>
          </w:tcPr>
          <w:p w14:paraId="25A7EE07">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套</w:t>
            </w:r>
          </w:p>
        </w:tc>
      </w:tr>
      <w:tr w14:paraId="665F6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D9EF72">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3F1F2">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机械云台摄像机</w:t>
            </w:r>
          </w:p>
        </w:tc>
        <w:tc>
          <w:tcPr>
            <w:tcW w:w="83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369FB">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 传感器尺寸：≥CMOS 1/1.8英寸。</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 传感器有效像素≥800万。</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 支持不少于40倍变焦。</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4. 扫描方式：逐行。</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5. 支持畸变矫正功能，畸变＜1.5%，校正后可实现视觉无畸变。</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6. 最低照度： 0.5Lux @ (F1.8, AGC ON)。</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7. 镜头： F1.58 ~ F3.95。</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8. 快门： 1/30s ~ 1/10000s。</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9. 支持自动白平衡功能。</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10. 支持背光补偿功能。</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11. 支持图像冻结功能。</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12. 支持POE供电。</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13. 支持2D&amp;3D数字降噪，信噪比≥55dB。</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14. 支持预置位个数≥255个，预置位精度≤0.1°。</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15. 支持水平翻转、垂直翻转，水平转动范围：±170°，垂直转动范围：-30°~+90°。</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16. 支持最大水平视场角≥60°，最大垂直视场角≥35°。</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17. 支持最大水平转动速度≥100°/s，最大垂直转动速度≥69°/s。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ED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67" w:type="dxa"/>
            <w:tcBorders>
              <w:top w:val="nil"/>
              <w:left w:val="single" w:color="000000" w:sz="4" w:space="0"/>
              <w:bottom w:val="single" w:color="000000" w:sz="4" w:space="0"/>
              <w:right w:val="single" w:color="000000" w:sz="4" w:space="0"/>
            </w:tcBorders>
            <w:shd w:val="clear" w:color="auto" w:fill="FFFFFF"/>
            <w:noWrap w:val="0"/>
            <w:vAlign w:val="center"/>
          </w:tcPr>
          <w:p w14:paraId="7C7EC32F">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台</w:t>
            </w:r>
          </w:p>
        </w:tc>
      </w:tr>
      <w:tr w14:paraId="134F2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9E637B">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2</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0DF4C609">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云台摄像机图像处理系统</w:t>
            </w:r>
          </w:p>
        </w:tc>
        <w:tc>
          <w:tcPr>
            <w:tcW w:w="8313" w:type="dxa"/>
            <w:tcBorders>
              <w:top w:val="single" w:color="000000" w:sz="4" w:space="0"/>
              <w:left w:val="single" w:color="000000" w:sz="4" w:space="0"/>
              <w:bottom w:val="single" w:color="000000" w:sz="4" w:space="0"/>
              <w:right w:val="single" w:color="000000" w:sz="4" w:space="0"/>
            </w:tcBorders>
            <w:noWrap w:val="0"/>
            <w:vAlign w:val="center"/>
          </w:tcPr>
          <w:p w14:paraId="42A4C4EB">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 设备采用ARM硬件架构，linux操作系统。</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 支持≥4种编码等级，包含baseline、mainprofile、highprofile、svc-t。</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 支持AAC、G711A两种音频编码格式。</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4. 支持TCP/IP, HTTP, RTSP, RTMP, Onvif, DHCP, 组播等网络协议。</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5. 支持设置摄像机分辨率、帧率、码率。</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6. 支持设置摄像机亮度、饱和度、对比度、锐度、色度、快门速度。</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7. 支持图像左右镜像、上下翻转。</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8. 支持对摄像机网络进行管理，包括设置IP地址/网关/DNS等，支持组播协议搜索IP地址，并修改摄像机IP。</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9. 支持RTMP推流，RTSP拉流，地址可设置。</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10. 支持ONVIF协议，可预览ONVIF画面。</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11. 支持GB28181协议，可使用GB28181协议推流。</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12. 支持演讲者模式、学生全景模式、学生特写模式、教师全景模式、教师特写模式、板书模式6种模式切换。</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13. 支持人脸检测、人形检测AI算法。</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6E3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67" w:type="dxa"/>
            <w:tcBorders>
              <w:top w:val="nil"/>
              <w:left w:val="single" w:color="000000" w:sz="4" w:space="0"/>
              <w:bottom w:val="single" w:color="000000" w:sz="4" w:space="0"/>
              <w:right w:val="single" w:color="000000" w:sz="4" w:space="0"/>
            </w:tcBorders>
            <w:noWrap w:val="0"/>
            <w:vAlign w:val="center"/>
          </w:tcPr>
          <w:p w14:paraId="110D6083">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套</w:t>
            </w:r>
          </w:p>
        </w:tc>
      </w:tr>
      <w:tr w14:paraId="0CC82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E8803A">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3</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3D8FEF8">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AI分析摄像机</w:t>
            </w:r>
          </w:p>
        </w:tc>
        <w:tc>
          <w:tcPr>
            <w:tcW w:w="8313" w:type="dxa"/>
            <w:tcBorders>
              <w:top w:val="single" w:color="000000" w:sz="4" w:space="0"/>
              <w:left w:val="single" w:color="000000" w:sz="4" w:space="0"/>
              <w:bottom w:val="single" w:color="000000" w:sz="4" w:space="0"/>
              <w:right w:val="single" w:color="000000" w:sz="4" w:space="0"/>
            </w:tcBorders>
            <w:noWrap w:val="0"/>
            <w:vAlign w:val="top"/>
          </w:tcPr>
          <w:p w14:paraId="26820C31">
            <w:pPr>
              <w:keepNext w:val="0"/>
              <w:keepLines w:val="0"/>
              <w:widowControl/>
              <w:suppressLineNumbers w:val="0"/>
              <w:jc w:val="left"/>
              <w:textAlignment w:val="top"/>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1.镜头水平视场角≥90°。</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2.一体化集成设计，支持4K超高清，可提供4K图像编码输出，同时向下兼容1080p，720p等分辨率。</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3.内置图像识别跟踪算法，无需物理转动，即可实现平滑自然的跟踪效果，避免干扰课堂教学。</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4.全景画面支持畸变矫正功能。</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5.全景画面与特写画面采用相同图像传感器和图像处理器，确保两者图像输出亮度、颜色、风格等保持一致6)整机接口≥1路RJ45。</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6.支持POE有线网络供电，只需要1路网线，即可实现供电及信号传输，支持同时输出特写和全景等多路画面。</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7.传感器尺寸≥CMOS 1/2.8英寸。</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8.传感器有效像素≥800万。</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 xml:space="preserve">9.扫描方式：逐行 </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10.最低照度：0.5 Lux @（F1.8, AGC ON）。</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11.电子快门：1/30s ~ 1/10000s。</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12.支持自动白平衡。</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13.支持2D&amp;3D数字降噪，信噪比≥55dB。</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14.支持H.264、H.265视频编码格式。</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15.主码流分辨率：3840x2160, 1920x1080, 1920x1080, 1280x720, 1024x576, 720x576(50Hz), 720x480(60Hz), 720x408, 640x360, 480x270, 320x240, 320x180</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16.辅码流分辨率：1920x1080, 1280x720, 1024x576, 960x540, 640x480, 640x360, 320x240, 320x180</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 xml:space="preserve">17.视频码率：32Kbps ~ 16384Kbps。 </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 xml:space="preserve">18.帧率：1~25fps。 </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19.网络流传输协议：TCP, HTTP, UDP，RTSP, RTMP, ONVIF。</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20.输入电压：DC12V/PoE（IEEE802.3af）。</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21.功耗≤6W。</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22.净重≤0.3kg。</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14:paraId="0D8AE273">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6FE744E2">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台</w:t>
            </w:r>
          </w:p>
        </w:tc>
      </w:tr>
      <w:tr w14:paraId="3542E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CC4E64">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4</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311DE">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AI学生摄像机图像处理系统</w:t>
            </w:r>
          </w:p>
        </w:tc>
        <w:tc>
          <w:tcPr>
            <w:tcW w:w="831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8E126E1">
            <w:pPr>
              <w:keepNext w:val="0"/>
              <w:keepLines w:val="0"/>
              <w:widowControl/>
              <w:suppressLineNumbers w:val="0"/>
              <w:jc w:val="left"/>
              <w:textAlignment w:val="top"/>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1.4K学生摄像机内嵌智能跟踪算法，无需单独安装定位跟踪主机及其他任何辅助拍摄设备，即可实现跟踪定位控制功能。</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2.系统应采用智能图像识别算法，高清摄像机同时输出2路场景画面并分析计算，实现1台摄像机的2景位拍摄，通过导播跟踪系统，实现所有画面的自动导播切换：</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（a）学生起立发言时，首先切换为学生全景，再过渡为发言学生的特写画面，当多名学生站立时，自动切换到学生全景；</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（b）学生跟踪具备人脸检测辅助识别功能。</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3.支持设置摄像机分辨率、帧率、码率。</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4.支持设置摄像机亮度、饱和度、对比度、锐度、色度、快门速度。</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5.图像支持左右镜像、上下翻转，默认不开启。</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6.支持对摄像机网络进行管理，包括设置IP地址/网关/DNS等，支持组播协议搜索IP地址，并修改摄像机IP。</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7.支持RTMP推流，推流地址可设置。</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8.支持RTSP推流，推流地址可设置。</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9.支持ONVIF协议，可预览ONVIF画面。</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10.支持GB28181协议，可使用GB28181协议推流。</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11.支持摄像机内部导播，支持外部服务器导播。</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12.支持至少1个六边形导播跟踪区划定。</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13.跟踪区域划定方式为任意两个边缘点连线，确保可以构建合适的跟踪区域。</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14.支持跟踪灵敏度设置，可适配不同的灵敏度要求场景。</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15.支持开启/关闭跟踪功能。</w:t>
            </w:r>
          </w:p>
        </w:tc>
        <w:tc>
          <w:tcPr>
            <w:tcW w:w="9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10E9E1">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F406F8">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套</w:t>
            </w:r>
          </w:p>
        </w:tc>
      </w:tr>
      <w:tr w14:paraId="45850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CC73D7">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637A6E21">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全向麦克风</w:t>
            </w:r>
          </w:p>
        </w:tc>
        <w:tc>
          <w:tcPr>
            <w:tcW w:w="8313" w:type="dxa"/>
            <w:tcBorders>
              <w:top w:val="single" w:color="000000" w:sz="4" w:space="0"/>
              <w:left w:val="single" w:color="000000" w:sz="4" w:space="0"/>
              <w:bottom w:val="single" w:color="000000" w:sz="4" w:space="0"/>
              <w:right w:val="single" w:color="000000" w:sz="4" w:space="0"/>
            </w:tcBorders>
            <w:noWrap w:val="0"/>
            <w:vAlign w:val="center"/>
          </w:tcPr>
          <w:p w14:paraId="3644497F">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1)麦克风采用≥4核的国产音频芯片。</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2)麦克风频率响应范围不低于50Hz~16KHz，麦克风拾音半径≥8m，麦克风信噪比≥68dB。</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3)麦克风声压级≥130dBSPL，10%THD@1 KHz。</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4)</w:t>
            </w:r>
            <w:r>
              <w:rPr>
                <w:rFonts w:hint="eastAsia" w:ascii="微软雅黑 Light" w:hAnsi="微软雅黑 Light" w:eastAsia="微软雅黑 Light" w:cs="微软雅黑 Light"/>
                <w:color w:val="auto"/>
                <w:kern w:val="2"/>
                <w:sz w:val="24"/>
                <w:szCs w:val="24"/>
                <w:lang w:val="en-US" w:eastAsia="zh-CN" w:bidi="ar-SA"/>
              </w:rPr>
              <w:t>▲</w:t>
            </w:r>
            <w:r>
              <w:rPr>
                <w:rFonts w:hint="eastAsia" w:ascii="Microsoft YaHei UI" w:hAnsi="Microsoft YaHei UI" w:eastAsia="Microsoft YaHei UI" w:cs="Microsoft YaHei UI"/>
                <w:i w:val="0"/>
                <w:iCs w:val="0"/>
                <w:color w:val="000000"/>
                <w:kern w:val="0"/>
                <w:sz w:val="16"/>
                <w:szCs w:val="16"/>
                <w:u w:val="none"/>
                <w:lang w:val="en-US" w:eastAsia="zh-CN" w:bidi="ar"/>
              </w:rPr>
              <w:t>麦克风具备≥1个状态指示灯，可显示麦克风工作状态，蓝灯表示工作状态正常，红灯表示无法正常拾音。（需提供具有CNAS及CMA标识的国家权威检测机构出具的检测报告复印件并加盖厂家公章）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5)麦克风支持≥2个数字音频接口，每个接口都具备输入接口和输出接口能力，支持盲插。</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6)麦克风支持≥1个Type-C接口。</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7)麦克风内置≥8个传感器单元。</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8)麦克风支持在线OTA，可在线对麦克风进行升级，无需人员现场维护。</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9)麦克风支持降噪、回声抵消、混响抑制、自动增益控制、多麦融合多种音频算法。</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959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3486C4ED">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台</w:t>
            </w:r>
          </w:p>
        </w:tc>
      </w:tr>
      <w:tr w14:paraId="50AC0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5B4C44">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2</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A545CD">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全向麦克风音频处理系统</w:t>
            </w:r>
          </w:p>
        </w:tc>
        <w:tc>
          <w:tcPr>
            <w:tcW w:w="83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03D99">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1)支持全频带全双工自适应回声消除算法。</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2)支持全频自适应AI降噪技术，降噪电平≥24dB。</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3)支持自动增益控制。</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4)支持啸叫抑制。</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5)支持智能混音，可智能选择最佳麦克风采集音频。</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6)支持多通道音频矩阵，可根据场景需求进行相应设置。</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7)支持音频参数调节。</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8)支持波束成形。</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9)支持远程OTA升级。</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10)支持连接录播主机作为录播音频输入设备使用，也可连接Windows系统，并为其提供音频输入。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B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60F46F">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套</w:t>
            </w:r>
          </w:p>
        </w:tc>
      </w:tr>
      <w:tr w14:paraId="44B35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5A43CC">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3</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606DBF">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无线麦克风</w:t>
            </w:r>
          </w:p>
        </w:tc>
        <w:tc>
          <w:tcPr>
            <w:tcW w:w="83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C4EA8">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1)麦克风支持≥1个3.5mm音频接口，整机3.5mm音频接口≥2个。</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2)全套麦克风整机≥3个USB Type-C接口。</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w:t>
            </w:r>
            <w:r>
              <w:rPr>
                <w:rFonts w:hint="eastAsia" w:ascii="微软雅黑 Light" w:hAnsi="微软雅黑 Light" w:eastAsia="微软雅黑 Light" w:cs="微软雅黑 Light"/>
                <w:color w:val="auto"/>
                <w:kern w:val="2"/>
                <w:sz w:val="24"/>
                <w:szCs w:val="24"/>
                <w:lang w:val="en-US" w:eastAsia="zh-CN" w:bidi="ar-SA"/>
              </w:rPr>
              <w:t>▲</w:t>
            </w:r>
            <w:r>
              <w:rPr>
                <w:rFonts w:hint="eastAsia" w:ascii="Microsoft YaHei UI" w:hAnsi="Microsoft YaHei UI" w:eastAsia="Microsoft YaHei UI" w:cs="Microsoft YaHei UI"/>
                <w:i w:val="0"/>
                <w:iCs w:val="0"/>
                <w:color w:val="000000"/>
                <w:kern w:val="0"/>
                <w:sz w:val="16"/>
                <w:szCs w:val="16"/>
                <w:u w:val="none"/>
                <w:lang w:val="en-US" w:eastAsia="zh-CN" w:bidi="ar"/>
              </w:rPr>
              <w:t>麦克风支持≥1个Pogo pin接口，支持通过Pogo pin接口进行充电。整机Pogo pin接口≥2个。（需提供具有CNAS及CMA标识的国家权威检测机构出具的检测报告复印件并加盖厂家公章）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4)麦克风支持≥1个三合一按键，可控制麦克风的开关机、静音和配对。</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5)麦克风支持≥2个音量控制按钮，可通过音量“+”“-”按钮控制麦克风输出音量。（需提供具有CNAS及CMA标识的国家权威检测机构出具的检测报告复印件并加盖厂家公章）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6)▲麦克风单体重量≤30g。（需提供具有CNAS及CMA标识的国家权威检测机构出具的检测报告复印件并加盖厂家公章）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7)麦克风标配充电仓，可用于充电及收纳。</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8)麦克风充电仓支持电量指示，通过灯珠亮灭数量充电仓剩余电量及充电状态。</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9)麦克风领夹角度支持调节，调节角度≥±90°；麦克风与领夹夹角相对0°位置具备限位功能。</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10)整机标配两个无线麦克风，且两个麦克风支持同时工作。</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11)麦克风支持通过音量调节按钮调节输出音量；音量调节过程中通过麦克风一体化屏幕动态提示当前音量等级。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68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7DC4A">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套</w:t>
            </w:r>
          </w:p>
        </w:tc>
      </w:tr>
      <w:tr w14:paraId="4EF4F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920A7C">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4</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4B6166">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无线麦克风音频处理系统</w:t>
            </w:r>
          </w:p>
        </w:tc>
        <w:tc>
          <w:tcPr>
            <w:tcW w:w="83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715B3">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 麦克风音频编码方式采用LC3 plus。</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 ▲支持啸叫抑制算法，本地扩声时不产生啸叫现象。</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 支持降噪功能设置。</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4. 支持多通道输入混音。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5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3F0E06">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套</w:t>
            </w:r>
          </w:p>
        </w:tc>
      </w:tr>
      <w:tr w14:paraId="2C8B2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3C592E">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5</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96E70C1">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功放</w:t>
            </w:r>
          </w:p>
        </w:tc>
        <w:tc>
          <w:tcPr>
            <w:tcW w:w="8313" w:type="dxa"/>
            <w:tcBorders>
              <w:top w:val="single" w:color="000000" w:sz="4" w:space="0"/>
              <w:left w:val="single" w:color="000000" w:sz="4" w:space="0"/>
              <w:bottom w:val="single" w:color="000000" w:sz="4" w:space="0"/>
              <w:right w:val="single" w:color="000000" w:sz="4" w:space="0"/>
            </w:tcBorders>
            <w:noWrap w:val="0"/>
            <w:vAlign w:val="center"/>
          </w:tcPr>
          <w:p w14:paraId="7A503473">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w:t>
            </w:r>
            <w:r>
              <w:rPr>
                <w:rFonts w:ascii="Arial" w:hAnsi="Arial" w:eastAsia="Microsoft YaHei UI" w:cs="Arial"/>
                <w:i w:val="0"/>
                <w:iCs w:val="0"/>
                <w:color w:val="000000"/>
                <w:kern w:val="0"/>
                <w:sz w:val="16"/>
                <w:szCs w:val="16"/>
                <w:u w:val="none"/>
                <w:lang w:val="en-US" w:eastAsia="zh-CN" w:bidi="ar"/>
              </w:rPr>
              <w:t xml:space="preserve"> </w:t>
            </w:r>
            <w:r>
              <w:rPr>
                <w:rFonts w:hint="eastAsia" w:ascii="Microsoft YaHei UI" w:hAnsi="Microsoft YaHei UI" w:eastAsia="Microsoft YaHei UI" w:cs="Microsoft YaHei UI"/>
                <w:i w:val="0"/>
                <w:iCs w:val="0"/>
                <w:color w:val="000000"/>
                <w:kern w:val="0"/>
                <w:sz w:val="16"/>
                <w:szCs w:val="16"/>
                <w:u w:val="none"/>
                <w:lang w:val="en-US" w:eastAsia="zh-CN" w:bidi="ar"/>
              </w:rPr>
              <w:t>支持LINE IN线性输入接口≥1个。</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w:t>
            </w:r>
            <w:r>
              <w:rPr>
                <w:rFonts w:ascii="Arial" w:hAnsi="Arial" w:eastAsia="Microsoft YaHei UI" w:cs="Arial"/>
                <w:i w:val="0"/>
                <w:iCs w:val="0"/>
                <w:color w:val="000000"/>
                <w:kern w:val="0"/>
                <w:sz w:val="16"/>
                <w:szCs w:val="16"/>
                <w:u w:val="none"/>
                <w:lang w:val="en-US" w:eastAsia="zh-CN" w:bidi="ar"/>
              </w:rPr>
              <w:t xml:space="preserve"> </w:t>
            </w:r>
            <w:r>
              <w:rPr>
                <w:rFonts w:hint="eastAsia" w:ascii="Microsoft YaHei UI" w:hAnsi="Microsoft YaHei UI" w:eastAsia="Microsoft YaHei UI" w:cs="Microsoft YaHei UI"/>
                <w:i w:val="0"/>
                <w:iCs w:val="0"/>
                <w:color w:val="000000"/>
                <w:kern w:val="0"/>
                <w:sz w:val="16"/>
                <w:szCs w:val="16"/>
                <w:u w:val="none"/>
                <w:lang w:val="en-US" w:eastAsia="zh-CN" w:bidi="ar"/>
              </w:rPr>
              <w:t>支持麦克风输入接口≥1个。</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w:t>
            </w:r>
            <w:r>
              <w:rPr>
                <w:rFonts w:ascii="Arial" w:hAnsi="Arial" w:eastAsia="Microsoft YaHei UI" w:cs="Arial"/>
                <w:i w:val="0"/>
                <w:iCs w:val="0"/>
                <w:color w:val="000000"/>
                <w:kern w:val="0"/>
                <w:sz w:val="16"/>
                <w:szCs w:val="16"/>
                <w:u w:val="none"/>
                <w:lang w:val="en-US" w:eastAsia="zh-CN" w:bidi="ar"/>
              </w:rPr>
              <w:t xml:space="preserve"> </w:t>
            </w:r>
            <w:r>
              <w:rPr>
                <w:rFonts w:hint="eastAsia" w:ascii="Microsoft YaHei UI" w:hAnsi="Microsoft YaHei UI" w:eastAsia="Microsoft YaHei UI" w:cs="Microsoft YaHei UI"/>
                <w:i w:val="0"/>
                <w:iCs w:val="0"/>
                <w:color w:val="000000"/>
                <w:kern w:val="0"/>
                <w:sz w:val="16"/>
                <w:szCs w:val="16"/>
                <w:u w:val="none"/>
                <w:lang w:val="en-US" w:eastAsia="zh-CN" w:bidi="ar"/>
              </w:rPr>
              <w:t>支持音频输出接口≥4个。</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4.</w:t>
            </w:r>
            <w:r>
              <w:rPr>
                <w:rFonts w:ascii="Arial" w:hAnsi="Arial" w:eastAsia="Microsoft YaHei UI" w:cs="Arial"/>
                <w:i w:val="0"/>
                <w:iCs w:val="0"/>
                <w:color w:val="000000"/>
                <w:kern w:val="0"/>
                <w:sz w:val="16"/>
                <w:szCs w:val="16"/>
                <w:u w:val="none"/>
                <w:lang w:val="en-US" w:eastAsia="zh-CN" w:bidi="ar"/>
              </w:rPr>
              <w:t xml:space="preserve"> </w:t>
            </w:r>
            <w:r>
              <w:rPr>
                <w:rFonts w:hint="eastAsia" w:ascii="Microsoft YaHei UI" w:hAnsi="Microsoft YaHei UI" w:eastAsia="Microsoft YaHei UI" w:cs="Microsoft YaHei UI"/>
                <w:i w:val="0"/>
                <w:iCs w:val="0"/>
                <w:color w:val="000000"/>
                <w:kern w:val="0"/>
                <w:sz w:val="16"/>
                <w:szCs w:val="16"/>
                <w:u w:val="none"/>
                <w:lang w:val="en-US" w:eastAsia="zh-CN" w:bidi="ar"/>
              </w:rPr>
              <w:t>输出功率200W*2。</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5.</w:t>
            </w:r>
            <w:r>
              <w:rPr>
                <w:rFonts w:ascii="Arial" w:hAnsi="Arial" w:eastAsia="Microsoft YaHei UI" w:cs="Arial"/>
                <w:i w:val="0"/>
                <w:iCs w:val="0"/>
                <w:color w:val="000000"/>
                <w:kern w:val="0"/>
                <w:sz w:val="16"/>
                <w:szCs w:val="16"/>
                <w:u w:val="none"/>
                <w:lang w:val="en-US" w:eastAsia="zh-CN" w:bidi="ar"/>
              </w:rPr>
              <w:t xml:space="preserve"> </w:t>
            </w:r>
            <w:r>
              <w:rPr>
                <w:rFonts w:hint="eastAsia" w:ascii="Microsoft YaHei UI" w:hAnsi="Microsoft YaHei UI" w:eastAsia="Microsoft YaHei UI" w:cs="Microsoft YaHei UI"/>
                <w:i w:val="0"/>
                <w:iCs w:val="0"/>
                <w:color w:val="000000"/>
                <w:kern w:val="0"/>
                <w:sz w:val="16"/>
                <w:szCs w:val="16"/>
                <w:u w:val="none"/>
                <w:lang w:val="en-US" w:eastAsia="zh-CN" w:bidi="ar"/>
              </w:rPr>
              <w:t>MIC输入灵敏度50mV。</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6.</w:t>
            </w:r>
            <w:r>
              <w:rPr>
                <w:rFonts w:ascii="Arial" w:hAnsi="Arial" w:eastAsia="Microsoft YaHei UI" w:cs="Arial"/>
                <w:i w:val="0"/>
                <w:iCs w:val="0"/>
                <w:color w:val="000000"/>
                <w:kern w:val="0"/>
                <w:sz w:val="16"/>
                <w:szCs w:val="16"/>
                <w:u w:val="none"/>
                <w:lang w:val="en-US" w:eastAsia="zh-CN" w:bidi="ar"/>
              </w:rPr>
              <w:t xml:space="preserve"> </w:t>
            </w:r>
            <w:r>
              <w:rPr>
                <w:rFonts w:hint="eastAsia" w:ascii="Microsoft YaHei UI" w:hAnsi="Microsoft YaHei UI" w:eastAsia="Microsoft YaHei UI" w:cs="Microsoft YaHei UI"/>
                <w:i w:val="0"/>
                <w:iCs w:val="0"/>
                <w:color w:val="000000"/>
                <w:kern w:val="0"/>
                <w:sz w:val="16"/>
                <w:szCs w:val="16"/>
                <w:u w:val="none"/>
                <w:lang w:val="en-US" w:eastAsia="zh-CN" w:bidi="ar"/>
              </w:rPr>
              <w:t>信噪比≥90dBA。</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7.</w:t>
            </w:r>
            <w:r>
              <w:rPr>
                <w:rFonts w:ascii="Arial" w:hAnsi="Arial" w:eastAsia="Microsoft YaHei UI" w:cs="Arial"/>
                <w:i w:val="0"/>
                <w:iCs w:val="0"/>
                <w:color w:val="000000"/>
                <w:kern w:val="0"/>
                <w:sz w:val="16"/>
                <w:szCs w:val="16"/>
                <w:u w:val="none"/>
                <w:lang w:val="en-US" w:eastAsia="zh-CN" w:bidi="ar"/>
              </w:rPr>
              <w:t xml:space="preserve"> </w:t>
            </w:r>
            <w:r>
              <w:rPr>
                <w:rFonts w:hint="eastAsia" w:ascii="Microsoft YaHei UI" w:hAnsi="Microsoft YaHei UI" w:eastAsia="Microsoft YaHei UI" w:cs="Microsoft YaHei UI"/>
                <w:i w:val="0"/>
                <w:iCs w:val="0"/>
                <w:color w:val="000000"/>
                <w:kern w:val="0"/>
                <w:sz w:val="16"/>
                <w:szCs w:val="16"/>
                <w:u w:val="none"/>
                <w:lang w:val="en-US" w:eastAsia="zh-CN" w:bidi="ar"/>
              </w:rPr>
              <w:t>声音分离度50dBA。</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8.</w:t>
            </w:r>
            <w:r>
              <w:rPr>
                <w:rFonts w:ascii="Arial" w:hAnsi="Arial" w:eastAsia="Microsoft YaHei UI" w:cs="Arial"/>
                <w:i w:val="0"/>
                <w:iCs w:val="0"/>
                <w:color w:val="000000"/>
                <w:kern w:val="0"/>
                <w:sz w:val="16"/>
                <w:szCs w:val="16"/>
                <w:u w:val="none"/>
                <w:lang w:val="en-US" w:eastAsia="zh-CN" w:bidi="ar"/>
              </w:rPr>
              <w:t xml:space="preserve"> </w:t>
            </w:r>
            <w:r>
              <w:rPr>
                <w:rFonts w:hint="eastAsia" w:ascii="Microsoft YaHei UI" w:hAnsi="Microsoft YaHei UI" w:eastAsia="Microsoft YaHei UI" w:cs="Microsoft YaHei UI"/>
                <w:i w:val="0"/>
                <w:iCs w:val="0"/>
                <w:color w:val="000000"/>
                <w:kern w:val="0"/>
                <w:sz w:val="16"/>
                <w:szCs w:val="16"/>
                <w:u w:val="none"/>
                <w:lang w:val="en-US" w:eastAsia="zh-CN" w:bidi="ar"/>
              </w:rPr>
              <w:t>谐波互调失真&lt;0.1%。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178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6CDC6EEC">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台</w:t>
            </w:r>
          </w:p>
        </w:tc>
      </w:tr>
      <w:tr w14:paraId="3369C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6A20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03FF49EF">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音柱</w:t>
            </w:r>
          </w:p>
        </w:tc>
        <w:tc>
          <w:tcPr>
            <w:tcW w:w="8313" w:type="dxa"/>
            <w:tcBorders>
              <w:top w:val="single" w:color="000000" w:sz="4" w:space="0"/>
              <w:left w:val="single" w:color="000000" w:sz="4" w:space="0"/>
              <w:bottom w:val="single" w:color="000000" w:sz="4" w:space="0"/>
              <w:right w:val="single" w:color="000000" w:sz="4" w:space="0"/>
            </w:tcBorders>
            <w:noWrap w:val="0"/>
            <w:vAlign w:val="center"/>
          </w:tcPr>
          <w:p w14:paraId="01476461">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w:t>
            </w:r>
            <w:r>
              <w:rPr>
                <w:rFonts w:ascii="Arial" w:hAnsi="Arial" w:eastAsia="Microsoft YaHei UI" w:cs="Arial"/>
                <w:i w:val="0"/>
                <w:iCs w:val="0"/>
                <w:color w:val="000000"/>
                <w:kern w:val="0"/>
                <w:sz w:val="16"/>
                <w:szCs w:val="16"/>
                <w:u w:val="none"/>
                <w:lang w:val="en-US" w:eastAsia="zh-CN" w:bidi="ar"/>
              </w:rPr>
              <w:t xml:space="preserve"> </w:t>
            </w:r>
            <w:r>
              <w:rPr>
                <w:rFonts w:hint="eastAsia" w:ascii="Microsoft YaHei UI" w:hAnsi="Microsoft YaHei UI" w:eastAsia="Microsoft YaHei UI" w:cs="Microsoft YaHei UI"/>
                <w:i w:val="0"/>
                <w:iCs w:val="0"/>
                <w:color w:val="000000"/>
                <w:kern w:val="0"/>
                <w:sz w:val="16"/>
                <w:szCs w:val="16"/>
                <w:u w:val="none"/>
                <w:lang w:val="en-US" w:eastAsia="zh-CN" w:bidi="ar"/>
              </w:rPr>
              <w:t>音柱型设计，使用专业功放搭配音柱实现音量扩声。</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w:t>
            </w:r>
            <w:r>
              <w:rPr>
                <w:rFonts w:ascii="Arial" w:hAnsi="Arial" w:eastAsia="Microsoft YaHei UI" w:cs="Arial"/>
                <w:i w:val="0"/>
                <w:iCs w:val="0"/>
                <w:color w:val="000000"/>
                <w:kern w:val="0"/>
                <w:sz w:val="16"/>
                <w:szCs w:val="16"/>
                <w:u w:val="none"/>
                <w:lang w:val="en-US" w:eastAsia="zh-CN" w:bidi="ar"/>
              </w:rPr>
              <w:t xml:space="preserve"> </w:t>
            </w:r>
            <w:r>
              <w:rPr>
                <w:rFonts w:hint="eastAsia" w:ascii="Microsoft YaHei UI" w:hAnsi="Microsoft YaHei UI" w:eastAsia="Microsoft YaHei UI" w:cs="Microsoft YaHei UI"/>
                <w:i w:val="0"/>
                <w:iCs w:val="0"/>
                <w:color w:val="000000"/>
                <w:kern w:val="0"/>
                <w:sz w:val="16"/>
                <w:szCs w:val="16"/>
                <w:u w:val="none"/>
                <w:lang w:val="en-US" w:eastAsia="zh-CN" w:bidi="ar"/>
              </w:rPr>
              <w:t>单音柱具备≥4个3”喇叭单元。</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w:t>
            </w:r>
            <w:r>
              <w:rPr>
                <w:rFonts w:ascii="Arial" w:hAnsi="Arial" w:eastAsia="Microsoft YaHei UI" w:cs="Arial"/>
                <w:i w:val="0"/>
                <w:iCs w:val="0"/>
                <w:color w:val="000000"/>
                <w:kern w:val="0"/>
                <w:sz w:val="16"/>
                <w:szCs w:val="16"/>
                <w:u w:val="none"/>
                <w:lang w:val="en-US" w:eastAsia="zh-CN" w:bidi="ar"/>
              </w:rPr>
              <w:t xml:space="preserve"> </w:t>
            </w:r>
            <w:r>
              <w:rPr>
                <w:rFonts w:hint="eastAsia" w:ascii="Microsoft YaHei UI" w:hAnsi="Microsoft YaHei UI" w:eastAsia="Microsoft YaHei UI" w:cs="Microsoft YaHei UI"/>
                <w:i w:val="0"/>
                <w:iCs w:val="0"/>
                <w:color w:val="000000"/>
                <w:kern w:val="0"/>
                <w:sz w:val="16"/>
                <w:szCs w:val="16"/>
                <w:u w:val="none"/>
                <w:lang w:val="en-US" w:eastAsia="zh-CN" w:bidi="ar"/>
              </w:rPr>
              <w:t>标准阻抗：8Ω。</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4.</w:t>
            </w:r>
            <w:r>
              <w:rPr>
                <w:rFonts w:ascii="Arial" w:hAnsi="Arial" w:eastAsia="Microsoft YaHei UI" w:cs="Arial"/>
                <w:i w:val="0"/>
                <w:iCs w:val="0"/>
                <w:color w:val="000000"/>
                <w:kern w:val="0"/>
                <w:sz w:val="16"/>
                <w:szCs w:val="16"/>
                <w:u w:val="none"/>
                <w:lang w:val="en-US" w:eastAsia="zh-CN" w:bidi="ar"/>
              </w:rPr>
              <w:t xml:space="preserve"> </w:t>
            </w:r>
            <w:r>
              <w:rPr>
                <w:rFonts w:hint="eastAsia" w:ascii="Microsoft YaHei UI" w:hAnsi="Microsoft YaHei UI" w:eastAsia="Microsoft YaHei UI" w:cs="Microsoft YaHei UI"/>
                <w:i w:val="0"/>
                <w:iCs w:val="0"/>
                <w:color w:val="000000"/>
                <w:kern w:val="0"/>
                <w:sz w:val="16"/>
                <w:szCs w:val="16"/>
                <w:u w:val="none"/>
                <w:lang w:val="en-US" w:eastAsia="zh-CN" w:bidi="ar"/>
              </w:rPr>
              <w:t>频率响应：90Hz～18KHz。</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5.</w:t>
            </w:r>
            <w:r>
              <w:rPr>
                <w:rFonts w:ascii="Arial" w:hAnsi="Arial" w:eastAsia="Microsoft YaHei UI" w:cs="Arial"/>
                <w:i w:val="0"/>
                <w:iCs w:val="0"/>
                <w:color w:val="000000"/>
                <w:kern w:val="0"/>
                <w:sz w:val="16"/>
                <w:szCs w:val="16"/>
                <w:u w:val="none"/>
                <w:lang w:val="en-US" w:eastAsia="zh-CN" w:bidi="ar"/>
              </w:rPr>
              <w:t xml:space="preserve"> </w:t>
            </w:r>
            <w:r>
              <w:rPr>
                <w:rFonts w:hint="eastAsia" w:ascii="Microsoft YaHei UI" w:hAnsi="Microsoft YaHei UI" w:eastAsia="Microsoft YaHei UI" w:cs="Microsoft YaHei UI"/>
                <w:i w:val="0"/>
                <w:iCs w:val="0"/>
                <w:color w:val="000000"/>
                <w:kern w:val="0"/>
                <w:sz w:val="16"/>
                <w:szCs w:val="16"/>
                <w:u w:val="none"/>
                <w:lang w:val="en-US" w:eastAsia="zh-CN" w:bidi="ar"/>
              </w:rPr>
              <w:t>单音柱额定功率(RWS)≥120W。</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6.</w:t>
            </w:r>
            <w:r>
              <w:rPr>
                <w:rFonts w:ascii="Arial" w:hAnsi="Arial" w:eastAsia="Microsoft YaHei UI" w:cs="Arial"/>
                <w:i w:val="0"/>
                <w:iCs w:val="0"/>
                <w:color w:val="000000"/>
                <w:kern w:val="0"/>
                <w:sz w:val="16"/>
                <w:szCs w:val="16"/>
                <w:u w:val="none"/>
                <w:lang w:val="en-US" w:eastAsia="zh-CN" w:bidi="ar"/>
              </w:rPr>
              <w:t xml:space="preserve"> </w:t>
            </w:r>
            <w:r>
              <w:rPr>
                <w:rFonts w:hint="eastAsia" w:ascii="Microsoft YaHei UI" w:hAnsi="Microsoft YaHei UI" w:eastAsia="Microsoft YaHei UI" w:cs="Microsoft YaHei UI"/>
                <w:i w:val="0"/>
                <w:iCs w:val="0"/>
                <w:color w:val="000000"/>
                <w:kern w:val="0"/>
                <w:sz w:val="16"/>
                <w:szCs w:val="16"/>
                <w:u w:val="none"/>
                <w:lang w:val="en-US" w:eastAsia="zh-CN" w:bidi="ar"/>
              </w:rPr>
              <w:t>单音柱最大功率(PEAK)≥240W。</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7.</w:t>
            </w:r>
            <w:r>
              <w:rPr>
                <w:rFonts w:ascii="Arial" w:hAnsi="Arial" w:eastAsia="Microsoft YaHei UI" w:cs="Arial"/>
                <w:i w:val="0"/>
                <w:iCs w:val="0"/>
                <w:color w:val="000000"/>
                <w:kern w:val="0"/>
                <w:sz w:val="16"/>
                <w:szCs w:val="16"/>
                <w:u w:val="none"/>
                <w:lang w:val="en-US" w:eastAsia="zh-CN" w:bidi="ar"/>
              </w:rPr>
              <w:t xml:space="preserve"> </w:t>
            </w:r>
            <w:r>
              <w:rPr>
                <w:rFonts w:hint="eastAsia" w:ascii="Microsoft YaHei UI" w:hAnsi="Microsoft YaHei UI" w:eastAsia="Microsoft YaHei UI" w:cs="Microsoft YaHei UI"/>
                <w:i w:val="0"/>
                <w:iCs w:val="0"/>
                <w:color w:val="000000"/>
                <w:kern w:val="0"/>
                <w:sz w:val="16"/>
                <w:szCs w:val="16"/>
                <w:u w:val="none"/>
                <w:lang w:val="en-US" w:eastAsia="zh-CN" w:bidi="ar"/>
              </w:rPr>
              <w:t>灵敏度：95dB</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8.</w:t>
            </w:r>
            <w:r>
              <w:rPr>
                <w:rFonts w:ascii="Arial" w:hAnsi="Arial" w:eastAsia="Microsoft YaHei UI" w:cs="Arial"/>
                <w:i w:val="0"/>
                <w:iCs w:val="0"/>
                <w:color w:val="000000"/>
                <w:kern w:val="0"/>
                <w:sz w:val="16"/>
                <w:szCs w:val="16"/>
                <w:u w:val="none"/>
                <w:lang w:val="en-US" w:eastAsia="zh-CN" w:bidi="ar"/>
              </w:rPr>
              <w:t xml:space="preserve"> </w:t>
            </w:r>
            <w:r>
              <w:rPr>
                <w:rFonts w:hint="eastAsia" w:ascii="Microsoft YaHei UI" w:hAnsi="Microsoft YaHei UI" w:eastAsia="Microsoft YaHei UI" w:cs="Microsoft YaHei UI"/>
                <w:i w:val="0"/>
                <w:iCs w:val="0"/>
                <w:color w:val="000000"/>
                <w:kern w:val="0"/>
                <w:sz w:val="16"/>
                <w:szCs w:val="16"/>
                <w:u w:val="none"/>
                <w:lang w:val="en-US" w:eastAsia="zh-CN" w:bidi="ar"/>
              </w:rPr>
              <w:t>最大声压级：120dB。</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9.</w:t>
            </w:r>
            <w:r>
              <w:rPr>
                <w:rFonts w:ascii="Arial" w:hAnsi="Arial" w:eastAsia="Microsoft YaHei UI" w:cs="Arial"/>
                <w:i w:val="0"/>
                <w:iCs w:val="0"/>
                <w:color w:val="000000"/>
                <w:kern w:val="0"/>
                <w:sz w:val="16"/>
                <w:szCs w:val="16"/>
                <w:u w:val="none"/>
                <w:lang w:val="en-US" w:eastAsia="zh-CN" w:bidi="ar"/>
              </w:rPr>
              <w:t xml:space="preserve"> </w:t>
            </w:r>
            <w:r>
              <w:rPr>
                <w:rFonts w:hint="eastAsia" w:ascii="Microsoft YaHei UI" w:hAnsi="Microsoft YaHei UI" w:eastAsia="Microsoft YaHei UI" w:cs="Microsoft YaHei UI"/>
                <w:i w:val="0"/>
                <w:iCs w:val="0"/>
                <w:color w:val="000000"/>
                <w:kern w:val="0"/>
                <w:sz w:val="16"/>
                <w:szCs w:val="16"/>
                <w:u w:val="none"/>
                <w:lang w:val="en-US" w:eastAsia="zh-CN" w:bidi="ar"/>
              </w:rPr>
              <w:t>单音柱覆盖角度：水平120°、垂直90°。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044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0A772AE0">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台</w:t>
            </w:r>
          </w:p>
        </w:tc>
      </w:tr>
      <w:tr w14:paraId="72179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3B8B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68DF32DA">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90寸智慧黑板</w:t>
            </w:r>
          </w:p>
        </w:tc>
        <w:tc>
          <w:tcPr>
            <w:tcW w:w="8313" w:type="dxa"/>
            <w:tcBorders>
              <w:top w:val="single" w:color="000000" w:sz="4" w:space="0"/>
              <w:left w:val="single" w:color="000000" w:sz="4" w:space="0"/>
              <w:bottom w:val="single" w:color="000000" w:sz="4" w:space="0"/>
              <w:right w:val="single" w:color="000000" w:sz="4" w:space="0"/>
            </w:tcBorders>
            <w:noWrap w:val="0"/>
            <w:vAlign w:val="center"/>
          </w:tcPr>
          <w:p w14:paraId="033995EE">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1.整体外观：整体长度≥4200mm，高度≥1200mm，三拼接平面一体化设计，无推拉式结构及外露连接线。</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2.屏幕要求：采用90英寸液晶显示器，分辨率≥3840×2160，表面覆盖9H硬度钢化玻璃，专业显示效果，在sRGB模式下可做到高色准△E≤1。</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触控功能：支持双系统中进行35点或以上触控，在Windows系统下无需点击任意功能入口，当检测到自带书写笔笔尖接触屏幕时，自动进入书写批注模式，此时使用笔为书写，使用手指可以操作应用，进行点击、滑动等操作。支持动态压力感应，支持无任何电子功能的普通书写笔在整机上书写或点压时，整机能感应压力变化，书写或点压过程笔迹呈现不同粗细。（提供具有第三方实验室出具的检测报告，报告编号可在全国认证认可信息公共服务平台查询，提供报告复印件和查询截图并加盖制造商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4.音频功能：顶置2.2声道扬声器，总功率60W，整机扬声器在100%音量下，可做到1米处声压级≥88db，10米处声压级≥73dB。</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5.前置按键：≥5个物理按键， 其中3个以上按键可自定义功能，具备多合一电源按键，同一电源物理按键可实现双系统的开/关机、熄屏的操作。关机状态下长按进入系统还原功能，系统还原可单独还原PC系统，单独还原整机系统。</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6.前置接口：≥2路全通道USB3.0接口，≥1路全通道Type-C接口。</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7.内置摄像头：内置≥3个摄像头，输出画面可多摄像头智能拼接，可拍摄≥1600万像素数的照片，水平视场角≥138度，支持输出≥8000×2000分辨率的照片和视频，支持人脸识别进行登录账号、快速点人数、随机抽人教学应用。（提供摄像头外观图片及具有第三方实验室出具的检测报告，报告编号可在全国认证认可信息公共服务平台查询，提供报告复印件和查询截图并加盖制造商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8.内置麦克风：内置8阵列麦克风，拾音角度≥180°，拾音距离≥12m，可通过前置按键一键启动录屏功能，可将屏幕中显示的课件、音频内容与老师人声同时录制。</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9.地震预警：支持在地震预警页面中获取位置，可以手动进行位置校准；支持在地震预警页面中选择提醒阈值；支持在地震预警界面中开启和关闭地震预警服务。</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10.无线功能：Wi-Fi制式支持版本Wi-Fi6，支持蓝牙Bluetooth 5.4标准，蓝牙版本为LMP 13.x或以上。</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11.一键投屏：整机通过发出超声波信号，手机通过麦克风接收后，可实现配对，一键投屏，用户无需手动输入投屏码或扫码获取投屏码。（提供具有第三方实验室出具的检测报告，报告编号可在全国认证认可信息公共服务平台查询，提供报告复印件和查询截图并加盖制造商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12.侧边栏菜单：提供小工具包括批注、截屏、计时、降半屏、放大镜、日历等；支持快捷调节音量、亮度，支持自动亮度模式，支持点击静音按钮快速静音；应用软件可以进行切换，无需在已经开启任意应用软件全屏模式下退出当前应用再选择更换。</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13.教学桌面：设备开机启动后，自动进入教学桌面，可通过人脸识别登录、账号登录、手机扫码登录，账号登录后，打开教学白板等教学应用工具时无需再次输入账号密码重复登录。支持进行通道切换，当设备有其他输入源时，可在桌面点击信号源进行输入源切换，支持对设备进行锁屏操作，支持对设备进行重启、关机操作。（提供具有第三方实验室出具的检测报告，报告编号可在全国认证认可信息公共服务平台查询，提供报告复印件和查询截图并加盖制造商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14.文件传输：整机Windows通道支持文件传输功能，无需借助第三方网页、第三方应用，传输方式支持公网传输、局域网传输、WiFi直连传输，公网传输使用微信扫码，可上传手机文件及微信聊天记录中的文件。</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15.教学云盘：支持为每位教师提供≥5GB的云空间，支持扩容，支持图片、视频、音频、文档等多种类型文件上传，文件格式包含但不局限于以下格式：exe\.dmg\.zip\.rar\.iso\.doc\.pages\.docx\.txt\.ppt\.sk1212\.pptx\.xls\.numbers\.xlsx\.jpg\.png\.gif\.avi\.mp4\.mkv\.mp3\.wma\.wav等。</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16.设备管理：支持查看多媒体设备运行状态，统一开关机、远程打铃、音量调节、发送消息通知、文件传输、软件安装等功能。</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17.设备巡视：支持同时查看8个以上教室的实时摄像头画面、设备桌面画面，单个教室巡视时，可同时查看摄像头、桌面的实时画面，以及麦克风的声音，同时可远程控制、发送文本消息、语音消息，可记录巡视备注，可在线听课评课。</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18.冰点还原：自带同品牌冰点还原系统，支持远程批量设置冰点还原状态，支持远程向已处于冰点还原保护的设备发送操作指令、安装软件、传输文件，在设备关机时触发穿透动作，再次开机后可使用已安装软件、已传输文件、执行已接收指令，穿透过程无需解除冰点还原状态。（提供具有第三方实验室出具的检测报告，报告编号可在全国认证认可信息公共服务平台查询，提供报告复印件和查询截图并加盖制造商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19.设备锁屏：支持下课锁屏、开机自动锁屏，“开机自动锁屏”可根据不同分组设置规则，支持密码、扫描解锁，无网络情况下，教师通过微信扫码验证身份后获取唯一临时解锁密码进行解锁使用。</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20.磁盘清理：支持批量清理单个或多个磁盘文件夹，释放设备磁盘空间；支持格式化非系统盘磁盘。（提供具有第三方实验室出具的检测报告，报告编号可在全国认证认可信息公共服务平台查询，提供报告复印件和查询截图并加盖制造商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21.协作教学软件：支持在一张无限画板上进行板书书写，可自由调整笔迹颜色及笔触粗细，书写内容各端实时同步更新，支持抽选、抢答，用于活跃课堂氛围。</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22.多种资源统一呈现：支持在一张无限画板上添加多种类型资源，包括视频、文档、图片、音频、文本框、便签、网页、思维导图、表格等，实现在同一空间中统一呈现多种教学资源。（提供具有第三方实验室出具的检测报告，报告编号可在全国认证认可信息公共服务平台查询，提供报告复印件和查询截图并加盖制造商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23.多种文件统一展示：支持快速将本地文件导入到一张无限画板上，统一呈现进行翻页演示，无需打开多个软件来回切换，可导入的文件类型包括pdf、word、excel、ppt类型文件。</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24.跟随演讲视角：支持教师端发起视角跟随，实现多端画面实时同步，学生端无需手动操作即可自动同步教师端的板书书写或课件放映内容，实现沉浸式教学。（提供具有第三方实验室出具的检测报告，报告编号可在全国认证认可信息公共服务平台查询，提供报告复印件和查询截图并加盖制造商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25.音视频互动：支持教师和学生开启麦克风和摄像头，进行音视频互动，支持多人同时在线交流，支持对摄像头画面进行拖动，进入教学空间内的任意位置展示，搭配内容演示，呈现更好的演讲效果。</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OPS模块：</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1.整机连接采用万兆级接口，传输速率≥10Gbps。</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2.CPU：12代I5处理器或以上；内存：8G DDR4；硬盘:256G SSD固态硬盘。</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3.采用按压式卡扣，无需工具即可快速拆卸电脑模块。</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4.具有独立非外拓展的视频输出接口：≥1 路 HDMI。</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5.具有独立非外拓展的电脑 USB 接口：至少具备 3个USB3.0 接口。</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6.具有标准 PC 防盗锁孔，确保电脑模块安全防盗。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1D2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4D541720">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台</w:t>
            </w:r>
          </w:p>
        </w:tc>
      </w:tr>
      <w:tr w14:paraId="2FDF6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6271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0CCE5BE9">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视频展台</w:t>
            </w:r>
          </w:p>
        </w:tc>
        <w:tc>
          <w:tcPr>
            <w:tcW w:w="8313" w:type="dxa"/>
            <w:tcBorders>
              <w:top w:val="single" w:color="000000" w:sz="4" w:space="0"/>
              <w:left w:val="single" w:color="000000" w:sz="4" w:space="0"/>
              <w:bottom w:val="single" w:color="000000" w:sz="4" w:space="0"/>
              <w:right w:val="single" w:color="000000" w:sz="4" w:space="0"/>
            </w:tcBorders>
            <w:noWrap w:val="0"/>
            <w:vAlign w:val="center"/>
          </w:tcPr>
          <w:p w14:paraId="5C4DFA0A">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1.采用≥800万像素摄像头；采用 USB五伏电源直接供电，无需额外配置电源适配器，环保无辐射；箱内USB连线采用隐藏式设计，箱内无可见连线且USB口下出，有效防止积尘，且方便布线和返修。</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2.A4大小拍摄幅面，1080P动态视频预览达到30帧/秒；托板及挂墙部分采用金属加强，托板可承重3kg，整机壁挂式安装。（需提供CNAS资质认可的权威检测机构出具的检测报告并加盖厂家公章予以佐证）</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3.支持展台成像画面实时批注，预设多种笔划粗细及颜色供选择，且支持对展台成像画面联同批注内容进行同步缩放、移动。</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4.整机采用圆弧式设计，无锐角；同时托板采用磁吸吸附式机构，防止托板打落，方便打开及固定，避免机械式锁具故障率高的问题。（需提供CNAS资质认可的权威检测机构出具的检测报告并加盖厂家公章予以佐证）</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5.展示托板正上方具备LED补光灯，保证展示区域的亮度及展示效果，补光灯开关采用触摸按键设计，可通过交互智能平板中的软件直接控制开关</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6.具备图像增强功能，可自动裁剪背景并增强文字显示，文档画面更清晰。</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7.可选择图像、文本或动态等多种情景模式，适应不同展示内容。</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8.支持故障自动检测，在软件无法出现展台拍摄画面时，自动出现检测链接，帮助用户检测“无画面”的原因，并给出引导性解决方案。可判断硬件连接、显卡驱动、摄像头占用、软件版本等问题。</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9.支持二维码扫码功能：打开扫一扫功能后，将书本上的二维码放入扫描框内即可自动扫描，并进入系统浏览器获取二维码的链接内容，帮助老师快速获取电子教学资源。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C7D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6DD5E683">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台</w:t>
            </w:r>
          </w:p>
        </w:tc>
      </w:tr>
      <w:tr w14:paraId="4D98E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4A32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16D1B179">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智能讲台屏体</w:t>
            </w:r>
          </w:p>
        </w:tc>
        <w:tc>
          <w:tcPr>
            <w:tcW w:w="8313" w:type="dxa"/>
            <w:tcBorders>
              <w:top w:val="single" w:color="000000" w:sz="4" w:space="0"/>
              <w:left w:val="single" w:color="000000" w:sz="4" w:space="0"/>
              <w:bottom w:val="single" w:color="000000" w:sz="4" w:space="0"/>
              <w:right w:val="single" w:color="000000" w:sz="4" w:space="0"/>
            </w:tcBorders>
            <w:noWrap w:val="0"/>
            <w:vAlign w:val="center"/>
          </w:tcPr>
          <w:p w14:paraId="05251651">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1.屏体的屏幕采用≥23.8英寸电容触摸屏，具备防眩光功能，厚度≥2.1mm；支持≥10点触控；支持屏幕手动角度调节，可实现与桌面形成20°至80°角度调节.</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2.▲屏体侧面具有物理实体快捷按键≥6个，按键功能包括：屏幕一键开/关屏幕、对连接的大屏进行一键熄屏以及一键音量加、一键音量减。</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3.屏体侧边内置接口：USB接口≥2路；支持接入U盘等设备，可被连接的大屏识别和使用；Type-C接口≥1路；HDMI IN接口≥1个；支持通过 Type-C 或HDMI IN接口单路连接笔记本，使画面显示在屏幕及连接的大屏上；Type-C 接口支持连接移动桌面系统终端(如平板、笔记本、手机)，支持将移动桌面系统终端画面显示在主屏幕及连接的大屏上并可用于充电。</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4.屏体底座内置接口：HDMI IN接口≥2个；HDMI OUT接口≥1个；USB接口≥4个；RJ45接口≥1个；AUDIO OUT接口≥1个；RS232接口≥1个。</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5.屏体侧边内置NFC模块；讲台屏至少支持NFC刷卡、二维码2种方式实现设备使用前的用户身份认证。</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6.讲台屏操作系统版本≥Android 11，支持在整机全通道下唤出多功能中控菜单并实现相关操作。</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7.屏幕可调出中控菜单界面，支持一键上课及下课两种场景控制，也支持对连接的大屏单独控制开关机；支持对屏幕输入源显示画面切换，包括HDMI、Type-C。支持接入匹配教室内的录播主机时，支持显示录播导播流画面，支持选择开始录制、暂停录制和结束录制功能；当有物联产品接入匹配教室时，支持进行可视化显示物联设备和应用场景化管理；</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8.支持控制讲桌升降，无需使用升降控制器物理按键操作。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A4C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4B724396">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台</w:t>
            </w:r>
          </w:p>
        </w:tc>
      </w:tr>
      <w:tr w14:paraId="71714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D8B2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72B27D1E">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智能讲台柜体</w:t>
            </w:r>
          </w:p>
        </w:tc>
        <w:tc>
          <w:tcPr>
            <w:tcW w:w="8313" w:type="dxa"/>
            <w:tcBorders>
              <w:top w:val="single" w:color="000000" w:sz="4" w:space="0"/>
              <w:left w:val="single" w:color="000000" w:sz="4" w:space="0"/>
              <w:bottom w:val="single" w:color="000000" w:sz="4" w:space="0"/>
              <w:right w:val="single" w:color="000000" w:sz="4" w:space="0"/>
            </w:tcBorders>
            <w:noWrap w:val="0"/>
            <w:vAlign w:val="center"/>
          </w:tcPr>
          <w:p w14:paraId="1FC66BE2">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1.▲讲桌为钢木结合设计,采用冷轧钢板桌体,钢版厚度≥1.0mm；讲桌采用双层木质桌面设计，上下层桌体木板厚度≥18mm。</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2.▲讲桌最大承重为≥120kg，讲桌具备垂直平面水平位置≥110N推力位移仍不超过5mm的移动。</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3.★讲桌尺寸设计为长×宽×高≥1217mm×670mm×987mm，环抱老师式设计，根据人体力学设计，讲台桌面高度合适老师放置教学用品。</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4.★底部机柜尺寸设计为长×宽×高≥1100mm×545mm×520mm，机柜容量≥10U,可适装标准19英寸系列网络、通讯类产品，机柜内部带有标准机架和标准电脑主机空间，主机柜门带有磁吸式小门，无需打开柜门即可开关电脑。机柜门采用大面积散热孔设计，易于柜内设备的通风散热，避免设备损坏。前后门都可以打开，方便设备安装及维护，前后门只需要一把钥匙管理；</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5.讲台正面支持学校LOGO定制。</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讲台支持搭配同品牌专属地台。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A70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15D77C91">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台</w:t>
            </w:r>
          </w:p>
        </w:tc>
      </w:tr>
      <w:tr w14:paraId="3CDCE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2BC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7C7F693B">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互动电视</w:t>
            </w:r>
          </w:p>
        </w:tc>
        <w:tc>
          <w:tcPr>
            <w:tcW w:w="8313" w:type="dxa"/>
            <w:tcBorders>
              <w:top w:val="single" w:color="000000" w:sz="4" w:space="0"/>
              <w:left w:val="single" w:color="000000" w:sz="4" w:space="0"/>
              <w:bottom w:val="single" w:color="000000" w:sz="4" w:space="0"/>
              <w:right w:val="single" w:color="000000" w:sz="4" w:space="0"/>
            </w:tcBorders>
            <w:noWrap w:val="0"/>
            <w:vAlign w:val="center"/>
          </w:tcPr>
          <w:p w14:paraId="3C22B8E6">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1.屏幕物理尺寸≥55吋。</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2.屏幕分辨率≥3840*2160。</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3.屏幕刷新率≥60Hz。</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4.屏幕可视角度≥±176度。</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5.整机功耗≤120W。</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6.待机功耗≤0.5W。</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7.内置喇叭个数≥2。</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8.喇叭总功率≥16W。</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9.USB通道支持播放不少于10种文件格式。</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10.USB接口数量≥2。</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11.HDMI输入通道数量≥3。</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12.模拟RF接口≥1。</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13.AV接口≥1。</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14.标配遥控器和配套电池。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15.支持HDMI接入检测开机，HDMI有输入信号后，可自动开机，至少有3个HDMI接口支持该功能。</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16.支持HDMI接入检测关机，HDMI输入信号消失后2分钟，可自动进入关机状态，至少有3个HDMI接口支持该功能。</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B6C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2A9197F8">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台</w:t>
            </w:r>
          </w:p>
        </w:tc>
      </w:tr>
      <w:tr w14:paraId="6F675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A076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7F730CE4">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观摩电视</w:t>
            </w:r>
          </w:p>
        </w:tc>
        <w:tc>
          <w:tcPr>
            <w:tcW w:w="8313" w:type="dxa"/>
            <w:tcBorders>
              <w:top w:val="single" w:color="000000" w:sz="4" w:space="0"/>
              <w:left w:val="single" w:color="000000" w:sz="4" w:space="0"/>
              <w:bottom w:val="single" w:color="000000" w:sz="4" w:space="0"/>
              <w:right w:val="single" w:color="000000" w:sz="4" w:space="0"/>
            </w:tcBorders>
            <w:noWrap w:val="0"/>
            <w:vAlign w:val="center"/>
          </w:tcPr>
          <w:p w14:paraId="287811A7">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1.屏幕物理尺寸≥55吋。</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2.屏幕分辨率≥3840*2160。</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3.屏幕刷新率≥60Hz。</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4.屏幕可视角度≥±176度。</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5.整机功耗≤120W。</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6.待机功耗≤0.5W。</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7.内置喇叭个数≥2。</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8.喇叭总功率≥16W。</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9.USB通道支持播放不少于10种文件格式。</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10.USB接口数量≥2。</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11.HDMI输入通道数量≥3。</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12.模拟RF接口≥1。</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13.AV接口≥1。</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14.标配遥控器和配套电池。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15.支持HDMI接入检测开机，HDMI有输入信号后，可自动开机，至少有3个HDMI接口支持该功能。</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16.支持HDMI接入检测关机，HDMI输入信号消失后2分钟，可自动进入关机状态，至少有3个HDMI接口支持该功能。</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CD5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5997DC2D">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台</w:t>
            </w:r>
          </w:p>
        </w:tc>
      </w:tr>
      <w:tr w14:paraId="59D03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0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8B360">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有源音箱</w:t>
            </w:r>
          </w:p>
        </w:tc>
        <w:tc>
          <w:tcPr>
            <w:tcW w:w="83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8694D0">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1.采用功放与互动音箱一体化设计，内置麦克风无线接收模块，帮助教师实现多媒体扩音以及本地扩声功能。</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2.双音箱有线连接，机箱采用塑胶材质，保护设备免受环境影响。</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3.输出额定功率≥2*15W。</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4.配置独立音频数字信号处理芯片，支持啸叫抑制功能。</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5.支持教师扩声和输入音源叠加输出。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9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EEA75D">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套</w:t>
            </w:r>
          </w:p>
        </w:tc>
      </w:tr>
      <w:tr w14:paraId="0D96C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0A2D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8871BCE">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导播控制台</w:t>
            </w:r>
          </w:p>
        </w:tc>
        <w:tc>
          <w:tcPr>
            <w:tcW w:w="8313" w:type="dxa"/>
            <w:tcBorders>
              <w:top w:val="single" w:color="000000" w:sz="4" w:space="0"/>
              <w:left w:val="single" w:color="000000" w:sz="4" w:space="0"/>
              <w:bottom w:val="single" w:color="000000" w:sz="4" w:space="0"/>
              <w:right w:val="single" w:color="000000" w:sz="4" w:space="0"/>
            </w:tcBorders>
            <w:noWrap w:val="0"/>
            <w:vAlign w:val="center"/>
          </w:tcPr>
          <w:p w14:paraId="7F426753">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1.整机采用纯金属材质，全铝机身，CNC工艺，坚固耐用，质感十足，底部配备≥4个硅胶垫，桌面使用更加稳固。</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采用彩色背光按键，按键数量≥29个，背光颜色≥3种，可通过不同颜色表征不同的工作状态，简化老师理解，支持背光亮度调节，可以根据教室光线环境和用户喜好自行调节背光亮度，满足不同场景和用户使用需求。</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3.整机配备云台操纵杆，通过整机摇杆操作，支持不少于8个方向的云台控制，可通过操纵杆的倾斜程度实现对云台摄像机的转动速度控制，同时可通过操纵杆实现ZOOM拉进拉远控制，满足精准的拍摄取景。</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4.支持一键复位功能，可通过云台操纵杆，快速将摄像机复位到开机预置位画面。</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5)为满足用户在导播过程中对声音控制的诉求，整机支持≥3个音量控制旋钮，可实现对录播主机的实时音量、教师麦克风音量、学生麦克风音量的控制，控制旋钮采用无极编码器，转动顺滑无限位，旋钮表面采用条纹设计，操控触感一流；</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6)整机支持≥2种通信方式，可使用USB或RS422进行通信，为保证控制实时性，不接受使用TCP/UDP通信方式；</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7)整机通信接口≥2个，支持至少一个USB2.0接口，至少一个RS422接口；</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8)整机内置蜂鸣器，用户在进行导播控制时，可通过蜂鸣器实现操控状态提醒，结合软件内部设计的检验机制，可以确保用户操控通过蜂鸣器得到精准反馈，用户也按照自身喜好和场景要求通过快捷键设定蜂鸣器打开和关闭，无需借助外部设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2B4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0D421A12">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台</w:t>
            </w:r>
          </w:p>
        </w:tc>
      </w:tr>
      <w:tr w14:paraId="0A0AC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6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F5FBB">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导播控制台应用系统</w:t>
            </w:r>
          </w:p>
        </w:tc>
        <w:tc>
          <w:tcPr>
            <w:tcW w:w="83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D9679">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整机支持不少于5个预置位，支持云台预置位设定，预置位设定无需打开其他设置软件，可直接通过键盘完成预置位设定，设定后预置位即刻生效，用户设定预置位过程有灯光提示，减少用户误操作的概率，预置位调用过程中导播键盘提供灯光颜色变化提示+蜂鸣器提示，给用户最准确的操控反馈，用户可直接通过预置位调用控制录制画面切换当前选中的某个预置位，实现对拍摄角度的精准控制。</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2.支持云台摄像机控制选择，用户可以通过整机按键操作，支持≥5个摄像机通道选择，通道选择完成后，键盘操控命令仅对选中摄像机生效，不会产生串码。</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整机与录播主机操作同步，用户通过导播键盘，可以实现开始、暂停、停止、三种录制状态控制，控制实时性良好，能够做到即点即录，无需等待，控制过程导播键盘提供灯光颜色变化提示+蜂鸣器提示，给用户最准确的操控反馈。</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4.支持导播模式控制，用户可根据使用场景需要，设置当前的导播模式，整机可设置录播主机为自动导播模式和手动导播模式，满足不同场景需求。</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 xml:space="preserve">5)支持≥6种画面布局，包含单画面、双画面、画中画、三画面、四画面、自定义布局； </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6)支持导播控制，用户可通过整机按键操作实现导播画面选择，选中通道能够高亮显示，支持≥6个导播通道控制；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E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964CAA">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套</w:t>
            </w:r>
          </w:p>
        </w:tc>
      </w:tr>
      <w:tr w14:paraId="48D6B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A83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17B94030">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导播电脑</w:t>
            </w:r>
          </w:p>
        </w:tc>
        <w:tc>
          <w:tcPr>
            <w:tcW w:w="8313" w:type="dxa"/>
            <w:tcBorders>
              <w:top w:val="single" w:color="000000" w:sz="4" w:space="0"/>
              <w:left w:val="single" w:color="000000" w:sz="4" w:space="0"/>
              <w:bottom w:val="single" w:color="000000" w:sz="4" w:space="0"/>
              <w:right w:val="single" w:color="000000" w:sz="4" w:space="0"/>
            </w:tcBorders>
            <w:noWrap w:val="0"/>
            <w:vAlign w:val="center"/>
          </w:tcPr>
          <w:p w14:paraId="711C6B1C">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1.CPU：Intel十二代 Core i5处理器或以上，主频≥2.5GHz 、≥6核处理器12线程，三级缓存≥18MB；</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2.显卡：集成显卡；</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3.主板：Intel B760 系列芯片组或以上；</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4.内存：8GB DDR4 3200MT/s 内存或以上，最大可支持拓展64GB；</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5.硬盘：≥256GB M.2 NVMe SSD硬盘，支持机械硬盘拓展；</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6.前置面板：USB3.0≥6个（其中两个支持USB 3.2 Gen2，四个支持USB 3.2 Gen1）；TypeC≥1个（支持USB 3.2 Gen1）；麦克风输入≥1个，音频输出≥1个；</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7.≥2前置USB端口支持在关机状态下对外供电；</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8.前置面板音频输出接口采用四段式接口，兼容单耳机输出和耳机、麦克风二合一。</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9.后置面板：USB2.0≥4个；HDMI输出≥1；VGA输出≥1；DP输出≥1；音频输入≥2；音频输出≥1；RJ45≥1；串口≥1；</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10.串口支持在S5（关机）状态下唤醒设备；</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11.拓展能力：PCIEX16≥1（支持拓展独立显卡）；PCIEX1≥2；PCI≥1；M.2≥2；SATA≥3；</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12.机箱体积：≥15L；</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13.电源功率：≥300W；</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14.可通过物理按键实现系统一键还原；</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15.集成千兆网卡、集成声卡、USB键鼠套装。</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16.显示器：≥23.8英寸显示屏幕，分辨率≥1920*1080，IPS屏，支持VGA≥1，HDMI≥1；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3FD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74BDECF2">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台</w:t>
            </w:r>
          </w:p>
        </w:tc>
      </w:tr>
      <w:tr w14:paraId="365DE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0DDF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2F72AF28">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电源时序器</w:t>
            </w:r>
          </w:p>
        </w:tc>
        <w:tc>
          <w:tcPr>
            <w:tcW w:w="8313" w:type="dxa"/>
            <w:tcBorders>
              <w:top w:val="single" w:color="000000" w:sz="4" w:space="0"/>
              <w:left w:val="single" w:color="000000" w:sz="4" w:space="0"/>
              <w:bottom w:val="single" w:color="000000" w:sz="4" w:space="0"/>
              <w:right w:val="single" w:color="000000" w:sz="4" w:space="0"/>
            </w:tcBorders>
            <w:noWrap w:val="0"/>
            <w:vAlign w:val="center"/>
          </w:tcPr>
          <w:p w14:paraId="4A0EEF78">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 支持实时监控电源电压的LED显示窗口。</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 支持可选的旁路单通道，并带有USB灯光接口。</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 内含微控制器，从1路到8路顺序开机和从8路到1路逆序关机，外加1路交流直通输出。</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4. 单路最大输出电流13A。</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5. 额定总输出电流：40A至46A。</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6. R232开放控制协议，可满足中央控制器与PC机控制要求。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A2A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31D38FCB">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台</w:t>
            </w:r>
          </w:p>
        </w:tc>
      </w:tr>
      <w:tr w14:paraId="22809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9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717BB9">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资源管理平台</w:t>
            </w:r>
          </w:p>
        </w:tc>
        <w:tc>
          <w:tcPr>
            <w:tcW w:w="83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4E8C7">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 支持管理员根据不同教师的工作需求创建角色，自定义该角色的名称和可试用的功能权限；支持管理员查看各角色人数。</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 支持用户在发布课程时上传相关资料，上传资料格式支持≥5种；课程发布后，观众观看课程时支持下载相关资料。</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 支持管理员对本校教师申请发布的课程进行审核，监控公开公开课程资源的质量；可拒绝课程发布，拒绝时需填写拒绝原因。若课程未通过审核，消息中心会自动通知该课程归属老师。</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4. 支持用户对已发布的视频进行视频打点并插入课堂评价，所评论内容需关联视频对应的时间点。</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5. 支持用户在线对课堂视频进行评论，所评论的内容以新消息提示的方式自动提醒授课教师。</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6. 支持管理员对用户评论进行信息管理，可选择性删除评论内容，管控评论秩序。</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7. 支持在页面实时提醒新增课程计划、课程审核通过/被拒绝、认证成功、成功加入教研组等消息。</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8. ★支持在直播结束前，修改直播的结束时间、名称、封面、课件、直播简介、聊天互动权限等设置。修改原分享的链接和二维码不变，活动调整不会导致原分享链接和二维码失效。（该检测项需在CMA和CNAS认证的检测范围内，提供具有CNAS及CMA标识的国家权威检测机构出具的检测报告复印件并加盖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9. ▲支持在创建直播时添加直播助教，助教进入工作台可进行直播间秩序维护。（该检测项需在CMA和CNAS认证的检测范围内，提供具有CNAS及CMA标识的国家权威检测机构出具的检测报告复印件并加盖公章）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10. 支持助教对观众聊天互动的发言记录进行单个或批量删除，并可对观众进行单个或批量禁言，禁言后观众将不能在直播互动中发表言论。</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11. 支持助教对当前直播多次发起签到，并在签到结束后导出签到名单；发起签到后观众会在直播界面收到实时的签到提醒，帮助教师收集观众在线信息。</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12. 支出助教对当前直播活动发布公告内容，发布成功后观众在直播界面收到实时弹窗内容。</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13. ▲支持用户一键生成直播海报或链接进行分享，其他用户通过扫描海报上的二维码或打开链接的方式，观看直播视频。（该检测项需在CMA和CNAS认证的检测范围内，提供具有CNAS及CMA标识的国家权威检测机构出具的检测报告复印件并加盖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14. 支持用户生成直播海报后，直接在网页中一键复制图片，并粘贴至微信中发送，无需下载图片保存本地。</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15. 支持PC端、移动端通过分享的链接地址，查看直播活动的相关信息，包括封面、活动名称、学校名称、活动开始时间、简介、预览课件等。</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16. ★支持用户在预览课件时，在课件上进行书写、擦除、移动图片素材等操作，且操作不影响原课件内容，可在开始直播前，预览主讲老师的课件。（该检测项需在CMA和CNAS认证的检测范围内，提供具有CNAS及CMA标识的国家权威检测机构出具的检测报告复印件并加盖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17. 支持教师可选择云课件与直播关联，无需上传本地文件。课件与直播关联后，用户可在活动开始时间前查看云课件。活动开始后，用户可在观看直播视频的同时在线查看已关联的云课件。</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18. 支持用户自主选择上传图片或视频，作为暖场素材在直播间隙循环播放。</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19. 直播开始后，可查看直播的人气峰值、观看人次、累计点赞、观众发言次数、签到人数等数据，掌握直播情况。</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20. 支持教师选择直播中各时段生成的回放视频，删除不必要的回放片段生成回放视频。回放视频可选择发布至专递示范课、名校网络课堂、名师示范课，其他师生可以观看。</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21. 教师可将多场已创建的直播、互动课堂、互动教研、课例评课活动，添加至同一分组。每个分组自动生成二维码和链接，观众可在一个分组链接中选择不同活动进行观看。</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22. 支持用户通过课程、教师、学校名称关键词搜索已发布的课程资源；用户可查看最近搜索关键词记录，能再次查找相关课程。</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23. 支持自动统计教研的点评次数、平均分、观摩人数等数据，同时可查看文字点评的详情记录、评课表题目的客观题评分、主观题回答情况、教师评课记录。</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24. 支持超级管理员编辑平台一级和二级导航栏的标题内容，并可拖拽调整一级导航栏的排序，实现管理者设置个性化的平台。</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25. 支持课表逐级汇总，可将教师个人课程计划、学校全体课程计划、区域全体课程计划在一张课表中展示，用户可查看。</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26. 支持通过学段、学科、课程分类筛选课程视频；课程支持微课、培训讲座、课堂实录分类；用户能定位查看所需课程。</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27. 支持名校网络课堂页面，展示详细学校情况，包括学校简介、活跃教师、学校上传的全部课程、课程观看总人次等数据。可在活跃教师排行榜中，查看各位名师发起的课程总数及总观看人次。</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28. ★支持访问平台网页观看线上课程时，直接在平台网页中参与知识配对、选词填空、趣味分类在线互动答题，完成后可直接查看答题用时和答题排行榜，并可选择继续观看视频或再玩一次。（该检测项需在CMA和CNAS认证的检测范围内，提供具有CNAS及CMA标识的国家权威检测机构出具的检测报告复印件并加盖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29. ★支持用户通过浏览器对本地上传的视频完成在线剪辑，将视频的无效内容删除。进行剪辑后，用户可通过在线浏览窗口，实时查看剪辑内容。（该检测项需在CMA和CNAS认证的检测范围内，提供具有CNAS及CMA标识的国家权威检测机构出具的检测报告复印件并加盖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30. ▲支持用户在平台上查看已上传的云课件，并选择课件中的课堂活动插入视频中，设置为课程的互动答题环节；课程发布后，用户观看到所对应的课程时间点时，系统将自动弹出课堂活动，需要完成互动答题才可进入下一阶段的知识点学习。（该检测项需在CMA和CNAS认证的检测范围内，提供具有CNAS及CMA标识的国家权威检测机构出具的检测报告复印件并加盖公章）</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31. 支持用户拖拽视频起点与终点取出头部或尾部的无效内容，截取保留视频中的重要部分；并可基于时间刻度，将视频分割成若干片段，把无效视频删除。</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32. 提供对应平台产品的软件著作权证书复印件并加盖厂家公章。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1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0DA1A4">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套</w:t>
            </w:r>
          </w:p>
        </w:tc>
      </w:tr>
    </w:tbl>
    <w:p w14:paraId="0070B0C1">
      <w:pPr>
        <w:jc w:val="center"/>
        <w:rPr>
          <w:rFonts w:hint="default"/>
          <w:lang w:val="en-US" w:eastAsia="zh-CN"/>
        </w:rPr>
      </w:pPr>
    </w:p>
    <w:tbl>
      <w:tblPr>
        <w:tblStyle w:val="44"/>
        <w:tblW w:w="139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6"/>
        <w:gridCol w:w="450"/>
        <w:gridCol w:w="590"/>
        <w:gridCol w:w="959"/>
        <w:gridCol w:w="10150"/>
        <w:gridCol w:w="591"/>
        <w:gridCol w:w="593"/>
      </w:tblGrid>
      <w:tr w14:paraId="695F5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3909" w:type="dxa"/>
            <w:gridSpan w:val="7"/>
            <w:tcBorders>
              <w:top w:val="single" w:color="000000" w:sz="4" w:space="0"/>
              <w:left w:val="single" w:color="000000" w:sz="4" w:space="0"/>
              <w:bottom w:val="single" w:color="000000" w:sz="4" w:space="0"/>
              <w:right w:val="single" w:color="000000" w:sz="4" w:space="0"/>
            </w:tcBorders>
            <w:noWrap/>
            <w:vAlign w:val="center"/>
          </w:tcPr>
          <w:p w14:paraId="2E27CDEB">
            <w:pPr>
              <w:keepNext w:val="0"/>
              <w:keepLines w:val="0"/>
              <w:widowControl/>
              <w:suppressLineNumbers w:val="0"/>
              <w:jc w:val="both"/>
              <w:textAlignment w:val="center"/>
              <w:rPr>
                <w:rFonts w:hint="eastAsia" w:ascii="宋体" w:hAnsi="宋体" w:eastAsia="宋体" w:cs="宋体"/>
                <w:b/>
                <w:bCs/>
                <w:i w:val="0"/>
                <w:iCs w:val="0"/>
                <w:color w:val="FF0000"/>
                <w:kern w:val="0"/>
                <w:sz w:val="24"/>
                <w:szCs w:val="24"/>
                <w:u w:val="none"/>
                <w:lang w:val="en-US" w:eastAsia="zh-CN" w:bidi="ar"/>
              </w:rPr>
            </w:pPr>
          </w:p>
          <w:p w14:paraId="13BD556B">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auto"/>
                <w:kern w:val="0"/>
                <w:sz w:val="24"/>
                <w:szCs w:val="24"/>
                <w:u w:val="none"/>
                <w:lang w:val="en-US" w:eastAsia="zh-CN" w:bidi="ar"/>
              </w:rPr>
              <w:t>装修</w:t>
            </w:r>
          </w:p>
        </w:tc>
      </w:tr>
      <w:tr w14:paraId="26E30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vMerge w:val="restart"/>
            <w:tcBorders>
              <w:top w:val="single" w:color="000000" w:sz="4" w:space="0"/>
              <w:left w:val="single" w:color="000000" w:sz="4" w:space="0"/>
              <w:bottom w:val="single" w:color="000000" w:sz="4" w:space="0"/>
              <w:right w:val="single" w:color="000000" w:sz="4" w:space="0"/>
            </w:tcBorders>
            <w:noWrap/>
            <w:vAlign w:val="center"/>
          </w:tcPr>
          <w:p w14:paraId="7E1D03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66F60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基础辅材</w:t>
            </w:r>
          </w:p>
        </w:tc>
        <w:tc>
          <w:tcPr>
            <w:tcW w:w="590" w:type="dxa"/>
            <w:tcBorders>
              <w:top w:val="single" w:color="000000" w:sz="4" w:space="0"/>
              <w:left w:val="single" w:color="000000" w:sz="4" w:space="0"/>
              <w:bottom w:val="single" w:color="000000" w:sz="4" w:space="0"/>
              <w:right w:val="single" w:color="000000" w:sz="4" w:space="0"/>
            </w:tcBorders>
            <w:noWrap/>
            <w:vAlign w:val="center"/>
          </w:tcPr>
          <w:p w14:paraId="7D72C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20612BE4">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教室空调</w:t>
            </w:r>
          </w:p>
        </w:tc>
        <w:tc>
          <w:tcPr>
            <w:tcW w:w="10150" w:type="dxa"/>
            <w:tcBorders>
              <w:top w:val="single" w:color="000000" w:sz="4" w:space="0"/>
              <w:left w:val="single" w:color="000000" w:sz="4" w:space="0"/>
              <w:bottom w:val="single" w:color="000000" w:sz="4" w:space="0"/>
              <w:right w:val="single" w:color="000000" w:sz="4" w:space="0"/>
            </w:tcBorders>
            <w:noWrap w:val="0"/>
            <w:vAlign w:val="center"/>
          </w:tcPr>
          <w:p w14:paraId="64036E7B">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产品：国产优质</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能效等级：不低于二级能效</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类型：立柜式</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匹数：3匹</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变频/定频：变频</w:t>
            </w:r>
          </w:p>
        </w:tc>
        <w:tc>
          <w:tcPr>
            <w:tcW w:w="591" w:type="dxa"/>
            <w:tcBorders>
              <w:top w:val="single" w:color="000000" w:sz="4" w:space="0"/>
              <w:left w:val="single" w:color="000000" w:sz="4" w:space="0"/>
              <w:bottom w:val="single" w:color="000000" w:sz="4" w:space="0"/>
              <w:right w:val="single" w:color="000000" w:sz="4" w:space="0"/>
            </w:tcBorders>
            <w:noWrap/>
            <w:vAlign w:val="center"/>
          </w:tcPr>
          <w:p w14:paraId="17EFD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14:paraId="6AA29B2F">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台</w:t>
            </w:r>
          </w:p>
        </w:tc>
      </w:tr>
      <w:tr w14:paraId="59CC0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ign w:val="center"/>
          </w:tcPr>
          <w:p w14:paraId="70D53C24">
            <w:pPr>
              <w:jc w:val="center"/>
              <w:rPr>
                <w:rFonts w:hint="eastAsia" w:ascii="宋体" w:hAnsi="宋体" w:eastAsia="宋体" w:cs="宋体"/>
                <w:b/>
                <w:bCs/>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0AC95D">
            <w:pPr>
              <w:jc w:val="center"/>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14:paraId="2ABAC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7F06B5E5">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观摩空调</w:t>
            </w:r>
          </w:p>
        </w:tc>
        <w:tc>
          <w:tcPr>
            <w:tcW w:w="10150" w:type="dxa"/>
            <w:tcBorders>
              <w:top w:val="single" w:color="000000" w:sz="4" w:space="0"/>
              <w:left w:val="single" w:color="000000" w:sz="4" w:space="0"/>
              <w:bottom w:val="single" w:color="000000" w:sz="4" w:space="0"/>
              <w:right w:val="single" w:color="000000" w:sz="4" w:space="0"/>
            </w:tcBorders>
            <w:noWrap w:val="0"/>
            <w:vAlign w:val="center"/>
          </w:tcPr>
          <w:p w14:paraId="3AC4A538">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产品：国产优质</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能效等级：不低于二级能效</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类型：壁挂式</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匹数：1.5匹</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变频/定频：变频</w:t>
            </w:r>
          </w:p>
        </w:tc>
        <w:tc>
          <w:tcPr>
            <w:tcW w:w="591" w:type="dxa"/>
            <w:tcBorders>
              <w:top w:val="single" w:color="000000" w:sz="4" w:space="0"/>
              <w:left w:val="single" w:color="000000" w:sz="4" w:space="0"/>
              <w:bottom w:val="single" w:color="000000" w:sz="4" w:space="0"/>
              <w:right w:val="single" w:color="000000" w:sz="4" w:space="0"/>
            </w:tcBorders>
            <w:noWrap/>
            <w:vAlign w:val="center"/>
          </w:tcPr>
          <w:p w14:paraId="7D199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14:paraId="579C728E">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台</w:t>
            </w:r>
          </w:p>
        </w:tc>
      </w:tr>
      <w:tr w14:paraId="79F78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ign w:val="center"/>
          </w:tcPr>
          <w:p w14:paraId="3E56A58E">
            <w:pPr>
              <w:jc w:val="center"/>
              <w:rPr>
                <w:rFonts w:hint="eastAsia" w:ascii="宋体" w:hAnsi="宋体" w:eastAsia="宋体" w:cs="宋体"/>
                <w:b/>
                <w:bCs/>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A34F55">
            <w:pPr>
              <w:jc w:val="center"/>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14:paraId="6DD26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4FAAA07E">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学生座椅</w:t>
            </w:r>
          </w:p>
        </w:tc>
        <w:tc>
          <w:tcPr>
            <w:tcW w:w="10150" w:type="dxa"/>
            <w:tcBorders>
              <w:top w:val="single" w:color="000000" w:sz="4" w:space="0"/>
              <w:left w:val="single" w:color="000000" w:sz="4" w:space="0"/>
              <w:bottom w:val="single" w:color="000000" w:sz="4" w:space="0"/>
              <w:right w:val="single" w:color="000000" w:sz="4" w:space="0"/>
            </w:tcBorders>
            <w:noWrap w:val="0"/>
            <w:vAlign w:val="center"/>
          </w:tcPr>
          <w:p w14:paraId="47D24A0B">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规格：600*400*700-790桌椅腿：25*50优质高频扁圆管，壁厚1,2mm桌椅脚：25*50优质高频扁圆管，壁厚1,2mm   桌椅面板：18mm中密度板四周一次性注塑封边带笔槽                                     桌斗冷轧钢板侧板1.0厚，底板0.7厚桌椅脚套：优质塑料脚套，防划伤地板，防噪音颜色：哑光色（可定制颜色）     工艺流程及要求1, 首先验收材质是否符合要求，所有钢材必须采用国有大型钢材生    产厂家，必须模具冲压，卷边，无毛刺。2, 通过机器按规格尺寸进行切割。3, 采用二氧化碳气体保护机器人按要求焊接成型。4, 通过人工检验并把钢件表面焊接处打磨光滑。5, 现代高压喷砂除锈工艺，除去钢件表面的杂质,油渍和铁锈，通过     高压气体将砂直接喷射在钢件表面来进行除锈，该除锈工艺优越于   传统的盐酸除锈工艺，钢件表面和管内壁都未受到盐酸腐蚀，也不   会对环境造成污染。6,  通过全自动流水线高压静电喷塑，高温烤漆，使产品表面光滑,防锈,防腐,抗刮且漆不易脱落</w:t>
            </w:r>
          </w:p>
        </w:tc>
        <w:tc>
          <w:tcPr>
            <w:tcW w:w="591" w:type="dxa"/>
            <w:tcBorders>
              <w:top w:val="single" w:color="000000" w:sz="4" w:space="0"/>
              <w:left w:val="single" w:color="000000" w:sz="4" w:space="0"/>
              <w:bottom w:val="single" w:color="000000" w:sz="4" w:space="0"/>
              <w:right w:val="single" w:color="000000" w:sz="4" w:space="0"/>
            </w:tcBorders>
            <w:noWrap/>
            <w:vAlign w:val="center"/>
          </w:tcPr>
          <w:p w14:paraId="309A3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14:paraId="64F1B9CC">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台</w:t>
            </w:r>
          </w:p>
        </w:tc>
      </w:tr>
      <w:tr w14:paraId="50150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5109">
            <w:pPr>
              <w:jc w:val="center"/>
              <w:rPr>
                <w:rFonts w:hint="eastAsia" w:ascii="宋体" w:hAnsi="宋体" w:eastAsia="宋体" w:cs="宋体"/>
                <w:b/>
                <w:bCs/>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AD1C5">
            <w:pPr>
              <w:jc w:val="center"/>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6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869A1">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观摩桌椅</w:t>
            </w:r>
          </w:p>
        </w:tc>
        <w:tc>
          <w:tcPr>
            <w:tcW w:w="101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77ACB">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"1、背海棉：采用高密度冷发泡PU定型海棉。背海棉长度为715mm，宽度为470mm，高度为80mm,海棉密度为45KG/M3。</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2、座海棉：采用高密度冷发泡PU定型海棉。座海棉长度为485mm，宽度为480mm，高度为140mm,海棉密度为55KG/M3。</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3、背内板：采用优质夹板经模具压注成型。外型成弧型，美观大方，具有曲线美。尺寸规格：长度为660 mm，宽度为410mm，厚度为6mm。</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4、背外板：采用优质高密度硬木多层板，经模具冷压注成型，不褪色，抗变型。背外板规格：长度为750mm，宽度为525mm，厚度为15mm。</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5、座外板：采用优质高密度硬木多层板经模具压注成型。尺寸规格：长度为455mm，宽度为425 mm，厚度为15mm。</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6、回位功能：采用阻尼棒加双弹簧回复装置，轻盈，缓慢，无噪音，永不失效。</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7、扶手面：采用进口橡木或进口榉木或高弹PU扶手,厚度为20mm。</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8、写字板：采用铝合金支撑结构，面板采用高密度中纤板，外冷压防火面板，四周PU封边。厚度为18mm。</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9、面料：座背面料采用高级专用布料，阻然，抗污，防褪色。</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10、侧板：采用优质PP（聚丙烯）多元素复合材料经模具压注成型。厚度为2mm。</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11、脚架：扶手框架采用优质T2.0mm热轧板，底脚板采用2 mm优质冷轧钢冲压成型，脚管采用80X40XT1.2优质方管经二氧化碳焊接成型，表面采用防锈静电喷亚光黑处理。</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12、座椅外形：设计符合人体工程学原理，舒适度好。</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13、地面固定：采用不锈钢内六角膨胀螺丝使座椅与地面固定。</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C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C7BDC5">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套</w:t>
            </w:r>
          </w:p>
        </w:tc>
      </w:tr>
      <w:tr w14:paraId="77FC6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92E5">
            <w:pPr>
              <w:jc w:val="center"/>
              <w:rPr>
                <w:rFonts w:hint="eastAsia" w:ascii="宋体" w:hAnsi="宋体" w:eastAsia="宋体" w:cs="宋体"/>
                <w:b/>
                <w:bCs/>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E8709">
            <w:pPr>
              <w:jc w:val="center"/>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2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0D091">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辅材线材</w:t>
            </w:r>
          </w:p>
        </w:tc>
        <w:tc>
          <w:tcPr>
            <w:tcW w:w="101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2498B">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HDMI高清音视频信号线、超五类网络传输线、RVVP线缆、电视机挂架/吊架、交换机等网络综合布线等</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E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CF16D0">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套</w:t>
            </w:r>
          </w:p>
        </w:tc>
      </w:tr>
      <w:tr w14:paraId="71634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ign w:val="center"/>
          </w:tcPr>
          <w:p w14:paraId="759154F7">
            <w:pPr>
              <w:jc w:val="center"/>
              <w:rPr>
                <w:rFonts w:hint="eastAsia" w:ascii="宋体" w:hAnsi="宋体" w:eastAsia="宋体" w:cs="宋体"/>
                <w:b/>
                <w:bCs/>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7193FE">
            <w:pPr>
              <w:jc w:val="center"/>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14:paraId="0693D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59CDA863">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机柜</w:t>
            </w:r>
          </w:p>
        </w:tc>
        <w:tc>
          <w:tcPr>
            <w:tcW w:w="10150" w:type="dxa"/>
            <w:tcBorders>
              <w:top w:val="single" w:color="000000" w:sz="4" w:space="0"/>
              <w:left w:val="single" w:color="000000" w:sz="4" w:space="0"/>
              <w:bottom w:val="single" w:color="000000" w:sz="4" w:space="0"/>
              <w:right w:val="single" w:color="000000" w:sz="4" w:space="0"/>
            </w:tcBorders>
            <w:noWrap w:val="0"/>
            <w:vAlign w:val="center"/>
          </w:tcPr>
          <w:p w14:paraId="42E0FA87">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类型：网络机柜</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高度：18u</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产地：中国大陆</w:t>
            </w:r>
          </w:p>
        </w:tc>
        <w:tc>
          <w:tcPr>
            <w:tcW w:w="591" w:type="dxa"/>
            <w:tcBorders>
              <w:top w:val="single" w:color="000000" w:sz="4" w:space="0"/>
              <w:left w:val="single" w:color="000000" w:sz="4" w:space="0"/>
              <w:bottom w:val="single" w:color="000000" w:sz="4" w:space="0"/>
              <w:right w:val="single" w:color="000000" w:sz="4" w:space="0"/>
            </w:tcBorders>
            <w:noWrap/>
            <w:vAlign w:val="center"/>
          </w:tcPr>
          <w:p w14:paraId="4975C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14:paraId="61E6DB67">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台</w:t>
            </w:r>
          </w:p>
        </w:tc>
      </w:tr>
      <w:tr w14:paraId="70029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ign w:val="center"/>
          </w:tcPr>
          <w:p w14:paraId="669A2B70">
            <w:pPr>
              <w:jc w:val="center"/>
              <w:rPr>
                <w:rFonts w:hint="eastAsia" w:ascii="宋体" w:hAnsi="宋体" w:eastAsia="宋体" w:cs="宋体"/>
                <w:b/>
                <w:bCs/>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5229DA">
            <w:pPr>
              <w:jc w:val="center"/>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14:paraId="2B449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545A9D56">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交换机</w:t>
            </w:r>
          </w:p>
        </w:tc>
        <w:tc>
          <w:tcPr>
            <w:tcW w:w="10150" w:type="dxa"/>
            <w:tcBorders>
              <w:top w:val="single" w:color="000000" w:sz="4" w:space="0"/>
              <w:left w:val="single" w:color="000000" w:sz="4" w:space="0"/>
              <w:bottom w:val="single" w:color="000000" w:sz="4" w:space="0"/>
              <w:right w:val="single" w:color="000000" w:sz="4" w:space="0"/>
            </w:tcBorders>
            <w:noWrap w:val="0"/>
            <w:vAlign w:val="center"/>
          </w:tcPr>
          <w:p w14:paraId="29A23158">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上行端口速率：千兆</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端口数量：8口</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端口供电功能：POE供电</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下行接口类型：以太网交换机</w:t>
            </w:r>
          </w:p>
        </w:tc>
        <w:tc>
          <w:tcPr>
            <w:tcW w:w="591" w:type="dxa"/>
            <w:tcBorders>
              <w:top w:val="single" w:color="000000" w:sz="4" w:space="0"/>
              <w:left w:val="single" w:color="000000" w:sz="4" w:space="0"/>
              <w:bottom w:val="single" w:color="000000" w:sz="4" w:space="0"/>
              <w:right w:val="single" w:color="000000" w:sz="4" w:space="0"/>
            </w:tcBorders>
            <w:noWrap/>
            <w:vAlign w:val="center"/>
          </w:tcPr>
          <w:p w14:paraId="28C74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14:paraId="6DB22DA5">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台</w:t>
            </w:r>
          </w:p>
        </w:tc>
      </w:tr>
      <w:tr w14:paraId="64E8B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ign w:val="center"/>
          </w:tcPr>
          <w:p w14:paraId="70134BF4">
            <w:pPr>
              <w:jc w:val="center"/>
              <w:rPr>
                <w:rFonts w:hint="eastAsia" w:ascii="宋体" w:hAnsi="宋体" w:eastAsia="宋体" w:cs="宋体"/>
                <w:b/>
                <w:bCs/>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07F3A9">
            <w:pPr>
              <w:jc w:val="center"/>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14:paraId="049E5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2A024D86">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路由器</w:t>
            </w:r>
          </w:p>
        </w:tc>
        <w:tc>
          <w:tcPr>
            <w:tcW w:w="10150" w:type="dxa"/>
            <w:tcBorders>
              <w:top w:val="single" w:color="000000" w:sz="4" w:space="0"/>
              <w:left w:val="single" w:color="000000" w:sz="4" w:space="0"/>
              <w:bottom w:val="single" w:color="000000" w:sz="4" w:space="0"/>
              <w:right w:val="single" w:color="000000" w:sz="4" w:space="0"/>
            </w:tcBorders>
            <w:noWrap w:val="0"/>
            <w:vAlign w:val="center"/>
          </w:tcPr>
          <w:p w14:paraId="115D5657">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LAN输出口：千兆网口</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WAN口类型：电口</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无线协议：Wi-Fi 5</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频段：双频</w:t>
            </w:r>
          </w:p>
        </w:tc>
        <w:tc>
          <w:tcPr>
            <w:tcW w:w="591" w:type="dxa"/>
            <w:tcBorders>
              <w:top w:val="single" w:color="000000" w:sz="4" w:space="0"/>
              <w:left w:val="single" w:color="000000" w:sz="4" w:space="0"/>
              <w:bottom w:val="single" w:color="000000" w:sz="4" w:space="0"/>
              <w:right w:val="single" w:color="000000" w:sz="4" w:space="0"/>
            </w:tcBorders>
            <w:noWrap/>
            <w:vAlign w:val="center"/>
          </w:tcPr>
          <w:p w14:paraId="5E0B4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14:paraId="66C87350">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台</w:t>
            </w:r>
          </w:p>
        </w:tc>
      </w:tr>
      <w:tr w14:paraId="62558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vMerge w:val="restart"/>
            <w:tcBorders>
              <w:top w:val="single" w:color="000000" w:sz="4" w:space="0"/>
              <w:left w:val="single" w:color="000000" w:sz="4" w:space="0"/>
              <w:bottom w:val="single" w:color="000000" w:sz="4" w:space="0"/>
              <w:right w:val="single" w:color="000000" w:sz="4" w:space="0"/>
            </w:tcBorders>
            <w:noWrap/>
            <w:vAlign w:val="center"/>
          </w:tcPr>
          <w:p w14:paraId="4B4B19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2727A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教室装修系统</w:t>
            </w:r>
          </w:p>
        </w:tc>
        <w:tc>
          <w:tcPr>
            <w:tcW w:w="590" w:type="dxa"/>
            <w:tcBorders>
              <w:top w:val="single" w:color="000000" w:sz="4" w:space="0"/>
              <w:left w:val="single" w:color="000000" w:sz="4" w:space="0"/>
              <w:bottom w:val="single" w:color="000000" w:sz="4" w:space="0"/>
              <w:right w:val="single" w:color="000000" w:sz="4" w:space="0"/>
            </w:tcBorders>
            <w:noWrap/>
            <w:vAlign w:val="center"/>
          </w:tcPr>
          <w:p w14:paraId="02E39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5D04AA35">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墙面吸音板基层</w:t>
            </w:r>
          </w:p>
        </w:tc>
        <w:tc>
          <w:tcPr>
            <w:tcW w:w="10150" w:type="dxa"/>
            <w:tcBorders>
              <w:top w:val="single" w:color="000000" w:sz="4" w:space="0"/>
              <w:left w:val="single" w:color="000000" w:sz="4" w:space="0"/>
              <w:bottom w:val="single" w:color="000000" w:sz="4" w:space="0"/>
              <w:right w:val="single" w:color="000000" w:sz="4" w:space="0"/>
            </w:tcBorders>
            <w:noWrap w:val="0"/>
            <w:vAlign w:val="center"/>
          </w:tcPr>
          <w:p w14:paraId="5C82EA76">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材质：松木、椴木、杉木等。4cm*25cm木龙骨骨架，40cm*60cm间距，木龙骨骨架基层与墙面空腔距离≥100mm，水平、垂直误差≤3mm，骨架受力面积≤50KG/㎡，聚仟板基层为标准距地1200mm至顶面，满做九厘板基层，专用自攻螺丝、钢钉、直钉等、人工。</w:t>
            </w:r>
          </w:p>
        </w:tc>
        <w:tc>
          <w:tcPr>
            <w:tcW w:w="591" w:type="dxa"/>
            <w:tcBorders>
              <w:top w:val="single" w:color="000000" w:sz="4" w:space="0"/>
              <w:left w:val="single" w:color="000000" w:sz="4" w:space="0"/>
              <w:bottom w:val="single" w:color="000000" w:sz="4" w:space="0"/>
              <w:right w:val="single" w:color="000000" w:sz="4" w:space="0"/>
            </w:tcBorders>
            <w:noWrap/>
            <w:vAlign w:val="center"/>
          </w:tcPr>
          <w:p w14:paraId="0F27D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593" w:type="dxa"/>
            <w:tcBorders>
              <w:top w:val="single" w:color="000000" w:sz="4" w:space="0"/>
              <w:left w:val="single" w:color="000000" w:sz="4" w:space="0"/>
              <w:bottom w:val="single" w:color="000000" w:sz="4" w:space="0"/>
              <w:right w:val="single" w:color="000000" w:sz="4" w:space="0"/>
            </w:tcBorders>
            <w:noWrap/>
            <w:vAlign w:val="center"/>
          </w:tcPr>
          <w:p w14:paraId="1A8C1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D17F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ign w:val="center"/>
          </w:tcPr>
          <w:p w14:paraId="57858B2B">
            <w:pPr>
              <w:jc w:val="center"/>
              <w:rPr>
                <w:rFonts w:hint="eastAsia" w:ascii="宋体" w:hAnsi="宋体" w:eastAsia="宋体" w:cs="宋体"/>
                <w:b/>
                <w:bCs/>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93F483">
            <w:pPr>
              <w:jc w:val="center"/>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14:paraId="79B5F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3E90EF70">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教室吸音板及聚酯纤维板</w:t>
            </w:r>
          </w:p>
        </w:tc>
        <w:tc>
          <w:tcPr>
            <w:tcW w:w="10150" w:type="dxa"/>
            <w:tcBorders>
              <w:top w:val="single" w:color="000000" w:sz="4" w:space="0"/>
              <w:left w:val="single" w:color="000000" w:sz="4" w:space="0"/>
              <w:bottom w:val="single" w:color="000000" w:sz="4" w:space="0"/>
              <w:right w:val="single" w:color="000000" w:sz="4" w:space="0"/>
            </w:tcBorders>
            <w:noWrap w:val="0"/>
            <w:vAlign w:val="center"/>
          </w:tcPr>
          <w:p w14:paraId="5AE527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结构为28/4型槽孔吸音板,吸音板规格2440mm*133mm*15mm，依据GB/T16731-1997《建筑吸声产品的吸声性能分级》规定，吸声等级为Ⅱ级面密度约：2.2kg/m</w:t>
            </w:r>
            <w:r>
              <w:rPr>
                <w:rFonts w:hint="eastAsia" w:ascii="宋体" w:hAnsi="宋体" w:eastAsia="宋体" w:cs="宋体"/>
                <w:i w:val="0"/>
                <w:iCs w:val="0"/>
                <w:color w:val="000000"/>
                <w:kern w:val="0"/>
                <w:sz w:val="22"/>
                <w:szCs w:val="22"/>
                <w:u w:val="none"/>
                <w:vertAlign w:val="superscript"/>
                <w:lang w:val="en-US" w:eastAsia="zh-CN" w:bidi="ar"/>
              </w:rPr>
              <w:t>2，</w:t>
            </w:r>
            <w:r>
              <w:rPr>
                <w:rFonts w:hint="eastAsia" w:ascii="宋体" w:hAnsi="宋体" w:eastAsia="宋体" w:cs="宋体"/>
                <w:i w:val="0"/>
                <w:iCs w:val="0"/>
                <w:color w:val="000000"/>
                <w:kern w:val="0"/>
                <w:sz w:val="22"/>
                <w:szCs w:val="22"/>
                <w:u w:val="none"/>
                <w:vertAlign w:val="superscript"/>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聚酯纤维板：9mm厚，材质均匀坚实,富有弹性、韧性、耐磨、抗冲击、耐撕裂、不易划破.产品密度：1200-1400g/㎡.降噪系数大致在0.8～1.10.有较好的防火性能，符合国家标准GB8624B1级要求。甲醛释放量标准要求≤1.5㎎/1，检测结果为0.05㎎/1。达到国家标准GB18580-2001E1级要求，符合直接用于室内装潢的要求</w:t>
            </w:r>
          </w:p>
        </w:tc>
        <w:tc>
          <w:tcPr>
            <w:tcW w:w="591" w:type="dxa"/>
            <w:tcBorders>
              <w:top w:val="single" w:color="000000" w:sz="4" w:space="0"/>
              <w:left w:val="single" w:color="000000" w:sz="4" w:space="0"/>
              <w:bottom w:val="single" w:color="000000" w:sz="4" w:space="0"/>
              <w:right w:val="single" w:color="000000" w:sz="4" w:space="0"/>
            </w:tcBorders>
            <w:noWrap/>
            <w:vAlign w:val="center"/>
          </w:tcPr>
          <w:p w14:paraId="3BE7B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593" w:type="dxa"/>
            <w:tcBorders>
              <w:top w:val="single" w:color="000000" w:sz="4" w:space="0"/>
              <w:left w:val="single" w:color="000000" w:sz="4" w:space="0"/>
              <w:bottom w:val="single" w:color="000000" w:sz="4" w:space="0"/>
              <w:right w:val="single" w:color="000000" w:sz="4" w:space="0"/>
            </w:tcBorders>
            <w:noWrap/>
            <w:vAlign w:val="center"/>
          </w:tcPr>
          <w:p w14:paraId="2D9A7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FEDA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ign w:val="center"/>
          </w:tcPr>
          <w:p w14:paraId="60D6182E">
            <w:pPr>
              <w:jc w:val="center"/>
              <w:rPr>
                <w:rFonts w:hint="eastAsia" w:ascii="宋体" w:hAnsi="宋体" w:eastAsia="宋体" w:cs="宋体"/>
                <w:b/>
                <w:bCs/>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746FD6">
            <w:pPr>
              <w:jc w:val="center"/>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14:paraId="2934B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546AAFE8">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电路改造</w:t>
            </w:r>
          </w:p>
        </w:tc>
        <w:tc>
          <w:tcPr>
            <w:tcW w:w="10150" w:type="dxa"/>
            <w:tcBorders>
              <w:top w:val="single" w:color="000000" w:sz="4" w:space="0"/>
              <w:left w:val="single" w:color="000000" w:sz="4" w:space="0"/>
              <w:bottom w:val="single" w:color="000000" w:sz="4" w:space="0"/>
              <w:right w:val="single" w:color="000000" w:sz="4" w:space="0"/>
            </w:tcBorders>
            <w:noWrap w:val="0"/>
            <w:vAlign w:val="center"/>
          </w:tcPr>
          <w:p w14:paraId="5053B6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实际用电负荷需求，室内灯线布置为2.5㎡多股铜芯电源线，普通插座为2.5㎡多股铜芯电源线、线路均穿套16mm/20mmPVC绝缘穿线管，阴角、承重墙面、穿孔位置无法穿套线管的位置，穿套绝缘黄腊管保护，一组线路中途不断接、无接头（</w:t>
            </w:r>
            <w:r>
              <w:rPr>
                <w:rFonts w:hint="eastAsia" w:ascii="宋体" w:hAnsi="宋体" w:eastAsia="宋体" w:cs="宋体"/>
                <w:i w:val="0"/>
                <w:iCs w:val="0"/>
                <w:color w:val="FF0000"/>
                <w:kern w:val="0"/>
                <w:sz w:val="22"/>
                <w:szCs w:val="22"/>
                <w:u w:val="none"/>
                <w:lang w:val="en-US" w:eastAsia="zh-CN" w:bidi="ar"/>
              </w:rPr>
              <w:t>不含空调线、入户电源线</w:t>
            </w:r>
            <w:r>
              <w:rPr>
                <w:rFonts w:hint="eastAsia" w:ascii="宋体" w:hAnsi="宋体" w:eastAsia="宋体" w:cs="宋体"/>
                <w:i w:val="0"/>
                <w:iCs w:val="0"/>
                <w:color w:val="000000"/>
                <w:kern w:val="0"/>
                <w:sz w:val="22"/>
                <w:szCs w:val="22"/>
                <w:u w:val="none"/>
                <w:lang w:val="en-US" w:eastAsia="zh-CN" w:bidi="ar"/>
              </w:rPr>
              <w:t>）</w:t>
            </w:r>
          </w:p>
        </w:tc>
        <w:tc>
          <w:tcPr>
            <w:tcW w:w="591" w:type="dxa"/>
            <w:tcBorders>
              <w:top w:val="single" w:color="000000" w:sz="4" w:space="0"/>
              <w:left w:val="single" w:color="000000" w:sz="4" w:space="0"/>
              <w:bottom w:val="single" w:color="000000" w:sz="4" w:space="0"/>
              <w:right w:val="single" w:color="000000" w:sz="4" w:space="0"/>
            </w:tcBorders>
            <w:noWrap/>
            <w:vAlign w:val="center"/>
          </w:tcPr>
          <w:p w14:paraId="18B1F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 </w:t>
            </w:r>
          </w:p>
        </w:tc>
        <w:tc>
          <w:tcPr>
            <w:tcW w:w="593" w:type="dxa"/>
            <w:tcBorders>
              <w:top w:val="single" w:color="000000" w:sz="4" w:space="0"/>
              <w:left w:val="single" w:color="000000" w:sz="4" w:space="0"/>
              <w:bottom w:val="single" w:color="000000" w:sz="4" w:space="0"/>
              <w:right w:val="single" w:color="000000" w:sz="4" w:space="0"/>
            </w:tcBorders>
            <w:noWrap/>
            <w:vAlign w:val="center"/>
          </w:tcPr>
          <w:p w14:paraId="648C6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4E1F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ign w:val="center"/>
          </w:tcPr>
          <w:p w14:paraId="6F6032DF">
            <w:pPr>
              <w:jc w:val="center"/>
              <w:rPr>
                <w:rFonts w:hint="eastAsia" w:ascii="宋体" w:hAnsi="宋体" w:eastAsia="宋体" w:cs="宋体"/>
                <w:b/>
                <w:bCs/>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1097A8">
            <w:pPr>
              <w:jc w:val="center"/>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14:paraId="4A411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220B7A63">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教室灯</w:t>
            </w:r>
          </w:p>
        </w:tc>
        <w:tc>
          <w:tcPr>
            <w:tcW w:w="10150" w:type="dxa"/>
            <w:tcBorders>
              <w:top w:val="single" w:color="000000" w:sz="4" w:space="0"/>
              <w:left w:val="single" w:color="000000" w:sz="4" w:space="0"/>
              <w:bottom w:val="single" w:color="000000" w:sz="4" w:space="0"/>
              <w:right w:val="single" w:color="000000" w:sz="4" w:space="0"/>
            </w:tcBorders>
            <w:noWrap w:val="0"/>
            <w:vAlign w:val="center"/>
          </w:tcPr>
          <w:p w14:paraId="34112779">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LED面板灯 600*600</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光源类型：HP  32W，色温4000K-6500K，光通量2500LM</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驱动电源：外置恒流驱动</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灯体材质：冷轧板+PVC边框</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安装方式：石膏板嵌入、T型龙骨嵌入、集成吊顶嵌入</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适用场所：办公、医院、学校、车站等场所基础照明</w:t>
            </w:r>
          </w:p>
        </w:tc>
        <w:tc>
          <w:tcPr>
            <w:tcW w:w="591" w:type="dxa"/>
            <w:tcBorders>
              <w:top w:val="single" w:color="000000" w:sz="4" w:space="0"/>
              <w:left w:val="single" w:color="000000" w:sz="4" w:space="0"/>
              <w:bottom w:val="single" w:color="000000" w:sz="4" w:space="0"/>
              <w:right w:val="single" w:color="000000" w:sz="4" w:space="0"/>
            </w:tcBorders>
            <w:noWrap/>
            <w:vAlign w:val="center"/>
          </w:tcPr>
          <w:p w14:paraId="7EBBB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593" w:type="dxa"/>
            <w:tcBorders>
              <w:top w:val="single" w:color="000000" w:sz="4" w:space="0"/>
              <w:left w:val="single" w:color="000000" w:sz="4" w:space="0"/>
              <w:bottom w:val="single" w:color="000000" w:sz="4" w:space="0"/>
              <w:right w:val="single" w:color="000000" w:sz="4" w:space="0"/>
            </w:tcBorders>
            <w:noWrap/>
            <w:vAlign w:val="center"/>
          </w:tcPr>
          <w:p w14:paraId="68ECF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盏</w:t>
            </w:r>
          </w:p>
        </w:tc>
      </w:tr>
      <w:tr w14:paraId="5B2B7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ign w:val="center"/>
          </w:tcPr>
          <w:p w14:paraId="50B22C5F">
            <w:pPr>
              <w:jc w:val="center"/>
              <w:rPr>
                <w:rFonts w:hint="eastAsia" w:ascii="宋体" w:hAnsi="宋体" w:eastAsia="宋体" w:cs="宋体"/>
                <w:b/>
                <w:bCs/>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2545CD">
            <w:pPr>
              <w:jc w:val="center"/>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14:paraId="662F3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748E24CD">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强化木地板（含损耗）</w:t>
            </w:r>
          </w:p>
        </w:tc>
        <w:tc>
          <w:tcPr>
            <w:tcW w:w="10150" w:type="dxa"/>
            <w:tcBorders>
              <w:top w:val="single" w:color="000000" w:sz="4" w:space="0"/>
              <w:left w:val="single" w:color="000000" w:sz="4" w:space="0"/>
              <w:bottom w:val="single" w:color="000000" w:sz="4" w:space="0"/>
              <w:right w:val="single" w:color="000000" w:sz="4" w:space="0"/>
            </w:tcBorders>
            <w:noWrap w:val="0"/>
            <w:vAlign w:val="center"/>
          </w:tcPr>
          <w:p w14:paraId="57117E62">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1.2CM地板，板基材的密度应为0.82-0.96 g/cm3,耐磨转数4000转以上，甲醛释放量小于0.3mg/L，表面耐龟裂。环保标准：达到国家标准GB18580-2001E1级要求，符合直接用于室内装潢的要求</w:t>
            </w:r>
          </w:p>
        </w:tc>
        <w:tc>
          <w:tcPr>
            <w:tcW w:w="591" w:type="dxa"/>
            <w:tcBorders>
              <w:top w:val="single" w:color="000000" w:sz="4" w:space="0"/>
              <w:left w:val="single" w:color="000000" w:sz="4" w:space="0"/>
              <w:bottom w:val="single" w:color="000000" w:sz="4" w:space="0"/>
              <w:right w:val="single" w:color="000000" w:sz="4" w:space="0"/>
            </w:tcBorders>
            <w:noWrap/>
            <w:vAlign w:val="center"/>
          </w:tcPr>
          <w:p w14:paraId="0F8FF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 </w:t>
            </w:r>
          </w:p>
        </w:tc>
        <w:tc>
          <w:tcPr>
            <w:tcW w:w="593" w:type="dxa"/>
            <w:tcBorders>
              <w:top w:val="single" w:color="000000" w:sz="4" w:space="0"/>
              <w:left w:val="single" w:color="000000" w:sz="4" w:space="0"/>
              <w:bottom w:val="single" w:color="000000" w:sz="4" w:space="0"/>
              <w:right w:val="single" w:color="000000" w:sz="4" w:space="0"/>
            </w:tcBorders>
            <w:noWrap/>
            <w:vAlign w:val="center"/>
          </w:tcPr>
          <w:p w14:paraId="5A775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A5A9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ign w:val="center"/>
          </w:tcPr>
          <w:p w14:paraId="32858A3C">
            <w:pPr>
              <w:jc w:val="center"/>
              <w:rPr>
                <w:rFonts w:hint="eastAsia" w:ascii="宋体" w:hAnsi="宋体" w:eastAsia="宋体" w:cs="宋体"/>
                <w:b/>
                <w:bCs/>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64B92E">
            <w:pPr>
              <w:jc w:val="center"/>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14:paraId="31E73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59DA06C7">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窗帘</w:t>
            </w:r>
          </w:p>
        </w:tc>
        <w:tc>
          <w:tcPr>
            <w:tcW w:w="10150" w:type="dxa"/>
            <w:tcBorders>
              <w:top w:val="single" w:color="000000" w:sz="4" w:space="0"/>
              <w:left w:val="single" w:color="000000" w:sz="4" w:space="0"/>
              <w:bottom w:val="single" w:color="000000" w:sz="4" w:space="0"/>
              <w:right w:val="single" w:color="000000" w:sz="4" w:space="0"/>
            </w:tcBorders>
            <w:noWrap w:val="0"/>
            <w:vAlign w:val="center"/>
          </w:tcPr>
          <w:p w14:paraId="38DD3BE7">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国产定制，窗帘采用优质涤纶化纤单色全遮光纯色面料, 用100%PES 背银灰色遮光涂层特种专用窗帘布制作而成, 抗撕拉，不需加固，自然抗撕,抗静电，不吸附空气中的固体颗粒，不粘附灰尘,, 有延展性，不会变形，并持久保持其平整度,大小尺寸：根椐房间窗户大小定制。</w:t>
            </w:r>
          </w:p>
        </w:tc>
        <w:tc>
          <w:tcPr>
            <w:tcW w:w="591" w:type="dxa"/>
            <w:tcBorders>
              <w:top w:val="single" w:color="000000" w:sz="4" w:space="0"/>
              <w:left w:val="single" w:color="000000" w:sz="4" w:space="0"/>
              <w:bottom w:val="single" w:color="000000" w:sz="4" w:space="0"/>
              <w:right w:val="single" w:color="000000" w:sz="4" w:space="0"/>
            </w:tcBorders>
            <w:noWrap/>
            <w:vAlign w:val="center"/>
          </w:tcPr>
          <w:p w14:paraId="16B4B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ign w:val="center"/>
          </w:tcPr>
          <w:p w14:paraId="41B9C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49FB1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ign w:val="center"/>
          </w:tcPr>
          <w:p w14:paraId="6FD91ED7">
            <w:pPr>
              <w:jc w:val="center"/>
              <w:rPr>
                <w:rFonts w:hint="eastAsia" w:ascii="宋体" w:hAnsi="宋体" w:eastAsia="宋体" w:cs="宋体"/>
                <w:b/>
                <w:bCs/>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82BA30">
            <w:pPr>
              <w:jc w:val="center"/>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14:paraId="5BFF8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17B71CBF">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开关面板</w:t>
            </w:r>
          </w:p>
        </w:tc>
        <w:tc>
          <w:tcPr>
            <w:tcW w:w="10150" w:type="dxa"/>
            <w:tcBorders>
              <w:top w:val="single" w:color="000000" w:sz="4" w:space="0"/>
              <w:left w:val="single" w:color="000000" w:sz="4" w:space="0"/>
              <w:bottom w:val="single" w:color="000000" w:sz="4" w:space="0"/>
              <w:right w:val="single" w:color="000000" w:sz="4" w:space="0"/>
            </w:tcBorders>
            <w:noWrap w:val="0"/>
            <w:vAlign w:val="center"/>
          </w:tcPr>
          <w:p w14:paraId="0EF52CE3">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根据现场实际需求，配置强电空开箱、正泰空开、TCL/公牛强电开关及插座，材料与安装人工费</w:t>
            </w:r>
          </w:p>
        </w:tc>
        <w:tc>
          <w:tcPr>
            <w:tcW w:w="591" w:type="dxa"/>
            <w:tcBorders>
              <w:top w:val="single" w:color="000000" w:sz="4" w:space="0"/>
              <w:left w:val="single" w:color="000000" w:sz="4" w:space="0"/>
              <w:bottom w:val="single" w:color="000000" w:sz="4" w:space="0"/>
              <w:right w:val="single" w:color="000000" w:sz="4" w:space="0"/>
            </w:tcBorders>
            <w:noWrap/>
            <w:vAlign w:val="center"/>
          </w:tcPr>
          <w:p w14:paraId="7B92B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ign w:val="center"/>
          </w:tcPr>
          <w:p w14:paraId="4B26D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1A5ED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ign w:val="center"/>
          </w:tcPr>
          <w:p w14:paraId="704FBD74">
            <w:pPr>
              <w:jc w:val="center"/>
              <w:rPr>
                <w:rFonts w:hint="eastAsia" w:ascii="宋体" w:hAnsi="宋体" w:eastAsia="宋体" w:cs="宋体"/>
                <w:b/>
                <w:bCs/>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F0FF6E">
            <w:pPr>
              <w:jc w:val="center"/>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14:paraId="4E1E2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11EA459A">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教室吊顶</w:t>
            </w:r>
          </w:p>
        </w:tc>
        <w:tc>
          <w:tcPr>
            <w:tcW w:w="10150" w:type="dxa"/>
            <w:tcBorders>
              <w:top w:val="single" w:color="000000" w:sz="4" w:space="0"/>
              <w:left w:val="single" w:color="000000" w:sz="4" w:space="0"/>
              <w:bottom w:val="single" w:color="000000" w:sz="4" w:space="0"/>
              <w:right w:val="single" w:color="000000" w:sz="4" w:space="0"/>
            </w:tcBorders>
            <w:noWrap w:val="0"/>
            <w:vAlign w:val="center"/>
          </w:tcPr>
          <w:p w14:paraId="1D8C02FF">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600cm*600cm矿棉板，注：材料符合GB6566-2010《建筑材料放射性核素限量》标准中的A类装修材料的技术指标要求；防潮度：≤3.5mm，体积密度：≤500kg/m³，带降噪功能，降噪系数≥0.5，甲醛释放量≤1.5mg/L达到E1级，抗霉菌性能检验结果符合HG/T 3950-2007中表2抗霉菌(II级)的技术要求。阻燃级别根据检验依据GB/T25998-2010《矿物棉装饰吸声板》达到B1级。</w:t>
            </w:r>
          </w:p>
        </w:tc>
        <w:tc>
          <w:tcPr>
            <w:tcW w:w="591" w:type="dxa"/>
            <w:tcBorders>
              <w:top w:val="single" w:color="000000" w:sz="4" w:space="0"/>
              <w:left w:val="single" w:color="000000" w:sz="4" w:space="0"/>
              <w:bottom w:val="single" w:color="000000" w:sz="4" w:space="0"/>
              <w:right w:val="single" w:color="000000" w:sz="4" w:space="0"/>
            </w:tcBorders>
            <w:noWrap/>
            <w:vAlign w:val="center"/>
          </w:tcPr>
          <w:p w14:paraId="633BA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593" w:type="dxa"/>
            <w:tcBorders>
              <w:top w:val="single" w:color="000000" w:sz="4" w:space="0"/>
              <w:left w:val="single" w:color="000000" w:sz="4" w:space="0"/>
              <w:bottom w:val="single" w:color="000000" w:sz="4" w:space="0"/>
              <w:right w:val="single" w:color="000000" w:sz="4" w:space="0"/>
            </w:tcBorders>
            <w:noWrap/>
            <w:vAlign w:val="center"/>
          </w:tcPr>
          <w:p w14:paraId="54B12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164E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ign w:val="center"/>
          </w:tcPr>
          <w:p w14:paraId="23F2714A">
            <w:pPr>
              <w:jc w:val="center"/>
              <w:rPr>
                <w:rFonts w:hint="eastAsia" w:ascii="宋体" w:hAnsi="宋体" w:eastAsia="宋体" w:cs="宋体"/>
                <w:b/>
                <w:bCs/>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4327F7">
            <w:pPr>
              <w:jc w:val="center"/>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14:paraId="7AD10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0CBCEAC9">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新建/加宽讲台</w:t>
            </w:r>
          </w:p>
        </w:tc>
        <w:tc>
          <w:tcPr>
            <w:tcW w:w="10150" w:type="dxa"/>
            <w:tcBorders>
              <w:top w:val="single" w:color="000000" w:sz="4" w:space="0"/>
              <w:left w:val="single" w:color="000000" w:sz="4" w:space="0"/>
              <w:bottom w:val="single" w:color="000000" w:sz="4" w:space="0"/>
              <w:right w:val="single" w:color="000000" w:sz="4" w:space="0"/>
            </w:tcBorders>
            <w:noWrap w:val="0"/>
            <w:vAlign w:val="center"/>
          </w:tcPr>
          <w:p w14:paraId="31E95F59">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根据最终设计需求，对于现场讲台面左15mm厚多层木工板加固加高制作，4cm*2.5cm木龙骨骨架基层、8mm膨胀螺栓固定于地面，15mm厚多层木工板做根据实际需求高度加工以后做支撑立板</w:t>
            </w:r>
          </w:p>
        </w:tc>
        <w:tc>
          <w:tcPr>
            <w:tcW w:w="591" w:type="dxa"/>
            <w:tcBorders>
              <w:top w:val="single" w:color="000000" w:sz="4" w:space="0"/>
              <w:left w:val="single" w:color="000000" w:sz="4" w:space="0"/>
              <w:bottom w:val="single" w:color="000000" w:sz="4" w:space="0"/>
              <w:right w:val="single" w:color="000000" w:sz="4" w:space="0"/>
            </w:tcBorders>
            <w:noWrap/>
            <w:vAlign w:val="center"/>
          </w:tcPr>
          <w:p w14:paraId="1D987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ign w:val="center"/>
          </w:tcPr>
          <w:p w14:paraId="7A1BE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6934B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ign w:val="center"/>
          </w:tcPr>
          <w:p w14:paraId="4C9C3664">
            <w:pPr>
              <w:jc w:val="center"/>
              <w:rPr>
                <w:rFonts w:hint="eastAsia" w:ascii="宋体" w:hAnsi="宋体" w:eastAsia="宋体" w:cs="宋体"/>
                <w:b/>
                <w:bCs/>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ECCE57">
            <w:pPr>
              <w:jc w:val="center"/>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14:paraId="049C8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593CC9F6">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收边条</w:t>
            </w:r>
          </w:p>
        </w:tc>
        <w:tc>
          <w:tcPr>
            <w:tcW w:w="10150" w:type="dxa"/>
            <w:tcBorders>
              <w:top w:val="single" w:color="000000" w:sz="4" w:space="0"/>
              <w:left w:val="single" w:color="000000" w:sz="4" w:space="0"/>
              <w:bottom w:val="single" w:color="000000" w:sz="4" w:space="0"/>
              <w:right w:val="single" w:color="000000" w:sz="4" w:space="0"/>
            </w:tcBorders>
            <w:noWrap w:val="0"/>
            <w:vAlign w:val="center"/>
          </w:tcPr>
          <w:p w14:paraId="69C90964">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根据现场实际需求情况，定制0.8mm厚黑钛拉丝不锈钢造型，做阳角收口及墙面墙裙收口处理，中性硅酮结构胶做专用粘接</w:t>
            </w:r>
          </w:p>
        </w:tc>
        <w:tc>
          <w:tcPr>
            <w:tcW w:w="591" w:type="dxa"/>
            <w:tcBorders>
              <w:top w:val="single" w:color="000000" w:sz="4" w:space="0"/>
              <w:left w:val="single" w:color="000000" w:sz="4" w:space="0"/>
              <w:bottom w:val="single" w:color="000000" w:sz="4" w:space="0"/>
              <w:right w:val="single" w:color="000000" w:sz="4" w:space="0"/>
            </w:tcBorders>
            <w:noWrap/>
            <w:vAlign w:val="center"/>
          </w:tcPr>
          <w:p w14:paraId="15909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593" w:type="dxa"/>
            <w:tcBorders>
              <w:top w:val="single" w:color="000000" w:sz="4" w:space="0"/>
              <w:left w:val="single" w:color="000000" w:sz="4" w:space="0"/>
              <w:bottom w:val="single" w:color="000000" w:sz="4" w:space="0"/>
              <w:right w:val="single" w:color="000000" w:sz="4" w:space="0"/>
            </w:tcBorders>
            <w:noWrap/>
            <w:vAlign w:val="center"/>
          </w:tcPr>
          <w:p w14:paraId="2BE96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r>
      <w:tr w14:paraId="554C5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vMerge w:val="restart"/>
            <w:tcBorders>
              <w:top w:val="single" w:color="000000" w:sz="4" w:space="0"/>
              <w:left w:val="single" w:color="000000" w:sz="4" w:space="0"/>
              <w:bottom w:val="single" w:color="000000" w:sz="4" w:space="0"/>
              <w:right w:val="single" w:color="000000" w:sz="4" w:space="0"/>
            </w:tcBorders>
            <w:noWrap/>
            <w:vAlign w:val="center"/>
          </w:tcPr>
          <w:p w14:paraId="78292B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4CA78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观摩教室装修</w:t>
            </w:r>
          </w:p>
        </w:tc>
        <w:tc>
          <w:tcPr>
            <w:tcW w:w="590" w:type="dxa"/>
            <w:tcBorders>
              <w:top w:val="single" w:color="000000" w:sz="4" w:space="0"/>
              <w:left w:val="single" w:color="000000" w:sz="4" w:space="0"/>
              <w:bottom w:val="single" w:color="000000" w:sz="4" w:space="0"/>
              <w:right w:val="single" w:color="000000" w:sz="4" w:space="0"/>
            </w:tcBorders>
            <w:noWrap/>
            <w:vAlign w:val="center"/>
          </w:tcPr>
          <w:p w14:paraId="1A1BB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34AE529E">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电路改造</w:t>
            </w:r>
          </w:p>
        </w:tc>
        <w:tc>
          <w:tcPr>
            <w:tcW w:w="10150" w:type="dxa"/>
            <w:tcBorders>
              <w:top w:val="single" w:color="000000" w:sz="4" w:space="0"/>
              <w:left w:val="single" w:color="000000" w:sz="4" w:space="0"/>
              <w:bottom w:val="single" w:color="000000" w:sz="4" w:space="0"/>
              <w:right w:val="single" w:color="000000" w:sz="4" w:space="0"/>
            </w:tcBorders>
            <w:noWrap w:val="0"/>
            <w:vAlign w:val="center"/>
          </w:tcPr>
          <w:p w14:paraId="4587EC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现场实际用电负荷需求，室内灯线布置为2.5㎡多股铜芯电源线，普通插座为2.5㎡多股铜芯电源线、线路均穿套16mm/20mmPVC绝缘穿线管，阴角、承重墙面、穿孔位置无法穿套线管的位置，穿套绝缘黄腊管保护，一组线路中途不断接、无接头（</w:t>
            </w:r>
            <w:r>
              <w:rPr>
                <w:rFonts w:hint="eastAsia" w:ascii="宋体" w:hAnsi="宋体" w:eastAsia="宋体" w:cs="宋体"/>
                <w:i w:val="0"/>
                <w:iCs w:val="0"/>
                <w:color w:val="FF0000"/>
                <w:kern w:val="0"/>
                <w:sz w:val="18"/>
                <w:szCs w:val="18"/>
                <w:u w:val="none"/>
                <w:lang w:val="en-US" w:eastAsia="zh-CN" w:bidi="ar"/>
              </w:rPr>
              <w:t>不含空调线、入户电源线</w:t>
            </w:r>
            <w:r>
              <w:rPr>
                <w:rFonts w:hint="eastAsia" w:ascii="宋体" w:hAnsi="宋体" w:eastAsia="宋体" w:cs="宋体"/>
                <w:i w:val="0"/>
                <w:iCs w:val="0"/>
                <w:color w:val="000000"/>
                <w:kern w:val="0"/>
                <w:sz w:val="18"/>
                <w:szCs w:val="18"/>
                <w:u w:val="none"/>
                <w:lang w:val="en-US" w:eastAsia="zh-CN" w:bidi="ar"/>
              </w:rPr>
              <w:t>）</w:t>
            </w:r>
          </w:p>
        </w:tc>
        <w:tc>
          <w:tcPr>
            <w:tcW w:w="591" w:type="dxa"/>
            <w:tcBorders>
              <w:top w:val="single" w:color="000000" w:sz="4" w:space="0"/>
              <w:left w:val="single" w:color="000000" w:sz="4" w:space="0"/>
              <w:bottom w:val="single" w:color="000000" w:sz="4" w:space="0"/>
              <w:right w:val="single" w:color="000000" w:sz="4" w:space="0"/>
            </w:tcBorders>
            <w:noWrap/>
            <w:vAlign w:val="center"/>
          </w:tcPr>
          <w:p w14:paraId="22A74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593" w:type="dxa"/>
            <w:tcBorders>
              <w:top w:val="single" w:color="000000" w:sz="4" w:space="0"/>
              <w:left w:val="single" w:color="000000" w:sz="4" w:space="0"/>
              <w:bottom w:val="single" w:color="000000" w:sz="4" w:space="0"/>
              <w:right w:val="single" w:color="000000" w:sz="4" w:space="0"/>
            </w:tcBorders>
            <w:noWrap/>
            <w:vAlign w:val="center"/>
          </w:tcPr>
          <w:p w14:paraId="35937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75B7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ign w:val="center"/>
          </w:tcPr>
          <w:p w14:paraId="69810916">
            <w:pPr>
              <w:jc w:val="center"/>
              <w:rPr>
                <w:rFonts w:hint="eastAsia" w:ascii="宋体" w:hAnsi="宋体" w:eastAsia="宋体" w:cs="宋体"/>
                <w:b/>
                <w:bCs/>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537FC7">
            <w:pPr>
              <w:jc w:val="center"/>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14:paraId="55B86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3B1514C2">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LED筒灯</w:t>
            </w:r>
          </w:p>
        </w:tc>
        <w:tc>
          <w:tcPr>
            <w:tcW w:w="10150" w:type="dxa"/>
            <w:tcBorders>
              <w:top w:val="single" w:color="000000" w:sz="4" w:space="0"/>
              <w:left w:val="single" w:color="000000" w:sz="4" w:space="0"/>
              <w:bottom w:val="single" w:color="000000" w:sz="4" w:space="0"/>
              <w:right w:val="single" w:color="000000" w:sz="4" w:space="0"/>
            </w:tcBorders>
            <w:noWrap w:val="0"/>
            <w:vAlign w:val="center"/>
          </w:tcPr>
          <w:p w14:paraId="31FDAF37">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LED筒灯</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色温：4000k</w:t>
            </w:r>
            <w:r>
              <w:rPr>
                <w:rFonts w:hint="eastAsia" w:ascii="Microsoft YaHei UI" w:hAnsi="Microsoft YaHei UI" w:eastAsia="Microsoft YaHei UI" w:cs="Microsoft YaHei UI"/>
                <w:i w:val="0"/>
                <w:iCs w:val="0"/>
                <w:color w:val="000000"/>
                <w:kern w:val="0"/>
                <w:sz w:val="16"/>
                <w:szCs w:val="16"/>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安装方式：石膏板嵌入、集成吊顶嵌入</w:t>
            </w:r>
          </w:p>
        </w:tc>
        <w:tc>
          <w:tcPr>
            <w:tcW w:w="591" w:type="dxa"/>
            <w:tcBorders>
              <w:top w:val="single" w:color="000000" w:sz="4" w:space="0"/>
              <w:left w:val="single" w:color="000000" w:sz="4" w:space="0"/>
              <w:bottom w:val="single" w:color="000000" w:sz="4" w:space="0"/>
              <w:right w:val="single" w:color="000000" w:sz="4" w:space="0"/>
            </w:tcBorders>
            <w:noWrap/>
            <w:vAlign w:val="center"/>
          </w:tcPr>
          <w:p w14:paraId="297FA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593" w:type="dxa"/>
            <w:tcBorders>
              <w:top w:val="single" w:color="000000" w:sz="4" w:space="0"/>
              <w:left w:val="single" w:color="000000" w:sz="4" w:space="0"/>
              <w:bottom w:val="single" w:color="000000" w:sz="4" w:space="0"/>
              <w:right w:val="single" w:color="000000" w:sz="4" w:space="0"/>
            </w:tcBorders>
            <w:noWrap/>
            <w:vAlign w:val="center"/>
          </w:tcPr>
          <w:p w14:paraId="31011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盏</w:t>
            </w:r>
          </w:p>
        </w:tc>
      </w:tr>
      <w:tr w14:paraId="56AC0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ign w:val="center"/>
          </w:tcPr>
          <w:p w14:paraId="1CAE5200">
            <w:pPr>
              <w:jc w:val="center"/>
              <w:rPr>
                <w:rFonts w:hint="eastAsia" w:ascii="宋体" w:hAnsi="宋体" w:eastAsia="宋体" w:cs="宋体"/>
                <w:b/>
                <w:bCs/>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1E4F78">
            <w:pPr>
              <w:jc w:val="center"/>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14:paraId="45FFE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2EBD68EF">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强化木地板（含损耗）</w:t>
            </w:r>
          </w:p>
        </w:tc>
        <w:tc>
          <w:tcPr>
            <w:tcW w:w="10150" w:type="dxa"/>
            <w:tcBorders>
              <w:top w:val="single" w:color="000000" w:sz="4" w:space="0"/>
              <w:left w:val="single" w:color="000000" w:sz="4" w:space="0"/>
              <w:bottom w:val="single" w:color="000000" w:sz="4" w:space="0"/>
              <w:right w:val="single" w:color="000000" w:sz="4" w:space="0"/>
            </w:tcBorders>
            <w:noWrap w:val="0"/>
            <w:vAlign w:val="center"/>
          </w:tcPr>
          <w:p w14:paraId="274E1ADF">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1.2CM地板，板基材的密度应为0.82-0.96 g/cm3,耐磨转数4000转以上，甲醛释放量小于0.3mg/L，表面耐龟裂。环保标准：达到国家标准GB18580-2001E1级要求，符合直接用于室内装潢的要求</w:t>
            </w:r>
          </w:p>
        </w:tc>
        <w:tc>
          <w:tcPr>
            <w:tcW w:w="591" w:type="dxa"/>
            <w:tcBorders>
              <w:top w:val="single" w:color="000000" w:sz="4" w:space="0"/>
              <w:left w:val="single" w:color="000000" w:sz="4" w:space="0"/>
              <w:bottom w:val="single" w:color="000000" w:sz="4" w:space="0"/>
              <w:right w:val="single" w:color="000000" w:sz="4" w:space="0"/>
            </w:tcBorders>
            <w:noWrap/>
            <w:vAlign w:val="center"/>
          </w:tcPr>
          <w:p w14:paraId="3C33C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14:paraId="35EE4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001A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ign w:val="center"/>
          </w:tcPr>
          <w:p w14:paraId="2CBB98E6">
            <w:pPr>
              <w:jc w:val="center"/>
              <w:rPr>
                <w:rFonts w:hint="eastAsia" w:ascii="宋体" w:hAnsi="宋体" w:eastAsia="宋体" w:cs="宋体"/>
                <w:b/>
                <w:bCs/>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627149">
            <w:pPr>
              <w:jc w:val="center"/>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14:paraId="0EC07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5762678F">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窗帘</w:t>
            </w:r>
          </w:p>
        </w:tc>
        <w:tc>
          <w:tcPr>
            <w:tcW w:w="10150" w:type="dxa"/>
            <w:tcBorders>
              <w:top w:val="single" w:color="000000" w:sz="4" w:space="0"/>
              <w:left w:val="single" w:color="000000" w:sz="4" w:space="0"/>
              <w:bottom w:val="single" w:color="000000" w:sz="4" w:space="0"/>
              <w:right w:val="single" w:color="000000" w:sz="4" w:space="0"/>
            </w:tcBorders>
            <w:noWrap w:val="0"/>
            <w:vAlign w:val="center"/>
          </w:tcPr>
          <w:p w14:paraId="2586C144">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国产定制，窗帘采用优质涤纶化纤单色全遮光纯色面料, 用100%PES 背银灰色遮光涂层特种专用窗帘布制作而成, 抗撕拉，不需加固，自然抗撕,抗静电，不吸附空气中的固体颗粒，不粘附灰尘,, 有延展性，不会变形，并持久保持其平整度,大小尺寸：根椐房间窗户大小定制。</w:t>
            </w:r>
          </w:p>
        </w:tc>
        <w:tc>
          <w:tcPr>
            <w:tcW w:w="591" w:type="dxa"/>
            <w:tcBorders>
              <w:top w:val="single" w:color="000000" w:sz="4" w:space="0"/>
              <w:left w:val="single" w:color="000000" w:sz="4" w:space="0"/>
              <w:bottom w:val="single" w:color="000000" w:sz="4" w:space="0"/>
              <w:right w:val="single" w:color="000000" w:sz="4" w:space="0"/>
            </w:tcBorders>
            <w:noWrap/>
            <w:vAlign w:val="center"/>
          </w:tcPr>
          <w:p w14:paraId="464AD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ign w:val="center"/>
          </w:tcPr>
          <w:p w14:paraId="3816B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10097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ign w:val="center"/>
          </w:tcPr>
          <w:p w14:paraId="6E91E1F2">
            <w:pPr>
              <w:jc w:val="center"/>
              <w:rPr>
                <w:rFonts w:hint="eastAsia" w:ascii="宋体" w:hAnsi="宋体" w:eastAsia="宋体" w:cs="宋体"/>
                <w:b/>
                <w:bCs/>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7FC456">
            <w:pPr>
              <w:jc w:val="center"/>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14:paraId="73192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61998357">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教室吊顶</w:t>
            </w:r>
          </w:p>
        </w:tc>
        <w:tc>
          <w:tcPr>
            <w:tcW w:w="10150" w:type="dxa"/>
            <w:tcBorders>
              <w:top w:val="single" w:color="000000" w:sz="4" w:space="0"/>
              <w:left w:val="single" w:color="000000" w:sz="4" w:space="0"/>
              <w:bottom w:val="single" w:color="000000" w:sz="4" w:space="0"/>
              <w:right w:val="single" w:color="000000" w:sz="4" w:space="0"/>
            </w:tcBorders>
            <w:noWrap w:val="0"/>
            <w:vAlign w:val="center"/>
          </w:tcPr>
          <w:p w14:paraId="048EACF5">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600cm*600cm矿棉板，注：材料符合GB6566-2010《建筑材料放射性核素限量》标准中的A类装修材料的技术指标要求；防潮度：≤3.5mm，体积密度：≤500kg/m³，带降噪功能，降噪系数≥0.5，甲醛释放量≤1.5mg/L达到E1级，抗霉菌性能检验结果符合HG/T 3950-2007中表2抗霉菌(II级)的技术要求。阻燃级别根据检验依据GB/T25998-2010《矿物棉装饰吸声板》达到B1级。</w:t>
            </w:r>
          </w:p>
        </w:tc>
        <w:tc>
          <w:tcPr>
            <w:tcW w:w="591" w:type="dxa"/>
            <w:tcBorders>
              <w:top w:val="single" w:color="000000" w:sz="4" w:space="0"/>
              <w:left w:val="single" w:color="000000" w:sz="4" w:space="0"/>
              <w:bottom w:val="single" w:color="000000" w:sz="4" w:space="0"/>
              <w:right w:val="single" w:color="000000" w:sz="4" w:space="0"/>
            </w:tcBorders>
            <w:noWrap/>
            <w:vAlign w:val="center"/>
          </w:tcPr>
          <w:p w14:paraId="3F251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14:paraId="49D24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4789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ign w:val="center"/>
          </w:tcPr>
          <w:p w14:paraId="7D323EDE">
            <w:pPr>
              <w:jc w:val="center"/>
              <w:rPr>
                <w:rFonts w:hint="eastAsia" w:ascii="宋体" w:hAnsi="宋体" w:eastAsia="宋体" w:cs="宋体"/>
                <w:b/>
                <w:bCs/>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E4E541">
            <w:pPr>
              <w:jc w:val="center"/>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14:paraId="35260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66816E2A">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新建隔墙</w:t>
            </w:r>
          </w:p>
        </w:tc>
        <w:tc>
          <w:tcPr>
            <w:tcW w:w="10150" w:type="dxa"/>
            <w:tcBorders>
              <w:top w:val="single" w:color="000000" w:sz="4" w:space="0"/>
              <w:left w:val="single" w:color="000000" w:sz="4" w:space="0"/>
              <w:bottom w:val="single" w:color="000000" w:sz="4" w:space="0"/>
              <w:right w:val="single" w:color="000000" w:sz="4" w:space="0"/>
            </w:tcBorders>
            <w:noWrap w:val="0"/>
            <w:vAlign w:val="center"/>
          </w:tcPr>
          <w:p w14:paraId="18F7FAFB">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根据现场实际情况，使用4cm*2.5cm木龙骨或轻钢龙骨隔墙、石膏板饰面滚涂乳胶漆、局部壁挂观摩电视机位置作1.2cm厚多层木工板加固</w:t>
            </w:r>
          </w:p>
        </w:tc>
        <w:tc>
          <w:tcPr>
            <w:tcW w:w="591" w:type="dxa"/>
            <w:tcBorders>
              <w:top w:val="single" w:color="000000" w:sz="4" w:space="0"/>
              <w:left w:val="single" w:color="000000" w:sz="4" w:space="0"/>
              <w:bottom w:val="single" w:color="000000" w:sz="4" w:space="0"/>
              <w:right w:val="single" w:color="000000" w:sz="4" w:space="0"/>
            </w:tcBorders>
            <w:noWrap/>
            <w:vAlign w:val="center"/>
          </w:tcPr>
          <w:p w14:paraId="545E3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593" w:type="dxa"/>
            <w:tcBorders>
              <w:top w:val="single" w:color="000000" w:sz="4" w:space="0"/>
              <w:left w:val="single" w:color="000000" w:sz="4" w:space="0"/>
              <w:bottom w:val="single" w:color="000000" w:sz="4" w:space="0"/>
              <w:right w:val="single" w:color="000000" w:sz="4" w:space="0"/>
            </w:tcBorders>
            <w:noWrap/>
            <w:vAlign w:val="center"/>
          </w:tcPr>
          <w:p w14:paraId="2B296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8DDD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ign w:val="center"/>
          </w:tcPr>
          <w:p w14:paraId="51617DFF">
            <w:pPr>
              <w:jc w:val="center"/>
              <w:rPr>
                <w:rFonts w:hint="eastAsia" w:ascii="宋体" w:hAnsi="宋体" w:eastAsia="宋体" w:cs="宋体"/>
                <w:b/>
                <w:bCs/>
                <w:i w:val="0"/>
                <w:iCs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E08E98">
            <w:pPr>
              <w:jc w:val="center"/>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14:paraId="449D0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6FA2ABDD">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单透中空镀膜玻璃</w:t>
            </w:r>
          </w:p>
        </w:tc>
        <w:tc>
          <w:tcPr>
            <w:tcW w:w="10150" w:type="dxa"/>
            <w:tcBorders>
              <w:top w:val="single" w:color="000000" w:sz="4" w:space="0"/>
              <w:left w:val="single" w:color="000000" w:sz="4" w:space="0"/>
              <w:bottom w:val="single" w:color="000000" w:sz="4" w:space="0"/>
              <w:right w:val="single" w:color="000000" w:sz="4" w:space="0"/>
            </w:tcBorders>
            <w:noWrap w:val="0"/>
            <w:vAlign w:val="center"/>
          </w:tcPr>
          <w:p w14:paraId="138489A9">
            <w:pPr>
              <w:keepNext w:val="0"/>
              <w:keepLines w:val="0"/>
              <w:widowControl/>
              <w:suppressLineNumbers w:val="0"/>
              <w:jc w:val="left"/>
              <w:textAlignment w:val="center"/>
              <w:rPr>
                <w:rFonts w:hint="eastAsia" w:ascii="Microsoft YaHei UI" w:hAnsi="Microsoft YaHei UI" w:eastAsia="Microsoft YaHei UI" w:cs="Microsoft YaHei UI"/>
                <w:i w:val="0"/>
                <w:iCs w:val="0"/>
                <w:color w:val="000000"/>
                <w:sz w:val="16"/>
                <w:szCs w:val="16"/>
                <w:u w:val="none"/>
              </w:rPr>
            </w:pPr>
            <w:r>
              <w:rPr>
                <w:rFonts w:hint="eastAsia" w:ascii="Microsoft YaHei UI" w:hAnsi="Microsoft YaHei UI" w:eastAsia="Microsoft YaHei UI" w:cs="Microsoft YaHei UI"/>
                <w:i w:val="0"/>
                <w:iCs w:val="0"/>
                <w:color w:val="000000"/>
                <w:kern w:val="0"/>
                <w:sz w:val="16"/>
                <w:szCs w:val="16"/>
                <w:u w:val="none"/>
                <w:lang w:val="en-US" w:eastAsia="zh-CN" w:bidi="ar"/>
              </w:rPr>
              <w:t>成品单透中空双钢化镀膜玻璃、根据现场实际情况安装</w:t>
            </w:r>
          </w:p>
        </w:tc>
        <w:tc>
          <w:tcPr>
            <w:tcW w:w="591" w:type="dxa"/>
            <w:tcBorders>
              <w:top w:val="single" w:color="000000" w:sz="4" w:space="0"/>
              <w:left w:val="single" w:color="000000" w:sz="4" w:space="0"/>
              <w:bottom w:val="single" w:color="000000" w:sz="4" w:space="0"/>
              <w:right w:val="single" w:color="000000" w:sz="4" w:space="0"/>
            </w:tcBorders>
            <w:noWrap/>
            <w:vAlign w:val="center"/>
          </w:tcPr>
          <w:p w14:paraId="121F2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w:t>
            </w:r>
          </w:p>
        </w:tc>
        <w:tc>
          <w:tcPr>
            <w:tcW w:w="593" w:type="dxa"/>
            <w:tcBorders>
              <w:top w:val="single" w:color="000000" w:sz="4" w:space="0"/>
              <w:left w:val="single" w:color="000000" w:sz="4" w:space="0"/>
              <w:bottom w:val="single" w:color="000000" w:sz="4" w:space="0"/>
              <w:right w:val="single" w:color="000000" w:sz="4" w:space="0"/>
            </w:tcBorders>
            <w:noWrap/>
            <w:vAlign w:val="center"/>
          </w:tcPr>
          <w:p w14:paraId="3C470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14:paraId="6F682F9E">
      <w:pPr>
        <w:rPr>
          <w:b/>
          <w:color w:val="auto"/>
          <w:sz w:val="24"/>
        </w:rPr>
      </w:pPr>
    </w:p>
    <w:tbl>
      <w:tblPr>
        <w:tblStyle w:val="44"/>
        <w:tblW w:w="12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2"/>
        <w:gridCol w:w="2204"/>
        <w:gridCol w:w="7635"/>
        <w:gridCol w:w="877"/>
        <w:gridCol w:w="922"/>
      </w:tblGrid>
      <w:tr w14:paraId="7F948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2680" w:type="dxa"/>
            <w:gridSpan w:val="5"/>
            <w:tcBorders>
              <w:top w:val="single" w:color="000000" w:sz="8" w:space="0"/>
              <w:left w:val="single" w:color="000000" w:sz="8" w:space="0"/>
              <w:bottom w:val="single" w:color="000000" w:sz="4" w:space="0"/>
              <w:right w:val="single" w:color="000000" w:sz="4" w:space="0"/>
            </w:tcBorders>
            <w:shd w:val="clear" w:color="auto" w:fill="FFFFFF"/>
            <w:noWrap w:val="0"/>
            <w:vAlign w:val="center"/>
          </w:tcPr>
          <w:p w14:paraId="203D2D53">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美术教室</w:t>
            </w:r>
          </w:p>
        </w:tc>
      </w:tr>
      <w:tr w14:paraId="4A04A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042"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14:paraId="4685ED1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7CFD8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7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DC43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参数</w:t>
            </w:r>
          </w:p>
        </w:tc>
        <w:tc>
          <w:tcPr>
            <w:tcW w:w="8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14561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C4CC1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r>
      <w:tr w14:paraId="58C2F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042" w:type="dxa"/>
            <w:tcBorders>
              <w:top w:val="nil"/>
              <w:left w:val="single" w:color="000000" w:sz="8" w:space="0"/>
              <w:bottom w:val="single" w:color="000000" w:sz="4" w:space="0"/>
              <w:right w:val="single" w:color="000000" w:sz="4" w:space="0"/>
            </w:tcBorders>
            <w:noWrap w:val="0"/>
            <w:vAlign w:val="center"/>
          </w:tcPr>
          <w:p w14:paraId="5BBA0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14:paraId="71845D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教师椅</w:t>
            </w:r>
          </w:p>
        </w:tc>
        <w:tc>
          <w:tcPr>
            <w:tcW w:w="7635" w:type="dxa"/>
            <w:tcBorders>
              <w:top w:val="single" w:color="000000" w:sz="4" w:space="0"/>
              <w:left w:val="single" w:color="000000" w:sz="4" w:space="0"/>
              <w:bottom w:val="single" w:color="000000" w:sz="4" w:space="0"/>
              <w:right w:val="single" w:color="000000" w:sz="4" w:space="0"/>
            </w:tcBorders>
            <w:noWrap w:val="0"/>
            <w:vAlign w:val="center"/>
          </w:tcPr>
          <w:p w14:paraId="5CD27F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1.规格：外观尺寸48*43*77cm，凳面高45cm；2.材质：优质橡胶木；3.要求：支撑稳定，牢固可靠，工艺精细，表面光洁，环保清漆处理，漆面均匀光亮。</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77856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2CAF40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DF18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3" w:hRule="atLeast"/>
        </w:trPr>
        <w:tc>
          <w:tcPr>
            <w:tcW w:w="1042" w:type="dxa"/>
            <w:tcBorders>
              <w:top w:val="nil"/>
              <w:left w:val="single" w:color="000000" w:sz="8" w:space="0"/>
              <w:bottom w:val="single" w:color="000000" w:sz="4" w:space="0"/>
              <w:right w:val="single" w:color="000000" w:sz="4" w:space="0"/>
            </w:tcBorders>
            <w:noWrap w:val="0"/>
            <w:vAlign w:val="center"/>
          </w:tcPr>
          <w:p w14:paraId="51035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14:paraId="5BF321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工作台</w:t>
            </w:r>
          </w:p>
        </w:tc>
        <w:tc>
          <w:tcPr>
            <w:tcW w:w="7635" w:type="dxa"/>
            <w:tcBorders>
              <w:top w:val="single" w:color="000000" w:sz="4" w:space="0"/>
              <w:left w:val="single" w:color="000000" w:sz="4" w:space="0"/>
              <w:bottom w:val="single" w:color="000000" w:sz="4" w:space="0"/>
              <w:right w:val="single" w:color="000000" w:sz="4" w:space="0"/>
            </w:tcBorders>
            <w:noWrap w:val="0"/>
            <w:vAlign w:val="center"/>
          </w:tcPr>
          <w:p w14:paraId="7811E1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1、桌面尺寸：1800*800*750mm，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2、桌面材料：台面：采用教学专用优质环保E1级双饰面三聚氰胺板材，桌面厚度≥25mm，板材具有耐磨，耐划，硬度高，不易变形，耐腐蚀，耐酸碱，防火，易清洁，无任何异味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3、桌架采用40*40mm方管，厚度1.2mm，经酸洗磷化、除油除锈、静电喷涂、高温处理而成；</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32EC9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21233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3722F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42" w:type="dxa"/>
            <w:tcBorders>
              <w:top w:val="nil"/>
              <w:left w:val="single" w:color="000000" w:sz="8" w:space="0"/>
              <w:bottom w:val="single" w:color="000000" w:sz="4" w:space="0"/>
              <w:right w:val="single" w:color="000000" w:sz="4" w:space="0"/>
            </w:tcBorders>
            <w:noWrap w:val="0"/>
            <w:vAlign w:val="center"/>
          </w:tcPr>
          <w:p w14:paraId="24CB5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2FD6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凳子（学生用)</w:t>
            </w:r>
          </w:p>
        </w:tc>
        <w:tc>
          <w:tcPr>
            <w:tcW w:w="7635" w:type="dxa"/>
            <w:tcBorders>
              <w:top w:val="single" w:color="000000" w:sz="4" w:space="0"/>
              <w:left w:val="single" w:color="000000" w:sz="4" w:space="0"/>
              <w:bottom w:val="single" w:color="000000" w:sz="4" w:space="0"/>
              <w:right w:val="single" w:color="000000" w:sz="4" w:space="0"/>
            </w:tcBorders>
            <w:noWrap w:val="0"/>
            <w:vAlign w:val="center"/>
          </w:tcPr>
          <w:p w14:paraId="577864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尺寸规格：≥33*24*45（cm）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支架规格：主支撑脚采用≥40*20方钢管，拉挡为≥20*20方钢管，管材表面流水线静电喷塑处理，凳架常规为白色或者黑色。</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1C9BF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5668B2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14:paraId="52FCC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1042" w:type="dxa"/>
            <w:tcBorders>
              <w:top w:val="nil"/>
              <w:left w:val="single" w:color="000000" w:sz="8" w:space="0"/>
              <w:bottom w:val="single" w:color="000000" w:sz="4" w:space="0"/>
              <w:right w:val="single" w:color="000000" w:sz="4" w:space="0"/>
            </w:tcBorders>
            <w:noWrap w:val="0"/>
            <w:vAlign w:val="center"/>
          </w:tcPr>
          <w:p w14:paraId="1F73F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14:paraId="5BB236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作品展示架</w:t>
            </w:r>
          </w:p>
        </w:tc>
        <w:tc>
          <w:tcPr>
            <w:tcW w:w="7635" w:type="dxa"/>
            <w:tcBorders>
              <w:top w:val="single" w:color="000000" w:sz="4" w:space="0"/>
              <w:left w:val="single" w:color="000000" w:sz="4" w:space="0"/>
              <w:bottom w:val="single" w:color="000000" w:sz="4" w:space="0"/>
              <w:right w:val="single" w:color="000000" w:sz="4" w:space="0"/>
            </w:tcBorders>
            <w:noWrap w:val="0"/>
            <w:vAlign w:val="center"/>
          </w:tcPr>
          <w:p w14:paraId="67BFFC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尺寸：1800*1000mm。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材质：采用冷轧钢板，结构坚固耐用。经环保金属烤漆处理，耐腐蚀。边缘确保光滑，增加安全性的同时提升整体美观。</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7590D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21AED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F235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1042" w:type="dxa"/>
            <w:tcBorders>
              <w:top w:val="nil"/>
              <w:left w:val="single" w:color="000000" w:sz="8" w:space="0"/>
              <w:bottom w:val="nil"/>
              <w:right w:val="single" w:color="000000" w:sz="4" w:space="0"/>
            </w:tcBorders>
            <w:noWrap w:val="0"/>
            <w:vAlign w:val="center"/>
          </w:tcPr>
          <w:p w14:paraId="126537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nil"/>
              <w:right w:val="single" w:color="000000" w:sz="4" w:space="0"/>
            </w:tcBorders>
            <w:noWrap/>
            <w:vAlign w:val="center"/>
          </w:tcPr>
          <w:p w14:paraId="1C9031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多彩边台</w:t>
            </w:r>
          </w:p>
        </w:tc>
        <w:tc>
          <w:tcPr>
            <w:tcW w:w="7635" w:type="dxa"/>
            <w:tcBorders>
              <w:top w:val="single" w:color="000000" w:sz="4" w:space="0"/>
              <w:left w:val="single" w:color="000000" w:sz="4" w:space="0"/>
              <w:bottom w:val="nil"/>
              <w:right w:val="single" w:color="000000" w:sz="4" w:space="0"/>
            </w:tcBorders>
            <w:noWrap w:val="0"/>
            <w:vAlign w:val="center"/>
          </w:tcPr>
          <w:p w14:paraId="505972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规格：≥800*400*760mm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基材：优质环保刨花板，游离甲醛释放量4.1mg/100g，经过防潮、防虫、防腐化学处理，桌板厚度为25mm, 2.0mm厚的同色PVC封边。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履面：双面贴环保浸渍纸饰面, 色泽匀称，耐磨度高。</w:t>
            </w:r>
          </w:p>
        </w:tc>
        <w:tc>
          <w:tcPr>
            <w:tcW w:w="877" w:type="dxa"/>
            <w:tcBorders>
              <w:top w:val="single" w:color="000000" w:sz="4" w:space="0"/>
              <w:left w:val="single" w:color="000000" w:sz="4" w:space="0"/>
              <w:bottom w:val="nil"/>
              <w:right w:val="single" w:color="000000" w:sz="4" w:space="0"/>
            </w:tcBorders>
            <w:noWrap w:val="0"/>
            <w:vAlign w:val="center"/>
          </w:tcPr>
          <w:p w14:paraId="52DAD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2" w:type="dxa"/>
            <w:tcBorders>
              <w:top w:val="single" w:color="000000" w:sz="4" w:space="0"/>
              <w:left w:val="single" w:color="000000" w:sz="4" w:space="0"/>
              <w:bottom w:val="nil"/>
              <w:right w:val="single" w:color="000000" w:sz="4" w:space="0"/>
            </w:tcBorders>
            <w:noWrap w:val="0"/>
            <w:vAlign w:val="center"/>
          </w:tcPr>
          <w:p w14:paraId="137A0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00913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2680" w:type="dxa"/>
            <w:gridSpan w:val="5"/>
            <w:tcBorders>
              <w:top w:val="single" w:color="000000" w:sz="8" w:space="0"/>
              <w:left w:val="single" w:color="000000" w:sz="8" w:space="0"/>
              <w:bottom w:val="single" w:color="000000" w:sz="8" w:space="0"/>
              <w:right w:val="nil"/>
            </w:tcBorders>
            <w:shd w:val="clear" w:color="auto" w:fill="FFFFFF"/>
            <w:noWrap w:val="0"/>
            <w:vAlign w:val="center"/>
          </w:tcPr>
          <w:p w14:paraId="4FFB35F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美术课程基础设备</w:t>
            </w:r>
          </w:p>
        </w:tc>
      </w:tr>
      <w:tr w14:paraId="54C1F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042" w:type="dxa"/>
            <w:tcBorders>
              <w:top w:val="nil"/>
              <w:left w:val="single" w:color="000000" w:sz="8" w:space="0"/>
              <w:bottom w:val="single" w:color="000000" w:sz="4" w:space="0"/>
              <w:right w:val="single" w:color="000000" w:sz="4" w:space="0"/>
            </w:tcBorders>
            <w:noWrap w:val="0"/>
            <w:vAlign w:val="center"/>
          </w:tcPr>
          <w:p w14:paraId="454948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14:paraId="292322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静物台</w:t>
            </w:r>
          </w:p>
        </w:tc>
        <w:tc>
          <w:tcPr>
            <w:tcW w:w="7635" w:type="dxa"/>
            <w:tcBorders>
              <w:top w:val="single" w:color="000000" w:sz="4" w:space="0"/>
              <w:left w:val="single" w:color="000000" w:sz="4" w:space="0"/>
              <w:bottom w:val="single" w:color="000000" w:sz="4" w:space="0"/>
              <w:right w:val="single" w:color="000000" w:sz="4" w:space="0"/>
            </w:tcBorders>
            <w:noWrap w:val="0"/>
            <w:vAlign w:val="center"/>
          </w:tcPr>
          <w:p w14:paraId="1EBB70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台面：不小于600MM×600MM，带背板，双重折叠支撑架；优质木材；可折叠，支撑稳定，工艺精细，漆面均匀光亮。</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3758E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2514F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18A7B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3" w:hRule="atLeast"/>
        </w:trPr>
        <w:tc>
          <w:tcPr>
            <w:tcW w:w="1042" w:type="dxa"/>
            <w:tcBorders>
              <w:top w:val="nil"/>
              <w:left w:val="single" w:color="000000" w:sz="8" w:space="0"/>
              <w:bottom w:val="single" w:color="000000" w:sz="4" w:space="0"/>
              <w:right w:val="single" w:color="000000" w:sz="4" w:space="0"/>
            </w:tcBorders>
            <w:shd w:val="clear" w:color="auto" w:fill="auto"/>
            <w:noWrap w:val="0"/>
            <w:vAlign w:val="center"/>
          </w:tcPr>
          <w:p w14:paraId="41281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C8E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写生灯</w:t>
            </w:r>
          </w:p>
        </w:tc>
        <w:tc>
          <w:tcPr>
            <w:tcW w:w="7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AAA8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式可升降，1、落地升降总高度1500mm—2600mm；2三节升降杆:由一根直径为25mm钢管和一根直径为21mm钢管、10mm不锈钢管组成，其中上两节管为液压升降组成，升降固定钮用高强ABS件组成，液压杆中间部位带平行装置，3、聚光灯罩合金板喷塑，直径260mm，4、五角支撑架连接处用高强ABS而成，五角支撑用直径16mm铁管静电喷塑制成，5、高强LED光源板与灯罩一体，光源功率≥13W配2500mm长的优质电线，6、开关带有遥控装置（遥控距离50米）、插头；6、照度角度120度可调。</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50F7F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3B6E3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3921D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042" w:type="dxa"/>
            <w:tcBorders>
              <w:top w:val="nil"/>
              <w:left w:val="single" w:color="000000" w:sz="8" w:space="0"/>
              <w:bottom w:val="single" w:color="000000" w:sz="4" w:space="0"/>
              <w:right w:val="single" w:color="000000" w:sz="4" w:space="0"/>
            </w:tcBorders>
            <w:shd w:val="clear" w:color="auto" w:fill="auto"/>
            <w:noWrap w:val="0"/>
            <w:vAlign w:val="center"/>
          </w:tcPr>
          <w:p w14:paraId="18F40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1BE3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衬布</w:t>
            </w:r>
          </w:p>
        </w:tc>
        <w:tc>
          <w:tcPr>
            <w:tcW w:w="7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EBB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100cm×200cm；棉、麻、丝、绒</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605ED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1A452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r>
      <w:tr w14:paraId="36F9D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042" w:type="dxa"/>
            <w:tcBorders>
              <w:top w:val="nil"/>
              <w:left w:val="single" w:color="000000" w:sz="8" w:space="0"/>
              <w:bottom w:val="single" w:color="000000" w:sz="4" w:space="0"/>
              <w:right w:val="single" w:color="000000" w:sz="4" w:space="0"/>
            </w:tcBorders>
            <w:noWrap w:val="0"/>
            <w:vAlign w:val="center"/>
          </w:tcPr>
          <w:p w14:paraId="77D5E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14:paraId="3F1BB6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展示画框</w:t>
            </w:r>
          </w:p>
        </w:tc>
        <w:tc>
          <w:tcPr>
            <w:tcW w:w="7635" w:type="dxa"/>
            <w:tcBorders>
              <w:top w:val="single" w:color="000000" w:sz="4" w:space="0"/>
              <w:left w:val="single" w:color="000000" w:sz="4" w:space="0"/>
              <w:bottom w:val="single" w:color="000000" w:sz="4" w:space="0"/>
              <w:right w:val="single" w:color="000000" w:sz="4" w:space="0"/>
            </w:tcBorders>
            <w:noWrap w:val="0"/>
            <w:vAlign w:val="center"/>
          </w:tcPr>
          <w:p w14:paraId="062E4B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实木外框，底板是中纤板，表层为透明pvc片，尺寸：60cm×45cm</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28021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0D77D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01203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042" w:type="dxa"/>
            <w:tcBorders>
              <w:top w:val="nil"/>
              <w:left w:val="single" w:color="000000" w:sz="8" w:space="0"/>
              <w:bottom w:val="single" w:color="000000" w:sz="4" w:space="0"/>
              <w:right w:val="single" w:color="000000" w:sz="4" w:space="0"/>
            </w:tcBorders>
            <w:noWrap w:val="0"/>
            <w:vAlign w:val="center"/>
          </w:tcPr>
          <w:p w14:paraId="23DF7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14:paraId="09D73B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展示画框</w:t>
            </w:r>
          </w:p>
        </w:tc>
        <w:tc>
          <w:tcPr>
            <w:tcW w:w="7635" w:type="dxa"/>
            <w:tcBorders>
              <w:top w:val="single" w:color="000000" w:sz="4" w:space="0"/>
              <w:left w:val="single" w:color="000000" w:sz="4" w:space="0"/>
              <w:bottom w:val="single" w:color="000000" w:sz="4" w:space="0"/>
              <w:right w:val="single" w:color="000000" w:sz="4" w:space="0"/>
            </w:tcBorders>
            <w:noWrap w:val="0"/>
            <w:vAlign w:val="center"/>
          </w:tcPr>
          <w:p w14:paraId="32AC4A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实木外框，底板是中纤板，表层为透明pvc片，尺寸：60cm×90cm</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55E62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3E82D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3DBB9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042" w:type="dxa"/>
            <w:tcBorders>
              <w:top w:val="nil"/>
              <w:left w:val="single" w:color="000000" w:sz="8" w:space="0"/>
              <w:bottom w:val="single" w:color="000000" w:sz="4" w:space="0"/>
              <w:right w:val="single" w:color="000000" w:sz="4" w:space="0"/>
            </w:tcBorders>
            <w:noWrap w:val="0"/>
            <w:vAlign w:val="center"/>
          </w:tcPr>
          <w:p w14:paraId="2198E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14:paraId="045851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民间美术欣赏及写生样本</w:t>
            </w:r>
          </w:p>
        </w:tc>
        <w:tc>
          <w:tcPr>
            <w:tcW w:w="7635" w:type="dxa"/>
            <w:tcBorders>
              <w:top w:val="single" w:color="000000" w:sz="4" w:space="0"/>
              <w:left w:val="single" w:color="000000" w:sz="4" w:space="0"/>
              <w:bottom w:val="single" w:color="000000" w:sz="4" w:space="0"/>
              <w:right w:val="single" w:color="000000" w:sz="4" w:space="0"/>
            </w:tcBorders>
            <w:noWrap w:val="0"/>
            <w:vAlign w:val="center"/>
          </w:tcPr>
          <w:p w14:paraId="65E443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中国结、京剧脸谱、扎染、蜡染、皮影、年画、木板 年画、剪纸、面具、泥塑、玩具、风车、纹样、风筝 、唐三彩、彩陶器、瓷器。</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00E46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2BC80A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8FA1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042" w:type="dxa"/>
            <w:tcBorders>
              <w:top w:val="nil"/>
              <w:left w:val="single" w:color="000000" w:sz="8" w:space="0"/>
              <w:bottom w:val="single" w:color="000000" w:sz="4" w:space="0"/>
              <w:right w:val="single" w:color="000000" w:sz="4" w:space="0"/>
            </w:tcBorders>
            <w:noWrap w:val="0"/>
            <w:vAlign w:val="center"/>
          </w:tcPr>
          <w:p w14:paraId="718D3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14:paraId="54740A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写生画箱</w:t>
            </w:r>
          </w:p>
        </w:tc>
        <w:tc>
          <w:tcPr>
            <w:tcW w:w="7635" w:type="dxa"/>
            <w:tcBorders>
              <w:top w:val="single" w:color="000000" w:sz="4" w:space="0"/>
              <w:left w:val="single" w:color="000000" w:sz="4" w:space="0"/>
              <w:bottom w:val="single" w:color="000000" w:sz="4" w:space="0"/>
              <w:right w:val="single" w:color="000000" w:sz="4" w:space="0"/>
            </w:tcBorders>
            <w:noWrap w:val="0"/>
            <w:vAlign w:val="center"/>
          </w:tcPr>
          <w:p w14:paraId="6DD0E5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适用范围：适用于小学、初中美术教学用。二、技术要求：1．材质：优质木材。2．支架高度：700mm(误差≤5mm)，箱体：470mm×330mm×80mm(误差≤5mm)。3．特点：便携式、木质箱，箱体分为上箱体和下箱体，可以打开闭合，并可以在0°-120°范围调节，铝合金腿、可伸缩、可折叠，箱内配备木质调色板一块。</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3B769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2E0C1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36BB8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042" w:type="dxa"/>
            <w:tcBorders>
              <w:top w:val="nil"/>
              <w:left w:val="single" w:color="000000" w:sz="8" w:space="0"/>
              <w:bottom w:val="single" w:color="000000" w:sz="4" w:space="0"/>
              <w:right w:val="single" w:color="000000" w:sz="4" w:space="0"/>
            </w:tcBorders>
            <w:noWrap w:val="0"/>
            <w:vAlign w:val="center"/>
          </w:tcPr>
          <w:p w14:paraId="60DA8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14:paraId="5DE810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美术教学挂图</w:t>
            </w:r>
          </w:p>
        </w:tc>
        <w:tc>
          <w:tcPr>
            <w:tcW w:w="7635" w:type="dxa"/>
            <w:tcBorders>
              <w:top w:val="single" w:color="000000" w:sz="4" w:space="0"/>
              <w:left w:val="single" w:color="000000" w:sz="4" w:space="0"/>
              <w:bottom w:val="single" w:color="000000" w:sz="4" w:space="0"/>
              <w:right w:val="single" w:color="000000" w:sz="4" w:space="0"/>
            </w:tcBorders>
            <w:noWrap w:val="0"/>
            <w:vAlign w:val="center"/>
          </w:tcPr>
          <w:p w14:paraId="61708F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适合小学美术教学要求的绘画、手工、欣赏内容，不少于48幅，对开，应为国家正式出版物。</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0883E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62070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1296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042" w:type="dxa"/>
            <w:tcBorders>
              <w:top w:val="nil"/>
              <w:left w:val="single" w:color="000000" w:sz="8" w:space="0"/>
              <w:bottom w:val="single" w:color="000000" w:sz="4" w:space="0"/>
              <w:right w:val="single" w:color="000000" w:sz="4" w:space="0"/>
            </w:tcBorders>
            <w:noWrap w:val="0"/>
            <w:vAlign w:val="center"/>
          </w:tcPr>
          <w:p w14:paraId="0E001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14:paraId="19C105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人体结构活动模型</w:t>
            </w:r>
          </w:p>
        </w:tc>
        <w:tc>
          <w:tcPr>
            <w:tcW w:w="7635" w:type="dxa"/>
            <w:tcBorders>
              <w:top w:val="single" w:color="000000" w:sz="4" w:space="0"/>
              <w:left w:val="single" w:color="000000" w:sz="4" w:space="0"/>
              <w:bottom w:val="single" w:color="000000" w:sz="4" w:space="0"/>
              <w:right w:val="single" w:color="000000" w:sz="4" w:space="0"/>
            </w:tcBorders>
            <w:noWrap w:val="0"/>
            <w:vAlign w:val="center"/>
          </w:tcPr>
          <w:p w14:paraId="652837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尺寸：325×85×40mm，椴木、表面无毛刺、关节活动灵活。</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21DDB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7C562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E5F6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2680" w:type="dxa"/>
            <w:gridSpan w:val="5"/>
            <w:tcBorders>
              <w:top w:val="single" w:color="000000" w:sz="8" w:space="0"/>
              <w:left w:val="single" w:color="000000" w:sz="8" w:space="0"/>
              <w:bottom w:val="single" w:color="000000" w:sz="8" w:space="0"/>
              <w:right w:val="nil"/>
            </w:tcBorders>
            <w:shd w:val="clear" w:color="auto" w:fill="FFFFFF"/>
            <w:noWrap w:val="0"/>
            <w:vAlign w:val="center"/>
          </w:tcPr>
          <w:p w14:paraId="4BE1A6B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美术课程配套设备（学生用）</w:t>
            </w:r>
          </w:p>
        </w:tc>
      </w:tr>
      <w:tr w14:paraId="5285B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042" w:type="dxa"/>
            <w:tcBorders>
              <w:top w:val="nil"/>
              <w:left w:val="single" w:color="000000" w:sz="8" w:space="0"/>
              <w:bottom w:val="single" w:color="000000" w:sz="4" w:space="0"/>
              <w:right w:val="single" w:color="000000" w:sz="4" w:space="0"/>
            </w:tcBorders>
            <w:noWrap w:val="0"/>
            <w:vAlign w:val="center"/>
          </w:tcPr>
          <w:p w14:paraId="410DB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14:paraId="6B12CD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画架（学生用）</w:t>
            </w:r>
          </w:p>
        </w:tc>
        <w:tc>
          <w:tcPr>
            <w:tcW w:w="7635" w:type="dxa"/>
            <w:tcBorders>
              <w:top w:val="single" w:color="000000" w:sz="4" w:space="0"/>
              <w:left w:val="single" w:color="000000" w:sz="4" w:space="0"/>
              <w:bottom w:val="single" w:color="000000" w:sz="4" w:space="0"/>
              <w:right w:val="single" w:color="000000" w:sz="4" w:space="0"/>
            </w:tcBorders>
            <w:noWrap w:val="0"/>
            <w:vAlign w:val="center"/>
          </w:tcPr>
          <w:p w14:paraId="3EAA4B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材质：优质榉木 规格：高度175cm 特点：山字头，前倾式画架，带升降卡条，可升降</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36BDC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3B658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14:paraId="14D39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3" w:hRule="atLeast"/>
        </w:trPr>
        <w:tc>
          <w:tcPr>
            <w:tcW w:w="1042" w:type="dxa"/>
            <w:tcBorders>
              <w:top w:val="nil"/>
              <w:left w:val="single" w:color="000000" w:sz="8" w:space="0"/>
              <w:bottom w:val="single" w:color="000000" w:sz="4" w:space="0"/>
              <w:right w:val="single" w:color="000000" w:sz="4" w:space="0"/>
            </w:tcBorders>
            <w:noWrap w:val="0"/>
            <w:vAlign w:val="center"/>
          </w:tcPr>
          <w:p w14:paraId="6AE93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14:paraId="4CE9EC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画板</w:t>
            </w:r>
          </w:p>
        </w:tc>
        <w:tc>
          <w:tcPr>
            <w:tcW w:w="7635" w:type="dxa"/>
            <w:tcBorders>
              <w:top w:val="single" w:color="000000" w:sz="4" w:space="0"/>
              <w:left w:val="single" w:color="000000" w:sz="4" w:space="0"/>
              <w:bottom w:val="single" w:color="000000" w:sz="4" w:space="0"/>
              <w:right w:val="single" w:color="000000" w:sz="4" w:space="0"/>
            </w:tcBorders>
            <w:noWrap w:val="0"/>
            <w:vAlign w:val="center"/>
          </w:tcPr>
          <w:p w14:paraId="550B56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一、适用范围：适用于中小学美术教学用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二、技术要求：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1、规格：600mm×450mm×18mm；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2、材质：双面椴木三合板，四周实木边框；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3、要求：边框宽≥10mm、45度割角拼接，对角线平面误差小于2mm，四边直角误差小于2mm，边框气钉眼需进行表面处理。整体板面平整、表面光滑、洁净、无毛刺。</w:t>
            </w:r>
          </w:p>
        </w:tc>
        <w:tc>
          <w:tcPr>
            <w:tcW w:w="877" w:type="dxa"/>
            <w:tcBorders>
              <w:top w:val="single" w:color="000000" w:sz="4" w:space="0"/>
              <w:left w:val="single" w:color="000000" w:sz="4" w:space="0"/>
              <w:bottom w:val="nil"/>
              <w:right w:val="single" w:color="000000" w:sz="4" w:space="0"/>
            </w:tcBorders>
            <w:noWrap w:val="0"/>
            <w:vAlign w:val="center"/>
          </w:tcPr>
          <w:p w14:paraId="0D4C4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2" w:type="dxa"/>
            <w:tcBorders>
              <w:top w:val="nil"/>
              <w:left w:val="single" w:color="000000" w:sz="4" w:space="0"/>
              <w:bottom w:val="nil"/>
              <w:right w:val="single" w:color="000000" w:sz="4" w:space="0"/>
            </w:tcBorders>
            <w:noWrap w:val="0"/>
            <w:vAlign w:val="center"/>
          </w:tcPr>
          <w:p w14:paraId="029BB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14:paraId="1E198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6" w:hRule="atLeast"/>
        </w:trPr>
        <w:tc>
          <w:tcPr>
            <w:tcW w:w="1042" w:type="dxa"/>
            <w:tcBorders>
              <w:top w:val="nil"/>
              <w:left w:val="single" w:color="000000" w:sz="8" w:space="0"/>
              <w:bottom w:val="single" w:color="000000" w:sz="4" w:space="0"/>
              <w:right w:val="single" w:color="000000" w:sz="4" w:space="0"/>
            </w:tcBorders>
            <w:noWrap w:val="0"/>
            <w:vAlign w:val="center"/>
          </w:tcPr>
          <w:p w14:paraId="3B7B9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14:paraId="46D427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美术学具</w:t>
            </w:r>
          </w:p>
        </w:tc>
        <w:tc>
          <w:tcPr>
            <w:tcW w:w="7635" w:type="dxa"/>
            <w:tcBorders>
              <w:top w:val="single" w:color="000000" w:sz="4" w:space="0"/>
              <w:left w:val="single" w:color="000000" w:sz="4" w:space="0"/>
              <w:bottom w:val="single" w:color="000000" w:sz="4" w:space="0"/>
              <w:right w:val="single" w:color="000000" w:sz="4" w:space="0"/>
            </w:tcBorders>
            <w:noWrap w:val="0"/>
            <w:vAlign w:val="center"/>
          </w:tcPr>
          <w:p w14:paraId="32253F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1.毛笔3支：加健毛笔，提斗1支、白云1支、花枝俏1支；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2.小剪刀 1件：无刃、圆头，总长度不小于128mm；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3.调色盘1个：13眼梅花型，口径不小于150mm；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4.笔洗1个：青花瓷材质，口径不小于95mm，肚径不小于129mm；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5.美工刀1把：塑料材质手柄，长度不小于130mm；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6.水溶性油墨2瓶：每瓶不小于75ml；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7.胶辊2件：大滚筒长度不小于90mm，直径不小于35mm；小滚筒长不小于30mm，直径不小22mm；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8.毛毡1块：尺寸不小于490*490mm；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9.刻纸刀1把：合金手柄长度不小于118mm，笔刀刀头3件：猛钢刀头不小于35mm；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10.水粉画笔6支：实木烤漆笔杆，优质尼龙笔头；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11.调色盒1件：24格；12.直尺1把：有机塑料材质，尺寸不小于300mm；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13.工具箱1件；中空吹塑定位包装，长*宽*高不小于180mm*140mm*63mm</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50787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0AD6A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14:paraId="2916E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atLeast"/>
        </w:trPr>
        <w:tc>
          <w:tcPr>
            <w:tcW w:w="1042" w:type="dxa"/>
            <w:tcBorders>
              <w:top w:val="nil"/>
              <w:left w:val="single" w:color="000000" w:sz="8" w:space="0"/>
              <w:bottom w:val="single" w:color="000000" w:sz="4" w:space="0"/>
              <w:right w:val="single" w:color="000000" w:sz="4" w:space="0"/>
            </w:tcBorders>
            <w:noWrap w:val="0"/>
            <w:vAlign w:val="center"/>
          </w:tcPr>
          <w:p w14:paraId="29D84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14:paraId="2D86DD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美术课配套材料</w:t>
            </w:r>
          </w:p>
        </w:tc>
        <w:tc>
          <w:tcPr>
            <w:tcW w:w="7635" w:type="dxa"/>
            <w:tcBorders>
              <w:top w:val="single" w:color="000000" w:sz="4" w:space="0"/>
              <w:left w:val="single" w:color="000000" w:sz="4" w:space="0"/>
              <w:bottom w:val="single" w:color="000000" w:sz="4" w:space="0"/>
              <w:right w:val="single" w:color="000000" w:sz="4" w:space="0"/>
            </w:tcBorders>
            <w:noWrap w:val="0"/>
            <w:vAlign w:val="center"/>
          </w:tcPr>
          <w:p w14:paraId="7E97F7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勾线笔、油画棒、固体胶、彩色水笔、彩泥、彩色铅笔、双面胶、陶泥、水粉画颜料、墨汁、中国画颜料、胶滚、胶版（水溶性）、油墨（黑色）</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2AC2A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0EA06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14:paraId="535FE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atLeast"/>
        </w:trPr>
        <w:tc>
          <w:tcPr>
            <w:tcW w:w="1042" w:type="dxa"/>
            <w:tcBorders>
              <w:top w:val="nil"/>
              <w:left w:val="single" w:color="000000" w:sz="8" w:space="0"/>
              <w:bottom w:val="single" w:color="000000" w:sz="4" w:space="0"/>
              <w:right w:val="single" w:color="000000" w:sz="4" w:space="0"/>
            </w:tcBorders>
            <w:shd w:val="clear" w:color="auto" w:fill="auto"/>
            <w:noWrap w:val="0"/>
            <w:vAlign w:val="center"/>
          </w:tcPr>
          <w:p w14:paraId="73EF5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8C5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素描工具包</w:t>
            </w:r>
          </w:p>
        </w:tc>
        <w:tc>
          <w:tcPr>
            <w:tcW w:w="76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CA5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1、铅笔笔帘一个，可有效保护笔头。2、正品素描铅笔18支；3、炭笔3支；4、正品高级可塑橡皮一块；5、4B橡皮一块；6、铅笔延长器一支；7、美工刀一把；8、纸擦笔3支； 透明盒子包装</w:t>
            </w:r>
          </w:p>
        </w:tc>
        <w:tc>
          <w:tcPr>
            <w:tcW w:w="8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0793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BF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14:paraId="31F69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1042" w:type="dxa"/>
            <w:tcBorders>
              <w:top w:val="nil"/>
              <w:left w:val="single" w:color="000000" w:sz="8" w:space="0"/>
              <w:bottom w:val="single" w:color="000000" w:sz="4" w:space="0"/>
              <w:right w:val="single" w:color="000000" w:sz="4" w:space="0"/>
            </w:tcBorders>
            <w:shd w:val="clear" w:color="auto" w:fill="auto"/>
            <w:noWrap w:val="0"/>
            <w:vAlign w:val="center"/>
          </w:tcPr>
          <w:p w14:paraId="7CB05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1775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绘图工具</w:t>
            </w:r>
          </w:p>
        </w:tc>
        <w:tc>
          <w:tcPr>
            <w:tcW w:w="7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9BC9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一、适用范围：适用于小学、初中美术教学使用。二、技术要求：1．配置： ⑴直尺1件；　⑵三角板1付；⑶曲线板1件；⑷圆规1件；⑸蛇形尺1件；共5类5件。2．塑料箱包装，便于携带、存放。</w:t>
            </w:r>
          </w:p>
        </w:tc>
        <w:tc>
          <w:tcPr>
            <w:tcW w:w="8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879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316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14:paraId="64C8C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atLeast"/>
        </w:trPr>
        <w:tc>
          <w:tcPr>
            <w:tcW w:w="1042" w:type="dxa"/>
            <w:tcBorders>
              <w:top w:val="nil"/>
              <w:left w:val="single" w:color="000000" w:sz="8" w:space="0"/>
              <w:bottom w:val="single" w:color="000000" w:sz="4" w:space="0"/>
              <w:right w:val="single" w:color="000000" w:sz="4" w:space="0"/>
            </w:tcBorders>
            <w:shd w:val="clear" w:color="auto" w:fill="auto"/>
            <w:noWrap w:val="0"/>
            <w:vAlign w:val="center"/>
          </w:tcPr>
          <w:p w14:paraId="316EC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DA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水粉（水彩）画工具</w:t>
            </w:r>
          </w:p>
        </w:tc>
        <w:tc>
          <w:tcPr>
            <w:tcW w:w="76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671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1、画笔6件：笔头为优质尼龙毛刷，笔头长度依次：12mm、13mm、13mm、19mm、23mm、26mm，笔杆长度19mm；2、颜料1盒：12色；3、水粉纸张1袋：8k，20张；4、调色盒1件：24格，聚丙稀（PP）材质，长宽高200mm×100mm×20mm；5、 水桶1个： 折叠，直径160 mm，展开时高度不小于140mm；6、调色刀1件：刀头为不锈钢材质，长度80mm，刀柄为木质长度90mm； 7、包装盒1件：所有工具定位，中空吹塑包装</w:t>
            </w:r>
          </w:p>
        </w:tc>
        <w:tc>
          <w:tcPr>
            <w:tcW w:w="8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7D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65C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14:paraId="3CFB3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1042" w:type="dxa"/>
            <w:tcBorders>
              <w:top w:val="nil"/>
              <w:left w:val="single" w:color="000000" w:sz="8" w:space="0"/>
              <w:bottom w:val="single" w:color="000000" w:sz="4" w:space="0"/>
              <w:right w:val="single" w:color="000000" w:sz="4" w:space="0"/>
            </w:tcBorders>
            <w:shd w:val="clear" w:color="auto" w:fill="auto"/>
            <w:noWrap w:val="0"/>
            <w:vAlign w:val="center"/>
          </w:tcPr>
          <w:p w14:paraId="0F247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E82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国画工具</w:t>
            </w:r>
          </w:p>
        </w:tc>
        <w:tc>
          <w:tcPr>
            <w:tcW w:w="76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CF9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①笔洗1件：直径≥155mm，高度≥55mm；②笔架1件：直径≥130mm，高度≥45mm；③砚台1件：石砚、带盖，直径≥125mm，高度≥40mm；④印盒1件：直径≥80mm，带印泥；⑤墨1件：金不换，长宽高≥95mm×24mm×10mm；⑥毛笔8件：加健毛笔，大、中、小提斗，大、中、小白云，花枝俏，小依纹；⑦画毡1件：毛毡长宽厚≥500mm×500mm×3mm；⑧调色盘1件：聚丙稀材质，10眼梅花型，直径≥14mm；⑨笔帘1件：竹制，长宽≥300mm×250mm；⑩镇尺1副：≥200mm×400mm×15mm；共10类18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中空吹塑定位包装，所有产品均有单独卡槽定位于箱子内，不得串动，便于携带、存放。                   </w:t>
            </w:r>
          </w:p>
        </w:tc>
        <w:tc>
          <w:tcPr>
            <w:tcW w:w="8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4239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725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14:paraId="3D402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1042" w:type="dxa"/>
            <w:tcBorders>
              <w:top w:val="nil"/>
              <w:left w:val="single" w:color="000000" w:sz="8" w:space="0"/>
              <w:bottom w:val="single" w:color="000000" w:sz="4" w:space="0"/>
              <w:right w:val="single" w:color="000000" w:sz="4" w:space="0"/>
            </w:tcBorders>
            <w:noWrap w:val="0"/>
            <w:vAlign w:val="center"/>
          </w:tcPr>
          <w:p w14:paraId="5BBB7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14:paraId="48D2EF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不锈钢夹子</w:t>
            </w:r>
          </w:p>
        </w:tc>
        <w:tc>
          <w:tcPr>
            <w:tcW w:w="7635" w:type="dxa"/>
            <w:tcBorders>
              <w:top w:val="single" w:color="000000" w:sz="4" w:space="0"/>
              <w:left w:val="single" w:color="000000" w:sz="4" w:space="0"/>
              <w:bottom w:val="single" w:color="000000" w:sz="4" w:space="0"/>
              <w:right w:val="single" w:color="000000" w:sz="4" w:space="0"/>
            </w:tcBorders>
            <w:noWrap w:val="0"/>
            <w:vAlign w:val="center"/>
          </w:tcPr>
          <w:p w14:paraId="61E153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材质：不锈钢，长度不小于145mm。</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2CD2C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7ABD4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r>
      <w:tr w14:paraId="5B3A5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1042" w:type="dxa"/>
            <w:tcBorders>
              <w:top w:val="nil"/>
              <w:left w:val="single" w:color="000000" w:sz="8" w:space="0"/>
              <w:bottom w:val="single" w:color="000000" w:sz="4" w:space="0"/>
              <w:right w:val="single" w:color="000000" w:sz="4" w:space="0"/>
            </w:tcBorders>
            <w:noWrap w:val="0"/>
            <w:vAlign w:val="center"/>
          </w:tcPr>
          <w:p w14:paraId="3C6CF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14:paraId="72BB4A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素描纸</w:t>
            </w:r>
          </w:p>
        </w:tc>
        <w:tc>
          <w:tcPr>
            <w:tcW w:w="7635" w:type="dxa"/>
            <w:tcBorders>
              <w:top w:val="single" w:color="000000" w:sz="4" w:space="0"/>
              <w:left w:val="single" w:color="000000" w:sz="4" w:space="0"/>
              <w:bottom w:val="single" w:color="000000" w:sz="4" w:space="0"/>
              <w:right w:val="single" w:color="000000" w:sz="4" w:space="0"/>
            </w:tcBorders>
            <w:noWrap w:val="0"/>
            <w:vAlign w:val="center"/>
          </w:tcPr>
          <w:p w14:paraId="04C409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规格4K，厚度不低于160g，黄色本色纸。</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76B32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53A3A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14:paraId="47617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1042" w:type="dxa"/>
            <w:tcBorders>
              <w:top w:val="nil"/>
              <w:left w:val="single" w:color="000000" w:sz="8" w:space="0"/>
              <w:bottom w:val="single" w:color="000000" w:sz="4" w:space="0"/>
              <w:right w:val="single" w:color="000000" w:sz="4" w:space="0"/>
            </w:tcBorders>
            <w:noWrap w:val="0"/>
            <w:vAlign w:val="center"/>
          </w:tcPr>
          <w:p w14:paraId="0C1FF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14:paraId="09F456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水粉纸</w:t>
            </w:r>
          </w:p>
        </w:tc>
        <w:tc>
          <w:tcPr>
            <w:tcW w:w="7635" w:type="dxa"/>
            <w:tcBorders>
              <w:top w:val="single" w:color="000000" w:sz="4" w:space="0"/>
              <w:left w:val="single" w:color="000000" w:sz="4" w:space="0"/>
              <w:bottom w:val="single" w:color="000000" w:sz="4" w:space="0"/>
              <w:right w:val="single" w:color="000000" w:sz="4" w:space="0"/>
            </w:tcBorders>
            <w:noWrap w:val="0"/>
            <w:vAlign w:val="center"/>
          </w:tcPr>
          <w:p w14:paraId="73F12E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规格4K，厚度不低于160g。</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14874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5A65D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14:paraId="3A046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1042" w:type="dxa"/>
            <w:tcBorders>
              <w:top w:val="nil"/>
              <w:left w:val="single" w:color="000000" w:sz="8" w:space="0"/>
              <w:bottom w:val="single" w:color="000000" w:sz="4" w:space="0"/>
              <w:right w:val="single" w:color="000000" w:sz="4" w:space="0"/>
            </w:tcBorders>
            <w:noWrap w:val="0"/>
            <w:vAlign w:val="center"/>
          </w:tcPr>
          <w:p w14:paraId="2AB6B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204" w:type="dxa"/>
            <w:tcBorders>
              <w:top w:val="single" w:color="000000" w:sz="4" w:space="0"/>
              <w:left w:val="single" w:color="000000" w:sz="4" w:space="0"/>
              <w:bottom w:val="nil"/>
              <w:right w:val="single" w:color="000000" w:sz="4" w:space="0"/>
            </w:tcBorders>
            <w:noWrap w:val="0"/>
            <w:vAlign w:val="center"/>
          </w:tcPr>
          <w:p w14:paraId="44EF6F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水彩纸</w:t>
            </w:r>
          </w:p>
        </w:tc>
        <w:tc>
          <w:tcPr>
            <w:tcW w:w="7635" w:type="dxa"/>
            <w:tcBorders>
              <w:top w:val="single" w:color="000000" w:sz="4" w:space="0"/>
              <w:left w:val="single" w:color="000000" w:sz="4" w:space="0"/>
              <w:bottom w:val="nil"/>
              <w:right w:val="single" w:color="000000" w:sz="4" w:space="0"/>
            </w:tcBorders>
            <w:noWrap w:val="0"/>
            <w:vAlign w:val="center"/>
          </w:tcPr>
          <w:p w14:paraId="3CB9D1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规格4K，厚度不低于160g，10张\袋。</w:t>
            </w:r>
          </w:p>
        </w:tc>
        <w:tc>
          <w:tcPr>
            <w:tcW w:w="877" w:type="dxa"/>
            <w:tcBorders>
              <w:top w:val="single" w:color="000000" w:sz="4" w:space="0"/>
              <w:left w:val="single" w:color="000000" w:sz="4" w:space="0"/>
              <w:bottom w:val="nil"/>
              <w:right w:val="single" w:color="000000" w:sz="4" w:space="0"/>
            </w:tcBorders>
            <w:noWrap w:val="0"/>
            <w:vAlign w:val="center"/>
          </w:tcPr>
          <w:p w14:paraId="65AC3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w:t>
            </w:r>
          </w:p>
        </w:tc>
        <w:tc>
          <w:tcPr>
            <w:tcW w:w="922" w:type="dxa"/>
            <w:tcBorders>
              <w:top w:val="single" w:color="000000" w:sz="4" w:space="0"/>
              <w:left w:val="single" w:color="000000" w:sz="4" w:space="0"/>
              <w:bottom w:val="nil"/>
              <w:right w:val="single" w:color="000000" w:sz="4" w:space="0"/>
            </w:tcBorders>
            <w:noWrap w:val="0"/>
            <w:vAlign w:val="center"/>
          </w:tcPr>
          <w:p w14:paraId="7BAAD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14:paraId="754D8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2680" w:type="dxa"/>
            <w:gridSpan w:val="5"/>
            <w:tcBorders>
              <w:top w:val="single" w:color="000000" w:sz="8" w:space="0"/>
              <w:left w:val="single" w:color="000000" w:sz="8" w:space="0"/>
              <w:bottom w:val="single" w:color="000000" w:sz="8" w:space="0"/>
              <w:right w:val="nil"/>
            </w:tcBorders>
            <w:shd w:val="clear" w:color="auto" w:fill="FFFFFF"/>
            <w:noWrap w:val="0"/>
            <w:vAlign w:val="center"/>
          </w:tcPr>
          <w:p w14:paraId="53BED93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美术课程专用教具（教师用）</w:t>
            </w:r>
          </w:p>
        </w:tc>
      </w:tr>
      <w:tr w14:paraId="53C33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1042" w:type="dxa"/>
            <w:tcBorders>
              <w:top w:val="nil"/>
              <w:left w:val="single" w:color="000000" w:sz="8" w:space="0"/>
              <w:bottom w:val="single" w:color="000000" w:sz="4" w:space="0"/>
              <w:right w:val="single" w:color="000000" w:sz="4" w:space="0"/>
            </w:tcBorders>
            <w:noWrap w:val="0"/>
            <w:vAlign w:val="center"/>
          </w:tcPr>
          <w:p w14:paraId="13D93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204" w:type="dxa"/>
            <w:tcBorders>
              <w:top w:val="nil"/>
              <w:left w:val="single" w:color="000000" w:sz="4" w:space="0"/>
              <w:bottom w:val="single" w:color="000000" w:sz="4" w:space="0"/>
              <w:right w:val="single" w:color="000000" w:sz="4" w:space="0"/>
            </w:tcBorders>
            <w:noWrap w:val="0"/>
            <w:vAlign w:val="center"/>
          </w:tcPr>
          <w:p w14:paraId="2EBAA3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教师画板</w:t>
            </w:r>
          </w:p>
        </w:tc>
        <w:tc>
          <w:tcPr>
            <w:tcW w:w="7635" w:type="dxa"/>
            <w:tcBorders>
              <w:top w:val="nil"/>
              <w:left w:val="single" w:color="000000" w:sz="4" w:space="0"/>
              <w:bottom w:val="single" w:color="000000" w:sz="4" w:space="0"/>
              <w:right w:val="single" w:color="000000" w:sz="4" w:space="0"/>
            </w:tcBorders>
            <w:noWrap w:val="0"/>
            <w:vAlign w:val="center"/>
          </w:tcPr>
          <w:p w14:paraId="6337BB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一、适用范围：适用于中学美术教学用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二、技术要求：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1、规格：600mm×900mm；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2、材质：双面椴木三合板，四周实木边框；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3、要求：，边框气钉眼需进行表面处理。整体板面平整、表面光滑、洁净、无毛刺。</w:t>
            </w:r>
          </w:p>
        </w:tc>
        <w:tc>
          <w:tcPr>
            <w:tcW w:w="877" w:type="dxa"/>
            <w:tcBorders>
              <w:top w:val="nil"/>
              <w:left w:val="single" w:color="000000" w:sz="4" w:space="0"/>
              <w:bottom w:val="single" w:color="000000" w:sz="4" w:space="0"/>
              <w:right w:val="single" w:color="000000" w:sz="4" w:space="0"/>
            </w:tcBorders>
            <w:noWrap w:val="0"/>
            <w:vAlign w:val="center"/>
          </w:tcPr>
          <w:p w14:paraId="11DC2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22" w:type="dxa"/>
            <w:tcBorders>
              <w:top w:val="nil"/>
              <w:left w:val="single" w:color="000000" w:sz="4" w:space="0"/>
              <w:bottom w:val="single" w:color="000000" w:sz="4" w:space="0"/>
              <w:right w:val="single" w:color="000000" w:sz="4" w:space="0"/>
            </w:tcBorders>
            <w:noWrap w:val="0"/>
            <w:vAlign w:val="center"/>
          </w:tcPr>
          <w:p w14:paraId="15E99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E473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042" w:type="dxa"/>
            <w:tcBorders>
              <w:top w:val="nil"/>
              <w:left w:val="single" w:color="000000" w:sz="8" w:space="0"/>
              <w:bottom w:val="single" w:color="000000" w:sz="4" w:space="0"/>
              <w:right w:val="single" w:color="000000" w:sz="4" w:space="0"/>
            </w:tcBorders>
            <w:noWrap w:val="0"/>
            <w:vAlign w:val="center"/>
          </w:tcPr>
          <w:p w14:paraId="4D4FA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14:paraId="049F44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画架（教师）</w:t>
            </w:r>
          </w:p>
        </w:tc>
        <w:tc>
          <w:tcPr>
            <w:tcW w:w="7635" w:type="dxa"/>
            <w:tcBorders>
              <w:top w:val="single" w:color="000000" w:sz="4" w:space="0"/>
              <w:left w:val="single" w:color="000000" w:sz="4" w:space="0"/>
              <w:bottom w:val="single" w:color="000000" w:sz="4" w:space="0"/>
              <w:right w:val="single" w:color="000000" w:sz="4" w:space="0"/>
            </w:tcBorders>
            <w:noWrap w:val="0"/>
            <w:vAlign w:val="center"/>
          </w:tcPr>
          <w:p w14:paraId="78CF9A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榉木材质，平立两用落地画架 ，可以升降，平放，倾斜（调节任意角度），还可以折叠，方便携带。产品规格：43*50*127，最高可伸长至225cm ，宽度不限。带万向轮，方便在室内移动，前面两个轮子带刹车，可以锁死。</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72133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373E5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5EBF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042" w:type="dxa"/>
            <w:tcBorders>
              <w:top w:val="nil"/>
              <w:left w:val="single" w:color="000000" w:sz="8" w:space="0"/>
              <w:bottom w:val="single" w:color="000000" w:sz="4" w:space="0"/>
              <w:right w:val="single" w:color="000000" w:sz="4" w:space="0"/>
            </w:tcBorders>
            <w:noWrap w:val="0"/>
            <w:vAlign w:val="center"/>
          </w:tcPr>
          <w:p w14:paraId="61636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14:paraId="2E1E9D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教师写生凳</w:t>
            </w:r>
          </w:p>
        </w:tc>
        <w:tc>
          <w:tcPr>
            <w:tcW w:w="7635" w:type="dxa"/>
            <w:tcBorders>
              <w:top w:val="single" w:color="000000" w:sz="4" w:space="0"/>
              <w:left w:val="single" w:color="000000" w:sz="4" w:space="0"/>
              <w:bottom w:val="single" w:color="000000" w:sz="4" w:space="0"/>
              <w:right w:val="single" w:color="000000" w:sz="4" w:space="0"/>
            </w:tcBorders>
            <w:noWrap w:val="0"/>
            <w:vAlign w:val="center"/>
          </w:tcPr>
          <w:p w14:paraId="627F8F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升降式，木材要求脱脂干燥处理，无裂纹、光滑，据断面无毛刺，无刺手感，表面涂漆，漆面光亮，无流挂、起泡。</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51B1D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25FB4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CD57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042" w:type="dxa"/>
            <w:tcBorders>
              <w:top w:val="nil"/>
              <w:left w:val="single" w:color="000000" w:sz="8" w:space="0"/>
              <w:bottom w:val="single" w:color="000000" w:sz="4" w:space="0"/>
              <w:right w:val="single" w:color="000000" w:sz="4" w:space="0"/>
            </w:tcBorders>
            <w:shd w:val="clear" w:color="auto" w:fill="auto"/>
            <w:noWrap w:val="0"/>
            <w:vAlign w:val="center"/>
          </w:tcPr>
          <w:p w14:paraId="28DD69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9BDE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写生教具（1）</w:t>
            </w:r>
          </w:p>
        </w:tc>
        <w:tc>
          <w:tcPr>
            <w:tcW w:w="7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CD50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200目石膏粉；2、石膏像类5件：太阳神头像1件380mm、海盗头像1件450mm、小大卫头像1件670mm、阿古力巴切面1件300mm、腊空半面1件300mm；石膏表面应光洁，无疤痕，形态逼真；3、形态逼真，工艺新颖，外观整洁，无反光，线条清晰，无裂纹，造型准确、比例适当、形象生动。</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35990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2" w:type="dxa"/>
            <w:tcBorders>
              <w:top w:val="nil"/>
              <w:left w:val="single" w:color="000000" w:sz="4" w:space="0"/>
              <w:bottom w:val="single" w:color="000000" w:sz="4" w:space="0"/>
              <w:right w:val="single" w:color="000000" w:sz="4" w:space="0"/>
            </w:tcBorders>
            <w:noWrap w:val="0"/>
            <w:vAlign w:val="center"/>
          </w:tcPr>
          <w:p w14:paraId="55670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8419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8" w:hRule="atLeast"/>
        </w:trPr>
        <w:tc>
          <w:tcPr>
            <w:tcW w:w="1042" w:type="dxa"/>
            <w:tcBorders>
              <w:top w:val="nil"/>
              <w:left w:val="single" w:color="000000" w:sz="8" w:space="0"/>
              <w:bottom w:val="single" w:color="000000" w:sz="4" w:space="0"/>
              <w:right w:val="single" w:color="000000" w:sz="4" w:space="0"/>
            </w:tcBorders>
            <w:shd w:val="clear" w:color="auto" w:fill="auto"/>
            <w:noWrap w:val="0"/>
            <w:vAlign w:val="center"/>
          </w:tcPr>
          <w:p w14:paraId="42AAD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5E94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写生教具（2）</w:t>
            </w:r>
          </w:p>
        </w:tc>
        <w:tc>
          <w:tcPr>
            <w:tcW w:w="7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6AFE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球、四棱锥、正方体、圆锥、长方体、圆柱体、六棱柱、方带方、圆锥带圆、方锥带方、多面体、八棱柱、六棱锥、圆切、十二面体各一件；圆球:直径不小于180mm；圆锥:高不小于220mm,底面直径不小于150mm；长方体: 不小于100*100*220mm；正方体：边长不小于160mm；四棱锥：高不小于220mm,底面棱长不小于140mm；圆柱体:高不小于220mm,直径不小于120mm；六棱柱：高不小于220mm,底面棱长不小于60mm；方带方:高不小于220mm,底面棱长不小于90mm;带方柱长不小于210mm,带方柱棱长不小于100mm；圆锥带圆:底面直径不小于160mm,高不小于220mm;带圆柱直径不小于60mm,长不小于200mm；方锥带方:高不小于220mm,底面棱长不小于150mm;带方柱长不小于210mm,带方柱底面棱长不小于70mm；多面体:棱长不小于100mm；八棱柱:高不小于230mm,底面棱长不小于50mm；六棱锥：高不小于220mm,底面棱长不小于80mm；圆切:高不小于220mm，底面直径不小于120mm,切面下缘高不小于150mm；十二面体:棱长不小于70mm；各一件；材质为200目石膏粉。</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6BC420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2" w:type="dxa"/>
            <w:tcBorders>
              <w:top w:val="nil"/>
              <w:left w:val="single" w:color="000000" w:sz="4" w:space="0"/>
              <w:bottom w:val="single" w:color="000000" w:sz="4" w:space="0"/>
              <w:right w:val="single" w:color="000000" w:sz="4" w:space="0"/>
            </w:tcBorders>
            <w:noWrap w:val="0"/>
            <w:vAlign w:val="center"/>
          </w:tcPr>
          <w:p w14:paraId="5D930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D94A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2" w:hRule="atLeast"/>
        </w:trPr>
        <w:tc>
          <w:tcPr>
            <w:tcW w:w="1042" w:type="dxa"/>
            <w:tcBorders>
              <w:top w:val="nil"/>
              <w:left w:val="single" w:color="000000" w:sz="8" w:space="0"/>
              <w:bottom w:val="single" w:color="000000" w:sz="4" w:space="0"/>
              <w:right w:val="single" w:color="000000" w:sz="4" w:space="0"/>
            </w:tcBorders>
            <w:shd w:val="clear" w:color="auto" w:fill="auto"/>
            <w:noWrap w:val="0"/>
            <w:vAlign w:val="center"/>
          </w:tcPr>
          <w:p w14:paraId="3A938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65EB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写生教具（3）</w:t>
            </w:r>
          </w:p>
        </w:tc>
        <w:tc>
          <w:tcPr>
            <w:tcW w:w="7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03DB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各大名窑实物(仿)十四件及简介，可陈设、展示、欣赏。官窑：瓷器直径不小于140mm,高度不小于110mm、哥窑：瓷器直径不小于110mm，高度不小于220mm、汝窑：瓷器直径不小于110mm，高度不小于200mm、均窑：瓷器直径不小于140mm，高度不小于300mm、定窑：瓷器长度不小于230mm，高度不小于120mm，仿制品各1件釉下青花瓷仿制品：直径不小于200mm，高度不小于330mm；泥条成型：高度不小于150mm、泥板成型：高度不小于150mm、拉坯成型作品各1件：高度不小于170mm；新石器时期文物仿制品3件：高度不小于170mm、唐三彩作品1件：瓷马，高度不小于350mm，长度不小于380mm、宜兴紫砂陶壶1件；</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5472D5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2" w:type="dxa"/>
            <w:tcBorders>
              <w:top w:val="nil"/>
              <w:left w:val="single" w:color="000000" w:sz="4" w:space="0"/>
              <w:bottom w:val="single" w:color="000000" w:sz="4" w:space="0"/>
              <w:right w:val="single" w:color="000000" w:sz="4" w:space="0"/>
            </w:tcBorders>
            <w:noWrap w:val="0"/>
            <w:vAlign w:val="center"/>
          </w:tcPr>
          <w:p w14:paraId="7A14C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0951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1042" w:type="dxa"/>
            <w:tcBorders>
              <w:top w:val="nil"/>
              <w:left w:val="single" w:color="000000" w:sz="8" w:space="0"/>
              <w:bottom w:val="single" w:color="000000" w:sz="4" w:space="0"/>
              <w:right w:val="single" w:color="000000" w:sz="4" w:space="0"/>
            </w:tcBorders>
            <w:noWrap w:val="0"/>
            <w:vAlign w:val="center"/>
          </w:tcPr>
          <w:p w14:paraId="5F0A1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14:paraId="232189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静物</w:t>
            </w:r>
          </w:p>
        </w:tc>
        <w:tc>
          <w:tcPr>
            <w:tcW w:w="7635" w:type="dxa"/>
            <w:tcBorders>
              <w:top w:val="single" w:color="000000" w:sz="4" w:space="0"/>
              <w:left w:val="single" w:color="000000" w:sz="4" w:space="0"/>
              <w:bottom w:val="single" w:color="000000" w:sz="4" w:space="0"/>
              <w:right w:val="single" w:color="000000" w:sz="4" w:space="0"/>
            </w:tcBorders>
            <w:noWrap w:val="0"/>
            <w:vAlign w:val="center"/>
          </w:tcPr>
          <w:p w14:paraId="72572E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蜡果：重体仿真（苹果、香蕉、橘子、黄瓜、柿子椒、茄子）；2、器皿（①花瓶2件：高度不小于300mm,直径不小于70mm；②砂锅2件：大号高不小于110mm，直径不小于200mm，小号高度不小于100mm，直径180mm；③玻璃杯2件：高度不小于200mm，直径100mm；④瓷盘2件：方、圆各1个，方瓷盘200mm×200mm、圆瓷盘直径不小于270mm；⑤瓷碗2个：大号瓷碗直径不小于220mm，高度不小于70mm；小号瓷碗直径不小于200mm，高度不小于60mm；⑥编织篮2个：木条编制，高度不小于250mm，宽度不小于200mm；⑦陶罐2个：直径不小于220mm，高度不小于140mm；⑧铝壶2个：大号铝壶壶底直径不小于230mm，高度不小于170mm；小号铝壶壶底直径不小于200mm，高度不小于160mm）；3、玩具（毛绒、塑料、布质、木质各一）</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775703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2" w:type="dxa"/>
            <w:tcBorders>
              <w:top w:val="nil"/>
              <w:left w:val="single" w:color="000000" w:sz="4" w:space="0"/>
              <w:bottom w:val="single" w:color="000000" w:sz="4" w:space="0"/>
              <w:right w:val="single" w:color="000000" w:sz="4" w:space="0"/>
            </w:tcBorders>
            <w:noWrap w:val="0"/>
            <w:vAlign w:val="center"/>
          </w:tcPr>
          <w:p w14:paraId="204C7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161A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042" w:type="dxa"/>
            <w:tcBorders>
              <w:top w:val="nil"/>
              <w:left w:val="single" w:color="000000" w:sz="8" w:space="0"/>
              <w:bottom w:val="single" w:color="000000" w:sz="4" w:space="0"/>
              <w:right w:val="single" w:color="000000" w:sz="4" w:space="0"/>
            </w:tcBorders>
            <w:shd w:val="clear" w:color="auto" w:fill="auto"/>
            <w:noWrap w:val="0"/>
            <w:vAlign w:val="center"/>
          </w:tcPr>
          <w:p w14:paraId="471AC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C6B1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大圆规</w:t>
            </w:r>
          </w:p>
        </w:tc>
        <w:tc>
          <w:tcPr>
            <w:tcW w:w="7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878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木质，1、圆规总长不小于390mm，由规身、粉笔套、规脚等三部分组成。2、，规身分双片和单片，由优质木材制成上部用M5螺栓和鱼尾螺母连接紧固。颜色：原木色透明漆。3、粉笔套由铜质开口夹和紧固卡圈组成；规脚由不锈钢钉和吸盘组成。 </w:t>
            </w:r>
          </w:p>
        </w:tc>
        <w:tc>
          <w:tcPr>
            <w:tcW w:w="8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764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9F3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9E6B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042" w:type="dxa"/>
            <w:tcBorders>
              <w:top w:val="nil"/>
              <w:left w:val="single" w:color="000000" w:sz="8" w:space="0"/>
              <w:bottom w:val="single" w:color="000000" w:sz="4" w:space="0"/>
              <w:right w:val="single" w:color="000000" w:sz="4" w:space="0"/>
            </w:tcBorders>
            <w:shd w:val="clear" w:color="auto" w:fill="auto"/>
            <w:noWrap w:val="0"/>
            <w:vAlign w:val="center"/>
          </w:tcPr>
          <w:p w14:paraId="797AB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EF34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丁字尺</w:t>
            </w:r>
          </w:p>
        </w:tc>
        <w:tc>
          <w:tcPr>
            <w:tcW w:w="7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A121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MM，1、有机塑料制成。2、丁字头与直尺成直角固定中间，3、直尺边上印有刻线数码，有效示值全长为600mm最小刻度示值为1mm，每10mm的刻度线上标有刻度数码。4、示值全长误差和任一中间分度至尺的零点的误差不超过±1mm。5、丁字直尺的刻度线应垂直达到尺边，刻线和数码应清晰、正确、不得有重线，断线、缺字。</w:t>
            </w:r>
          </w:p>
        </w:tc>
        <w:tc>
          <w:tcPr>
            <w:tcW w:w="8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A1E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260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1335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042" w:type="dxa"/>
            <w:tcBorders>
              <w:top w:val="nil"/>
              <w:left w:val="single" w:color="000000" w:sz="8" w:space="0"/>
              <w:bottom w:val="single" w:color="000000" w:sz="4" w:space="0"/>
              <w:right w:val="single" w:color="000000" w:sz="4" w:space="0"/>
            </w:tcBorders>
            <w:shd w:val="clear" w:color="auto" w:fill="auto"/>
            <w:noWrap w:val="0"/>
            <w:vAlign w:val="center"/>
          </w:tcPr>
          <w:p w14:paraId="6E0C3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965F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直尺</w:t>
            </w:r>
          </w:p>
        </w:tc>
        <w:tc>
          <w:tcPr>
            <w:tcW w:w="7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3190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规格：1000mm，有机塑料，刻度清晰。</w:t>
            </w:r>
          </w:p>
        </w:tc>
        <w:tc>
          <w:tcPr>
            <w:tcW w:w="8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666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3154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C276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042" w:type="dxa"/>
            <w:tcBorders>
              <w:top w:val="nil"/>
              <w:left w:val="single" w:color="000000" w:sz="8" w:space="0"/>
              <w:bottom w:val="single" w:color="000000" w:sz="4" w:space="0"/>
              <w:right w:val="single" w:color="000000" w:sz="4" w:space="0"/>
            </w:tcBorders>
            <w:shd w:val="clear" w:color="auto" w:fill="auto"/>
            <w:noWrap w:val="0"/>
            <w:vAlign w:val="center"/>
          </w:tcPr>
          <w:p w14:paraId="65815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EAE5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曲线板</w:t>
            </w:r>
          </w:p>
        </w:tc>
        <w:tc>
          <w:tcPr>
            <w:tcW w:w="7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C2EF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1.外形尺寸不小于250mm，厚度≥1mm。2.曲线板为有机塑料制品，板面平整、光洁、透明、无划痕、不变形。3.曲线数量≥9条。</w:t>
            </w:r>
          </w:p>
        </w:tc>
        <w:tc>
          <w:tcPr>
            <w:tcW w:w="8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770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F2B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D3A8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042" w:type="dxa"/>
            <w:tcBorders>
              <w:top w:val="nil"/>
              <w:left w:val="single" w:color="000000" w:sz="8" w:space="0"/>
              <w:bottom w:val="single" w:color="000000" w:sz="4" w:space="0"/>
              <w:right w:val="single" w:color="000000" w:sz="4" w:space="0"/>
            </w:tcBorders>
            <w:shd w:val="clear" w:color="auto" w:fill="auto"/>
            <w:noWrap w:val="0"/>
            <w:vAlign w:val="center"/>
          </w:tcPr>
          <w:p w14:paraId="12E05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B184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三角板</w:t>
            </w:r>
          </w:p>
        </w:tc>
        <w:tc>
          <w:tcPr>
            <w:tcW w:w="7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2D57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每套2个，30、45各一，300mm。有机塑料，边缘整齐，划线清晰，表面平整。</w:t>
            </w:r>
          </w:p>
        </w:tc>
        <w:tc>
          <w:tcPr>
            <w:tcW w:w="8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FFB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5C9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DB7A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1042" w:type="dxa"/>
            <w:tcBorders>
              <w:top w:val="nil"/>
              <w:left w:val="single" w:color="000000" w:sz="8" w:space="0"/>
              <w:bottom w:val="single" w:color="000000" w:sz="4" w:space="0"/>
              <w:right w:val="single" w:color="000000" w:sz="4" w:space="0"/>
            </w:tcBorders>
            <w:shd w:val="clear" w:color="auto" w:fill="auto"/>
            <w:noWrap w:val="0"/>
            <w:vAlign w:val="center"/>
          </w:tcPr>
          <w:p w14:paraId="48E21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F090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大三角板</w:t>
            </w:r>
          </w:p>
        </w:tc>
        <w:tc>
          <w:tcPr>
            <w:tcW w:w="76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643F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每付三角板60°、45°各1块。2、用无节疤、无裂纹、不易变形、坚硬并经脱脂干燥处理的木材制成。3、等腰三角形，其斜边长为590mm,两底角为45°。4、60°直角三角板的长直角边为590mm，与斜边的夹角为30o（另一底角为60o）。5、所有角度误差不超过±2°。6、三角板边宽不小于42mm，板厚不小于5mm，表面浅色漆，漆层均匀。7、在块三角板的斜边和直角三角板的长直角边上印有刻线、数码，有效示值全长为590mm最小刻度为1mm，每10mm的刻度线上标有刻度数码。示值全长误差和任一中间分度至刻度尺的零点的误差不超过±1mm。三角板的刻度线应垂直达到尺边，刻线和数码应清晰、正确、不得有重线、断线、缺字。8、三角板平面度误差不超过1mm，各边的直线度误差不超过1mm。</w:t>
            </w:r>
          </w:p>
        </w:tc>
        <w:tc>
          <w:tcPr>
            <w:tcW w:w="8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964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C9D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22B6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3" w:hRule="atLeast"/>
        </w:trPr>
        <w:tc>
          <w:tcPr>
            <w:tcW w:w="1042" w:type="dxa"/>
            <w:tcBorders>
              <w:top w:val="nil"/>
              <w:left w:val="single" w:color="000000" w:sz="8" w:space="0"/>
              <w:bottom w:val="single" w:color="000000" w:sz="4" w:space="0"/>
              <w:right w:val="single" w:color="000000" w:sz="4" w:space="0"/>
            </w:tcBorders>
            <w:shd w:val="clear" w:color="auto" w:fill="auto"/>
            <w:noWrap w:val="0"/>
            <w:vAlign w:val="center"/>
          </w:tcPr>
          <w:p w14:paraId="3C4CF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D00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版画工具</w:t>
            </w:r>
          </w:p>
        </w:tc>
        <w:tc>
          <w:tcPr>
            <w:tcW w:w="76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E85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⑴胶辊3件：大号滚筒≥150mm、手柄≥130mm，中号滚筒≥100mm、手柄≥130mm，小号滚筒≥75mm、手柄≥130mm，支架金属镀铬；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⑵磨托1件：磨托头直径≥45mm、磨托手柄≥100mm；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⑶笔刀1件：合金手柄≥100mm；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⑷笔刀刀头3件：锰钢刀头≥35mm；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⑸木刻刀5件：木手柄≥100mm、刀头碳钢材质，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⑹石刻刀1件：精钢材质，长度≥140mm；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⑺油石1件：双面，外观尺寸不小于150*45*25mm；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⑻马莲1件：塑料材质，直径：95mm±2mm；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(9)底纹笔 木柄光滑、无毛刺、色泽均匀，刷头采用优质羊毛制成，毛质应整齐均匀，长≥180mm，毛长≥30mm，宽≥30mm；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(10)电烙铁1件：外热式30W，长度≥200mm,外接电源线长度≥900mm；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(11)素描铅笔2支；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(12)油画刀5把：木质手柄，漆面处理，不锈钢刀头，长度≥160mm。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(13)版画油墨2瓶：不小于50ml.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(14)印床：木质，漆面处理，长宽高：100*65*50mm</w:t>
            </w:r>
          </w:p>
        </w:tc>
        <w:tc>
          <w:tcPr>
            <w:tcW w:w="8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F55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622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8A8B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9" w:hRule="atLeast"/>
        </w:trPr>
        <w:tc>
          <w:tcPr>
            <w:tcW w:w="1042" w:type="dxa"/>
            <w:tcBorders>
              <w:top w:val="nil"/>
              <w:left w:val="single" w:color="000000" w:sz="8" w:space="0"/>
              <w:bottom w:val="single" w:color="000000" w:sz="4" w:space="0"/>
              <w:right w:val="single" w:color="000000" w:sz="4" w:space="0"/>
            </w:tcBorders>
            <w:shd w:val="clear" w:color="auto" w:fill="auto"/>
            <w:noWrap w:val="0"/>
            <w:vAlign w:val="center"/>
          </w:tcPr>
          <w:p w14:paraId="10891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DDC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绘画工具（教师用）</w:t>
            </w:r>
          </w:p>
        </w:tc>
        <w:tc>
          <w:tcPr>
            <w:tcW w:w="76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E23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1.水粉画笔: 1、3、5、7、9、11 号各一支。舌峰，笔杆采用木制、光滑、平整、无毛刺、色泽鲜艳、均匀。笔峰选用优质狼毫，羊毫，紫毫等制作。2.油画笔: 2、4、6、8、10、12 号各一支，平峰，笔杆采用木制、光滑、平整、无毛刺、色泽鲜艳、均匀。笔峰选用优质狼毫，羊毫，紫毫等制作，制作精细，书写作画流畅。3.调色盒规格为：1 个，25格，带盖，采用优质 HIPS 材料，符合环保要求，无毒、无味。尺寸（28.5*12.5*2.6cm）。4.调色板规格为：1 个，17格, 采用优质 HIPS 材料，符合环保要求，无毒、无味，尺寸：（21.6*28cm）5.提斗3支（大提斗、中提斗，小提斗）笔杆采用木制、光滑、平整、无毛刺、色泽鲜艳、均匀。笔峰选用优质羊毫制作。6.大白云、中白云，小白云：各 1 支；笔杆采用木制、光滑、平整、无毛刺、色泽鲜艳、均匀。笔峰选用优质狼毫和羊毫等制作。7.大兰竹、中兰竹，小兰竹：各 1 支；笔杆采用木制、光滑、平整、无毛刺、色泽鲜艳、均匀。笔峰选用优质狼毫制作。8.小依纹：1 支，笔杆采用木制、光滑、平整、无毛刺、色泽鲜艳、均匀。笔峰选用优质狼毫，羊毫，紫毫等制作，制作精细，书写作画流畅。花枝俏：1 支，笔杆采用木制、光滑、平整、无毛刺、色泽鲜艳、均匀。笔峰选用优质狼毫，羊毫，紫毫等制作，制作精细，书写作画流畅。9.硬底水桶：直径 14cm，高度不小于14cm，底部为采用优质 HIPS材料，符合环保要求，无毒、无味。10.墨汁：1 瓶，100ml。11.水粉颜料：1 盒，12 色，5ml每支12.梅花盘1个，直径不小于16cm,采用优质 HIPS 材料，符合环保要求，无毒、无味.13.油画刷1个，木质手柄，总长度不小于27cm,猪鬃刷头，刷头宽度1.7cm,刷头长度不小于3cm.14.4B橡皮2块。15.擦纸笔：大中小各１支16.16.美工刀1把。17.油画刀：1～5＃各１把18.铅笔延长：1把，铝合金材质。19.喷瓶：1个，100ml20.扇形油画笔2支21.吹塑定位工具盒1个：长*宽*高尺寸不小于：550mm*360mm*110mm</w:t>
            </w:r>
          </w:p>
        </w:tc>
        <w:tc>
          <w:tcPr>
            <w:tcW w:w="8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851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17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C8D9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2680" w:type="dxa"/>
            <w:gridSpan w:val="5"/>
            <w:tcBorders>
              <w:top w:val="single" w:color="000000" w:sz="8" w:space="0"/>
              <w:left w:val="single" w:color="000000" w:sz="8" w:space="0"/>
              <w:bottom w:val="single" w:color="000000" w:sz="8" w:space="0"/>
              <w:right w:val="nil"/>
            </w:tcBorders>
            <w:shd w:val="clear" w:color="auto" w:fill="FFFFFF"/>
            <w:noWrap w:val="0"/>
            <w:vAlign w:val="center"/>
          </w:tcPr>
          <w:p w14:paraId="7BD2C1B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服务与平台部分</w:t>
            </w:r>
          </w:p>
        </w:tc>
      </w:tr>
      <w:tr w14:paraId="79DFB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0" w:type="auto"/>
            <w:tcBorders>
              <w:top w:val="nil"/>
              <w:left w:val="single" w:color="000000" w:sz="8" w:space="0"/>
              <w:bottom w:val="single" w:color="000000" w:sz="4" w:space="0"/>
              <w:right w:val="single" w:color="000000" w:sz="4" w:space="0"/>
            </w:tcBorders>
            <w:noWrap/>
            <w:vAlign w:val="center"/>
          </w:tcPr>
          <w:p w14:paraId="4AEAA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985"/>
                  <wp:effectExtent l="0" t="0" r="635" b="8255"/>
                  <wp:wrapNone/>
                  <wp:docPr id="2" name="图片_9"/>
                  <wp:cNvGraphicFramePr/>
                  <a:graphic xmlns:a="http://schemas.openxmlformats.org/drawingml/2006/main">
                    <a:graphicData uri="http://schemas.openxmlformats.org/drawingml/2006/picture">
                      <pic:pic xmlns:pic="http://schemas.openxmlformats.org/drawingml/2006/picture">
                        <pic:nvPicPr>
                          <pic:cNvPr id="2" name="图片_9"/>
                          <pic:cNvPicPr/>
                        </pic:nvPicPr>
                        <pic:blipFill>
                          <a:blip r:embed="rId15"/>
                          <a:stretch>
                            <a:fillRect/>
                          </a:stretch>
                        </pic:blipFill>
                        <pic:spPr>
                          <a:xfrm>
                            <a:off x="0" y="0"/>
                            <a:ext cx="9525" cy="38798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387985"/>
                  <wp:effectExtent l="0" t="0" r="635" b="8255"/>
                  <wp:wrapNone/>
                  <wp:docPr id="3" name="图片_9_SpCnt_1"/>
                  <wp:cNvGraphicFramePr/>
                  <a:graphic xmlns:a="http://schemas.openxmlformats.org/drawingml/2006/main">
                    <a:graphicData uri="http://schemas.openxmlformats.org/drawingml/2006/picture">
                      <pic:pic xmlns:pic="http://schemas.openxmlformats.org/drawingml/2006/picture">
                        <pic:nvPicPr>
                          <pic:cNvPr id="3" name="图片_9_SpCnt_1"/>
                          <pic:cNvPicPr/>
                        </pic:nvPicPr>
                        <pic:blipFill>
                          <a:blip r:embed="rId15"/>
                          <a:stretch>
                            <a:fillRect/>
                          </a:stretch>
                        </pic:blipFill>
                        <pic:spPr>
                          <a:xfrm>
                            <a:off x="0" y="0"/>
                            <a:ext cx="9525" cy="38798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87985"/>
                  <wp:effectExtent l="0" t="0" r="635" b="8255"/>
                  <wp:wrapNone/>
                  <wp:docPr id="4" name="图片_1"/>
                  <wp:cNvGraphicFramePr/>
                  <a:graphic xmlns:a="http://schemas.openxmlformats.org/drawingml/2006/main">
                    <a:graphicData uri="http://schemas.openxmlformats.org/drawingml/2006/picture">
                      <pic:pic xmlns:pic="http://schemas.openxmlformats.org/drawingml/2006/picture">
                        <pic:nvPicPr>
                          <pic:cNvPr id="4" name="图片_1"/>
                          <pic:cNvPicPr/>
                        </pic:nvPicPr>
                        <pic:blipFill>
                          <a:blip r:embed="rId16"/>
                          <a:stretch>
                            <a:fillRect/>
                          </a:stretch>
                        </pic:blipFill>
                        <pic:spPr>
                          <a:xfrm>
                            <a:off x="0" y="0"/>
                            <a:ext cx="9525" cy="38798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9525" cy="387985"/>
                  <wp:effectExtent l="0" t="0" r="635" b="8255"/>
                  <wp:wrapNone/>
                  <wp:docPr id="5" name="图片_1_SpCnt_1"/>
                  <wp:cNvGraphicFramePr/>
                  <a:graphic xmlns:a="http://schemas.openxmlformats.org/drawingml/2006/main">
                    <a:graphicData uri="http://schemas.openxmlformats.org/drawingml/2006/picture">
                      <pic:pic xmlns:pic="http://schemas.openxmlformats.org/drawingml/2006/picture">
                        <pic:nvPicPr>
                          <pic:cNvPr id="5" name="图片_1_SpCnt_1"/>
                          <pic:cNvPicPr/>
                        </pic:nvPicPr>
                        <pic:blipFill>
                          <a:blip r:embed="rId16"/>
                          <a:stretch>
                            <a:fillRect/>
                          </a:stretch>
                        </pic:blipFill>
                        <pic:spPr>
                          <a:xfrm>
                            <a:off x="0" y="0"/>
                            <a:ext cx="9525" cy="38798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45</w:t>
            </w:r>
          </w:p>
        </w:tc>
        <w:tc>
          <w:tcPr>
            <w:tcW w:w="0" w:type="auto"/>
            <w:tcBorders>
              <w:top w:val="nil"/>
              <w:left w:val="single" w:color="000000" w:sz="4" w:space="0"/>
              <w:bottom w:val="single" w:color="000000" w:sz="4" w:space="0"/>
              <w:right w:val="single" w:color="000000" w:sz="4" w:space="0"/>
            </w:tcBorders>
            <w:noWrap/>
            <w:vAlign w:val="center"/>
          </w:tcPr>
          <w:p w14:paraId="705D02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安装调试</w:t>
            </w:r>
          </w:p>
        </w:tc>
        <w:tc>
          <w:tcPr>
            <w:tcW w:w="7635" w:type="dxa"/>
            <w:tcBorders>
              <w:top w:val="nil"/>
              <w:left w:val="single" w:color="000000" w:sz="4" w:space="0"/>
              <w:bottom w:val="single" w:color="000000" w:sz="4" w:space="0"/>
              <w:right w:val="single" w:color="000000" w:sz="4" w:space="0"/>
            </w:tcBorders>
            <w:noWrap w:val="0"/>
            <w:vAlign w:val="center"/>
          </w:tcPr>
          <w:p w14:paraId="4AEFDC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卸货，搬运，安装，调试，及辅助线材耗材等</w:t>
            </w:r>
          </w:p>
        </w:tc>
        <w:tc>
          <w:tcPr>
            <w:tcW w:w="877" w:type="dxa"/>
            <w:tcBorders>
              <w:top w:val="nil"/>
              <w:left w:val="single" w:color="000000" w:sz="4" w:space="0"/>
              <w:bottom w:val="single" w:color="000000" w:sz="4" w:space="0"/>
              <w:right w:val="single" w:color="000000" w:sz="4" w:space="0"/>
            </w:tcBorders>
            <w:noWrap w:val="0"/>
            <w:vAlign w:val="center"/>
          </w:tcPr>
          <w:p w14:paraId="6AD91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nil"/>
              <w:left w:val="single" w:color="000000" w:sz="4" w:space="0"/>
              <w:bottom w:val="single" w:color="000000" w:sz="4" w:space="0"/>
              <w:right w:val="single" w:color="000000" w:sz="4" w:space="0"/>
            </w:tcBorders>
            <w:noWrap/>
            <w:vAlign w:val="center"/>
          </w:tcPr>
          <w:p w14:paraId="5D912A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14:paraId="1AF74950">
      <w:pPr>
        <w:rPr>
          <w:b/>
          <w:color w:val="auto"/>
          <w:sz w:val="24"/>
        </w:rPr>
      </w:pPr>
    </w:p>
    <w:tbl>
      <w:tblPr>
        <w:tblStyle w:val="44"/>
        <w:tblW w:w="132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9"/>
        <w:gridCol w:w="857"/>
        <w:gridCol w:w="9846"/>
        <w:gridCol w:w="813"/>
        <w:gridCol w:w="1080"/>
      </w:tblGrid>
      <w:tr w14:paraId="0AA21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3275" w:type="dxa"/>
            <w:gridSpan w:val="5"/>
            <w:tcBorders>
              <w:top w:val="single" w:color="000000" w:sz="8" w:space="0"/>
              <w:left w:val="single" w:color="000000" w:sz="8" w:space="0"/>
              <w:bottom w:val="nil"/>
              <w:right w:val="nil"/>
            </w:tcBorders>
            <w:shd w:val="clear" w:color="auto" w:fill="FFFFFF"/>
            <w:noWrap w:val="0"/>
            <w:vAlign w:val="center"/>
          </w:tcPr>
          <w:p w14:paraId="74CAF2C9">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32"/>
                <w:szCs w:val="32"/>
                <w:u w:val="none"/>
                <w:lang w:val="en-US" w:eastAsia="zh-CN" w:bidi="ar"/>
              </w:rPr>
            </w:pPr>
          </w:p>
          <w:p w14:paraId="3D4E1C46">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音乐教室</w:t>
            </w:r>
          </w:p>
        </w:tc>
      </w:tr>
      <w:tr w14:paraId="282D4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814AAD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85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46FB3F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84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377D2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参数</w:t>
            </w:r>
          </w:p>
        </w:tc>
        <w:tc>
          <w:tcPr>
            <w:tcW w:w="8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5AD6A1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10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5E67AA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r>
      <w:tr w14:paraId="42255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8" w:space="0"/>
              <w:left w:val="single" w:color="000000" w:sz="8" w:space="0"/>
              <w:bottom w:val="single" w:color="000000" w:sz="8" w:space="0"/>
              <w:right w:val="single" w:color="000000" w:sz="8" w:space="0"/>
            </w:tcBorders>
            <w:shd w:val="clear" w:color="B5C6EA" w:fill="FFFFFF"/>
            <w:noWrap/>
            <w:vAlign w:val="center"/>
          </w:tcPr>
          <w:p w14:paraId="64424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8" w:space="0"/>
                <w:shd w:val="clear" w:color="auto" w:fill="FFFFFF"/>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525" cy="760095"/>
                  <wp:effectExtent l="0" t="0" r="635" b="1905"/>
                  <wp:wrapNone/>
                  <wp:docPr id="6" name="图片_8"/>
                  <wp:cNvGraphicFramePr/>
                  <a:graphic xmlns:a="http://schemas.openxmlformats.org/drawingml/2006/main">
                    <a:graphicData uri="http://schemas.openxmlformats.org/drawingml/2006/picture">
                      <pic:pic xmlns:pic="http://schemas.openxmlformats.org/drawingml/2006/picture">
                        <pic:nvPicPr>
                          <pic:cNvPr id="6" name="图片_8"/>
                          <pic:cNvPicPr/>
                        </pic:nvPicPr>
                        <pic:blipFill>
                          <a:blip r:embed="rId17"/>
                          <a:stretch>
                            <a:fillRect/>
                          </a:stretch>
                        </pic:blipFill>
                        <pic:spPr>
                          <a:xfrm>
                            <a:off x="0" y="0"/>
                            <a:ext cx="9525" cy="7600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shd w:val="clear" w:color="auto" w:fill="FFFFFF"/>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525" cy="387985"/>
                  <wp:effectExtent l="0" t="0" r="635" b="8255"/>
                  <wp:wrapNone/>
                  <wp:docPr id="7" name="图片_9"/>
                  <wp:cNvGraphicFramePr/>
                  <a:graphic xmlns:a="http://schemas.openxmlformats.org/drawingml/2006/main">
                    <a:graphicData uri="http://schemas.openxmlformats.org/drawingml/2006/picture">
                      <pic:pic xmlns:pic="http://schemas.openxmlformats.org/drawingml/2006/picture">
                        <pic:nvPicPr>
                          <pic:cNvPr id="7" name="图片_9"/>
                          <pic:cNvPicPr/>
                        </pic:nvPicPr>
                        <pic:blipFill>
                          <a:blip r:embed="rId18"/>
                          <a:stretch>
                            <a:fillRect/>
                          </a:stretch>
                        </pic:blipFill>
                        <pic:spPr>
                          <a:xfrm>
                            <a:off x="0" y="0"/>
                            <a:ext cx="9525" cy="38798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shd w:val="clear" w:color="auto" w:fill="FFFFFF"/>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9525" cy="387985"/>
                  <wp:effectExtent l="0" t="0" r="635" b="8255"/>
                  <wp:wrapNone/>
                  <wp:docPr id="8" name="图片_1"/>
                  <wp:cNvGraphicFramePr/>
                  <a:graphic xmlns:a="http://schemas.openxmlformats.org/drawingml/2006/main">
                    <a:graphicData uri="http://schemas.openxmlformats.org/drawingml/2006/picture">
                      <pic:pic xmlns:pic="http://schemas.openxmlformats.org/drawingml/2006/picture">
                        <pic:nvPicPr>
                          <pic:cNvPr id="8" name="图片_1"/>
                          <pic:cNvPicPr/>
                        </pic:nvPicPr>
                        <pic:blipFill>
                          <a:blip r:embed="rId19"/>
                          <a:stretch>
                            <a:fillRect/>
                          </a:stretch>
                        </pic:blipFill>
                        <pic:spPr>
                          <a:xfrm>
                            <a:off x="0" y="0"/>
                            <a:ext cx="9525" cy="38798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2</w:t>
            </w:r>
          </w:p>
        </w:tc>
        <w:tc>
          <w:tcPr>
            <w:tcW w:w="85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837FB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功放</w:t>
            </w:r>
          </w:p>
        </w:tc>
        <w:tc>
          <w:tcPr>
            <w:tcW w:w="984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C2C7F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主要功能特点：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1、拥有四组输出接口，可连接4只4-8Ω音箱；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2、双声道信号指示灯；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3、RS232控制接口（定制功能)；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4、带数码显视屏；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5、三路音源输入，带输入选择切换开关；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6、四路话筒插口（环保麦克风插口自带DC+6V电源）；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7、采用双声道高保真全分离件、全频带功率放大系统；可实现话筒音量、高低音独立控制及混响调节,线路可进行音量及高低音独立调节；能有效的抑制声反馈，克服“啸叫”；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8、机架式机箱,主要功能键采用暗藏式设计、有效避免产生误操作，能有效延长扩音系统的使用寿命；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9、全中文界面,易于国内用户使用；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10、可广泛应用于多媒体教室、小型会议室等场所的扩音。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1、额定功率：2×150W/8Ω；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2、最大功率：2×300W/8Ω；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3、频率响应：线路输入 20Hz-20KHz、话筒 60Hz-14KHz；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4、线路音调控制：高音 10KHz±12dB、低音 100Hz±12dB；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5、话筒音调控制：高音 10KHz±12dB 、低音 100Hz±12dB；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6、额定输入电平：话筒 15mV（非平衡）、线路 200mV；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7、额定输出电平：线路 0.775V；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8、失真度 ≤0.5%；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9、信噪比：≥80dB(A计权)；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10、主保险丝：4A；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11、电源：交流220V±10%/50Hz；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12、材质及表面处理：铝合金喷沙处理；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13、颜色：银色；</w:t>
            </w:r>
          </w:p>
        </w:tc>
        <w:tc>
          <w:tcPr>
            <w:tcW w:w="813" w:type="dxa"/>
            <w:tcBorders>
              <w:top w:val="single" w:color="000000" w:sz="8" w:space="0"/>
              <w:left w:val="single" w:color="000000" w:sz="8" w:space="0"/>
              <w:bottom w:val="single" w:color="000000" w:sz="8" w:space="0"/>
              <w:right w:val="single" w:color="000000" w:sz="8" w:space="0"/>
            </w:tcBorders>
            <w:shd w:val="clear" w:color="B5C6EA" w:fill="FFFFFF"/>
            <w:noWrap w:val="0"/>
            <w:vAlign w:val="center"/>
          </w:tcPr>
          <w:p w14:paraId="728EF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0" w:type="dxa"/>
            <w:tcBorders>
              <w:top w:val="single" w:color="000000" w:sz="8" w:space="0"/>
              <w:left w:val="single" w:color="000000" w:sz="8" w:space="0"/>
              <w:bottom w:val="single" w:color="000000" w:sz="8" w:space="0"/>
              <w:right w:val="single" w:color="000000" w:sz="8" w:space="0"/>
            </w:tcBorders>
            <w:shd w:val="clear" w:color="B5C6EA" w:fill="FFFFFF"/>
            <w:noWrap w:val="0"/>
            <w:vAlign w:val="center"/>
          </w:tcPr>
          <w:p w14:paraId="720BA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102E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nil"/>
              <w:left w:val="single" w:color="000000" w:sz="8" w:space="0"/>
              <w:bottom w:val="single" w:color="000000" w:sz="4" w:space="0"/>
              <w:right w:val="single" w:color="000000" w:sz="4" w:space="0"/>
            </w:tcBorders>
            <w:shd w:val="clear" w:color="B5C6EA" w:fill="FFFFFF"/>
            <w:noWrap/>
            <w:vAlign w:val="center"/>
          </w:tcPr>
          <w:p w14:paraId="60ED44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57" w:type="dxa"/>
            <w:tcBorders>
              <w:top w:val="nil"/>
              <w:left w:val="single" w:color="000000" w:sz="4" w:space="0"/>
              <w:bottom w:val="single" w:color="000000" w:sz="4" w:space="0"/>
              <w:right w:val="single" w:color="000000" w:sz="4" w:space="0"/>
            </w:tcBorders>
            <w:shd w:val="clear" w:color="auto" w:fill="auto"/>
            <w:noWrap w:val="0"/>
            <w:vAlign w:val="center"/>
          </w:tcPr>
          <w:p w14:paraId="012B44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无线话筒</w:t>
            </w:r>
          </w:p>
        </w:tc>
        <w:tc>
          <w:tcPr>
            <w:tcW w:w="9846" w:type="dxa"/>
            <w:tcBorders>
              <w:top w:val="nil"/>
              <w:left w:val="single" w:color="000000" w:sz="4" w:space="0"/>
              <w:bottom w:val="single" w:color="000000" w:sz="4" w:space="0"/>
              <w:right w:val="single" w:color="000000" w:sz="4" w:space="0"/>
            </w:tcBorders>
            <w:shd w:val="clear" w:color="auto" w:fill="auto"/>
            <w:noWrap w:val="0"/>
            <w:vAlign w:val="center"/>
          </w:tcPr>
          <w:p w14:paraId="361B7A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主要功能特点：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1、高保真咪芯，高音细腻，中低频更足，拾音更强大，合金拉丝面板；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2、大宽体金属机箱，K歌音效完美；                                                                                                                                                                                       3、2通道UHF无线系统，每个通道100个频率可选；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4、配有LCD液晶显示，实时反馈系统工作状态；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5、采用数字音码锁定技术，有效阻隔使用环境中杂讯干扰；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6、采用最新红外线自动对频（IR）与自动选频（AFS）技术，设定和操作更简便；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7、每只话筒可互换使用，手持管使用金属外观，经久耐用，性能稳定，可选配手持/领夹式/头戴式话筒。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主要技术参数：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1、使用电池，两节1.5VV电池；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2、标准工作电压时正常工作电流(mA)；140mA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3、标准工作电压时正常工作功率(W0.42W)；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4、最低工作电压(V)2.0V；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5、使用时间(h3.5/h)；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6、使用方式（手持式、鹅颈式、头戴式）；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7、载波频段(MHz)UHF640~699.7MHz；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8、振荡模式PLL锁相环综合控制；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9、频带宽度(MHz)60MHz、；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10、发射功率(mW18mW/30mW可调)；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12、拾音器动圈式；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13、拾音器灵敏度(dB-38dB±2dB(0dB=1V/PalKHz))；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14、指向特性全指向性；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15、频率调整IR红外线自动；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16、频率响应(hZ)30-18,000 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17、输出阻抗(Ω≤600Ω)；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18、操作显示LCD液晶显示；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19、接触发射强度(dB)大于8dB；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20、旋钮带LED蓝灯背光；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含话筒支架                                                                                                                                                                                                              </w:t>
            </w:r>
          </w:p>
        </w:tc>
        <w:tc>
          <w:tcPr>
            <w:tcW w:w="813" w:type="dxa"/>
            <w:tcBorders>
              <w:top w:val="nil"/>
              <w:left w:val="single" w:color="000000" w:sz="4" w:space="0"/>
              <w:bottom w:val="single" w:color="000000" w:sz="4" w:space="0"/>
              <w:right w:val="single" w:color="000000" w:sz="4" w:space="0"/>
            </w:tcBorders>
            <w:shd w:val="clear" w:color="D9E1F4" w:fill="FFFFFF"/>
            <w:noWrap w:val="0"/>
            <w:vAlign w:val="center"/>
          </w:tcPr>
          <w:p w14:paraId="777FF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0" w:type="dxa"/>
            <w:tcBorders>
              <w:top w:val="nil"/>
              <w:left w:val="single" w:color="000000" w:sz="4" w:space="0"/>
              <w:bottom w:val="single" w:color="000000" w:sz="4" w:space="0"/>
              <w:right w:val="single" w:color="000000" w:sz="4" w:space="0"/>
            </w:tcBorders>
            <w:shd w:val="clear" w:color="D9E1F4" w:fill="FFFFFF"/>
            <w:noWrap w:val="0"/>
            <w:vAlign w:val="center"/>
          </w:tcPr>
          <w:p w14:paraId="75479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3D70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nil"/>
              <w:left w:val="single" w:color="000000" w:sz="8" w:space="0"/>
              <w:bottom w:val="single" w:color="000000" w:sz="4" w:space="0"/>
              <w:right w:val="single" w:color="000000" w:sz="4" w:space="0"/>
            </w:tcBorders>
            <w:shd w:val="clear" w:color="B5C6EA" w:fill="FFFFFF"/>
            <w:noWrap/>
            <w:vAlign w:val="center"/>
          </w:tcPr>
          <w:p w14:paraId="34FBB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DDB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音箱</w:t>
            </w:r>
          </w:p>
        </w:tc>
        <w:tc>
          <w:tcPr>
            <w:tcW w:w="98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5AA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主要功能特点：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1、两分频卡包式多媒体音箱，动态性能良好；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2、箱体结构采用计算机CAD辅助设计；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3、分频器经过专业扬声器测试系统调校、检测；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4、音质清晰自然、人声表达准确；适用于多媒体课室和电教室。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1、额定功率：80W；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2、最大功率：240W；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3、额定阻抗：8Ω；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4、频率响应：50Hz-18kHz；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5、驱动器：1个8寸长冲程低音驱动器、2个3寸前纸盆高音；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6、灵敏度：88dB/1W/1M；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7、最大声压级：112dB；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8、分频器：1.8KHz；指向性覆盖角：140°（H）x100°（V）；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9、连接器：正负极接线夹；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10、箱体型式：倒相式；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11、箱体及外饰：高密度中纤板（黑色）箱体，钢网；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12、安装：顶部10CM孔距2个M8吊挂；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13、所投音箱额定噪声功率、额定阻抗及频率响应部分，</w:t>
            </w:r>
          </w:p>
        </w:tc>
        <w:tc>
          <w:tcPr>
            <w:tcW w:w="813" w:type="dxa"/>
            <w:tcBorders>
              <w:top w:val="single" w:color="000000" w:sz="4" w:space="0"/>
              <w:left w:val="single" w:color="000000" w:sz="4" w:space="0"/>
              <w:bottom w:val="single" w:color="000000" w:sz="4" w:space="0"/>
              <w:right w:val="single" w:color="000000" w:sz="4" w:space="0"/>
            </w:tcBorders>
            <w:shd w:val="clear" w:color="B5C6EA" w:fill="FFFFFF"/>
            <w:noWrap w:val="0"/>
            <w:vAlign w:val="center"/>
          </w:tcPr>
          <w:p w14:paraId="2B142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B5C6EA" w:fill="FFFFFF"/>
            <w:noWrap w:val="0"/>
            <w:vAlign w:val="center"/>
          </w:tcPr>
          <w:p w14:paraId="139E8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DB1E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nil"/>
              <w:left w:val="single" w:color="000000" w:sz="8" w:space="0"/>
              <w:bottom w:val="single" w:color="000000" w:sz="4" w:space="0"/>
              <w:right w:val="single" w:color="000000" w:sz="4" w:space="0"/>
            </w:tcBorders>
            <w:shd w:val="clear" w:color="B5C6EA" w:fill="FFFFFF"/>
            <w:noWrap/>
            <w:vAlign w:val="center"/>
          </w:tcPr>
          <w:p w14:paraId="6A74F2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57" w:type="dxa"/>
            <w:tcBorders>
              <w:top w:val="single" w:color="000000" w:sz="4" w:space="0"/>
              <w:left w:val="single" w:color="000000" w:sz="4" w:space="0"/>
              <w:bottom w:val="nil"/>
              <w:right w:val="nil"/>
            </w:tcBorders>
            <w:shd w:val="clear" w:color="auto" w:fill="FFFFFF"/>
            <w:noWrap/>
            <w:vAlign w:val="center"/>
          </w:tcPr>
          <w:p w14:paraId="60923B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航空机柜</w:t>
            </w:r>
          </w:p>
        </w:tc>
        <w:tc>
          <w:tcPr>
            <w:tcW w:w="9846" w:type="dxa"/>
            <w:tcBorders>
              <w:top w:val="single" w:color="000000" w:sz="4" w:space="0"/>
              <w:left w:val="single" w:color="000000" w:sz="4" w:space="0"/>
              <w:bottom w:val="nil"/>
              <w:right w:val="single" w:color="000000" w:sz="4" w:space="0"/>
            </w:tcBorders>
            <w:shd w:val="clear" w:color="auto" w:fill="auto"/>
            <w:noWrap w:val="0"/>
            <w:vAlign w:val="center"/>
          </w:tcPr>
          <w:p w14:paraId="3C2122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1、采用的高密度防火饰面胶合板板材，抗划伤。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2、挂锁、抽手、球包、中角直码采用镀铬金属件，防锈能力强。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3、脚轮（带刹车）承载重量达200Kg。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4、产品外形美观大方，充分体现高端品质。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5、另外我司定做各类音箱航空箱。</w:t>
            </w:r>
          </w:p>
        </w:tc>
        <w:tc>
          <w:tcPr>
            <w:tcW w:w="813"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4E231B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48196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F2C7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nil"/>
              <w:left w:val="single" w:color="000000" w:sz="8" w:space="0"/>
              <w:bottom w:val="single" w:color="000000" w:sz="4" w:space="0"/>
              <w:right w:val="single" w:color="000000" w:sz="4" w:space="0"/>
            </w:tcBorders>
            <w:shd w:val="clear" w:color="B5C6EA" w:fill="FFFFFF"/>
            <w:noWrap/>
            <w:vAlign w:val="center"/>
          </w:tcPr>
          <w:p w14:paraId="7A622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57" w:type="dxa"/>
            <w:tcBorders>
              <w:top w:val="single" w:color="000000" w:sz="4" w:space="0"/>
              <w:left w:val="single" w:color="000000" w:sz="4" w:space="0"/>
              <w:bottom w:val="nil"/>
              <w:right w:val="single" w:color="000000" w:sz="4" w:space="0"/>
            </w:tcBorders>
            <w:shd w:val="clear" w:color="auto" w:fill="auto"/>
            <w:noWrap w:val="0"/>
            <w:vAlign w:val="center"/>
          </w:tcPr>
          <w:p w14:paraId="56E77B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音乐器材储藏柜</w:t>
            </w:r>
          </w:p>
        </w:tc>
        <w:tc>
          <w:tcPr>
            <w:tcW w:w="9846" w:type="dxa"/>
            <w:tcBorders>
              <w:top w:val="single" w:color="000000" w:sz="4" w:space="0"/>
              <w:left w:val="single" w:color="000000" w:sz="4" w:space="0"/>
              <w:bottom w:val="nil"/>
              <w:right w:val="single" w:color="000000" w:sz="4" w:space="0"/>
            </w:tcBorders>
            <w:shd w:val="clear" w:color="auto" w:fill="auto"/>
            <w:noWrap w:val="0"/>
            <w:vAlign w:val="center"/>
          </w:tcPr>
          <w:p w14:paraId="70B5C6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1、规格：800×1800×400mm。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2、采用冷轧钢板,粉末静电喷涂,焊接牢洗除锈,锌洗磷化后粉末喷涂.防护性好附着力强.采用国际品牌的粉沫使产品真正的环保无毒害。</w:t>
            </w:r>
          </w:p>
        </w:tc>
        <w:tc>
          <w:tcPr>
            <w:tcW w:w="813" w:type="dxa"/>
            <w:tcBorders>
              <w:top w:val="single" w:color="000000" w:sz="4" w:space="0"/>
              <w:left w:val="single" w:color="000000" w:sz="4" w:space="0"/>
              <w:bottom w:val="nil"/>
              <w:right w:val="single" w:color="000000" w:sz="4" w:space="0"/>
            </w:tcBorders>
            <w:shd w:val="clear" w:color="D9E1F4" w:fill="FFFFFF"/>
            <w:noWrap/>
            <w:vAlign w:val="center"/>
          </w:tcPr>
          <w:p w14:paraId="15E09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nil"/>
              <w:right w:val="single" w:color="000000" w:sz="4" w:space="0"/>
            </w:tcBorders>
            <w:shd w:val="clear" w:color="D9E1F4" w:fill="FFFFFF"/>
            <w:noWrap/>
            <w:vAlign w:val="center"/>
          </w:tcPr>
          <w:p w14:paraId="4F4B5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6C9F0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nil"/>
              <w:left w:val="single" w:color="000000" w:sz="8" w:space="0"/>
              <w:bottom w:val="single" w:color="000000" w:sz="4" w:space="0"/>
              <w:right w:val="single" w:color="000000" w:sz="4" w:space="0"/>
            </w:tcBorders>
            <w:shd w:val="clear" w:color="B5C6EA" w:fill="FFFFFF"/>
            <w:noWrap/>
            <w:vAlign w:val="center"/>
          </w:tcPr>
          <w:p w14:paraId="20CD9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57" w:type="dxa"/>
            <w:tcBorders>
              <w:top w:val="single" w:color="000000" w:sz="4" w:space="0"/>
              <w:left w:val="single" w:color="000000" w:sz="4" w:space="0"/>
              <w:bottom w:val="nil"/>
              <w:right w:val="single" w:color="000000" w:sz="4" w:space="0"/>
            </w:tcBorders>
            <w:shd w:val="clear" w:color="B5C6EA" w:fill="FFFFFF"/>
            <w:noWrap w:val="0"/>
            <w:vAlign w:val="center"/>
          </w:tcPr>
          <w:p w14:paraId="7EDEC7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六面体凳</w:t>
            </w:r>
          </w:p>
        </w:tc>
        <w:tc>
          <w:tcPr>
            <w:tcW w:w="9846" w:type="dxa"/>
            <w:tcBorders>
              <w:top w:val="single" w:color="000000" w:sz="4" w:space="0"/>
              <w:left w:val="single" w:color="000000" w:sz="4" w:space="0"/>
              <w:bottom w:val="nil"/>
              <w:right w:val="single" w:color="000000" w:sz="4" w:space="0"/>
            </w:tcBorders>
            <w:shd w:val="clear" w:color="B5C6EA" w:fill="FFFFFF"/>
            <w:noWrap w:val="0"/>
            <w:vAlign w:val="center"/>
          </w:tcPr>
          <w:p w14:paraId="338ECA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1、材质：复合木制板材、带ABS包边材料、硬质包角钉制；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2、规格：300*360*410含护角部分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3、结构：由一正方体凳组成，凳子颜色有3种，3色对称。凳子有8个护角，护角为硬质塑料制成，防滑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4、使用方法：打开包装即可使用，根据需要可组合各种形状</w:t>
            </w:r>
          </w:p>
        </w:tc>
        <w:tc>
          <w:tcPr>
            <w:tcW w:w="813" w:type="dxa"/>
            <w:tcBorders>
              <w:top w:val="single" w:color="000000" w:sz="4" w:space="0"/>
              <w:left w:val="single" w:color="000000" w:sz="4" w:space="0"/>
              <w:bottom w:val="nil"/>
              <w:right w:val="single" w:color="000000" w:sz="4" w:space="0"/>
            </w:tcBorders>
            <w:shd w:val="clear" w:color="B5C6EA" w:fill="FFFFFF"/>
            <w:noWrap/>
            <w:vAlign w:val="center"/>
          </w:tcPr>
          <w:p w14:paraId="76DF2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nil"/>
              <w:right w:val="single" w:color="000000" w:sz="4" w:space="0"/>
            </w:tcBorders>
            <w:shd w:val="clear" w:color="B5C6EA" w:fill="FFFFFF"/>
            <w:noWrap w:val="0"/>
            <w:vAlign w:val="center"/>
          </w:tcPr>
          <w:p w14:paraId="42115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14:paraId="1A398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23EEF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57" w:type="dxa"/>
            <w:tcBorders>
              <w:top w:val="single" w:color="000000" w:sz="4" w:space="0"/>
              <w:left w:val="single" w:color="000000" w:sz="4" w:space="0"/>
              <w:bottom w:val="single" w:color="000000" w:sz="4" w:space="0"/>
              <w:right w:val="single" w:color="000000" w:sz="4" w:space="0"/>
            </w:tcBorders>
            <w:shd w:val="clear" w:color="B5C6EA" w:fill="FFFFFF"/>
            <w:noWrap w:val="0"/>
            <w:vAlign w:val="center"/>
          </w:tcPr>
          <w:p w14:paraId="08354C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数字化音乐教学系统</w:t>
            </w:r>
          </w:p>
        </w:tc>
        <w:tc>
          <w:tcPr>
            <w:tcW w:w="9846" w:type="dxa"/>
            <w:tcBorders>
              <w:top w:val="single" w:color="000000" w:sz="4" w:space="0"/>
              <w:left w:val="single" w:color="000000" w:sz="4" w:space="0"/>
              <w:bottom w:val="single" w:color="000000" w:sz="4" w:space="0"/>
              <w:right w:val="single" w:color="000000" w:sz="4" w:space="0"/>
            </w:tcBorders>
            <w:shd w:val="clear" w:color="B5C6EA" w:fill="FFFFFF"/>
            <w:noWrap w:val="0"/>
            <w:vAlign w:val="center"/>
          </w:tcPr>
          <w:p w14:paraId="655C32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方便数据收集与分析，登录时需要输入账号、密码。系统具备默认用户，打开软件即可使用默认账户、密码登录。用户还可选择新增账户，通过设置用户名、密码、手机号、学校等对应信息即可完成注册。注册完成后，使用新账户、密码即可登录进入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音乐教学软件包括欣赏与演唱教学模块、教师备课与资源模块模块、演奏教学模块、器乐教学模块、识谱教学模块、创编模块，是一个高度集成化的音乐教学系统。（提供软件产品测试登记报告的复印件并加盖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以下所有功能须在同一软件下实现：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一、欣赏与演唱教学模块：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1、支持聆听音乐、欣赏乐谱、学习曲式等功能，支持教学音频和乐谱相结合，五线谱、简谱曲谱播放时，同步高亮显示当前播放内容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2、支持精准定位播放，点击乐谱任意小节，音频即可随之定位播放。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3、可对音乐教材或乐谱进行智能结构分段，划分乐句乐段编辑曲式结构图，实时添加乐段分析内容；（提供软件产品测试登记报告的复印件并加盖厂家公章）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4、音频定位可以多种方式随时跳转，方便教师在欣赏音乐与分析音乐的教学同步进行，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5、具备欣赏资源库，包含了乐器史、中外音乐元素、东西方音乐家介绍等；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6、欣赏资源库支持教师自主添加编辑，且教师可搜索和调用资源进行扩展教学，查看名人文字介绍资料时可同步播放其代表作音频、视频进行教学；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7、支持配合五线谱或简谱歌谱，进行范唱播放、伴奏播放及单旋律播放；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8、在范唱播放、伴奏播放及单旋律播放过程中，可改变乐曲播放速度、乐曲播放音调及乐曲播放音色（改变速度时不用暂停）；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对于歌曲中的难点唱段，可使用反复功能在乐谱上划定范围反复播放；对于歌曲中的重点内容讲解，教师可选用重难点乐句功能，将复杂节奏或大跳音程录入其中，改变其速度，反复播放，让学生加深记忆。还可对录入的文件进行保存，循环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二、教师备课与资源模块：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1、支持教师在书本资源上编辑备课信息，可为每个章节、每节课添加备课内容，包括文字教案、教学多媒体资源文件，同时可预先选定需要使用的功能模块。（提供软件产品测试登记报告的复印件并加盖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2、备课内容可按赏、唱、奏、识、创、评六大分类进行有序组织。授课时，可直接打开六大分类集合，直接调出对应的教案、授课资源、功能模块进行授课；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3、文字教案也可以随时打开查看，具备一个独立的小窗口进行展示。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4、系统涉及的教学资源均可由教师自主编辑，包括书本、书页、章节分类、曲谱、多媒体教学资源。书架中的书本可导入完整书本包或从零编辑。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三、演奏教学模块：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1、有独立的乐器展示界面。包含键盘乐器、木管乐器、铜管乐器、弦乐器、打击乐器、民族乐器、小打乐器等30种常见乐器；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2、可观看乐器的样式，可聆听乐器的音色；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3、可通过软件模拟真实乐器样式以及操作方式，通过点触屏幕或点击鼠标的方式代替真实操作方式，点触可实时发声。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4、架子鼓界面包含6鼓4镲，点击时可以图形动画形式模拟器件的振动，同时发出真实采样MIDI音色，竖笛等乐器均用图形模拟真实吹奏方式及指法。（提供功能演示视频或功能截图佐证该项功能）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5、系统运用VSTI音源及MIDI音源，对每种乐器进行真声采样，让教师及学生即使只通过MIDI键盘/电子琴键盘、鼠标/触屏操作即能感受真实乐器的音色以及操作方式，认识不同音色以及乐器样式。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四、识谱教学模块：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1、支持五线谱、简谱的打谱、播放及识谱教学，可通过鼠标/触屏或屏幕虚拟键盘或实体键盘等进行音符的添加和编辑；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2、支持在实体键盘上按下琴键，可在五线谱或简谱上实时显示其对应音符，实时播放对应音符声音，学习音符形状、样式以及连接规则；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3、五线谱乐理教学时，软件界面中可显示出每个音符的基本信息，如：音名、唱名及简谱，还可实时显示音程及和弦性质。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4、五线谱乐理教学时可随时切换乐谱的调式调性，乐谱中调号及音符实时变化，并可随时播放对应声音；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5、识谱教学可教授学生认识常见13种节奏型、音符/休止符/升降记号/谱表等音乐符号、五线谱及简谱相关的乐理知识；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6、具备软件节拍器，利用高精度计时器精准控制，节拍器音色可调；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7、具备乐理知识库，包含大量中小学所涉及的乐理知识点，教师只需搜索并调用，乐理知识库可由教师打开后台自主编辑。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8、支持教学板展示为空白无乐理规则五线样式，用于乐理基础教学。支持教师将常见乐理符号由列表框中拖动到五线中的任意位置，便于开展基础乐理符号对比教学与讲解。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五、创编模块：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t>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支持新增任意数量小节五线谱的打谱功能，教师和学生可在五线谱上进行“音乐新课标”要求的8小节的节奏创编或旋律创编，也可进行大篇幅完整的旋律创编；（提供软件产品测试登记报告的复印件并加盖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2、创编功能须提供全音符至三十二分音符、全休止符至三十二分休止符、附点、升降记号的添加与编辑，以及10种常见拍号切换、2种谱表切换及相应功能；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3、音符、乐谱编辑可通过触摸屏点触、屏幕钢琴键盘点触以及实体电钢琴、电子琴键盘弹奏三种形式；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教学环节中，教师可进行示范打谱，学生可往后进行接龙打谱，让学生高度参与音乐课堂中，创编结果可保存为MIDI音频格式和PDF文档格式进行传播和分享，为每位学生留存一个成长印记，打开乐谱查看功能需支持MIDI格式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w:t>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配器创编：支持通过钢琴卷帘的形式开展创编教学，以网格状编辑页面替代乐谱编辑，单元格为音符，纵轴表示音高，横轴表示音符时值，通过点击填充单元格方式创编降低创编门槛。支持教师任意添加乐器轨道，开始创编，可添加乐器轨道数≥5个，创作完成后，即可统一合并播放讲解。（提供功能演示视频或功能截图佐证该项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w:t>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作曲基础教学：具备谱曲基础教学模块，通过节奏、音阶、和弦等内容引导教学谱曲基础知识，可用于教授如何从基础鼓点及音符开始谱曲。节奏部分包括鼓的组成、节拍和速度、速度与曲风、反拍节奏等内容，音符与音阶部分包括创作乐句、调和音阶、小调音阶等内容，和弦部分包括和弦创作、大三和弦、小三和弦、常见和弦连接等内容。（提供功能演示视频或功能截图佐证该项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六、测评模块：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1、具备测评模块，支持随堂测评及调用现有题库开展测评；（提供软件产品测试登记报告的复印件并加盖厂家公章）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2、测评模块包含题库模块，题库可由教师用户自主编辑与修改，也可提前导入题目形成默认题库；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3、测评模块题型包含常见选择题、连线题等题型，亦包括音乐特色的创编题；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4、创编题可利用五线谱或简谱打谱模块，配合文字描述进行出题；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5、随堂测评或考试完成后，可生成统计分析内容。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七、设备与控制：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设备控制：具备专门的设备设置面板，可随意设置ASIO驱动设备、喇叭外放设备、MIDI输出设备、MIDI输入设备，ASIO驱动设备可挂载VSTI插件发声，MIDI输出设备可驱动MIDI发声，MIDI输入设备兼容市面所有MIDI设备（如电钢琴、电子琴、电鼓等），即插即用，随意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VSTI发声控制：系统内置30种以上VSTI音源插件，默认包含常见的键盘、木管、铜管、弦乐、打击乐、民乐、小打乐器共七种类型常见30余种乐器。同时系统支持音色扩展，新增VSTI音源安装至软件系统，配合对应功能即可使用该音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MIDI发声控制：MIDI发声默认使用GM音色，针对特定软件功能使用专用MIDI音源，如贝斯、鼓等电子乐器学习样式、演奏方法时需使用特定MIDI音源。为满足教师扩展教学需求，MIDI音源可定制和替换，MIDI音色数可扩展至数百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4、指法采集设备：支持任意USB指法采集设备，即插即用，打开指法教学窗口，切换到对应指法采集设备，即可开展钢琴键盘指法教学。</w:t>
            </w:r>
          </w:p>
        </w:tc>
        <w:tc>
          <w:tcPr>
            <w:tcW w:w="813"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33393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1AE2AC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8F02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3A37C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B5C6EA" w:fill="FFFFFF"/>
            <w:noWrap w:val="0"/>
            <w:vAlign w:val="center"/>
          </w:tcPr>
          <w:p w14:paraId="4B4A5A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立式钢琴</w:t>
            </w:r>
          </w:p>
        </w:tc>
        <w:tc>
          <w:tcPr>
            <w:tcW w:w="9846" w:type="dxa"/>
            <w:tcBorders>
              <w:top w:val="single" w:color="000000" w:sz="4" w:space="0"/>
              <w:left w:val="single" w:color="000000" w:sz="4" w:space="0"/>
              <w:bottom w:val="single" w:color="000000" w:sz="4" w:space="0"/>
              <w:right w:val="single" w:color="000000" w:sz="4" w:space="0"/>
            </w:tcBorders>
            <w:shd w:val="clear" w:color="B5C6EA" w:fill="FFFFFF"/>
            <w:noWrap w:val="0"/>
            <w:vAlign w:val="center"/>
          </w:tcPr>
          <w:p w14:paraId="2EFD74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1.型号: 123机械钢琴，具有机械钢琴必备的三个踏板，包括延音踏板、弱音踏板、柔音踏板；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钢琴款型:立式钢琴，基本结构均符合GB/T 10159-2002中3.3的有关要求；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2.钢琴键数:88键，音质：全音域均匀、连贯、无杂音，音量：全音域均匀，能表现不同的强弱音，层次清楚；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3.产品规格：长151cm，宽61cm，高123cm；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4.音板: 采用不等厚纯实木单板音板，符合GB/T 10159－2002的相关要求；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5.肋木：在原木上切出直纹并进行成型加工后,将称为 肋木的粗而结实的木材与音板的横纹交叉装配,由操 作熟练的工匠精心组装而成。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6.油漆：光面乌黑色,树脂环保涂料，钢琴烤漆工艺，琴整体结构牢固，表面平整，色泽均匀协调，缝隙均匀，各活动件开闭方便，稳妥可靠，表面涂饰符合GB/T 10159-2002 中的规定，平面度符合GB/T 10159-2002 中的规定；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7.机芯：采用进口原装机芯，制作工艺达到 0.05 毫 米的精密度，符合GB/T 2279－2004的规定；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8.马克：1436马克，符合标准机械钢琴马克要求；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9.铁板：采用真空铸造技术，其铸铁板承重超过20吨的标准，符合HT150-200标准,符合GB/T 10159－2002中4.4的规定，踏瓣、铰链、压弦条、弦枕、弦枕钮、锁的表面光洁，没有锈蚀和变色；外观色泽一致，不起泡、脱皮和露底，电镀件防锈能力符合GB/T3451－1982的规定，耐腐蚀等级不小于６级；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10.琴弦：琴弦采用德国ROSLAU琴弦，达到GB/T 10159－2002的相关要求；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11.弦码：采用色木多层板制作。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12.琴槌：采用原装品牌GARDMAN标识的专业榔头，达到GB/T 10159－2002的相关要求；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13.键盘：采用实木复合键盘，键盘表面硬度2H以上，砝码加铅技术，内置高级液压缓降器，白键前端长度为48.0mm，每音组白键宽度符合QB/T 3912-1999表１中A的规定，黑键上端面宽度符合QB/T 3912-1999表１中A的规定，黑键底宽度为11.0mm，黑键长度为94mm，黑键前端距白键面的高度为11.5mm，琴键间隙符合QB/T 3912-1999表１的规定，琴键面排列平整，各键倒棱、倒角，中盘底面距地面高度不低于570mm，白键面距地面高度不低于640mm。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14.缓降器：采用原装高级液压不锈钢缓降器，防止压手，反复使用可达50万次。</w:t>
            </w:r>
          </w:p>
        </w:tc>
        <w:tc>
          <w:tcPr>
            <w:tcW w:w="813"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64313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270C8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589C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0A7AB2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57" w:type="dxa"/>
            <w:tcBorders>
              <w:top w:val="single" w:color="000000" w:sz="4" w:space="0"/>
              <w:left w:val="single" w:color="000000" w:sz="4" w:space="0"/>
              <w:bottom w:val="single" w:color="000000" w:sz="4" w:space="0"/>
              <w:right w:val="single" w:color="000000" w:sz="4" w:space="0"/>
            </w:tcBorders>
            <w:shd w:val="clear" w:color="D9E1F4" w:fill="FFFFFF"/>
            <w:noWrap w:val="0"/>
            <w:vAlign w:val="center"/>
          </w:tcPr>
          <w:p w14:paraId="482348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音乐节拍器</w:t>
            </w:r>
          </w:p>
        </w:tc>
        <w:tc>
          <w:tcPr>
            <w:tcW w:w="9846" w:type="dxa"/>
            <w:tcBorders>
              <w:top w:val="single" w:color="000000" w:sz="4" w:space="0"/>
              <w:left w:val="single" w:color="000000" w:sz="4" w:space="0"/>
              <w:bottom w:val="single" w:color="000000" w:sz="4" w:space="0"/>
              <w:right w:val="single" w:color="000000" w:sz="4" w:space="0"/>
            </w:tcBorders>
            <w:shd w:val="clear" w:color="D9E1F4" w:fill="FFFFFF"/>
            <w:noWrap w:val="0"/>
            <w:vAlign w:val="top"/>
          </w:tcPr>
          <w:p w14:paraId="14B0751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1.材料：注塑外壳 纯金属机芯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2.机芯：高档金属机芯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3.模式：传统示拍模式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4.速度：40~208拍/分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5.节拍：0、2、3、4、6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6.误差：速度误差&lt;1%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7.音色：纯金属机芯结构，精准、稳定、音亮清脆、均匀，操作简便,外观时尚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8.尺寸：20.5*9.7*105mm,无须电池</w:t>
            </w:r>
          </w:p>
        </w:tc>
        <w:tc>
          <w:tcPr>
            <w:tcW w:w="813"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33E59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01450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17E7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40E0E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57" w:type="dxa"/>
            <w:tcBorders>
              <w:top w:val="single" w:color="000000" w:sz="4" w:space="0"/>
              <w:left w:val="single" w:color="000000" w:sz="4" w:space="0"/>
              <w:bottom w:val="single" w:color="000000" w:sz="4" w:space="0"/>
              <w:right w:val="single" w:color="000000" w:sz="4" w:space="0"/>
            </w:tcBorders>
            <w:shd w:val="clear" w:color="B5C6EA" w:fill="FFFFFF"/>
            <w:noWrap w:val="0"/>
            <w:vAlign w:val="center"/>
          </w:tcPr>
          <w:p w14:paraId="0D59BD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音叉</w:t>
            </w:r>
          </w:p>
        </w:tc>
        <w:tc>
          <w:tcPr>
            <w:tcW w:w="9846" w:type="dxa"/>
            <w:tcBorders>
              <w:top w:val="single" w:color="000000" w:sz="4" w:space="0"/>
              <w:left w:val="single" w:color="000000" w:sz="4" w:space="0"/>
              <w:bottom w:val="single" w:color="000000" w:sz="4" w:space="0"/>
              <w:right w:val="single" w:color="000000" w:sz="4" w:space="0"/>
            </w:tcBorders>
            <w:shd w:val="clear" w:color="B5C6EA" w:fill="FFFFFF"/>
            <w:noWrap w:val="0"/>
            <w:vAlign w:val="center"/>
          </w:tcPr>
          <w:p w14:paraId="3DD55A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1.材质：钢制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2.规格：总长≧115mm，把手长度≧40mm，叉长≧75mm，叉厚≧3mm                                                                                                                                                  3.结构：呈“Y”形的钢质音叉，手柄上印有A-440钢印，标准音乐音叉，整块钢材经过车床，铣床，磨床等机械加工而成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4.使用方法：敲击音叉，采集声波波形图 </w:t>
            </w:r>
          </w:p>
        </w:tc>
        <w:tc>
          <w:tcPr>
            <w:tcW w:w="813"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3A71A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0065F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361F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29D98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782F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音筒</w:t>
            </w:r>
          </w:p>
        </w:tc>
        <w:tc>
          <w:tcPr>
            <w:tcW w:w="98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FFB9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1.外观构成：彩色塑料音筒，外部有音符标注；一头有系绳，用于方便手拿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2.规格：筒直径≧44mm，按音符排列，音筒长：C≧610mm、D≧550mm、E≧472mm、F≧455mm、G≧410mm、A≧360mm、B≧310mm、C≧297mm；</w:t>
            </w:r>
          </w:p>
        </w:tc>
        <w:tc>
          <w:tcPr>
            <w:tcW w:w="813"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01B92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80"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192D4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01749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0046F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0F9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音条</w:t>
            </w:r>
          </w:p>
        </w:tc>
        <w:tc>
          <w:tcPr>
            <w:tcW w:w="98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75E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1.构成：由实木制木条和铝片构成，带有便携带木盒，                                                                                                                                                                                           2.组成部分：音条键、发音箱、音条钉、音条锤，产品表面镀层牢固、完整、光亮，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3.规格：铝制17块音块组成，规格：最长音块≧215mm、最短音块≧143mm；音块高≧46mm；音块的铝板琴片厚度≧5mm；                                                                                                                                                                4.音色：音灵敏，主音清晰，悦耳，音色饱满，共鸣好，无杂音；音准符合标准要求。                                                                         5.包装：木盒内</w:t>
            </w:r>
          </w:p>
        </w:tc>
        <w:tc>
          <w:tcPr>
            <w:tcW w:w="813"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759C2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28B1C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7777F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3F2BC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80B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15音铝板琴</w:t>
            </w:r>
          </w:p>
        </w:tc>
        <w:tc>
          <w:tcPr>
            <w:tcW w:w="98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AE1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尺寸：41*17.5*5cm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颜色：蓝白色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材质：铝质琴片，木质琴盒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包装：牛皮纸盒包装，配专业琴锤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特点：琴盒一体设计，方便收纳与演奏，优质铝质琴片，声音清脆明亮。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使用方式：蓝白配色，干净清新，用专业琴锤，进行演奏，声音清脆，明亮。</w:t>
            </w:r>
            <w:r>
              <w:rPr>
                <w:rFonts w:hint="eastAsia" w:ascii="宋体" w:hAnsi="宋体" w:eastAsia="宋体" w:cs="宋体"/>
                <w:i w:val="0"/>
                <w:iCs w:val="0"/>
                <w:color w:val="000000"/>
                <w:kern w:val="0"/>
                <w:sz w:val="18"/>
                <w:szCs w:val="18"/>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有害物质甲醛含量未检出或甲醛含量≤0.01mg/m³；为了保证产品的先进性稳定性，需提供2023年以后国家级含CMA、iLac MRA、CNAS认证标识的产品甲醛检验检测报告复印件加盖厂家公章。</w:t>
            </w:r>
          </w:p>
        </w:tc>
        <w:tc>
          <w:tcPr>
            <w:tcW w:w="813"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5B74C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29168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357D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5DD38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57" w:type="dxa"/>
            <w:tcBorders>
              <w:top w:val="single" w:color="000000" w:sz="4" w:space="0"/>
              <w:left w:val="single" w:color="000000" w:sz="4" w:space="0"/>
              <w:bottom w:val="single" w:color="000000" w:sz="4" w:space="0"/>
              <w:right w:val="single" w:color="000000" w:sz="4" w:space="0"/>
            </w:tcBorders>
            <w:shd w:val="clear" w:color="B5C6EA" w:fill="FFFFFF"/>
            <w:noWrap w:val="0"/>
            <w:vAlign w:val="center"/>
          </w:tcPr>
          <w:p w14:paraId="6F92D2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木制沙锤</w:t>
            </w:r>
          </w:p>
        </w:tc>
        <w:tc>
          <w:tcPr>
            <w:tcW w:w="9846" w:type="dxa"/>
            <w:tcBorders>
              <w:top w:val="single" w:color="000000" w:sz="4" w:space="0"/>
              <w:left w:val="single" w:color="000000" w:sz="4" w:space="0"/>
              <w:bottom w:val="single" w:color="000000" w:sz="4" w:space="0"/>
              <w:right w:val="single" w:color="000000" w:sz="4" w:space="0"/>
            </w:tcBorders>
            <w:shd w:val="clear" w:color="B5C6EA" w:fill="FFFFFF"/>
            <w:noWrap w:val="0"/>
            <w:vAlign w:val="center"/>
          </w:tcPr>
          <w:p w14:paraId="740FCA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1.材质：桦木，沙粒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2.规格：总长度≧260mm，锤体长度≧130mm，锤球直径≧80mm，手柄长≧134mm，手柄直径≧24mm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结构：由2个椭圆带把红色沙锤组成，内装沙粒，两个为一付。柄由硬质桦木制成；粗细适宜，手感好，牢固，制作精美，光洁，无毛刺。手柄与锤球用环保胶连接牢固，外表喷环保红颜色漆，表面光滑，锤球画花装饰，更为美观。                                                                                                                                        4.音色：声音明亮，清脆，可发“沙拉拉”音响效果。</w:t>
            </w:r>
          </w:p>
        </w:tc>
        <w:tc>
          <w:tcPr>
            <w:tcW w:w="813"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7A95C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1080"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54EF5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14:paraId="6C625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680CB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7B5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木制沙蛋</w:t>
            </w:r>
          </w:p>
        </w:tc>
        <w:tc>
          <w:tcPr>
            <w:tcW w:w="98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C12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1.材质：原木，环保安全漆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2.规格：沙蛋长度≧58mm，直径≧41mm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3.结构：由2个椭圆原木沙蛋组成，内装沙粒，两个为一付；                                                                                                                                                                               4.音色：声音明亮，清脆，可发“沙拉拉”音响效果。</w:t>
            </w:r>
          </w:p>
        </w:tc>
        <w:tc>
          <w:tcPr>
            <w:tcW w:w="813"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0B8969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1080"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4AF22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1131E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5391A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7B01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棒铃</w:t>
            </w:r>
          </w:p>
        </w:tc>
        <w:tc>
          <w:tcPr>
            <w:tcW w:w="98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669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1.材质：木制、金属铃铛，结构：木棒上面覆盖红绒布，配有21颗小铃铛组成，边缘排布4排各5颗铃铛，顶部一颗铃铛，手柄处为原木清漆，美观精致；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2.规格：全长≧250mm，手柄把长≧100mm，铃铛直径≧20mm；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3.使用方法：手持棒铃，左右或上下摇晃，使其铃铛同时发声，清越响亮；</w:t>
            </w:r>
          </w:p>
        </w:tc>
        <w:tc>
          <w:tcPr>
            <w:tcW w:w="813"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588E7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31FF4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04151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569D0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8BA6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卡巴撒</w:t>
            </w:r>
          </w:p>
        </w:tc>
        <w:tc>
          <w:tcPr>
            <w:tcW w:w="98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AA8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1.结构：由木制手柄和木制“工”型框架，框架内部有金属包裹，外部由10多条电镀金属串珠构成，珠子表面平整无划痕，无毛刺；手柄表面光滑，无毛刺，安装结实；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2.音质：音质清晰，无杂音、可根据摩擦或摇晃的速度快慢来调整节奏。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3.规格：头部木块直径≧65mm，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注：本产品为金属合金，重量轻巧，便于携带 ；</w:t>
            </w:r>
          </w:p>
        </w:tc>
        <w:tc>
          <w:tcPr>
            <w:tcW w:w="813"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3FA91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779B6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7846E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74AEB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BA0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响板</w:t>
            </w:r>
          </w:p>
        </w:tc>
        <w:tc>
          <w:tcPr>
            <w:tcW w:w="98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C5A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1.材质：桦木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2.规格：全长≧235mm，响板头直径≧55mm，响板厚度≧35mm；手柄厚度≧19mm，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3.结构：由主板及两块盖板连接组成，主板及盖板各有两个孔，主板夹在两盖板中间，用线绳穿过两圆孔串联在一起;                                                                                                                                4.音色：发音清脆，悦耳，可发出坚硬“哒，哒哒”声、无杂音；</w:t>
            </w:r>
          </w:p>
        </w:tc>
        <w:tc>
          <w:tcPr>
            <w:tcW w:w="813"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05861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5694F1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0D7A8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3ECD0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857" w:type="dxa"/>
            <w:tcBorders>
              <w:top w:val="single" w:color="000000" w:sz="4" w:space="0"/>
              <w:left w:val="single" w:color="000000" w:sz="4" w:space="0"/>
              <w:bottom w:val="single" w:color="000000" w:sz="4" w:space="0"/>
              <w:right w:val="single" w:color="000000" w:sz="4" w:space="0"/>
            </w:tcBorders>
            <w:shd w:val="clear" w:color="B5C6EA" w:fill="FFFFFF"/>
            <w:noWrap w:val="0"/>
            <w:vAlign w:val="center"/>
          </w:tcPr>
          <w:p w14:paraId="7E2881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响棒</w:t>
            </w:r>
          </w:p>
        </w:tc>
        <w:tc>
          <w:tcPr>
            <w:tcW w:w="9846" w:type="dxa"/>
            <w:tcBorders>
              <w:top w:val="single" w:color="000000" w:sz="4" w:space="0"/>
              <w:left w:val="single" w:color="000000" w:sz="4" w:space="0"/>
              <w:bottom w:val="single" w:color="000000" w:sz="4" w:space="0"/>
              <w:right w:val="single" w:color="000000" w:sz="4" w:space="0"/>
            </w:tcBorders>
            <w:shd w:val="clear" w:color="B5C6EA" w:fill="FFFFFF"/>
            <w:noWrap w:val="0"/>
            <w:vAlign w:val="center"/>
          </w:tcPr>
          <w:p w14:paraId="08FEDE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1.材质：椿木；                                                                                                                                                                                                                2.结构：由两根圆柱体实木棍构成，材质：椿木，外观打磨光滑，边缘无毛刺，长短一致，粗细均匀，两根为一付；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3.规格：长≧200mm，直径≧20mm；                                                                                                                                                                                                4.音色：发音清脆，悦耳；                                                                                                                                                                                                        5.使用方法：手各持一根互相敲击即可；</w:t>
            </w:r>
          </w:p>
        </w:tc>
        <w:tc>
          <w:tcPr>
            <w:tcW w:w="813"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763FC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6B8530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51296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0F9A8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A82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刮棒</w:t>
            </w:r>
          </w:p>
        </w:tc>
        <w:tc>
          <w:tcPr>
            <w:tcW w:w="98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98B6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1.材质：木质；                                                                                                                                                                                                                                                                                  2.结构：由一根粗细一致的实木棒，用机械旋转掏空成均匀大小的螺纹制成，底端圆滑凸起部分为手柄，外观原木清漆，，配敲棒一支；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3.规格：全长≧220mm，刮棱棒长≧145mm，刮棒直径≧25mm，手柄长≧8mm，直径≧17mm，棒长≧145mm，直径≧6mm；                                                                                                                                   4.音色：音质清晰，无杂音；                                                                                                                                                                                                                                  5.使用方法：一手拿棒，另一手用刮                                                                                                                                                                                                        棱棒刮即可；</w:t>
            </w:r>
          </w:p>
        </w:tc>
        <w:tc>
          <w:tcPr>
            <w:tcW w:w="813"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365EB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1CF5A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07C16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3AF26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67DF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蛙鸣筒</w:t>
            </w:r>
          </w:p>
        </w:tc>
        <w:tc>
          <w:tcPr>
            <w:tcW w:w="98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3DBE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1.材质：木质，发音部位为松木，头尾部为桦木；                                                                                                                                                                                         2.结构：蛙鸣筒，形状似鱼型，腰部均匀加沟，原木清漆，头部和尾部彩漆，附敲棒一根；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3.规格：全长≧200mm，头部长≧70mm；加沟处长≧72mm，直径≧56mm；尾长≧64mm，尾直径≧35mm；敲棒长≧156mm，直径≧12mm；                                                                                                                 4.音色：音质清晰，无杂音；                                                                                                                                                                                                                                 5.使用方法：一手拿鱼蛙，另一手用刮                                                                                                                                                                                                        棱棒刮即可；</w:t>
            </w:r>
          </w:p>
        </w:tc>
        <w:tc>
          <w:tcPr>
            <w:tcW w:w="813"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4CD2F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17E69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5C8EF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13198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DE4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北梆子</w:t>
            </w:r>
          </w:p>
        </w:tc>
        <w:tc>
          <w:tcPr>
            <w:tcW w:w="98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320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1.材质：梨木；                                                                                                                                                                                                    2.结构：由两根长短不等、粗细不同的实心硬木棒组成，形状为圆柱形；产品表面光滑，完整、光亮；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3.规格：长≧190mm，宽≧47mm，高≧34mm；另一根尺寸≧190mm*26mm；                                                                                                                                                                                  4.音色：音质清晰，洪亮、悦耳，音色饱满，无杂音.                                                                                                                                                                                                                                  5.使用方法：手各持一根互相敲击即可；</w:t>
            </w:r>
          </w:p>
        </w:tc>
        <w:tc>
          <w:tcPr>
            <w:tcW w:w="813"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4477FE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5A4F3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7D672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41C14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57" w:type="dxa"/>
            <w:tcBorders>
              <w:top w:val="single" w:color="000000" w:sz="4" w:space="0"/>
              <w:left w:val="single" w:color="000000" w:sz="4" w:space="0"/>
              <w:bottom w:val="single" w:color="000000" w:sz="4" w:space="0"/>
              <w:right w:val="single" w:color="000000" w:sz="4" w:space="0"/>
            </w:tcBorders>
            <w:shd w:val="clear" w:color="B5C6EA" w:fill="FFFFFF"/>
            <w:noWrap w:val="0"/>
            <w:vAlign w:val="center"/>
          </w:tcPr>
          <w:p w14:paraId="4A2383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南梆子</w:t>
            </w:r>
          </w:p>
        </w:tc>
        <w:tc>
          <w:tcPr>
            <w:tcW w:w="9846" w:type="dxa"/>
            <w:tcBorders>
              <w:top w:val="single" w:color="000000" w:sz="4" w:space="0"/>
              <w:left w:val="single" w:color="000000" w:sz="4" w:space="0"/>
              <w:bottom w:val="single" w:color="000000" w:sz="4" w:space="0"/>
              <w:right w:val="single" w:color="000000" w:sz="4" w:space="0"/>
            </w:tcBorders>
            <w:shd w:val="clear" w:color="B5C6EA" w:fill="FFFFFF"/>
            <w:noWrap w:val="0"/>
            <w:vAlign w:val="center"/>
          </w:tcPr>
          <w:p w14:paraId="0E00AC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1.材质：梨木或硬杂木；                                                                                                                                                                                                                                                                                         2.结构：由木制中空长方体梆子和敲棒构成；中间为一长方形音孔，内腔渐大，音孔镂空高≧8mm，配一支敲棒，表面光滑，完整，光亮。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3.规格：长≧195mm，宽≧39mm，开缝长≧139mm；敲棒长≧200mm，击锤直径≧14mm；                                                                                                                                                                 4.音色：音质清晰，宏亮，悦耳，饱满，无杂音；                                                                                                                                                                                            5.使用方法：手各持一根互相敲击即可；</w:t>
            </w:r>
          </w:p>
        </w:tc>
        <w:tc>
          <w:tcPr>
            <w:tcW w:w="813"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44283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386A6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2DB1C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4B407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857" w:type="dxa"/>
            <w:tcBorders>
              <w:top w:val="single" w:color="000000" w:sz="4" w:space="0"/>
              <w:left w:val="single" w:color="000000" w:sz="4" w:space="0"/>
              <w:bottom w:val="single" w:color="000000" w:sz="4" w:space="0"/>
              <w:right w:val="single" w:color="000000" w:sz="4" w:space="0"/>
            </w:tcBorders>
            <w:shd w:val="clear" w:color="D9E1F4" w:fill="FFFFFF"/>
            <w:noWrap w:val="0"/>
            <w:vAlign w:val="center"/>
          </w:tcPr>
          <w:p w14:paraId="7F542D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大号木鱼</w:t>
            </w:r>
          </w:p>
        </w:tc>
        <w:tc>
          <w:tcPr>
            <w:tcW w:w="9846" w:type="dxa"/>
            <w:tcBorders>
              <w:top w:val="single" w:color="000000" w:sz="4" w:space="0"/>
              <w:left w:val="single" w:color="000000" w:sz="4" w:space="0"/>
              <w:bottom w:val="single" w:color="000000" w:sz="4" w:space="0"/>
              <w:right w:val="single" w:color="000000" w:sz="4" w:space="0"/>
            </w:tcBorders>
            <w:shd w:val="clear" w:color="D9E1F4" w:fill="FFFFFF"/>
            <w:noWrap w:val="0"/>
            <w:vAlign w:val="center"/>
          </w:tcPr>
          <w:p w14:paraId="59F7C8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材质：杏木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尺寸：长20cm宽11cm高10cm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握把：长10cm高7.5cm</w:t>
            </w:r>
          </w:p>
        </w:tc>
        <w:tc>
          <w:tcPr>
            <w:tcW w:w="813"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3F0B0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63DE8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AF06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628F8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857" w:type="dxa"/>
            <w:tcBorders>
              <w:top w:val="single" w:color="000000" w:sz="4" w:space="0"/>
              <w:left w:val="single" w:color="000000" w:sz="4" w:space="0"/>
              <w:bottom w:val="single" w:color="000000" w:sz="4" w:space="0"/>
              <w:right w:val="single" w:color="000000" w:sz="4" w:space="0"/>
            </w:tcBorders>
            <w:shd w:val="clear" w:color="D9E1F4" w:fill="FFFFFF"/>
            <w:noWrap w:val="0"/>
            <w:vAlign w:val="center"/>
          </w:tcPr>
          <w:p w14:paraId="746C88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三角铁</w:t>
            </w:r>
          </w:p>
        </w:tc>
        <w:tc>
          <w:tcPr>
            <w:tcW w:w="9846" w:type="dxa"/>
            <w:tcBorders>
              <w:top w:val="single" w:color="000000" w:sz="4" w:space="0"/>
              <w:left w:val="single" w:color="000000" w:sz="4" w:space="0"/>
              <w:bottom w:val="single" w:color="000000" w:sz="4" w:space="0"/>
              <w:right w:val="single" w:color="000000" w:sz="4" w:space="0"/>
            </w:tcBorders>
            <w:shd w:val="clear" w:color="D9E1F4" w:fill="FFFFFF"/>
            <w:noWrap w:val="0"/>
            <w:vAlign w:val="center"/>
          </w:tcPr>
          <w:p w14:paraId="1C8C19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1.材质：锰钢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2.结构：由1根敲棒和3个等边三角形的三角铁组成，3个为一套，表面镀铬，镀层均匀，光亮，材质厚实；材质厚实；金属敲击棒的顶端带有软橡胶保护垫，更安全 ，每个三角铁都带有带有软橡胶制作的勾手，方便使用;                                                                                                                                                                                                                                                           3.规格：3件套三角铁的尺寸分别为：250mm ；200mm ；145mm ；金属敲棒的长度130mm ；三角铁的直径8mm ，金属击棒的直径5mm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4.音质：明亮，发音清脆，穿透力强，                                                                                                                                                                                                       5.使用方法：演奏时，用吊环悬吊敲击，应发出“铛、铛”声，无其他杂音； </w:t>
            </w:r>
          </w:p>
        </w:tc>
        <w:tc>
          <w:tcPr>
            <w:tcW w:w="813"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62A7A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2A5A8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5917F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0F6F4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857" w:type="dxa"/>
            <w:tcBorders>
              <w:top w:val="single" w:color="000000" w:sz="4" w:space="0"/>
              <w:left w:val="single" w:color="000000" w:sz="4" w:space="0"/>
              <w:bottom w:val="single" w:color="000000" w:sz="4" w:space="0"/>
              <w:right w:val="single" w:color="000000" w:sz="4" w:space="0"/>
            </w:tcBorders>
            <w:shd w:val="clear" w:color="B5C6EA" w:fill="FFFFFF"/>
            <w:noWrap w:val="0"/>
            <w:vAlign w:val="center"/>
          </w:tcPr>
          <w:p w14:paraId="05A986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碰钟</w:t>
            </w:r>
          </w:p>
        </w:tc>
        <w:tc>
          <w:tcPr>
            <w:tcW w:w="9846" w:type="dxa"/>
            <w:tcBorders>
              <w:top w:val="single" w:color="000000" w:sz="4" w:space="0"/>
              <w:left w:val="single" w:color="000000" w:sz="4" w:space="0"/>
              <w:bottom w:val="single" w:color="000000" w:sz="4" w:space="0"/>
              <w:right w:val="single" w:color="000000" w:sz="4" w:space="0"/>
            </w:tcBorders>
            <w:shd w:val="clear" w:color="B5C6EA" w:fill="FFFFFF"/>
            <w:noWrap w:val="0"/>
            <w:vAlign w:val="center"/>
          </w:tcPr>
          <w:p w14:paraId="2EF5E8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1.材质：响铜；                                                                                                                                                                                                                        2.结构：两个一对，丝带连接；                                                                                                                                                                                                    3.规格：直径≧56mm，高≧40mm，                                                                                                                                                                                                     4.音质：清脆、悦耳，发音响亮，余音环绕；                                                                                                                                                                                              5.使用方法：手持互相碰撞发声；   </w:t>
            </w:r>
          </w:p>
        </w:tc>
        <w:tc>
          <w:tcPr>
            <w:tcW w:w="813"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6DC44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655D1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0B5EA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6D730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857" w:type="dxa"/>
            <w:tcBorders>
              <w:top w:val="single" w:color="000000" w:sz="4" w:space="0"/>
              <w:left w:val="single" w:color="000000" w:sz="4" w:space="0"/>
              <w:bottom w:val="single" w:color="000000" w:sz="4" w:space="0"/>
              <w:right w:val="single" w:color="000000" w:sz="4" w:space="0"/>
            </w:tcBorders>
            <w:shd w:val="clear" w:color="B5C6EA" w:fill="FFFFFF"/>
            <w:noWrap w:val="0"/>
            <w:vAlign w:val="center"/>
          </w:tcPr>
          <w:p w14:paraId="51B42A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大号碰钟</w:t>
            </w:r>
          </w:p>
        </w:tc>
        <w:tc>
          <w:tcPr>
            <w:tcW w:w="9846" w:type="dxa"/>
            <w:tcBorders>
              <w:top w:val="single" w:color="000000" w:sz="4" w:space="0"/>
              <w:left w:val="single" w:color="000000" w:sz="4" w:space="0"/>
              <w:bottom w:val="single" w:color="000000" w:sz="4" w:space="0"/>
              <w:right w:val="single" w:color="000000" w:sz="4" w:space="0"/>
            </w:tcBorders>
            <w:shd w:val="clear" w:color="B5C6EA" w:fill="FFFFFF"/>
            <w:noWrap w:val="0"/>
            <w:vAlign w:val="center"/>
          </w:tcPr>
          <w:p w14:paraId="6C30FB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材质：纯铜，直径100mm，厚3mm，高90mm，两个一对；</w:t>
            </w:r>
          </w:p>
        </w:tc>
        <w:tc>
          <w:tcPr>
            <w:tcW w:w="813"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4BA5C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67FA93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9CF4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60E13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57" w:type="dxa"/>
            <w:tcBorders>
              <w:top w:val="single" w:color="000000" w:sz="4" w:space="0"/>
              <w:left w:val="single" w:color="000000" w:sz="4" w:space="0"/>
              <w:bottom w:val="single" w:color="000000" w:sz="4" w:space="0"/>
              <w:right w:val="single" w:color="000000" w:sz="4" w:space="0"/>
            </w:tcBorders>
            <w:shd w:val="clear" w:color="D9E1F4" w:fill="FFFFFF"/>
            <w:noWrap w:val="0"/>
            <w:vAlign w:val="center"/>
          </w:tcPr>
          <w:p w14:paraId="18B78A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木柄碰钟</w:t>
            </w:r>
          </w:p>
        </w:tc>
        <w:tc>
          <w:tcPr>
            <w:tcW w:w="9846" w:type="dxa"/>
            <w:tcBorders>
              <w:top w:val="single" w:color="000000" w:sz="4" w:space="0"/>
              <w:left w:val="single" w:color="000000" w:sz="4" w:space="0"/>
              <w:bottom w:val="single" w:color="000000" w:sz="4" w:space="0"/>
              <w:right w:val="single" w:color="000000" w:sz="4" w:space="0"/>
            </w:tcBorders>
            <w:shd w:val="clear" w:color="D9E1F4" w:fill="FFFFFF"/>
            <w:noWrap w:val="0"/>
            <w:vAlign w:val="center"/>
          </w:tcPr>
          <w:p w14:paraId="41C547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1.材质：响铜；                                                                                                                                                                                                                               2.结构：两个一对，每一个装有木手柄；手柄为木制，原木色，碰钟和手柄由螺丝钉联接构成；2个为一付；使用方法：手持碰撞发声。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3.规格：全长≧130mm，碰钟直径≧48mmm，高≧42mm，壁厚≧2mm；                                                                                                                                                                                    4.音质：清脆、悦耳，发音响亮，余音环绕；自然相撞，余音不小于6秒；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5.使用方法：手持互相碰撞发声</w:t>
            </w:r>
          </w:p>
        </w:tc>
        <w:tc>
          <w:tcPr>
            <w:tcW w:w="813"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5D04D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1FE0D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3CF7E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38C1D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857" w:type="dxa"/>
            <w:tcBorders>
              <w:top w:val="single" w:color="000000" w:sz="4" w:space="0"/>
              <w:left w:val="single" w:color="000000" w:sz="4" w:space="0"/>
              <w:bottom w:val="single" w:color="000000" w:sz="4" w:space="0"/>
              <w:right w:val="single" w:color="000000" w:sz="4" w:space="0"/>
            </w:tcBorders>
            <w:shd w:val="clear" w:color="B5C6EA" w:fill="FFFFFF"/>
            <w:noWrap w:val="0"/>
            <w:vAlign w:val="center"/>
          </w:tcPr>
          <w:p w14:paraId="3C4CB1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扁鼓</w:t>
            </w:r>
          </w:p>
        </w:tc>
        <w:tc>
          <w:tcPr>
            <w:tcW w:w="9846" w:type="dxa"/>
            <w:tcBorders>
              <w:top w:val="single" w:color="000000" w:sz="4" w:space="0"/>
              <w:left w:val="single" w:color="000000" w:sz="4" w:space="0"/>
              <w:bottom w:val="single" w:color="000000" w:sz="4" w:space="0"/>
              <w:right w:val="single" w:color="000000" w:sz="4" w:space="0"/>
            </w:tcBorders>
            <w:shd w:val="clear" w:color="B5C6EA" w:fill="FFFFFF"/>
            <w:noWrap w:val="0"/>
            <w:vAlign w:val="center"/>
          </w:tcPr>
          <w:p w14:paraId="0E405C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1.材质：牛皮鼓面,鼓腔、鼓槌用硬杂木，鼓架铁质；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2.结构：由鼓、鼓锤及鼓架组成；鼓面光滑，张力适度，鼓圈与鼓面连接处用锚钉固定，间距均匀，更为结实；鼓圈喷油红色环保油漆，鼓的侧面两端镶有铝制挂钩，配合鼓架使用，配鼓架；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3.规格:鼓面直径≧380mm，高度≧200mm ，鼓棒长度≧230mm，鼓棒直径≧14mm；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4.音质：饱满浑厚，延音时间≧2；                                                                                                                                                                                                          5.使用方法：手持鼓锤敲击鼓面即可，鼓声音由敲击力度而改变；</w:t>
            </w:r>
          </w:p>
        </w:tc>
        <w:tc>
          <w:tcPr>
            <w:tcW w:w="813"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7C8DFE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2AD94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6BE8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2918F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57" w:type="dxa"/>
            <w:tcBorders>
              <w:top w:val="single" w:color="000000" w:sz="4" w:space="0"/>
              <w:left w:val="single" w:color="000000" w:sz="4" w:space="0"/>
              <w:bottom w:val="single" w:color="000000" w:sz="4" w:space="0"/>
              <w:right w:val="single" w:color="000000" w:sz="4" w:space="0"/>
            </w:tcBorders>
            <w:shd w:val="clear" w:color="D9E1F4" w:fill="FFFFFF"/>
            <w:noWrap w:val="0"/>
            <w:vAlign w:val="center"/>
          </w:tcPr>
          <w:p w14:paraId="02B14A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堂鼓</w:t>
            </w:r>
          </w:p>
        </w:tc>
        <w:tc>
          <w:tcPr>
            <w:tcW w:w="9846" w:type="dxa"/>
            <w:tcBorders>
              <w:top w:val="single" w:color="000000" w:sz="4" w:space="0"/>
              <w:left w:val="single" w:color="000000" w:sz="4" w:space="0"/>
              <w:bottom w:val="single" w:color="000000" w:sz="4" w:space="0"/>
              <w:right w:val="single" w:color="000000" w:sz="4" w:space="0"/>
            </w:tcBorders>
            <w:shd w:val="clear" w:color="D9E1F4" w:fill="FFFFFF"/>
            <w:noWrap w:val="0"/>
            <w:vAlign w:val="center"/>
          </w:tcPr>
          <w:p w14:paraId="4C35AF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1.材质：牛皮鼓面,鼓腔、鼓锤用硬杂木；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2.结构：由鼓、鼓锤及鼓架组成；鼓面光滑，张力适度，鼓圈与鼓面连接处用锚钉固定，间距均匀，更为结实；鼓圈喷油红色环保油漆，鼓的侧面两端镶有铝制挂钩，配合鼓架使用，配鼓架；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3.规格:鼓面直径≧250mm，高度≧170mm ，鼓锤长度≧230mm，鼓锤直径≧14mm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4.音质：鼓中心发音较低沉、厚实，鼓外圈发音稍短、稍薄，演奏时无杂音；                                                                                                                                                                                                          5.使用方法：手持鼓锤敲击鼓面即可，鼓声音由敲击力度而改变；</w:t>
            </w:r>
          </w:p>
        </w:tc>
        <w:tc>
          <w:tcPr>
            <w:tcW w:w="813"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7E3F4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0C325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46C32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4A4A4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940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小锣</w:t>
            </w:r>
          </w:p>
        </w:tc>
        <w:tc>
          <w:tcPr>
            <w:tcW w:w="98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A09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1.材质：优质响铜;                                                                                                                                                                                                                 2.结构：小锣身为一圆型弧面，响铜制,中心部稍凸起，锣的内部中心位置印有商标，锣边缘开有两个小孔穿绳，方便使用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3.规格：锣直径为≧215mm，外延厚度≧1.5mm,木片长度≧265mm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4.音质：发音灵敏，主音明显集中，铿锵有力，谐音丰富；无明显转音、颤音；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5.使用方法：手持锣锤敲击锣面即可，锣音由敲击力度而改变</w:t>
            </w:r>
          </w:p>
        </w:tc>
        <w:tc>
          <w:tcPr>
            <w:tcW w:w="813"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67AE6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67545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10D8F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1A879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D58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铙</w:t>
            </w:r>
          </w:p>
        </w:tc>
        <w:tc>
          <w:tcPr>
            <w:tcW w:w="98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F12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1、材质：响铜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2、规格：直径≧28CM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3、结构：饶体为一圆形金属板，用“响铜”制成，中部隆起的半球形部分称“帽”，顶部钻有小孔，用粗绳栓系，两个为一付</w:t>
            </w:r>
          </w:p>
        </w:tc>
        <w:tc>
          <w:tcPr>
            <w:tcW w:w="813"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00CC5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468513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0DC2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4BA9B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A0C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钹</w:t>
            </w:r>
          </w:p>
        </w:tc>
        <w:tc>
          <w:tcPr>
            <w:tcW w:w="98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CD5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1、材质：响铜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2、规格：直径≧15CM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3、结构：钹体为一圆形金属板，用“响铜”制成，中部隆起的半球形部分称“帽”，顶部钻有小孔，用粗绳栓系，两个为一付</w:t>
            </w:r>
          </w:p>
        </w:tc>
        <w:tc>
          <w:tcPr>
            <w:tcW w:w="813"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4953FA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3C9F6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CDF0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4613A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857" w:type="dxa"/>
            <w:tcBorders>
              <w:top w:val="single" w:color="000000" w:sz="4" w:space="0"/>
              <w:left w:val="single" w:color="000000" w:sz="4" w:space="0"/>
              <w:bottom w:val="single" w:color="000000" w:sz="4" w:space="0"/>
              <w:right w:val="single" w:color="000000" w:sz="4" w:space="0"/>
            </w:tcBorders>
            <w:shd w:val="clear" w:color="D9E1F4" w:fill="FFFFFF"/>
            <w:noWrap w:val="0"/>
            <w:vAlign w:val="center"/>
          </w:tcPr>
          <w:p w14:paraId="701228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口风琴</w:t>
            </w:r>
          </w:p>
        </w:tc>
        <w:tc>
          <w:tcPr>
            <w:tcW w:w="9846" w:type="dxa"/>
            <w:tcBorders>
              <w:top w:val="single" w:color="000000" w:sz="4" w:space="0"/>
              <w:left w:val="single" w:color="000000" w:sz="4" w:space="0"/>
              <w:bottom w:val="single" w:color="000000" w:sz="4" w:space="0"/>
              <w:right w:val="single" w:color="000000" w:sz="4" w:space="0"/>
            </w:tcBorders>
            <w:shd w:val="clear" w:color="D9E1F4" w:fill="FFFFFF"/>
            <w:noWrap w:val="0"/>
            <w:vAlign w:val="center"/>
          </w:tcPr>
          <w:p w14:paraId="075A00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1.材质：食品级ABS无毒工程树脂 ；3个8度音域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2.结构：37键键盘组成、吹嘴一个、塑料吹管一个、擦琴布一块，优质帆布带拉链琴包一个（含背带）；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3.规格：全长≧470mm，宽≧105mm，高≧35mm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4.音质：采用十二平均律，标准音440-442Hz，音色清脆、柔和、圆润、响亮、均匀、无杂音；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5.使用方法：用嘴吹气时，手指按键盘上任意键发音；</w:t>
            </w:r>
          </w:p>
        </w:tc>
        <w:tc>
          <w:tcPr>
            <w:tcW w:w="813"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1DF89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3E0FD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14:paraId="5F017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0D8BE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857" w:type="dxa"/>
            <w:tcBorders>
              <w:top w:val="single" w:color="000000" w:sz="4" w:space="0"/>
              <w:left w:val="single" w:color="000000" w:sz="4" w:space="0"/>
              <w:bottom w:val="single" w:color="000000" w:sz="4" w:space="0"/>
              <w:right w:val="single" w:color="000000" w:sz="4" w:space="0"/>
            </w:tcBorders>
            <w:shd w:val="clear" w:color="B5C6EA" w:fill="FFFFFF"/>
            <w:noWrap w:val="0"/>
            <w:vAlign w:val="center"/>
          </w:tcPr>
          <w:p w14:paraId="4E9FC6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竖笛</w:t>
            </w:r>
          </w:p>
        </w:tc>
        <w:tc>
          <w:tcPr>
            <w:tcW w:w="9846" w:type="dxa"/>
            <w:tcBorders>
              <w:top w:val="single" w:color="000000" w:sz="4" w:space="0"/>
              <w:left w:val="single" w:color="000000" w:sz="4" w:space="0"/>
              <w:bottom w:val="single" w:color="000000" w:sz="4" w:space="0"/>
              <w:right w:val="single" w:color="000000" w:sz="4" w:space="0"/>
            </w:tcBorders>
            <w:shd w:val="clear" w:color="B5C6EA" w:fill="FFFFFF"/>
            <w:noWrap w:val="0"/>
            <w:vAlign w:val="center"/>
          </w:tcPr>
          <w:p w14:paraId="14915F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1.材质：ABS树脂；                                                                                                                                                                                                                                2.结构：由安全无毒环保塑料制成的6孔竖笛一支，内附:一根清洁棒、竖笛说明书（含指法表）、竖笛挂绳，PVC袋包装 ，笛身贴有镭射光标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3.调性：C调                                                                                                                                 </w:t>
            </w:r>
          </w:p>
        </w:tc>
        <w:tc>
          <w:tcPr>
            <w:tcW w:w="813"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730B2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01CF9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14:paraId="33A2A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0A0F8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857" w:type="dxa"/>
            <w:tcBorders>
              <w:top w:val="single" w:color="000000" w:sz="4" w:space="0"/>
              <w:left w:val="single" w:color="000000" w:sz="4" w:space="0"/>
              <w:bottom w:val="single" w:color="000000" w:sz="4" w:space="0"/>
              <w:right w:val="single" w:color="000000" w:sz="4" w:space="0"/>
            </w:tcBorders>
            <w:shd w:val="clear" w:color="D9E1F4" w:fill="FFFFFF"/>
            <w:noWrap w:val="0"/>
            <w:vAlign w:val="center"/>
          </w:tcPr>
          <w:p w14:paraId="1C50FE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葫芦丝</w:t>
            </w:r>
          </w:p>
        </w:tc>
        <w:tc>
          <w:tcPr>
            <w:tcW w:w="9846" w:type="dxa"/>
            <w:tcBorders>
              <w:top w:val="single" w:color="000000" w:sz="4" w:space="0"/>
              <w:left w:val="single" w:color="000000" w:sz="4" w:space="0"/>
              <w:bottom w:val="single" w:color="000000" w:sz="4" w:space="0"/>
              <w:right w:val="single" w:color="000000" w:sz="4" w:space="0"/>
            </w:tcBorders>
            <w:shd w:val="clear" w:color="D9E1F4" w:fill="FFFFFF"/>
            <w:noWrap w:val="0"/>
            <w:vAlign w:val="center"/>
          </w:tcPr>
          <w:p w14:paraId="200A95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1.材质：ABS材质  中音C调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2.规格：葫芦丝全长385mm；葫芦130mm；主音管230mm；主音管直径15mm；葫芦丝吹口20mm；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3.音质：采用十二平均律，标准音440Hz，音色优美，圆润，发音流畅；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4.使用方法：用嘴吹气时，手指根据乐谱曲，分别按住葫芦管上的孔发音；</w:t>
            </w:r>
          </w:p>
        </w:tc>
        <w:tc>
          <w:tcPr>
            <w:tcW w:w="813"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2A78B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2AA34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14:paraId="57FA9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5B95E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F24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笛子</w:t>
            </w:r>
          </w:p>
        </w:tc>
        <w:tc>
          <w:tcPr>
            <w:tcW w:w="98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1E8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调性:G调；材质：紫竹；工艺：2节； 律制: 采用十二平均律；筒音音准误差不超过15音分；相邻两音音准误差之差应不大于10音分；音质：高音清脆、透彻、活泼明快，低音优美悦耳，发音流畅。</w:t>
            </w:r>
          </w:p>
        </w:tc>
        <w:tc>
          <w:tcPr>
            <w:tcW w:w="813"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3E472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01E26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3682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3DCF4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57" w:type="dxa"/>
            <w:tcBorders>
              <w:top w:val="single" w:color="000000" w:sz="4" w:space="0"/>
              <w:left w:val="single" w:color="000000" w:sz="4" w:space="0"/>
              <w:bottom w:val="single" w:color="000000" w:sz="4" w:space="0"/>
              <w:right w:val="single" w:color="000000" w:sz="4" w:space="0"/>
            </w:tcBorders>
            <w:shd w:val="clear" w:color="D9E1F4" w:fill="FFFFFF"/>
            <w:noWrap w:val="0"/>
            <w:vAlign w:val="center"/>
          </w:tcPr>
          <w:p w14:paraId="3BBA38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吉它</w:t>
            </w:r>
          </w:p>
        </w:tc>
        <w:tc>
          <w:tcPr>
            <w:tcW w:w="9846" w:type="dxa"/>
            <w:tcBorders>
              <w:top w:val="single" w:color="000000" w:sz="4" w:space="0"/>
              <w:left w:val="single" w:color="000000" w:sz="4" w:space="0"/>
              <w:bottom w:val="single" w:color="000000" w:sz="4" w:space="0"/>
              <w:right w:val="single" w:color="000000" w:sz="4" w:space="0"/>
            </w:tcBorders>
            <w:shd w:val="clear" w:color="D9E1F4" w:fill="FFFFFF"/>
            <w:noWrap w:val="0"/>
            <w:vAlign w:val="center"/>
          </w:tcPr>
          <w:p w14:paraId="0A135C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板材料：云杉夹板，底侧板材料：沙比利，琴体面板包边：象牙白ABS五线，琴体侧板包边：象牙白ABS，背中线/尾中线：象牙白ABS五线，指板材料：玫瑰木，指板包边：象牙白ABS，指板音点：5MM白色星点，琴颈材料：那都，琴头包边：琴头包边，音孔装饰：ABS+咖啡色赛璐璐，上下弦枕：象牙白ABS，琴  钮：镀铬全封闭式</w:t>
            </w:r>
          </w:p>
        </w:tc>
        <w:tc>
          <w:tcPr>
            <w:tcW w:w="813"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5B132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7497E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E74F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5E7BE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857" w:type="dxa"/>
            <w:tcBorders>
              <w:top w:val="single" w:color="000000" w:sz="4" w:space="0"/>
              <w:left w:val="single" w:color="000000" w:sz="4" w:space="0"/>
              <w:bottom w:val="single" w:color="000000" w:sz="4" w:space="0"/>
              <w:right w:val="single" w:color="000000" w:sz="4" w:space="0"/>
            </w:tcBorders>
            <w:shd w:val="clear" w:color="B5C6EA" w:fill="FFFFFF"/>
            <w:noWrap w:val="0"/>
            <w:vAlign w:val="center"/>
          </w:tcPr>
          <w:p w14:paraId="41F84B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多音鼓</w:t>
            </w:r>
          </w:p>
        </w:tc>
        <w:tc>
          <w:tcPr>
            <w:tcW w:w="9846" w:type="dxa"/>
            <w:tcBorders>
              <w:top w:val="single" w:color="000000" w:sz="4" w:space="0"/>
              <w:left w:val="single" w:color="000000" w:sz="4" w:space="0"/>
              <w:bottom w:val="single" w:color="000000" w:sz="4" w:space="0"/>
              <w:right w:val="single" w:color="000000" w:sz="4" w:space="0"/>
            </w:tcBorders>
            <w:shd w:val="clear" w:color="B5C6EA" w:fill="FFFFFF"/>
            <w:noWrap w:val="0"/>
            <w:vAlign w:val="center"/>
          </w:tcPr>
          <w:p w14:paraId="4A0210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1.材质：金属鼓腔贴PVC;                                                                                                                                                                                                            2.结构：由三个不同尺寸的鼓腔、鼓膜与压边圈、金属配件、金属背架组成；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3.规格：三个鼓尺寸分别为10"12"13"；各鼓之间音程光系谐和，背架承重20kg-25kg不滑落，采用优质加粗钢板，内部采用加厚海绵，背架高度可调节，调节范围110-115mm；各鼓外观经过喷沙氧化处理；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4.音质：各鼓发音灵敏、主音清晰，洪亮，悦耳，音色饱满、丰富，共鸣好，无杂音；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5.使用方法：把鼓背至肩上，左右手各持一支鼓棒敲击鼓面即可；</w:t>
            </w:r>
          </w:p>
        </w:tc>
        <w:tc>
          <w:tcPr>
            <w:tcW w:w="813"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3BD94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31190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5141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3B496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DE75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筝</w:t>
            </w:r>
          </w:p>
        </w:tc>
        <w:tc>
          <w:tcPr>
            <w:tcW w:w="98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293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163*34*13cm；主材：面板、背板采用兰考泡桐，主边黄檀贴面，木材通过水除胶和药物熏蒸除虫处理，琴体长度163厘米，琴首宽33.5厘米，后尾宽29厘米，后岳山为S型，前岳山为直型。工艺：荷花蜻蜓漆画。配件包含：琴码（梨木）、琴弦：普通钢丝琴弦，指甲、胶布、调音扳手、琴罩、琴包，清洁棒、琴码示意图，琴架（板架）。</w:t>
            </w:r>
          </w:p>
        </w:tc>
        <w:tc>
          <w:tcPr>
            <w:tcW w:w="813"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36E32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架</w:t>
            </w:r>
          </w:p>
        </w:tc>
        <w:tc>
          <w:tcPr>
            <w:tcW w:w="1080"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1E5E9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D14F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3D463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991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二胡</w:t>
            </w:r>
          </w:p>
        </w:tc>
        <w:tc>
          <w:tcPr>
            <w:tcW w:w="98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AEE0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  质：红花梨，木质均匀细密，纹路顺畅。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琴  头：弯头设计、美观大方，典雅高贵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琴  轴：六瓣琴轴，弦轴条纹分明，有利于调节琴弦松紧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琴  杆：椭圆形状，素面；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琴  筒: 六瓣式机械音筒，采用野生优质莽皮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音窗：木质挖槽灯笼格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琴  托：流线型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  件：1根白马尾琴弓，1块松香，1个黑色布盒子</w:t>
            </w:r>
          </w:p>
        </w:tc>
        <w:tc>
          <w:tcPr>
            <w:tcW w:w="813"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4E8D6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252B1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7DF14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04749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BB20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小号</w:t>
            </w:r>
          </w:p>
        </w:tc>
        <w:tc>
          <w:tcPr>
            <w:tcW w:w="98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9D9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普及型降B调、变音管11.65mm、喇叭口123mm、不锈钢活塞、表面漆金、黄铜材质、帆布包包装</w:t>
            </w:r>
          </w:p>
        </w:tc>
        <w:tc>
          <w:tcPr>
            <w:tcW w:w="813"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1A142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385E6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19A6F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18E63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F4C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长号</w:t>
            </w:r>
          </w:p>
        </w:tc>
        <w:tc>
          <w:tcPr>
            <w:tcW w:w="98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FE89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普及型降B调、喇叭口直径210mm、变音管13.5mm、表面漆金、黄铜材质、轻体包包装</w:t>
            </w:r>
          </w:p>
        </w:tc>
        <w:tc>
          <w:tcPr>
            <w:tcW w:w="813"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6386E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61489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24366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single" w:color="000000" w:sz="4" w:space="0"/>
              <w:left w:val="single" w:color="000000" w:sz="8" w:space="0"/>
              <w:bottom w:val="single" w:color="000000" w:sz="4" w:space="0"/>
              <w:right w:val="single" w:color="000000" w:sz="4" w:space="0"/>
            </w:tcBorders>
            <w:shd w:val="clear" w:color="B5C6EA" w:fill="FFFFFF"/>
            <w:noWrap/>
            <w:vAlign w:val="center"/>
          </w:tcPr>
          <w:p w14:paraId="47CFE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857" w:type="dxa"/>
            <w:tcBorders>
              <w:top w:val="single" w:color="000000" w:sz="4" w:space="0"/>
              <w:left w:val="single" w:color="000000" w:sz="4" w:space="0"/>
              <w:bottom w:val="single" w:color="000000" w:sz="4" w:space="0"/>
              <w:right w:val="single" w:color="000000" w:sz="4" w:space="0"/>
            </w:tcBorders>
            <w:shd w:val="clear" w:color="B5C6EA" w:fill="FFFFFF"/>
            <w:noWrap w:val="0"/>
            <w:vAlign w:val="center"/>
          </w:tcPr>
          <w:p w14:paraId="5A7695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乐谱架</w:t>
            </w:r>
          </w:p>
        </w:tc>
        <w:tc>
          <w:tcPr>
            <w:tcW w:w="9846" w:type="dxa"/>
            <w:tcBorders>
              <w:top w:val="single" w:color="000000" w:sz="4" w:space="0"/>
              <w:left w:val="single" w:color="000000" w:sz="4" w:space="0"/>
              <w:bottom w:val="single" w:color="000000" w:sz="4" w:space="0"/>
              <w:right w:val="single" w:color="000000" w:sz="4" w:space="0"/>
            </w:tcBorders>
            <w:shd w:val="clear" w:color="B5C6EA" w:fill="FFFFFF"/>
            <w:noWrap w:val="0"/>
            <w:vAlign w:val="center"/>
          </w:tcPr>
          <w:p w14:paraId="535B2D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1、材质：优质铁，磨砂面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2、规格:谱台面直径≧47.5CM，高度≧34CM，最大可升降到1.4-1.5米的高度，加厚金属钢管支架中心钢管直径≧1.9CM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3、结构：由加厚金属谱台面和加厚金属钢管支架组成。加厚金属钢管支架底部有3个支撑杆可收合， 脚底为防滑塑胶材质，所有旋钮为均高级ABS材质结实耐用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4、使用方法：打开包装进行简单组装即可使用    </w:t>
            </w:r>
          </w:p>
        </w:tc>
        <w:tc>
          <w:tcPr>
            <w:tcW w:w="813"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37AEA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B5C6EA" w:fill="FFFFFF"/>
            <w:noWrap/>
            <w:vAlign w:val="center"/>
          </w:tcPr>
          <w:p w14:paraId="1AEC3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14:paraId="60D3D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9" w:type="dxa"/>
            <w:tcBorders>
              <w:top w:val="nil"/>
              <w:left w:val="single" w:color="000000" w:sz="8" w:space="0"/>
              <w:bottom w:val="single" w:color="000000" w:sz="4" w:space="0"/>
              <w:right w:val="single" w:color="000000" w:sz="4" w:space="0"/>
            </w:tcBorders>
            <w:noWrap/>
            <w:vAlign w:val="center"/>
          </w:tcPr>
          <w:p w14:paraId="3E1A1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857" w:type="dxa"/>
            <w:tcBorders>
              <w:top w:val="nil"/>
              <w:left w:val="single" w:color="000000" w:sz="4" w:space="0"/>
              <w:bottom w:val="single" w:color="000000" w:sz="4" w:space="0"/>
              <w:right w:val="single" w:color="000000" w:sz="4" w:space="0"/>
            </w:tcBorders>
            <w:noWrap/>
            <w:vAlign w:val="center"/>
          </w:tcPr>
          <w:p w14:paraId="4FD9C7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系统集成</w:t>
            </w:r>
          </w:p>
        </w:tc>
        <w:tc>
          <w:tcPr>
            <w:tcW w:w="9846" w:type="dxa"/>
            <w:tcBorders>
              <w:top w:val="nil"/>
              <w:left w:val="single" w:color="000000" w:sz="4" w:space="0"/>
              <w:bottom w:val="single" w:color="000000" w:sz="4" w:space="0"/>
              <w:right w:val="single" w:color="000000" w:sz="4" w:space="0"/>
            </w:tcBorders>
            <w:noWrap w:val="0"/>
            <w:vAlign w:val="center"/>
          </w:tcPr>
          <w:p w14:paraId="5B2AD3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线材、辅材、施工、安装、卸货搬运等</w:t>
            </w:r>
          </w:p>
        </w:tc>
        <w:tc>
          <w:tcPr>
            <w:tcW w:w="813" w:type="dxa"/>
            <w:tcBorders>
              <w:top w:val="nil"/>
              <w:left w:val="single" w:color="000000" w:sz="4" w:space="0"/>
              <w:bottom w:val="single" w:color="000000" w:sz="4" w:space="0"/>
              <w:right w:val="single" w:color="000000" w:sz="4" w:space="0"/>
            </w:tcBorders>
            <w:noWrap w:val="0"/>
            <w:vAlign w:val="center"/>
          </w:tcPr>
          <w:p w14:paraId="48C45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80" w:type="dxa"/>
            <w:tcBorders>
              <w:top w:val="nil"/>
              <w:left w:val="single" w:color="000000" w:sz="4" w:space="0"/>
              <w:bottom w:val="single" w:color="000000" w:sz="4" w:space="0"/>
              <w:right w:val="single" w:color="000000" w:sz="4" w:space="0"/>
            </w:tcBorders>
            <w:noWrap/>
            <w:vAlign w:val="center"/>
          </w:tcPr>
          <w:p w14:paraId="6D89B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14:paraId="565A32E4">
      <w:pPr>
        <w:rPr>
          <w:b/>
          <w:color w:val="auto"/>
          <w:sz w:val="24"/>
        </w:rPr>
      </w:pPr>
    </w:p>
    <w:tbl>
      <w:tblPr>
        <w:tblStyle w:val="44"/>
        <w:tblW w:w="130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1"/>
        <w:gridCol w:w="927"/>
        <w:gridCol w:w="9953"/>
        <w:gridCol w:w="787"/>
        <w:gridCol w:w="787"/>
      </w:tblGrid>
      <w:tr w14:paraId="47C97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3035" w:type="dxa"/>
            <w:gridSpan w:val="5"/>
            <w:tcBorders>
              <w:top w:val="single" w:color="000000" w:sz="8" w:space="0"/>
              <w:left w:val="single" w:color="000000" w:sz="8" w:space="0"/>
              <w:bottom w:val="single" w:color="000000" w:sz="4" w:space="0"/>
              <w:right w:val="nil"/>
            </w:tcBorders>
            <w:shd w:val="clear" w:color="auto" w:fill="FFFFFF"/>
            <w:noWrap w:val="0"/>
            <w:vAlign w:val="center"/>
          </w:tcPr>
          <w:p w14:paraId="34E51BAF">
            <w:pPr>
              <w:keepNext w:val="0"/>
              <w:keepLines w:val="0"/>
              <w:widowControl/>
              <w:suppressLineNumbers w:val="0"/>
              <w:jc w:val="center"/>
              <w:textAlignment w:val="center"/>
              <w:rPr>
                <w:rFonts w:ascii="微软雅黑" w:hAnsi="微软雅黑" w:eastAsia="微软雅黑" w:cs="微软雅黑"/>
                <w:i w:val="0"/>
                <w:iCs w:val="0"/>
                <w:color w:val="000000"/>
                <w:sz w:val="40"/>
                <w:szCs w:val="40"/>
                <w:u w:val="none"/>
              </w:rPr>
            </w:pPr>
            <w:r>
              <w:rPr>
                <w:rFonts w:hint="eastAsia" w:ascii="微软雅黑" w:hAnsi="微软雅黑" w:eastAsia="微软雅黑" w:cs="微软雅黑"/>
                <w:i w:val="0"/>
                <w:iCs w:val="0"/>
                <w:color w:val="000000"/>
                <w:kern w:val="0"/>
                <w:sz w:val="40"/>
                <w:szCs w:val="40"/>
                <w:u w:val="none"/>
                <w:lang w:val="en-US" w:eastAsia="zh-CN" w:bidi="ar"/>
              </w:rPr>
              <w:t>初中创客空间配置方案</w:t>
            </w:r>
          </w:p>
        </w:tc>
      </w:tr>
      <w:tr w14:paraId="552A5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81" w:type="dxa"/>
            <w:tcBorders>
              <w:top w:val="nil"/>
              <w:left w:val="single" w:color="000000" w:sz="8" w:space="0"/>
              <w:bottom w:val="nil"/>
              <w:right w:val="single" w:color="000000" w:sz="4" w:space="0"/>
            </w:tcBorders>
            <w:noWrap w:val="0"/>
            <w:vAlign w:val="center"/>
          </w:tcPr>
          <w:p w14:paraId="6D8798C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927" w:type="dxa"/>
            <w:tcBorders>
              <w:top w:val="nil"/>
              <w:left w:val="single" w:color="000000" w:sz="4" w:space="0"/>
              <w:bottom w:val="nil"/>
              <w:right w:val="single" w:color="000000" w:sz="4" w:space="0"/>
            </w:tcBorders>
            <w:noWrap w:val="0"/>
            <w:vAlign w:val="center"/>
          </w:tcPr>
          <w:p w14:paraId="06DCFA1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9953" w:type="dxa"/>
            <w:tcBorders>
              <w:top w:val="nil"/>
              <w:left w:val="single" w:color="000000" w:sz="4" w:space="0"/>
              <w:bottom w:val="nil"/>
              <w:right w:val="single" w:color="000000" w:sz="4" w:space="0"/>
            </w:tcBorders>
            <w:noWrap w:val="0"/>
            <w:vAlign w:val="center"/>
          </w:tcPr>
          <w:p w14:paraId="0F73152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参数</w:t>
            </w:r>
          </w:p>
        </w:tc>
        <w:tc>
          <w:tcPr>
            <w:tcW w:w="787" w:type="dxa"/>
            <w:tcBorders>
              <w:top w:val="nil"/>
              <w:left w:val="single" w:color="000000" w:sz="4" w:space="0"/>
              <w:bottom w:val="nil"/>
              <w:right w:val="single" w:color="000000" w:sz="4" w:space="0"/>
            </w:tcBorders>
            <w:noWrap w:val="0"/>
            <w:vAlign w:val="center"/>
          </w:tcPr>
          <w:p w14:paraId="1CC6E71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787" w:type="dxa"/>
            <w:tcBorders>
              <w:top w:val="nil"/>
              <w:left w:val="single" w:color="000000" w:sz="4" w:space="0"/>
              <w:bottom w:val="nil"/>
              <w:right w:val="single" w:color="000000" w:sz="4" w:space="0"/>
            </w:tcBorders>
            <w:noWrap w:val="0"/>
            <w:vAlign w:val="center"/>
          </w:tcPr>
          <w:p w14:paraId="55A63A7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r>
      <w:tr w14:paraId="142DC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0"/>
            <w:vAlign w:val="center"/>
          </w:tcPr>
          <w:p w14:paraId="3EB10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95805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多媒体讲台</w:t>
            </w:r>
          </w:p>
        </w:tc>
        <w:tc>
          <w:tcPr>
            <w:tcW w:w="9953" w:type="dxa"/>
            <w:tcBorders>
              <w:top w:val="single" w:color="000000" w:sz="4" w:space="0"/>
              <w:left w:val="single" w:color="000000" w:sz="4" w:space="0"/>
              <w:bottom w:val="single" w:color="000000" w:sz="4" w:space="0"/>
              <w:right w:val="single" w:color="000000" w:sz="4" w:space="0"/>
            </w:tcBorders>
            <w:noWrap w:val="0"/>
            <w:vAlign w:val="center"/>
          </w:tcPr>
          <w:p w14:paraId="1C2282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1、整体设计符合人机工程学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2、整体采用分体式结构，规格为长≥1100mm、宽≥780mm、高≥1000mm;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3、多媒体讲台整体采用优质冷轧钢板，无接缝，边缘及拐角均采用圆弧设计，确保学生安全，耐冲击性强，防盗性能优越。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4、颜色选用哑光灰白色，LOGO板及下体前门采用木纹色，表面经脱脂磷化工艺处理后选用优质塑粉静电喷涂而成，耐腐蚀性强，有效保护学生视力，美观耐用。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5、桌面由一把机械锁控制，采用环环相扣设计，显示器盖板翻转，两个抽屉，展示台抽屉逐步打开.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6、箱体采用裸板≥0.8mm厚钢板,台面板厚为≥12mm。</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77B84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64A7C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5B28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0"/>
            <w:vAlign w:val="center"/>
          </w:tcPr>
          <w:p w14:paraId="698E8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7EDF6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电脑</w:t>
            </w:r>
          </w:p>
        </w:tc>
        <w:tc>
          <w:tcPr>
            <w:tcW w:w="9953" w:type="dxa"/>
            <w:tcBorders>
              <w:top w:val="single" w:color="000000" w:sz="4" w:space="0"/>
              <w:left w:val="single" w:color="000000" w:sz="4" w:space="0"/>
              <w:bottom w:val="single" w:color="000000" w:sz="4" w:space="0"/>
              <w:right w:val="single" w:color="000000" w:sz="4" w:space="0"/>
            </w:tcBorders>
            <w:noWrap w:val="0"/>
            <w:vAlign w:val="center"/>
          </w:tcPr>
          <w:p w14:paraId="6DBB1E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1.处理器 新13代酷睿i5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2.内存≥16G DDR4 内存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3.硬盘≥512G 固态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4.显示屏：≥14.0LED 高清防眩光超液晶显示屏</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69B322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79BD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03259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0"/>
            <w:vAlign w:val="center"/>
          </w:tcPr>
          <w:p w14:paraId="338CF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006765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学生桌</w:t>
            </w:r>
          </w:p>
        </w:tc>
        <w:tc>
          <w:tcPr>
            <w:tcW w:w="9953" w:type="dxa"/>
            <w:tcBorders>
              <w:top w:val="single" w:color="000000" w:sz="4" w:space="0"/>
              <w:left w:val="single" w:color="000000" w:sz="4" w:space="0"/>
              <w:bottom w:val="single" w:color="000000" w:sz="4" w:space="0"/>
              <w:right w:val="single" w:color="000000" w:sz="4" w:space="0"/>
            </w:tcBorders>
            <w:noWrap w:val="0"/>
            <w:vAlign w:val="center"/>
          </w:tcPr>
          <w:p w14:paraId="33957F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1、每张学生桌由六张等边三角形小桌拼接而成，可以根据教室大小灵活摆放，任意拼接成不同形状，单个小桌边长700mm,高度750mm（±10mm）。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2、桌面板：桌面 采用25mm （±2mm）厚E1级中纤板，符合国家标准，无味无毒环保健康，板材切口用环保PVC封边条密封。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桌腿采用φ60*1.2mm厚钢管，采用二氧化碳气体保护焊，接触人体部位无突出的毛刺或刃口棱角，切边平整，无凹缺和凸起，地脚平稳。钢管表面经过除油、除锈、磷化、静电喷塑等工序高温固化而成，坚固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4、小桌可分成三色随意搭配。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5、桌子配PP脚套，防滑、防水、防酸碱腐蚀、防刮花地面、抗冲击。</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42BDF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3B695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62DA1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0"/>
            <w:vAlign w:val="center"/>
          </w:tcPr>
          <w:p w14:paraId="0ED060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BE1FE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凳子（学生用)</w:t>
            </w:r>
          </w:p>
        </w:tc>
        <w:tc>
          <w:tcPr>
            <w:tcW w:w="9953" w:type="dxa"/>
            <w:tcBorders>
              <w:top w:val="single" w:color="000000" w:sz="4" w:space="0"/>
              <w:left w:val="single" w:color="000000" w:sz="4" w:space="0"/>
              <w:bottom w:val="single" w:color="000000" w:sz="4" w:space="0"/>
              <w:right w:val="single" w:color="000000" w:sz="4" w:space="0"/>
            </w:tcBorders>
            <w:noWrap w:val="0"/>
            <w:vAlign w:val="center"/>
          </w:tcPr>
          <w:p w14:paraId="4D6849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尺寸规格：≥33*24*45（cm）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支架规格：主支撑脚采用≥40*20方钢管，拉挡为≥20*20方钢管，管材表面流水线静电喷塑处理，凳架常规为白色或者黑色。</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20ADF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373C5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14:paraId="30C90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0"/>
            <w:vAlign w:val="center"/>
          </w:tcPr>
          <w:p w14:paraId="4E8BE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3FBE19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多彩边台</w:t>
            </w:r>
          </w:p>
        </w:tc>
        <w:tc>
          <w:tcPr>
            <w:tcW w:w="9953" w:type="dxa"/>
            <w:tcBorders>
              <w:top w:val="single" w:color="000000" w:sz="4" w:space="0"/>
              <w:left w:val="single" w:color="000000" w:sz="4" w:space="0"/>
              <w:bottom w:val="single" w:color="000000" w:sz="4" w:space="0"/>
              <w:right w:val="single" w:color="000000" w:sz="4" w:space="0"/>
            </w:tcBorders>
            <w:noWrap w:val="0"/>
            <w:vAlign w:val="center"/>
          </w:tcPr>
          <w:p w14:paraId="2107C5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规格：≥800*400*760mm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基材：优质环保刨花板，游离甲醛释放量4.1mg/100g，经过防潮、防虫、防腐化学处理，桌板厚度为25mm, 2.0mm厚的同色PVC封边。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履面：双面贴环保浸渍纸饰面, 色泽匀称，耐磨度高。</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744A2A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3E267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3DC16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shd w:val="clear" w:color="auto" w:fill="auto"/>
            <w:noWrap w:val="0"/>
            <w:vAlign w:val="center"/>
          </w:tcPr>
          <w:p w14:paraId="7D9CA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27" w:type="dxa"/>
            <w:tcBorders>
              <w:top w:val="single" w:color="000000" w:sz="4" w:space="0"/>
              <w:left w:val="single" w:color="000000" w:sz="4" w:space="0"/>
              <w:bottom w:val="nil"/>
              <w:right w:val="single" w:color="000000" w:sz="4" w:space="0"/>
            </w:tcBorders>
            <w:shd w:val="clear" w:color="000000" w:fill="FFFFFF"/>
            <w:noWrap w:val="0"/>
            <w:vAlign w:val="center"/>
          </w:tcPr>
          <w:p w14:paraId="489167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路由器</w:t>
            </w:r>
          </w:p>
        </w:tc>
        <w:tc>
          <w:tcPr>
            <w:tcW w:w="9953" w:type="dxa"/>
            <w:tcBorders>
              <w:top w:val="single" w:color="000000" w:sz="4" w:space="0"/>
              <w:left w:val="single" w:color="000000" w:sz="4" w:space="0"/>
              <w:bottom w:val="nil"/>
              <w:right w:val="single" w:color="000000" w:sz="4" w:space="0"/>
            </w:tcBorders>
            <w:shd w:val="clear" w:color="auto" w:fill="auto"/>
            <w:noWrap w:val="0"/>
            <w:vAlign w:val="center"/>
          </w:tcPr>
          <w:p w14:paraId="28B536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1、有线传输速度：10/100/1000Mbps。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2、无线传输速度：450Mbps。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3、网络标准：802.11b、802.11g、802.11n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4、无线网络支持频率：2.4G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5、支持VPN。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6、内置防火墙。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7、支持WDS。  </w:t>
            </w:r>
          </w:p>
        </w:tc>
        <w:tc>
          <w:tcPr>
            <w:tcW w:w="787" w:type="dxa"/>
            <w:tcBorders>
              <w:top w:val="single" w:color="000000" w:sz="4" w:space="0"/>
              <w:left w:val="single" w:color="000000" w:sz="4" w:space="0"/>
              <w:bottom w:val="nil"/>
              <w:right w:val="single" w:color="000000" w:sz="4" w:space="0"/>
            </w:tcBorders>
            <w:shd w:val="clear" w:color="000000" w:fill="FFFFFF"/>
            <w:noWrap w:val="0"/>
            <w:vAlign w:val="center"/>
          </w:tcPr>
          <w:p w14:paraId="6DA56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87" w:type="dxa"/>
            <w:tcBorders>
              <w:top w:val="single" w:color="000000" w:sz="4" w:space="0"/>
              <w:left w:val="single" w:color="000000" w:sz="4" w:space="0"/>
              <w:bottom w:val="nil"/>
              <w:right w:val="single" w:color="000000" w:sz="4" w:space="0"/>
            </w:tcBorders>
            <w:shd w:val="clear" w:color="000000" w:fill="FFFFFF"/>
            <w:noWrap w:val="0"/>
            <w:vAlign w:val="center"/>
          </w:tcPr>
          <w:p w14:paraId="39A01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74EB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3035" w:type="dxa"/>
            <w:gridSpan w:val="5"/>
            <w:tcBorders>
              <w:top w:val="single" w:color="000000" w:sz="8" w:space="0"/>
              <w:left w:val="single" w:color="000000" w:sz="8" w:space="0"/>
              <w:bottom w:val="single" w:color="000000" w:sz="8" w:space="0"/>
              <w:right w:val="nil"/>
            </w:tcBorders>
            <w:noWrap w:val="0"/>
            <w:vAlign w:val="center"/>
          </w:tcPr>
          <w:p w14:paraId="311025E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创意编程进阶课程及软硬件</w:t>
            </w:r>
          </w:p>
        </w:tc>
      </w:tr>
      <w:tr w14:paraId="07D6E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0"/>
            <w:vAlign w:val="center"/>
          </w:tcPr>
          <w:p w14:paraId="0A117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246D8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创意编程进阶课程学习套装</w:t>
            </w:r>
          </w:p>
        </w:tc>
        <w:tc>
          <w:tcPr>
            <w:tcW w:w="9953" w:type="dxa"/>
            <w:tcBorders>
              <w:top w:val="single" w:color="000000" w:sz="4" w:space="0"/>
              <w:left w:val="single" w:color="000000" w:sz="4" w:space="0"/>
              <w:bottom w:val="single" w:color="000000" w:sz="4" w:space="0"/>
              <w:right w:val="single" w:color="000000" w:sz="4" w:space="0"/>
            </w:tcBorders>
            <w:noWrap w:val="0"/>
            <w:vAlign w:val="center"/>
          </w:tcPr>
          <w:p w14:paraId="524642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创意编程进阶课程学习套装采用了软硬件结合的方式，增加python学习的趣味性、图形化辅助代码编程降低学习的难度、覆盖python等级考试一级考点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1.内置经过安全监测的电路板，集成线路保护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2.辅材：配备4p传感器连线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w:t>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连接方式：套件同时支持杜邦线、防反接4p排插线，兼容鳄鱼夹、TypeC连接方式（提供满足国家认可的第三方检测机构出具的CNAS或CMA标识的检测报告复印件或影印件证明,并加盖厂家公章）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4.主控：32位ARM Cortex M0芯片，板载集成：5x5LED点阵屏，A、B案按键，蜂鸣器，麦克风，加速度计，电子罗盘，温度计，蓝牙灯电子模块；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5.拓展板：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（1）电源：支持USB 5V供电、内置锂电池供电，以及micro-USB充电方式，满足多样化使用需求。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w:t>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端口配置：6个普通IO端口，PH2.0-3P接口，3路I2C通信接口，PH2.0-4P规格，3路舵机控制接口，XH2.54-3P连接，4路独立马达驱动接口，XH2.54-2P接口（提供满足国家认可的第三方检测机构出具的CNAS或CMA标识的检测报告复印件或影印件证明,并加盖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（3）兼容主板：兼容掌控板、micro:bit及开源大师兄等主流开发板，扩展性强。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w:t>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外壳设计：采用塑料外壳保护电路，上壳为ABS材质，下壳为黑透PC材质。同时避免学生使用时受伤；设有标准圆孔，方便固定；兼容塑料积木，方便拓展，尺寸为≥76.7mm x 59.7mm x 20.0mm（提供满足国家认可的第三方检测机构出具的CNAS或CMA标识的检测报告复印件或影印件证明,并加盖厂家公章）。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6.电子元件包含：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主控*1;Python编程拓展学习板*1;轴流式风扇*1;温度传感器*1;旋钮电位器*1;声音传感器*1 ;光敏传感器*1 ;超声波传感*1 ;扬声器*1  ;舵机-9g*1 ;激光灯*1 ;RGB灯带*1 ;MP3模块*1 ;小车主体（包含两路马达，四路巡线，电池盒、电池、充电器)*1 ;Type-C数据线1 ;4pin连接线-10cm*4 ;4pin连接线-20cm*4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7.积木明细：轴（2单位）、轴（6单位）、轴（7单位）、轴（8单位）、轴（10单位）、轴（11单位）、轴（12单位）、钉轴（3单位）、十字轴交叉、轴栓 连接件、1X2轴连接件、轴栓 连接件、2x6 砖、2x4 砖、2x3 砖、2x2 砖、1x2 砖、2x8 砖、1x8 砖、1x6 砖、1x4 砖、1x3 砖、方梁 1x4带3孔砖、方梁 1x6带5孔砖、方梁 1x12带11孔砖、4x6 带孔框架砖、2x4板、1x8板、1x6板、2x6板、1x4板、20x20板、1x9孔臂梁、1x15孔臂梁、1x5孔臂梁、1x7孔臂梁、1x11孔臂梁、1x13孔臂梁、3x5L孔臂梁、固定销、滑销、8齿轮、24齿轮、全轴套、半轴套等不同积木，总数不低于200个积木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8.编程软件：同时支持Makecode、Mixly、Scratch图形化编程软件；实现图形编程模块到Python语言程序的转换</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97B9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5042B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3C2F0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0"/>
            <w:vAlign w:val="center"/>
          </w:tcPr>
          <w:p w14:paraId="6DCBB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27" w:type="dxa"/>
            <w:tcBorders>
              <w:top w:val="nil"/>
              <w:left w:val="single" w:color="000000" w:sz="4" w:space="0"/>
              <w:bottom w:val="single" w:color="000000" w:sz="4" w:space="0"/>
              <w:right w:val="single" w:color="000000" w:sz="4" w:space="0"/>
            </w:tcBorders>
            <w:noWrap w:val="0"/>
            <w:vAlign w:val="center"/>
          </w:tcPr>
          <w:p w14:paraId="208CA6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《创意编程进阶课程》教材</w:t>
            </w:r>
          </w:p>
        </w:tc>
        <w:tc>
          <w:tcPr>
            <w:tcW w:w="9953" w:type="dxa"/>
            <w:tcBorders>
              <w:top w:val="single" w:color="000000" w:sz="4" w:space="0"/>
              <w:left w:val="single" w:color="000000" w:sz="4" w:space="0"/>
              <w:bottom w:val="single" w:color="000000" w:sz="4" w:space="0"/>
              <w:right w:val="single" w:color="000000" w:sz="4" w:space="0"/>
            </w:tcBorders>
            <w:noWrap w:val="0"/>
            <w:vAlign w:val="center"/>
          </w:tcPr>
          <w:p w14:paraId="72EC13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意编程进阶课程》简介：以简单易上手的图形化编程的学习切入，在图形化编程的过程中同步展示Python代码，逐步过渡到Python代码的学习。通过创意编程套件的学习和Python知识的综合应用设计制作自动分拣，无人小车等作品。在不断创作的过程中，培养学生的独立思考能力，形成“开源造物”的思想。</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1F7B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0F95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r>
      <w:tr w14:paraId="69BDB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0"/>
            <w:vAlign w:val="center"/>
          </w:tcPr>
          <w:p w14:paraId="7E8AD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33AE0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创意编程进阶课程学习资源</w:t>
            </w:r>
          </w:p>
        </w:tc>
        <w:tc>
          <w:tcPr>
            <w:tcW w:w="9953" w:type="dxa"/>
            <w:tcBorders>
              <w:top w:val="single" w:color="000000" w:sz="4" w:space="0"/>
              <w:left w:val="single" w:color="000000" w:sz="4" w:space="0"/>
              <w:bottom w:val="single" w:color="000000" w:sz="4" w:space="0"/>
              <w:right w:val="single" w:color="000000" w:sz="4" w:space="0"/>
            </w:tcBorders>
            <w:noWrap w:val="0"/>
            <w:vAlign w:val="center"/>
          </w:tcPr>
          <w:p w14:paraId="44484B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不少于16课时的教案、学案、PPT和教学视频等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创意编程进阶课程资源目录: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我的表情我做主；2.321，开始抢答！3.向南出发！4.运动计数器；5.温控小风扇；6.比比肺活量；7.看不见的琴键；8.瞄准击发；9.炫酷跑马灯；10.幸运转转转；11.叮咚，门铃响了；12.剪刀石头布；13.摇一摇，换首歌；14.迪乐小车出发了！15.自动配送，真方便；16.停车请减速！</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B63E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242EE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8B59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0"/>
            <w:vAlign w:val="center"/>
          </w:tcPr>
          <w:p w14:paraId="0D9AD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0D240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创意编程拼搭结构配件库</w:t>
            </w:r>
          </w:p>
        </w:tc>
        <w:tc>
          <w:tcPr>
            <w:tcW w:w="9953" w:type="dxa"/>
            <w:tcBorders>
              <w:top w:val="single" w:color="000000" w:sz="4" w:space="0"/>
              <w:left w:val="single" w:color="000000" w:sz="4" w:space="0"/>
              <w:bottom w:val="single" w:color="000000" w:sz="4" w:space="0"/>
              <w:right w:val="single" w:color="000000" w:sz="4" w:space="0"/>
            </w:tcBorders>
            <w:noWrap w:val="0"/>
            <w:vAlign w:val="center"/>
          </w:tcPr>
          <w:p w14:paraId="03A4D3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包含齿轮、蜗杆、齿条、万向节、差速器、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皮带轮、偏心轮、滑轮、链条等多种传动及结构配件393个，搭建底板1块，可组合出多达上百种机械装置，实现结构与设计完美组合，从拼装基础到刺激想象力的发挥。</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234B1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DC8A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2BE89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0"/>
            <w:vAlign w:val="center"/>
          </w:tcPr>
          <w:p w14:paraId="6444B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76C52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图形化编程软件</w:t>
            </w:r>
          </w:p>
        </w:tc>
        <w:tc>
          <w:tcPr>
            <w:tcW w:w="9953" w:type="dxa"/>
            <w:tcBorders>
              <w:top w:val="single" w:color="000000" w:sz="4" w:space="0"/>
              <w:left w:val="single" w:color="000000" w:sz="4" w:space="0"/>
              <w:bottom w:val="single" w:color="000000" w:sz="4" w:space="0"/>
              <w:right w:val="single" w:color="000000" w:sz="4" w:space="0"/>
            </w:tcBorders>
            <w:noWrap w:val="0"/>
            <w:vAlign w:val="center"/>
          </w:tcPr>
          <w:p w14:paraId="20EC07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1、交互式图形化编程软件；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2、自动识别硬件接入COM端口，提供软件监视器实时监测硬件接入的传感器信息及状态；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3、能实现图形模块与Arduino指令的转换，支持S4A协议。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4、集成Arduino编程环境。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5、软件支持外部库导入、导出和管理功能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6、支持使用python/c/c++等高级编程语言进行控制，同时，软件支持Arduino和micro:bit等市面上最为常用的开源硬件平台。其融合了几十种传感模块和执行模块，帮助用户降低编程难度，从而简单轻松的实现创意</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46227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3A982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035A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3035" w:type="dxa"/>
            <w:gridSpan w:val="5"/>
            <w:tcBorders>
              <w:top w:val="single" w:color="000000" w:sz="8" w:space="0"/>
              <w:left w:val="single" w:color="000000" w:sz="8" w:space="0"/>
              <w:bottom w:val="single" w:color="000000" w:sz="8" w:space="0"/>
              <w:right w:val="nil"/>
            </w:tcBorders>
            <w:noWrap w:val="0"/>
            <w:vAlign w:val="center"/>
          </w:tcPr>
          <w:p w14:paraId="079FE5E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智能家居进阶课程及软硬件</w:t>
            </w:r>
          </w:p>
        </w:tc>
      </w:tr>
      <w:tr w14:paraId="23095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0"/>
            <w:vAlign w:val="center"/>
          </w:tcPr>
          <w:p w14:paraId="5F3FA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5BF60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智能家居进阶课程学习套装</w:t>
            </w:r>
          </w:p>
        </w:tc>
        <w:tc>
          <w:tcPr>
            <w:tcW w:w="9953" w:type="dxa"/>
            <w:tcBorders>
              <w:top w:val="single" w:color="000000" w:sz="4" w:space="0"/>
              <w:left w:val="single" w:color="000000" w:sz="4" w:space="0"/>
              <w:bottom w:val="single" w:color="000000" w:sz="4" w:space="0"/>
              <w:right w:val="single" w:color="000000" w:sz="4" w:space="0"/>
            </w:tcBorders>
            <w:noWrap w:val="0"/>
            <w:vAlign w:val="center"/>
          </w:tcPr>
          <w:p w14:paraId="29311C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套件采用ESP32核心芯片，配合mind+编程轻松加入WIFI，实现物联网功能。采用激光切割结构件，感官上能够体现创客风格，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1、主控板：ESP-WROOM-32(ESP32），新一代 WiFi &amp; 蓝牙 双模双核无线通信芯片。芯片集成蓝牙4.2和WiFi HT40技术为一身，拥有高性能Tensilica LX6 双核处理器，支持超低功耗待机；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2、输入模块：超声波传感器、矩阵键盘、触摸传感器、火焰传感器、烟雾传感器、电位器、人体热释电传感器、光线传感器、温湿度传感器、雨滴传感器、红外接收模块、红外遥控器等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3、输出模块：小灯模块、蜂鸣器、风扇模块、LED屏、四位数码管、SG90 舵机等；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4、其他配件：充电器、锂电池、电池盒、3P连接线、4P连接线、Type-C数据线、螺丝、螺母、铜柱、子母扣、十字螺丝刀、椴木板等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5、编程软件：使用纯图形化编程软件进行编程；兼容Arduino软硬件开发平台，兼容ArduinoIDE软件编程，兼容Scratch软件编程；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w:t>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套件支持WIFI、蓝牙功能等物联网功能。（提供满足国家认可的第三方检测机构出具的CNAS或CMA标识的检测报告复印件或影印件证明,并加盖厂家公章）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w:t>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套件支持温湿度、环境光、水滴等有关智能家居功能的检测。（提供满足国家认可的第三方检测机构出具的CNAS或CMA标识的检测报告复印件或影印件证明,并加盖厂家公章）</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90E1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7E394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557D6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0"/>
            <w:vAlign w:val="center"/>
          </w:tcPr>
          <w:p w14:paraId="7EC30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27" w:type="dxa"/>
            <w:tcBorders>
              <w:top w:val="single" w:color="000000" w:sz="4" w:space="0"/>
              <w:left w:val="single" w:color="000000" w:sz="4" w:space="0"/>
              <w:bottom w:val="single" w:color="auto" w:sz="4" w:space="0"/>
              <w:right w:val="single" w:color="000000" w:sz="4" w:space="0"/>
            </w:tcBorders>
            <w:noWrap w:val="0"/>
            <w:vAlign w:val="center"/>
          </w:tcPr>
          <w:p w14:paraId="42885F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《智能家居进阶课程》学习手册</w:t>
            </w:r>
          </w:p>
        </w:tc>
        <w:tc>
          <w:tcPr>
            <w:tcW w:w="9953" w:type="dxa"/>
            <w:tcBorders>
              <w:top w:val="single" w:color="000000" w:sz="4" w:space="0"/>
              <w:left w:val="single" w:color="000000" w:sz="4" w:space="0"/>
              <w:bottom w:val="single" w:color="auto" w:sz="4" w:space="0"/>
              <w:right w:val="single" w:color="000000" w:sz="4" w:space="0"/>
            </w:tcBorders>
            <w:noWrap w:val="0"/>
            <w:vAlign w:val="center"/>
          </w:tcPr>
          <w:p w14:paraId="3ECD0F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简介：智能家居在生活中已不再陌生，它的出现为人们提供了更安全、便利与舒适的空间和方式，把自动控制技术、计算机技术、物联网技术等融合在一起，根据个性化需求，将家电控制、环境监测、信息管理等功能，通过声控、面板、移动设备等多种方式进行本地和远程智能化控制，有效地节省操作及能源。在家居逐渐智能化的背景下，本课程基于该主题场景作深入系统学习，从三个模块”点亮智能之灯、走进智能之家、联通智能之路“依次展开，开篇学习智能硬件的使用和基础编程知识，探索自动化控制的方法，设计制作智能居家的生活小应用，后过渡至物联网知识的学习，通过WIFI实现物物相连，从而能够远程控制家电和信息获取。通过对多种电子模块和编程知识的学习，能够结合人们生活需求解决实际问题，培养人工智能意识与社会责任感。</w:t>
            </w:r>
          </w:p>
        </w:tc>
        <w:tc>
          <w:tcPr>
            <w:tcW w:w="787" w:type="dxa"/>
            <w:tcBorders>
              <w:top w:val="single" w:color="000000" w:sz="4" w:space="0"/>
              <w:left w:val="single" w:color="000000" w:sz="4" w:space="0"/>
              <w:bottom w:val="single" w:color="auto" w:sz="4" w:space="0"/>
              <w:right w:val="single" w:color="000000" w:sz="4" w:space="0"/>
            </w:tcBorders>
            <w:noWrap/>
            <w:vAlign w:val="center"/>
          </w:tcPr>
          <w:p w14:paraId="58E25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787" w:type="dxa"/>
            <w:tcBorders>
              <w:top w:val="single" w:color="000000" w:sz="4" w:space="0"/>
              <w:left w:val="single" w:color="000000" w:sz="4" w:space="0"/>
              <w:bottom w:val="single" w:color="auto" w:sz="4" w:space="0"/>
              <w:right w:val="single" w:color="000000" w:sz="4" w:space="0"/>
            </w:tcBorders>
            <w:noWrap w:val="0"/>
            <w:vAlign w:val="center"/>
          </w:tcPr>
          <w:p w14:paraId="7EFC4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r>
      <w:tr w14:paraId="0D6F6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auto" w:sz="4" w:space="0"/>
              <w:right w:val="single" w:color="auto" w:sz="4" w:space="0"/>
            </w:tcBorders>
            <w:noWrap w:val="0"/>
            <w:vAlign w:val="center"/>
          </w:tcPr>
          <w:p w14:paraId="0B0F8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37C571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智能家居进阶课程学习资源</w:t>
            </w:r>
          </w:p>
        </w:tc>
        <w:tc>
          <w:tcPr>
            <w:tcW w:w="9953" w:type="dxa"/>
            <w:tcBorders>
              <w:top w:val="single" w:color="auto" w:sz="4" w:space="0"/>
              <w:left w:val="single" w:color="auto" w:sz="4" w:space="0"/>
              <w:bottom w:val="single" w:color="auto" w:sz="4" w:space="0"/>
              <w:right w:val="single" w:color="auto" w:sz="4" w:space="0"/>
            </w:tcBorders>
            <w:noWrap w:val="0"/>
            <w:vAlign w:val="top"/>
          </w:tcPr>
          <w:p w14:paraId="45FBC0C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含智能家居进阶课程资源共16课时的教学课件、教学设计、学生用书、参考程序、搭建视频*1、作品视频（集锦）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课程资源目录: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第一单元：点亮智能之灯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第1节：点亮一盏灯；第2节：明暗可掌控；第3节：触摸灯就亮；第4节：感应小夜灯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第二单元：走进智能之家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第5节：室温可监测；第6节：门铃响叮咚；第7节：遥控小风扇；第8节：帘随光动；第9节：轻松泊车；第10节：晾晒无忧；第11节：密码开门；第12节：天气助手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第三单元：联通智能之路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第13节：出门忘关灯；第14节：温度易调节；第15节：危险早知道；第16节：智能小管家</w:t>
            </w:r>
          </w:p>
        </w:tc>
        <w:tc>
          <w:tcPr>
            <w:tcW w:w="787" w:type="dxa"/>
            <w:tcBorders>
              <w:top w:val="single" w:color="auto" w:sz="4" w:space="0"/>
              <w:left w:val="single" w:color="auto" w:sz="4" w:space="0"/>
              <w:bottom w:val="single" w:color="auto" w:sz="4" w:space="0"/>
              <w:right w:val="single" w:color="auto" w:sz="4" w:space="0"/>
            </w:tcBorders>
            <w:noWrap/>
            <w:vAlign w:val="center"/>
          </w:tcPr>
          <w:p w14:paraId="1AE2D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398B0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C8C2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3035" w:type="dxa"/>
            <w:gridSpan w:val="5"/>
            <w:tcBorders>
              <w:top w:val="single" w:color="auto" w:sz="4" w:space="0"/>
              <w:left w:val="single" w:color="auto" w:sz="4" w:space="0"/>
              <w:bottom w:val="single" w:color="auto" w:sz="4" w:space="0"/>
              <w:right w:val="single" w:color="auto" w:sz="4" w:space="0"/>
            </w:tcBorders>
            <w:noWrap w:val="0"/>
            <w:vAlign w:val="center"/>
          </w:tcPr>
          <w:p w14:paraId="7A5B966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人工智能活动课程及软硬件</w:t>
            </w:r>
          </w:p>
        </w:tc>
      </w:tr>
      <w:tr w14:paraId="68359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single" w:color="auto" w:sz="4" w:space="0"/>
              <w:left w:val="single" w:color="auto" w:sz="4" w:space="0"/>
              <w:bottom w:val="single" w:color="auto" w:sz="4" w:space="0"/>
              <w:right w:val="single" w:color="auto" w:sz="4" w:space="0"/>
            </w:tcBorders>
            <w:noWrap w:val="0"/>
            <w:vAlign w:val="center"/>
          </w:tcPr>
          <w:p w14:paraId="7D4D8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02C03D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人工智能活动课程学习套装（中学版）</w:t>
            </w:r>
          </w:p>
        </w:tc>
        <w:tc>
          <w:tcPr>
            <w:tcW w:w="9953" w:type="dxa"/>
            <w:tcBorders>
              <w:top w:val="single" w:color="auto" w:sz="4" w:space="0"/>
              <w:left w:val="single" w:color="auto" w:sz="4" w:space="0"/>
              <w:bottom w:val="single" w:color="auto" w:sz="4" w:space="0"/>
              <w:right w:val="single" w:color="auto" w:sz="4" w:space="0"/>
            </w:tcBorders>
            <w:noWrap w:val="0"/>
            <w:vAlign w:val="center"/>
          </w:tcPr>
          <w:p w14:paraId="32FADE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人工智能活动课程学习套装（中学版）配合乐高以及图形化编程同步展示Python代码进行教学，采用4P排插线连接功能模块，不需要焊接，配有生动的使用课程,课程由浅入深。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1.硬件结合物联网功能，实现物物相连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2.辅材：配备4p传感器连线，一包拼接件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3.连接方式：杜邦或4p排插线，防反接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4.电子元件不少于：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绿双色灯，有源蜂鸣器，轴流式风扇，扬声器，全彩彩灯块，功率白暖灯，按钮指示灯，声音传感器，光敏传感器，超声波传感，热释电传感，避障传感器，土壤湿度块，舵机，雾化器，雨滴传感器，定制主板，小车主体，各种连接数据线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5.主控：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（1）K210 AI人工智能套件专为相关专业学生或爱好者学习MicroPython编程、传感器应用、IOT物联网开发及AI人工智能而设计，从基本的软件搭建、传感器进行硬件编程到物联网应用逐步过渡到AI人工智能学习，降低学习AI人工智能门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w:t>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基于RISC-V架构，拥有双核64位CPU，配备1TOPS的计算能力，支持最高1080p或更高的图像识别能力（提供满足国家认可的第三方检测机构出具的CNAS或CMA标识的检测报告复印件或影印件证明,并加盖厂家公章）。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w:t>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低功耗，芯片功耗仅为0.3W（提供满足国家认可的第三方检测机构出具的CNAS或CMA标识的检测报告复印件或影印件证明,并加盖厂家公章）。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w:t>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支持TinyYOLOv2，MobileNetV2,EfficientNet 图像识别算法（提供满足国家认可的第三方检测机构出具的CNAS或CMA标识的检测报告复印件或影印件证明,并加盖厂家公章）。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（5）国产芯片配合国产ai框架canmv，助力自主可控。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w:t>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主板集成了MP3、2.4寸TFT屏幕、摄像头视觉功能、SD内存卡、1个按键、6个ADC、16个IO。支持mixly图形化编程、支持mypython（提供满足国家认可的第三方检测机构出具的CNAS或CMA标识的检测报告复印件或影印件证明,并加盖厂家公章）。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w:t>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集成：wifi、显示屏、扬声器、sd存储卡4G（提供满足国家认可的第三方检测机构出具的CNAS或CMA标识的检测报告复印件或影印件证明,并加盖厂家公章）。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（8）接口：type-c接口供电和上传程序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6.编程软件：图形化编程同步展示Python代码，为代码学习打基础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物联网平台：一个专为中小学生设计的综合平台，旨在通过实践的方式，让学生掌握物联网技术的开发与应用。平台集成了物联网技术的核心要素，包括传感器、执行器、无线通信模块、数据处理单元等。通过这些组件的有机结合，平台能够实现数据的采集、传输、处理及展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8.含配套课程资源，包含：教学设计、教学课件、学生用书、源程序、作品演示视频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9.套件支持图像、声音等功能的深度学习；（提供满足国家认可的第三方检测机构出具的CNAS或CMA标识的检测报告复印件或影印件证明,并加盖厂家公章）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10.套件支持WIFI、蓝牙、NFC等物联网功能（提供满足国家认可的第三方检测机构出具的CNAS或CMA标识的检测报告复印件或影印件证明,并加盖厂家公章）</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530E4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20496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68F83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single" w:color="auto" w:sz="4" w:space="0"/>
              <w:left w:val="single" w:color="000000" w:sz="8" w:space="0"/>
              <w:bottom w:val="single" w:color="000000" w:sz="4" w:space="0"/>
              <w:right w:val="single" w:color="000000" w:sz="4" w:space="0"/>
            </w:tcBorders>
            <w:noWrap w:val="0"/>
            <w:vAlign w:val="center"/>
          </w:tcPr>
          <w:p w14:paraId="45DC8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27" w:type="dxa"/>
            <w:tcBorders>
              <w:top w:val="single" w:color="auto" w:sz="4" w:space="0"/>
              <w:left w:val="single" w:color="000000" w:sz="4" w:space="0"/>
              <w:bottom w:val="single" w:color="000000" w:sz="4" w:space="0"/>
              <w:right w:val="single" w:color="000000" w:sz="4" w:space="0"/>
            </w:tcBorders>
            <w:noWrap w:val="0"/>
            <w:vAlign w:val="center"/>
          </w:tcPr>
          <w:p w14:paraId="203AA5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《人工智能通识活动课程》（中学版）学习手册（上下册2本）</w:t>
            </w:r>
          </w:p>
        </w:tc>
        <w:tc>
          <w:tcPr>
            <w:tcW w:w="9953" w:type="dxa"/>
            <w:tcBorders>
              <w:top w:val="single" w:color="auto" w:sz="4" w:space="0"/>
              <w:left w:val="single" w:color="000000" w:sz="4" w:space="0"/>
              <w:bottom w:val="single" w:color="000000" w:sz="4" w:space="0"/>
              <w:right w:val="single" w:color="000000" w:sz="4" w:space="0"/>
            </w:tcBorders>
            <w:noWrap w:val="0"/>
            <w:vAlign w:val="center"/>
          </w:tcPr>
          <w:p w14:paraId="4ADA10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《人工智能通识活动课程》（中学版）简介：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册：包含3个模块：人工智能与我、对话人工智能与人工智能的感知。通过本课程，学生能够初步了解什么是人工智能，人工智能的发展与应用场景，及学习人工智能相关问题的解决思路。理解二进制、编程、算法等概念，及其与人工智能的关系，理解贪心算法、分治算法的基本思路及在生活中的应用。了解数据与大数据的概念，以及数据的收集、分析、处理方法。初步学习物联的基本知识，知道传感器的组成及分类方法，认识常用的测气象的传感器，并能使用设计智能穿戴创意方案。在课程中，通过让学生举例、画像、辩论、讨论等深化其对人工智能的理解，并在课程中融入观察、想象、概括、类比、分析、问题解决等思维方法，加强学生的思维能力的培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下册：包含3个模块：人工智能与我、对话人工智能与人工智能的感知。通过本课程，学生能够加深对人工智能的了解，并思考人工智能发展带来的问题。理解人工智能三次浪潮的时代背景下各自发展出的人工智能的实现途径，包括符号推理、专家系统、机器学习、深度学习等各种实现人工智能途径的主要思想。理解智能机器的要素，认识更多的传感器如红外反射传感器、超声波传感器等。更深层次的了解物联的应用，及常用的无线控制模块，并能根据所学设计简单的物联网应用方案。通过让学生举例、画像、辩论、讨论等深化其对人工智能的理解，并在课程中融入观察、想象、概括、类比、分析、问题解决等思维方法，加强学生的思维能力的培养。</w:t>
            </w:r>
          </w:p>
        </w:tc>
        <w:tc>
          <w:tcPr>
            <w:tcW w:w="787" w:type="dxa"/>
            <w:tcBorders>
              <w:top w:val="single" w:color="auto" w:sz="4" w:space="0"/>
              <w:left w:val="single" w:color="000000" w:sz="4" w:space="0"/>
              <w:bottom w:val="single" w:color="000000" w:sz="4" w:space="0"/>
              <w:right w:val="single" w:color="000000" w:sz="4" w:space="0"/>
            </w:tcBorders>
            <w:noWrap w:val="0"/>
            <w:vAlign w:val="center"/>
          </w:tcPr>
          <w:p w14:paraId="639E3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787" w:type="dxa"/>
            <w:tcBorders>
              <w:top w:val="single" w:color="auto" w:sz="4" w:space="0"/>
              <w:left w:val="single" w:color="000000" w:sz="4" w:space="0"/>
              <w:bottom w:val="single" w:color="000000" w:sz="4" w:space="0"/>
              <w:right w:val="single" w:color="000000" w:sz="4" w:space="0"/>
            </w:tcBorders>
            <w:noWrap w:val="0"/>
            <w:vAlign w:val="center"/>
          </w:tcPr>
          <w:p w14:paraId="5B392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r>
      <w:tr w14:paraId="19C95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0"/>
            <w:vAlign w:val="center"/>
          </w:tcPr>
          <w:p w14:paraId="7813D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831F7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《人工智能实操活动课程》（中学版）学习手册（上下册2本）</w:t>
            </w:r>
          </w:p>
        </w:tc>
        <w:tc>
          <w:tcPr>
            <w:tcW w:w="9953" w:type="dxa"/>
            <w:tcBorders>
              <w:top w:val="single" w:color="000000" w:sz="4" w:space="0"/>
              <w:left w:val="single" w:color="000000" w:sz="4" w:space="0"/>
              <w:bottom w:val="single" w:color="000000" w:sz="4" w:space="0"/>
              <w:right w:val="single" w:color="000000" w:sz="4" w:space="0"/>
            </w:tcBorders>
            <w:noWrap w:val="0"/>
            <w:vAlign w:val="center"/>
          </w:tcPr>
          <w:p w14:paraId="6EB7FA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《人工智能实操活动课程》（中学版）简介：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上册：了解编程的基本知识及软硬件基础操作，结合硬件创造简单的作品。在此基础上，初步接触物联网，知道物联网通讯设备的构成，以及远程操控的实现过程，并尝试创作简单的物联网作品；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下册：从自身生活密切相关的领域，思考物联网的应用所带来的便捷性与安全性，并从这些点出发，设计相关作品，形成开源造物的思想。结合数据分析，尝试给这些领域的管理提供建议。</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6174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4A658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r>
      <w:tr w14:paraId="18F0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0"/>
            <w:vAlign w:val="center"/>
          </w:tcPr>
          <w:p w14:paraId="617B81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2A1B0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人工智通识活动课程（中学版）课程学习资源</w:t>
            </w:r>
          </w:p>
        </w:tc>
        <w:tc>
          <w:tcPr>
            <w:tcW w:w="9953" w:type="dxa"/>
            <w:tcBorders>
              <w:top w:val="single" w:color="000000" w:sz="4" w:space="0"/>
              <w:left w:val="single" w:color="000000" w:sz="4" w:space="0"/>
              <w:bottom w:val="single" w:color="000000" w:sz="4" w:space="0"/>
              <w:right w:val="single" w:color="000000" w:sz="4" w:space="0"/>
            </w:tcBorders>
            <w:noWrap w:val="0"/>
            <w:vAlign w:val="center"/>
          </w:tcPr>
          <w:p w14:paraId="69A8DD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包含：上下两册的教学生用书，讲义，说课视频；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课程特色：理念先进、活动丰富、学思融合、融合贯通；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第一章：人工智能与我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第1节、人工智能来了；第2节、人工智能的发展历程；第3节、人机交互；第4节、会“看”的人工智能；第5节、人工智能，你有多懂我；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第二章：对话人工智能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第6节、0和1的世界；第7节、认识编程；第8节、智能的核心；第9节、贪心算法；第10节、分治算法；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第三章：人工智能的感知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第11节、数据与大数据；第12节、数据收集；第13节、数据的整理与分析；第14节、初识物联网；第15节、机器的感知Ⅰ；第16节、懂气象的传感器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下册：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第一章：人工智能与我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第1节、人工智能的定义；第2节、会“听”的人工智能；第3节、会“说”的人工智能；第4节、人工智能引发的社会问题；第5节、人工智能的未来畅想；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第二章：对话人工智能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第6节、逻辑运算与推理；第7节、知识获取与表示；第8节、机器学习Ⅰ；第9节、机器学习Ⅱ；第10节、深度学习；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第三章：人工智能的感知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第11节、智能机器的三要素；第12节、会测距的传感器；第13节、机器的感知Ⅱ；第14节、物联网-无线控制；第15节、物联网应用；第16节、设计智能的家</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367CC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A328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024D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0"/>
            <w:vAlign w:val="center"/>
          </w:tcPr>
          <w:p w14:paraId="79DEB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A602D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人工智能实操活动课程（中学版）课程学习资源</w:t>
            </w:r>
          </w:p>
        </w:tc>
        <w:tc>
          <w:tcPr>
            <w:tcW w:w="9953" w:type="dxa"/>
            <w:tcBorders>
              <w:top w:val="single" w:color="000000" w:sz="4" w:space="0"/>
              <w:left w:val="single" w:color="000000" w:sz="4" w:space="0"/>
              <w:bottom w:val="single" w:color="000000" w:sz="4" w:space="0"/>
              <w:right w:val="single" w:color="000000" w:sz="4" w:space="0"/>
            </w:tcBorders>
            <w:noWrap w:val="0"/>
            <w:vAlign w:val="center"/>
          </w:tcPr>
          <w:p w14:paraId="6B43AE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包含：上下两册不少于32课时的教学设计、教学课件、源程序、作品演示视频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课程特色：1）主题化课程设计，突出物联网技术在各领域的应用；2）硬件结合物联网功能，实现物物相连；3）图形化编程同步展示Python代码，为代码学习打基础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人工智能实操活动课程目录：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课程设置：上册（16课，90min/课）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第一章：机器感知——初显身手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1.感应氛围灯；2.自动感应风扇；3.扔垃圾，自动开盖；4.进入楼道，为你开灯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第二章：数据通信——农业气象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5.远程控制-补光灯；6.农田安全，我来守护；7.智能湿度管理；8.土壤干了，自动灌溉；9.需要更多阳光，开顶棚；10.创建农业气象站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第三章：信息记录——校园管家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11.有消息，我来通知！；12.准备，听力训练开始；13.进入校园，请刷卡；14.你好，签到成功；15.食堂取餐，一卡即付；16.校园科普站-你参与了吗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课程设置：下册（16课，90min/课）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第一章：链接环境——畅快旅行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1.入园人数知多少；2.停车位，还有吗；3.摆渡车，出发了；4.景点包裹寄存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第二章：自动便捷——温馨的家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5.远程控制-无忧收件；6.下雨了，自动收衣；7.一键操作，随心开关；8.我的智能居家生活；9.不用起身，把门开；10.收快递，自动响应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第三章：随心自助——无人餐厅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11.欢迎光临，迪乐餐厅；12.自助点餐，一键下单；13.自动送餐员小迪；14.“我”来了，请让道；15.每张餐桌，我来找到你；16.全新升级，迪乐餐厅</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3A772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2CF37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0545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0"/>
            <w:vAlign w:val="center"/>
          </w:tcPr>
          <w:p w14:paraId="260ED5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69DF2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人工智能活动课程图形化软件</w:t>
            </w:r>
          </w:p>
        </w:tc>
        <w:tc>
          <w:tcPr>
            <w:tcW w:w="9953" w:type="dxa"/>
            <w:tcBorders>
              <w:top w:val="single" w:color="000000" w:sz="4" w:space="0"/>
              <w:left w:val="single" w:color="000000" w:sz="4" w:space="0"/>
              <w:bottom w:val="single" w:color="000000" w:sz="4" w:space="0"/>
              <w:right w:val="single" w:color="000000" w:sz="4" w:space="0"/>
            </w:tcBorders>
            <w:noWrap w:val="0"/>
            <w:vAlign w:val="top"/>
          </w:tcPr>
          <w:p w14:paraId="28EAA68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（1）使用纯图形化编程软件进行编程；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（2）兼容Arduino软硬件开发平台，兼容ArduinoIDE软件编程，兼容Scratch软件编程；封装相应电子模块的C语言库。</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2250A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000000" w:sz="4" w:space="0"/>
              <w:left w:val="single" w:color="000000" w:sz="4" w:space="0"/>
              <w:bottom w:val="nil"/>
              <w:right w:val="single" w:color="000000" w:sz="4" w:space="0"/>
            </w:tcBorders>
            <w:noWrap w:val="0"/>
            <w:vAlign w:val="center"/>
          </w:tcPr>
          <w:p w14:paraId="4402A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C274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3035" w:type="dxa"/>
            <w:gridSpan w:val="5"/>
            <w:tcBorders>
              <w:top w:val="single" w:color="000000" w:sz="8" w:space="0"/>
              <w:left w:val="single" w:color="000000" w:sz="8" w:space="0"/>
              <w:bottom w:val="single" w:color="000000" w:sz="8" w:space="0"/>
              <w:right w:val="nil"/>
            </w:tcBorders>
            <w:noWrap w:val="0"/>
            <w:vAlign w:val="center"/>
          </w:tcPr>
          <w:p w14:paraId="23A7FA5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人工智能应用课程及软硬件</w:t>
            </w:r>
          </w:p>
        </w:tc>
      </w:tr>
      <w:tr w14:paraId="55FDA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single" w:color="000000" w:sz="4" w:space="0"/>
              <w:left w:val="single" w:color="000000" w:sz="8" w:space="0"/>
              <w:bottom w:val="single" w:color="000000" w:sz="4" w:space="0"/>
              <w:right w:val="single" w:color="000000" w:sz="4" w:space="0"/>
            </w:tcBorders>
            <w:noWrap w:val="0"/>
            <w:vAlign w:val="center"/>
          </w:tcPr>
          <w:p w14:paraId="51BF8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99F69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人工智能应用进阶课程学习套装</w:t>
            </w:r>
          </w:p>
        </w:tc>
        <w:tc>
          <w:tcPr>
            <w:tcW w:w="9953" w:type="dxa"/>
            <w:tcBorders>
              <w:top w:val="nil"/>
              <w:left w:val="single" w:color="000000" w:sz="4" w:space="0"/>
              <w:bottom w:val="single" w:color="000000" w:sz="4" w:space="0"/>
              <w:right w:val="single" w:color="000000" w:sz="4" w:space="0"/>
            </w:tcBorders>
            <w:noWrap w:val="0"/>
            <w:vAlign w:val="center"/>
          </w:tcPr>
          <w:p w14:paraId="06D478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1、综述：人工智能应用进阶课程学习套装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2、主板芯片：CPU: 8核64位处理器，4核Cortex-A76和4核Cortex-A55及独立的NEON协处理器，Cortex-A76主频2.4GHz, Cortex-A55主频1.8GHz；GPU:集成ARM Mali-G610，内置3D GPU；NPU: 内嵌的NPU支持INT4/INT8/INT16/FP16混合运算，算力高达6 Top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3、主板具有丰富的接口：HDMI输出端口*2个，HDMI输入端口*1个，2.5G以太网接口*2个，USB 3.0*2个，USB 2.0*2个，Type -C *2个；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4、内含材料：8核64位ARM主控、RTL8821CU芯片 的usb网卡、内存卡、麦克风高清摄像头、充电小音箱、11寸屏幕、无线键鼠套装等；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5、拓展元器件盒：OLED显示屏模块、按钮指示灯、全彩彩灯块、纯白单色灯、红绿双色灯、四位数码管、声音传感器、温湿度传感器、有源蜂鸣器、超声波传感器、避障传感器、轴流式风扇、NaNO板等电子模块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6、辅材：开发板数据线*1、4P排插线-10cm*4、4P排插线-20cm*6、SG90 9g舵机*2、杜邦线（母对母）*1等；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7、编程软件：人工智能技术的图形化编程软件，支持Python编程语言,云端程序保存。主控模块使用网页编程并上传程序。                                                                                                                                                                                                                                                      </w:t>
            </w:r>
            <w:r>
              <w:rPr>
                <w:rFonts w:hint="eastAsia" w:ascii="宋体" w:hAnsi="宋体" w:eastAsia="宋体" w:cs="宋体"/>
                <w:i w:val="0"/>
                <w:iCs w:val="0"/>
                <w:color w:val="000000"/>
                <w:kern w:val="0"/>
                <w:sz w:val="18"/>
                <w:szCs w:val="18"/>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8、该套件支持语音识别、图像识别、机器学习等功能（提供满足国家认可的第三方检测机构出具的CNAS或CMA标识的检测报告复印件或影印件证明,并加盖厂家公章）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9、学习平台：支持图像识别、语音识别、机器学习等人工智能技术的图形化编程界面，能自动生成Python3.X代码并支持一键下载&amp;运行；（提供满足国家认可的第三方检测机构出具的CNAS或CMA标识的检测报告复印件或影印件证明,并加盖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10、搭建作品并实现以下功能（提供满足国家认可的第三方检测机构出具的CNAS或CMA标识的检测报告复印件或影印件证明,并加盖厂家公章）：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（1）不使用电脑和手机等外部产品，直接通过作品实现“语音控制灯”。语音发出指令“开灯”“红色”“黄色”“关灯”，彩灯做出正确动作。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（2）不使用电脑和手机等外部产品，直接通过作品实现“人脸认证”。用摄像头拍摄人脸，如果和预存照片为同一人则亮绿灯。如果和预存照片不同人则亮红灯。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（3）不使用电脑和手机等外部产品，直接通过作品实现“动物识别”。用摄像头拍摄某一物体，作品能够自动识别是动物，并说出该动物名称。</w:t>
            </w:r>
          </w:p>
        </w:tc>
        <w:tc>
          <w:tcPr>
            <w:tcW w:w="787" w:type="dxa"/>
            <w:tcBorders>
              <w:top w:val="nil"/>
              <w:left w:val="single" w:color="000000" w:sz="4" w:space="0"/>
              <w:bottom w:val="single" w:color="000000" w:sz="4" w:space="0"/>
              <w:right w:val="single" w:color="000000" w:sz="4" w:space="0"/>
            </w:tcBorders>
            <w:noWrap w:val="0"/>
            <w:vAlign w:val="center"/>
          </w:tcPr>
          <w:p w14:paraId="081C7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nil"/>
              <w:left w:val="single" w:color="000000" w:sz="4" w:space="0"/>
              <w:bottom w:val="single" w:color="000000" w:sz="4" w:space="0"/>
              <w:right w:val="single" w:color="000000" w:sz="4" w:space="0"/>
            </w:tcBorders>
            <w:noWrap w:val="0"/>
            <w:vAlign w:val="center"/>
          </w:tcPr>
          <w:p w14:paraId="306CA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0BDA1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single" w:color="000000" w:sz="4" w:space="0"/>
              <w:left w:val="single" w:color="000000" w:sz="8" w:space="0"/>
              <w:bottom w:val="single" w:color="000000" w:sz="4" w:space="0"/>
              <w:right w:val="single" w:color="000000" w:sz="4" w:space="0"/>
            </w:tcBorders>
            <w:noWrap w:val="0"/>
            <w:vAlign w:val="center"/>
          </w:tcPr>
          <w:p w14:paraId="11E10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EC43C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《人工智能应用进阶课程》学习手册</w:t>
            </w:r>
          </w:p>
        </w:tc>
        <w:tc>
          <w:tcPr>
            <w:tcW w:w="9953" w:type="dxa"/>
            <w:tcBorders>
              <w:top w:val="nil"/>
              <w:left w:val="single" w:color="000000" w:sz="4" w:space="0"/>
              <w:bottom w:val="single" w:color="000000" w:sz="4" w:space="0"/>
              <w:right w:val="single" w:color="000000" w:sz="4" w:space="0"/>
            </w:tcBorders>
            <w:noWrap w:val="0"/>
            <w:vAlign w:val="center"/>
          </w:tcPr>
          <w:p w14:paraId="1687B1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应用课程简介：人工智能应用课程以现实问题为情境，引导学生学习和应用语音识别、图像识别和机器翻译等人工智能技术；学习新一代人工智能技术的基本原理和应用方法。并在此基础上结合现实生活中的问题进行创新创造，从而形成自主设计的作品。培养学生解决问题的能力，提升创新素养。</w:t>
            </w:r>
          </w:p>
        </w:tc>
        <w:tc>
          <w:tcPr>
            <w:tcW w:w="787" w:type="dxa"/>
            <w:tcBorders>
              <w:top w:val="nil"/>
              <w:left w:val="single" w:color="000000" w:sz="4" w:space="0"/>
              <w:bottom w:val="single" w:color="000000" w:sz="4" w:space="0"/>
              <w:right w:val="single" w:color="000000" w:sz="4" w:space="0"/>
            </w:tcBorders>
            <w:noWrap w:val="0"/>
            <w:vAlign w:val="center"/>
          </w:tcPr>
          <w:p w14:paraId="7BE91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787" w:type="dxa"/>
            <w:tcBorders>
              <w:top w:val="nil"/>
              <w:left w:val="single" w:color="000000" w:sz="4" w:space="0"/>
              <w:bottom w:val="single" w:color="000000" w:sz="4" w:space="0"/>
              <w:right w:val="single" w:color="000000" w:sz="4" w:space="0"/>
            </w:tcBorders>
            <w:noWrap w:val="0"/>
            <w:vAlign w:val="center"/>
          </w:tcPr>
          <w:p w14:paraId="695C7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r>
      <w:tr w14:paraId="60696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single" w:color="000000" w:sz="4" w:space="0"/>
              <w:left w:val="single" w:color="000000" w:sz="8" w:space="0"/>
              <w:bottom w:val="single" w:color="000000" w:sz="4" w:space="0"/>
              <w:right w:val="single" w:color="000000" w:sz="4" w:space="0"/>
            </w:tcBorders>
            <w:noWrap w:val="0"/>
            <w:vAlign w:val="center"/>
          </w:tcPr>
          <w:p w14:paraId="40954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BCA0E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人工智能应用进阶课程及课程资源</w:t>
            </w:r>
          </w:p>
        </w:tc>
        <w:tc>
          <w:tcPr>
            <w:tcW w:w="9953" w:type="dxa"/>
            <w:tcBorders>
              <w:top w:val="single" w:color="000000" w:sz="4" w:space="0"/>
              <w:left w:val="single" w:color="000000" w:sz="4" w:space="0"/>
              <w:bottom w:val="single" w:color="000000" w:sz="4" w:space="0"/>
              <w:right w:val="single" w:color="000000" w:sz="4" w:space="0"/>
            </w:tcBorders>
            <w:noWrap w:val="0"/>
            <w:vAlign w:val="center"/>
          </w:tcPr>
          <w:p w14:paraId="746D6E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应用进阶课程简介：人工智能应用课程以现实问题为情境，引导学生学习和应用语音识别、图像识别和机器翻译等人工智能技术；学习新一代人工智能技术的基本原理和应用方法。并在此基础上结合现实生活中的问题进行创新创造，从而形成自主设计的作品。培养学生解决问题的能力，提升创新素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含人工智能应用课程资源不少于16课时的教案、PPT和教学视频等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《人工智能应用》课程资源目录: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1、走近人工智能：知道常见的人工智能算法载体，学会辨别生活中的人工智能。；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2、你好，人类：知道语音合成的实现方式及应用，学习并使用语音合成、循环、变量等简单模块；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3、小燕学乘法：学生通过导航系统和倒计时程序，学习字符串和数学模块，最后利用这些模块完成乘法表的编写；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4、神奇的列表：学习不同类型的列表，完成对列表中的资料进行删除、新增和修改；学习语音识别模块，去识别列表中的内容；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5、倒背如流：强化列表的综合使用，学习列表、文本、字符之间如何转换；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6、你问我答：学生使用逻辑判断、字符串等模块完成自定义回答的功能；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7、未来翻译官：学生通过学习了解打印模块、翻译模块、语音合成等模块的使用，并通过组合使用这些编程模块完成翻译助手的制作；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8、AI懂不懂：通过应用语音识别技术完成问答机器人，提高学生逻辑思维能力。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9、123，茄子：完成拍照、语音拍照等功能；学习远程桌面的登录与文件位置的查找。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10、不同“视”界：利用树莓派完成动物识别、文字识别，人脸识别、表情识别等一系列图像识别的过程。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11、察言观色：学生通过使用表情感知模块，完成表情感知“机器人”。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12、说亮就亮：学习如何利用智能设备控制Arduino和利用Arduino控制开关灯，并结合语音模块，实现说亮就亮。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13、温暖的家：了解物联网在智能家居中的作用，学会常见家电的物联网远程控制方法。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14、我的安保管家：学生利用语音识别与逻辑判断还有Arduino套件实现物联网。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15、火眼金睛：学习使用人脸匹配模块及在模拟场景中的运用；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16、智能停车场：学习字符串转数字模块，进行时间运算，并用文字检测模块实现车牌识别</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72A07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2EF77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5FEE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single" w:color="000000" w:sz="4" w:space="0"/>
              <w:left w:val="single" w:color="000000" w:sz="8" w:space="0"/>
              <w:bottom w:val="single" w:color="000000" w:sz="4" w:space="0"/>
              <w:right w:val="single" w:color="000000" w:sz="4" w:space="0"/>
            </w:tcBorders>
            <w:noWrap w:val="0"/>
            <w:vAlign w:val="center"/>
          </w:tcPr>
          <w:p w14:paraId="7D3D85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F826C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人工智能应用学习软件</w:t>
            </w:r>
          </w:p>
        </w:tc>
        <w:tc>
          <w:tcPr>
            <w:tcW w:w="9953" w:type="dxa"/>
            <w:tcBorders>
              <w:top w:val="single" w:color="000000" w:sz="4" w:space="0"/>
              <w:left w:val="single" w:color="000000" w:sz="4" w:space="0"/>
              <w:bottom w:val="nil"/>
              <w:right w:val="single" w:color="000000" w:sz="4" w:space="0"/>
            </w:tcBorders>
            <w:noWrap w:val="0"/>
            <w:vAlign w:val="center"/>
          </w:tcPr>
          <w:p w14:paraId="66A63F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人工智能学习软件平台是特意为人工智能各阶段学习套装所研发的一款在线学习平台，通过该平台学生可以进行编程、后台分析处理数据，控制配套硬件完成相应的指令，具体有以下特点：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1、本平台为一款在线平台，无需安装，一键登录，具有方便易用，操作简单等特点；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2、平台具有大数据处理功能，后台结合了人工智能算法数据库，能够将采集的信息通过算法的处理，将最终的结果返回给使用者；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3、平台编程系统采用了图形化编程系统，具有简单易学、结合度高等特点，适用于没有任何编程学习经验的初学者，将人工智能简单化，能够用于普通在校学生的学习当中；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4、图形化编程所得程序可以转化为python语言，适用于学生对高级编程语言的学习，方便学生日后进行更高阶段的学习。</w:t>
            </w:r>
          </w:p>
        </w:tc>
        <w:tc>
          <w:tcPr>
            <w:tcW w:w="787" w:type="dxa"/>
            <w:tcBorders>
              <w:top w:val="single" w:color="000000" w:sz="4" w:space="0"/>
              <w:left w:val="single" w:color="000000" w:sz="4" w:space="0"/>
              <w:bottom w:val="nil"/>
              <w:right w:val="single" w:color="000000" w:sz="4" w:space="0"/>
            </w:tcBorders>
            <w:noWrap w:val="0"/>
            <w:vAlign w:val="center"/>
          </w:tcPr>
          <w:p w14:paraId="565E0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000000" w:sz="4" w:space="0"/>
              <w:left w:val="single" w:color="000000" w:sz="4" w:space="0"/>
              <w:bottom w:val="nil"/>
              <w:right w:val="single" w:color="000000" w:sz="4" w:space="0"/>
            </w:tcBorders>
            <w:noWrap w:val="0"/>
            <w:vAlign w:val="center"/>
          </w:tcPr>
          <w:p w14:paraId="7188C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F6B6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3035" w:type="dxa"/>
            <w:gridSpan w:val="5"/>
            <w:tcBorders>
              <w:top w:val="single" w:color="000000" w:sz="8" w:space="0"/>
              <w:left w:val="single" w:color="000000" w:sz="8" w:space="0"/>
              <w:bottom w:val="single" w:color="000000" w:sz="8" w:space="0"/>
              <w:right w:val="nil"/>
            </w:tcBorders>
            <w:noWrap w:val="0"/>
            <w:vAlign w:val="center"/>
          </w:tcPr>
          <w:p w14:paraId="2AA1DB2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AI主题课程及软硬件</w:t>
            </w:r>
          </w:p>
        </w:tc>
      </w:tr>
      <w:tr w14:paraId="20A48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0"/>
            <w:vAlign w:val="center"/>
          </w:tcPr>
          <w:p w14:paraId="35406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36994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智慧社区主题课程学习套装</w:t>
            </w:r>
          </w:p>
        </w:tc>
        <w:tc>
          <w:tcPr>
            <w:tcW w:w="9953" w:type="dxa"/>
            <w:tcBorders>
              <w:top w:val="single" w:color="000000" w:sz="4" w:space="0"/>
              <w:left w:val="single" w:color="000000" w:sz="4" w:space="0"/>
              <w:bottom w:val="single" w:color="000000" w:sz="4" w:space="0"/>
              <w:right w:val="single" w:color="000000" w:sz="4" w:space="0"/>
            </w:tcBorders>
            <w:noWrap w:val="0"/>
            <w:vAlign w:val="top"/>
          </w:tcPr>
          <w:p w14:paraId="239178F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介：以日常的家居，社区为主要情境，让孩子了解“家及家人”的概念，认识到家最最要的是家人的羁绊和关怀，让孩子学会关心家人，承担家庭的相应责任。通对对社区的智能改造探索过程，感受社会的温馨、温暖、温情。套件聚焦人工智能“语音识别、手势识别”相关技术体验与应用，结合人工智能与大数据的相关内容，利用图形化编程软件与硬件平台学习并创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1、micro:bit主控板：32位ARM Cortex M0芯片，板载集成：5x5LED点阵屏，A、B案按键，蜂鸣器，麦克风，加速度计，电子罗盘，温度计，蓝牙灯电子模块；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2、扩展板：供电电压：5V，多功能扩展板，丰富的扩展卡接口；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3、输入模块：按键传感器、旋钮电位器、光敏传感器、避障传感器、超声波传感器、声音传感器、温湿度传感器、霍尔传感器、语音识别模块、手势识别传感器等；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4、输出模块：LED灯-红、黄、LED双色灯、RGB灯带、四位数码管、MP3模块+SD卡、扬声器模块、风扇模块+扇叶、舵机等；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5、配件：USB线，传感器连接线，尼龙铆钉、外接充电宝等；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6：积木件：包含10*16板、1*2摩擦销、1*8 砖、1*2板、4*10板、1*3 砖、40齿轮、1*4带3孔砖、1*16带15孔砖、轴、轴、全轴套、1*3摩擦销、1*11.5双弯梁、科技衬套、1*15孔臂梁、1*5圆梁、1*7孔臂梁、1*11孔臂梁、3*5单弯梁、1*9孔臂梁、1*13孔臂梁、8*8板、1*2摩擦轴销、5*11带孔臂框、1X2轴连接件、16*16板、H型销等不少于160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7、可支持编程软件：makecode、Mixly、mind+等图形化编程软件；支持系统：Windows，macOS等平台；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21C71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23526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66A84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0"/>
            <w:vAlign w:val="center"/>
          </w:tcPr>
          <w:p w14:paraId="20C7D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0C97B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《智慧社区主题课程》学习手册</w:t>
            </w:r>
          </w:p>
        </w:tc>
        <w:tc>
          <w:tcPr>
            <w:tcW w:w="9953" w:type="dxa"/>
            <w:tcBorders>
              <w:top w:val="single" w:color="000000" w:sz="4" w:space="0"/>
              <w:left w:val="single" w:color="000000" w:sz="4" w:space="0"/>
              <w:bottom w:val="single" w:color="000000" w:sz="4" w:space="0"/>
              <w:right w:val="single" w:color="000000" w:sz="4" w:space="0"/>
            </w:tcBorders>
            <w:noWrap w:val="0"/>
            <w:vAlign w:val="top"/>
          </w:tcPr>
          <w:p w14:paraId="683BF9D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简介：课程聚焦人工智能“语音识别、手势识别”相关技术体验与应用，结合人工智能与大数据的相关内容，利用图形化编程软件与硬件平台学习并创作。以日常的家居，社区为主要情境，让孩子了解“家及家人”的概念，认识到家最最要的是家人的羁绊和关怀，让孩子学会关心家人，承担家庭的相应责任。通对对社区的智能改造探索过程，感受社会的温馨、温暖、温情。培养学生对生活的热爱、对人文情怀的关注，成为有温度的人。通过居家生活中的一些问题，解决家人的小烦恼，运用AI技术让我们的家具家电也能慢慢地“关心”家人，关心社区。以社区活动为主线，关爱老人为主。运用AI技术和知识设计智能台灯和风扇，改造社区小礼堂、设计发布灯光秀等，在解决问题中综合考虑特定人群，设计AI 产品，提升学生的设计思维和计算思维。</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2BB1A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DE8A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r>
      <w:tr w14:paraId="2F22C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0"/>
            <w:vAlign w:val="center"/>
          </w:tcPr>
          <w:p w14:paraId="2C6BD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927" w:type="dxa"/>
            <w:tcBorders>
              <w:top w:val="single" w:color="000000" w:sz="4" w:space="0"/>
              <w:left w:val="single" w:color="000000" w:sz="4" w:space="0"/>
              <w:bottom w:val="nil"/>
              <w:right w:val="single" w:color="000000" w:sz="4" w:space="0"/>
            </w:tcBorders>
            <w:noWrap w:val="0"/>
            <w:vAlign w:val="center"/>
          </w:tcPr>
          <w:p w14:paraId="0F665F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智慧社区主题课程学习资源</w:t>
            </w:r>
          </w:p>
        </w:tc>
        <w:tc>
          <w:tcPr>
            <w:tcW w:w="9953" w:type="dxa"/>
            <w:tcBorders>
              <w:top w:val="single" w:color="000000" w:sz="4" w:space="0"/>
              <w:left w:val="single" w:color="000000" w:sz="4" w:space="0"/>
              <w:bottom w:val="nil"/>
              <w:right w:val="single" w:color="000000" w:sz="4" w:space="0"/>
            </w:tcBorders>
            <w:noWrap w:val="0"/>
            <w:vAlign w:val="top"/>
          </w:tcPr>
          <w:p w14:paraId="7DD291F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不少于16课时的教学课件、教学设计、学生用书、参考程序、搭建视频等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第一单元 智慧灯光，温暖社区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1、点亮一盏灯；2、亮度我控制；3、手势更贴心；4、声控台灯；5、智慧灯光设计师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第二单元 智慧家居，温馨社区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6、夏日送清凉；7、声控风扇；8、灵活的窗帘；9、“看”的懂的窗帘；10、智能家居更温馨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第三单元  智慧娱乐，温情社区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11、音乐播放器；12、我是音响师；13、休闲时光；14、音乐盲盒；15、智能音乐会；16灯光秀设计师</w:t>
            </w:r>
          </w:p>
        </w:tc>
        <w:tc>
          <w:tcPr>
            <w:tcW w:w="787" w:type="dxa"/>
            <w:tcBorders>
              <w:top w:val="single" w:color="000000" w:sz="4" w:space="0"/>
              <w:left w:val="single" w:color="000000" w:sz="4" w:space="0"/>
              <w:bottom w:val="nil"/>
              <w:right w:val="single" w:color="000000" w:sz="4" w:space="0"/>
            </w:tcBorders>
            <w:noWrap w:val="0"/>
            <w:vAlign w:val="center"/>
          </w:tcPr>
          <w:p w14:paraId="3E3F4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000000" w:sz="4" w:space="0"/>
              <w:left w:val="single" w:color="000000" w:sz="4" w:space="0"/>
              <w:bottom w:val="nil"/>
              <w:right w:val="single" w:color="000000" w:sz="4" w:space="0"/>
            </w:tcBorders>
            <w:noWrap w:val="0"/>
            <w:vAlign w:val="center"/>
          </w:tcPr>
          <w:p w14:paraId="7D615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FEA7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0"/>
            <w:vAlign w:val="center"/>
          </w:tcPr>
          <w:p w14:paraId="21625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27" w:type="dxa"/>
            <w:tcBorders>
              <w:top w:val="single" w:color="000000" w:sz="4" w:space="0"/>
              <w:left w:val="single" w:color="000000" w:sz="4" w:space="0"/>
              <w:bottom w:val="nil"/>
              <w:right w:val="single" w:color="000000" w:sz="4" w:space="0"/>
            </w:tcBorders>
            <w:noWrap w:val="0"/>
            <w:vAlign w:val="center"/>
          </w:tcPr>
          <w:p w14:paraId="7D3234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智慧服务主题课程学习套装</w:t>
            </w:r>
          </w:p>
        </w:tc>
        <w:tc>
          <w:tcPr>
            <w:tcW w:w="9953" w:type="dxa"/>
            <w:tcBorders>
              <w:top w:val="single" w:color="000000" w:sz="4" w:space="0"/>
              <w:left w:val="single" w:color="000000" w:sz="4" w:space="0"/>
              <w:bottom w:val="nil"/>
              <w:right w:val="single" w:color="000000" w:sz="4" w:space="0"/>
            </w:tcBorders>
            <w:noWrap w:val="0"/>
            <w:vAlign w:val="top"/>
          </w:tcPr>
          <w:p w14:paraId="26447F7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介：以城市活动为主线，学生以志愿者的角色，在医院、社区、学校展开了一系列人工智能体验与实践活动，体验AI技术，并将所学知识应用于解决问题的过程中，有效地提高学生问题解决能力和实践创新能力。套件聚焦人工智能“语音识别、图像识别”相关技术体验与应用，结合人工智能与大数据的相关内容，利用图形化编程软件与硬件平台学习并创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1、micro:bit主控板：32位ARM Cortex M0芯片，板载集成：5x5LED点阵屏，A、B案按键，蜂鸣器，麦克风，加速度计，电子罗盘，温度计，蓝牙灯电子模块；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2、扩展板：供电电压：5V，多功能扩展板，丰富的扩展卡接口；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3、输入模块：摇杆、滑动电位器、四位数码管、按键、温湿度传感器、光敏传感器、避障传感器、陀螺仪/加速度计传感器、振动传感器、火焰传感器、语音识别模块、AI摄像头等；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4、输出模块：单色LED灯-白色、RGB灯带、MP3模块+SD卡、扬声器模块、OLED屏、风扇、舵机、电机等；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5、配件：USB线，传感器连接线，尼龙铆钉，外接充电宝等；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6、积木件：包含1*2摩擦销、1*8 砖、1*6 砖、1*4带3孔砖、1*8带7孔砖、1*16带15孔砖、轴、全轴套、1*3摩擦销、3/4 销、1*11.5双弯梁、1*15孔臂梁、1*5圆梁、1*7孔臂梁、1*11孔臂梁、3*5单弯梁、1*9孔臂梁、1*13孔臂梁、8*8板、2*3正交轴孔连接器、4*6带孔方砖、1X2轴连接件、5销等不少于240个；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7、可支持编程软件：makecode、Mixly、mind+等图形化编程软件；支持系统：Windows，macOS等平台；</w:t>
            </w:r>
          </w:p>
        </w:tc>
        <w:tc>
          <w:tcPr>
            <w:tcW w:w="787" w:type="dxa"/>
            <w:tcBorders>
              <w:top w:val="single" w:color="000000" w:sz="4" w:space="0"/>
              <w:left w:val="single" w:color="000000" w:sz="4" w:space="0"/>
              <w:bottom w:val="nil"/>
              <w:right w:val="single" w:color="000000" w:sz="4" w:space="0"/>
            </w:tcBorders>
            <w:noWrap w:val="0"/>
            <w:vAlign w:val="center"/>
          </w:tcPr>
          <w:p w14:paraId="697A0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000000" w:sz="4" w:space="0"/>
              <w:left w:val="single" w:color="000000" w:sz="4" w:space="0"/>
              <w:bottom w:val="nil"/>
              <w:right w:val="single" w:color="000000" w:sz="4" w:space="0"/>
            </w:tcBorders>
            <w:noWrap w:val="0"/>
            <w:vAlign w:val="center"/>
          </w:tcPr>
          <w:p w14:paraId="133D7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1DCC6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0"/>
            <w:vAlign w:val="center"/>
          </w:tcPr>
          <w:p w14:paraId="6EB39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27" w:type="dxa"/>
            <w:tcBorders>
              <w:top w:val="single" w:color="000000" w:sz="4" w:space="0"/>
              <w:left w:val="single" w:color="000000" w:sz="4" w:space="0"/>
              <w:bottom w:val="nil"/>
              <w:right w:val="single" w:color="000000" w:sz="4" w:space="0"/>
            </w:tcBorders>
            <w:noWrap w:val="0"/>
            <w:vAlign w:val="center"/>
          </w:tcPr>
          <w:p w14:paraId="174995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《智慧服务主题课程》学习手册</w:t>
            </w:r>
          </w:p>
        </w:tc>
        <w:tc>
          <w:tcPr>
            <w:tcW w:w="9953" w:type="dxa"/>
            <w:tcBorders>
              <w:top w:val="single" w:color="000000" w:sz="4" w:space="0"/>
              <w:left w:val="single" w:color="000000" w:sz="4" w:space="0"/>
              <w:bottom w:val="nil"/>
              <w:right w:val="single" w:color="000000" w:sz="4" w:space="0"/>
            </w:tcBorders>
            <w:noWrap w:val="0"/>
            <w:vAlign w:val="top"/>
          </w:tcPr>
          <w:p w14:paraId="1938D8B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简介：课程聚焦人工智能“语音识别、图像识别”相关技术体验与应用，结合人工智能与大数据的相关内容，利用图形化编程软件与硬件平台学习并创作。聚焦人工智能技术体验与应用，结合图形化编程软件与硬件平台，通对人与人，人与自然，人与AI情感交互的探索过程，培养学生对生活的热爱、对人文情怀的关注，成为有温度的人。以城市活动为主线，学生以志愿者的角色，在医院、社区、学校展开了一系列人工智能体验与实践活动，体验AI技术，并将所学知识应用于解决问题的过程中，有效地提高学生问题解决能力和实践创新能力。</w:t>
            </w:r>
          </w:p>
        </w:tc>
        <w:tc>
          <w:tcPr>
            <w:tcW w:w="787" w:type="dxa"/>
            <w:tcBorders>
              <w:top w:val="single" w:color="000000" w:sz="4" w:space="0"/>
              <w:left w:val="single" w:color="000000" w:sz="4" w:space="0"/>
              <w:bottom w:val="nil"/>
              <w:right w:val="single" w:color="000000" w:sz="4" w:space="0"/>
            </w:tcBorders>
            <w:noWrap w:val="0"/>
            <w:vAlign w:val="center"/>
          </w:tcPr>
          <w:p w14:paraId="1438C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787" w:type="dxa"/>
            <w:tcBorders>
              <w:top w:val="single" w:color="000000" w:sz="4" w:space="0"/>
              <w:left w:val="single" w:color="000000" w:sz="4" w:space="0"/>
              <w:bottom w:val="nil"/>
              <w:right w:val="single" w:color="000000" w:sz="4" w:space="0"/>
            </w:tcBorders>
            <w:noWrap w:val="0"/>
            <w:vAlign w:val="center"/>
          </w:tcPr>
          <w:p w14:paraId="6313C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r>
      <w:tr w14:paraId="1E1B6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0"/>
            <w:vAlign w:val="center"/>
          </w:tcPr>
          <w:p w14:paraId="5EFBD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27" w:type="dxa"/>
            <w:tcBorders>
              <w:top w:val="single" w:color="000000" w:sz="4" w:space="0"/>
              <w:left w:val="single" w:color="000000" w:sz="4" w:space="0"/>
              <w:bottom w:val="nil"/>
              <w:right w:val="single" w:color="000000" w:sz="4" w:space="0"/>
            </w:tcBorders>
            <w:noWrap w:val="0"/>
            <w:vAlign w:val="center"/>
          </w:tcPr>
          <w:p w14:paraId="37F5A0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智慧服务主题课程学习资源</w:t>
            </w:r>
          </w:p>
        </w:tc>
        <w:tc>
          <w:tcPr>
            <w:tcW w:w="9953" w:type="dxa"/>
            <w:tcBorders>
              <w:top w:val="single" w:color="000000" w:sz="4" w:space="0"/>
              <w:left w:val="single" w:color="000000" w:sz="4" w:space="0"/>
              <w:bottom w:val="nil"/>
              <w:right w:val="single" w:color="000000" w:sz="4" w:space="0"/>
            </w:tcBorders>
            <w:noWrap w:val="0"/>
            <w:vAlign w:val="top"/>
          </w:tcPr>
          <w:p w14:paraId="45C111D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不少于16课时的教学课件、教学设计、学生用书、参考程序、搭建视频等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第一单元     智慧家庭-AI助老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1、语音呼救；2、AI视觉；3、颜色我知道；4、AI识药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第二单元    智慧医院-AI医疗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5、医院守卫；6、请佩戴口罩；7、医生在哪里；8、你怎么不排队？9、取药黑科技；10、特殊的“陪伴”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第三单元    智慧城市-垃圾分类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11、环境保护人人有责；12、聪明的AI；13、我用妙招来分类；14、垃圾清运；15、环保宣传员（一）；16、环保宣传员（二）；</w:t>
            </w:r>
          </w:p>
        </w:tc>
        <w:tc>
          <w:tcPr>
            <w:tcW w:w="787" w:type="dxa"/>
            <w:tcBorders>
              <w:top w:val="single" w:color="000000" w:sz="4" w:space="0"/>
              <w:left w:val="single" w:color="000000" w:sz="4" w:space="0"/>
              <w:bottom w:val="nil"/>
              <w:right w:val="single" w:color="000000" w:sz="4" w:space="0"/>
            </w:tcBorders>
            <w:noWrap w:val="0"/>
            <w:vAlign w:val="center"/>
          </w:tcPr>
          <w:p w14:paraId="7373C8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000000" w:sz="4" w:space="0"/>
              <w:left w:val="single" w:color="000000" w:sz="4" w:space="0"/>
              <w:bottom w:val="nil"/>
              <w:right w:val="single" w:color="000000" w:sz="4" w:space="0"/>
            </w:tcBorders>
            <w:noWrap w:val="0"/>
            <w:vAlign w:val="center"/>
          </w:tcPr>
          <w:p w14:paraId="18B18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93F0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3035" w:type="dxa"/>
            <w:gridSpan w:val="5"/>
            <w:tcBorders>
              <w:top w:val="single" w:color="000000" w:sz="8" w:space="0"/>
              <w:left w:val="single" w:color="000000" w:sz="8" w:space="0"/>
              <w:bottom w:val="single" w:color="000000" w:sz="8" w:space="0"/>
              <w:right w:val="nil"/>
            </w:tcBorders>
            <w:noWrap w:val="0"/>
            <w:vAlign w:val="center"/>
          </w:tcPr>
          <w:p w14:paraId="02F47898">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4"/>
                <w:szCs w:val="24"/>
                <w:u w:val="none"/>
                <w:lang w:val="en-US" w:eastAsia="zh-CN" w:bidi="ar"/>
              </w:rPr>
            </w:pPr>
          </w:p>
          <w:p w14:paraId="1B5B9459">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4"/>
                <w:szCs w:val="24"/>
                <w:u w:val="none"/>
                <w:lang w:val="en-US" w:eastAsia="zh-CN" w:bidi="ar"/>
              </w:rPr>
            </w:pPr>
          </w:p>
          <w:p w14:paraId="35191963">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4"/>
                <w:szCs w:val="24"/>
                <w:u w:val="none"/>
                <w:lang w:val="en-US" w:eastAsia="zh-CN" w:bidi="ar"/>
              </w:rPr>
            </w:pPr>
          </w:p>
          <w:p w14:paraId="5A421812">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4"/>
                <w:szCs w:val="24"/>
                <w:u w:val="none"/>
                <w:lang w:val="en-US" w:eastAsia="zh-CN" w:bidi="ar"/>
              </w:rPr>
            </w:pPr>
          </w:p>
          <w:p w14:paraId="1BD46135">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4"/>
                <w:szCs w:val="24"/>
                <w:u w:val="none"/>
                <w:lang w:val="en-US" w:eastAsia="zh-CN" w:bidi="ar"/>
              </w:rPr>
            </w:pPr>
          </w:p>
          <w:p w14:paraId="7A0BA7F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bdr w:val="single" w:color="000000" w:sz="8"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9" name="图片_67"/>
                  <wp:cNvGraphicFramePr/>
                  <a:graphic xmlns:a="http://schemas.openxmlformats.org/drawingml/2006/main">
                    <a:graphicData uri="http://schemas.openxmlformats.org/drawingml/2006/picture">
                      <pic:pic xmlns:pic="http://schemas.openxmlformats.org/drawingml/2006/picture">
                        <pic:nvPicPr>
                          <pic:cNvPr id="9" name="图片_67"/>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24"/>
                <w:szCs w:val="24"/>
                <w:u w:val="none"/>
                <w:bdr w:val="single" w:color="000000" w:sz="8"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9525" cy="387350"/>
                  <wp:effectExtent l="0" t="0" r="635" b="8890"/>
                  <wp:wrapNone/>
                  <wp:docPr id="10" name="图片_68"/>
                  <wp:cNvGraphicFramePr/>
                  <a:graphic xmlns:a="http://schemas.openxmlformats.org/drawingml/2006/main">
                    <a:graphicData uri="http://schemas.openxmlformats.org/drawingml/2006/picture">
                      <pic:pic xmlns:pic="http://schemas.openxmlformats.org/drawingml/2006/picture">
                        <pic:nvPicPr>
                          <pic:cNvPr id="10" name="图片_68"/>
                          <pic:cNvPicPr/>
                        </pic:nvPicPr>
                        <pic:blipFill>
                          <a:blip r:embed="rId20"/>
                          <a:stretch>
                            <a:fillRect/>
                          </a:stretch>
                        </pic:blipFill>
                        <pic:spPr>
                          <a:xfrm>
                            <a:off x="0" y="0"/>
                            <a:ext cx="9525" cy="3873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24"/>
                <w:szCs w:val="24"/>
                <w:u w:val="none"/>
                <w:bdr w:val="single" w:color="000000" w:sz="8"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9525" cy="387350"/>
                  <wp:effectExtent l="0" t="0" r="635" b="8890"/>
                  <wp:wrapNone/>
                  <wp:docPr id="11" name="图片_1"/>
                  <wp:cNvGraphicFramePr/>
                  <a:graphic xmlns:a="http://schemas.openxmlformats.org/drawingml/2006/main">
                    <a:graphicData uri="http://schemas.openxmlformats.org/drawingml/2006/picture">
                      <pic:pic xmlns:pic="http://schemas.openxmlformats.org/drawingml/2006/picture">
                        <pic:nvPicPr>
                          <pic:cNvPr id="11" name="图片_1"/>
                          <pic:cNvPicPr/>
                        </pic:nvPicPr>
                        <pic:blipFill>
                          <a:blip r:embed="rId21"/>
                          <a:stretch>
                            <a:fillRect/>
                          </a:stretch>
                        </pic:blipFill>
                        <pic:spPr>
                          <a:xfrm>
                            <a:off x="0" y="0"/>
                            <a:ext cx="9525" cy="3873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24"/>
                <w:szCs w:val="24"/>
                <w:u w:val="none"/>
                <w:bdr w:val="single" w:color="000000" w:sz="8"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9525" cy="387350"/>
                  <wp:effectExtent l="0" t="0" r="635" b="8890"/>
                  <wp:wrapNone/>
                  <wp:docPr id="12" name="图片_9"/>
                  <wp:cNvGraphicFramePr/>
                  <a:graphic xmlns:a="http://schemas.openxmlformats.org/drawingml/2006/main">
                    <a:graphicData uri="http://schemas.openxmlformats.org/drawingml/2006/picture">
                      <pic:pic xmlns:pic="http://schemas.openxmlformats.org/drawingml/2006/picture">
                        <pic:nvPicPr>
                          <pic:cNvPr id="12" name="图片_9"/>
                          <pic:cNvPicPr/>
                        </pic:nvPicPr>
                        <pic:blipFill>
                          <a:blip r:embed="rId20"/>
                          <a:stretch>
                            <a:fillRect/>
                          </a:stretch>
                        </pic:blipFill>
                        <pic:spPr>
                          <a:xfrm>
                            <a:off x="0" y="0"/>
                            <a:ext cx="9525" cy="3873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24"/>
                <w:szCs w:val="24"/>
                <w:u w:val="none"/>
                <w:bdr w:val="single" w:color="000000" w:sz="8"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9525" cy="387350"/>
                  <wp:effectExtent l="0" t="0" r="635" b="8890"/>
                  <wp:wrapNone/>
                  <wp:docPr id="13" name="图片_1_SpCnt_1"/>
                  <wp:cNvGraphicFramePr/>
                  <a:graphic xmlns:a="http://schemas.openxmlformats.org/drawingml/2006/main">
                    <a:graphicData uri="http://schemas.openxmlformats.org/drawingml/2006/picture">
                      <pic:pic xmlns:pic="http://schemas.openxmlformats.org/drawingml/2006/picture">
                        <pic:nvPicPr>
                          <pic:cNvPr id="13" name="图片_1_SpCnt_1"/>
                          <pic:cNvPicPr/>
                        </pic:nvPicPr>
                        <pic:blipFill>
                          <a:blip r:embed="rId21"/>
                          <a:stretch>
                            <a:fillRect/>
                          </a:stretch>
                        </pic:blipFill>
                        <pic:spPr>
                          <a:xfrm>
                            <a:off x="0" y="0"/>
                            <a:ext cx="9525" cy="3873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24"/>
                <w:szCs w:val="24"/>
                <w:u w:val="none"/>
                <w:bdr w:val="single" w:color="000000" w:sz="8"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4" name="图片_8"/>
                  <wp:cNvGraphicFramePr/>
                  <a:graphic xmlns:a="http://schemas.openxmlformats.org/drawingml/2006/main">
                    <a:graphicData uri="http://schemas.openxmlformats.org/drawingml/2006/picture">
                      <pic:pic xmlns:pic="http://schemas.openxmlformats.org/drawingml/2006/picture">
                        <pic:nvPicPr>
                          <pic:cNvPr id="14" name="图片_8"/>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24"/>
                <w:szCs w:val="24"/>
                <w:u w:val="none"/>
                <w:lang w:val="en-US" w:eastAsia="zh-CN" w:bidi="ar"/>
              </w:rPr>
              <w:t>编程无人机学习部分</w:t>
            </w:r>
          </w:p>
        </w:tc>
      </w:tr>
      <w:tr w14:paraId="2CE9C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0"/>
            <w:vAlign w:val="center"/>
          </w:tcPr>
          <w:p w14:paraId="31B46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DB860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编程无人机学习套装</w:t>
            </w:r>
          </w:p>
        </w:tc>
        <w:tc>
          <w:tcPr>
            <w:tcW w:w="9953" w:type="dxa"/>
            <w:tcBorders>
              <w:top w:val="single" w:color="000000" w:sz="4" w:space="0"/>
              <w:left w:val="single" w:color="000000" w:sz="4" w:space="0"/>
              <w:bottom w:val="single" w:color="000000" w:sz="4" w:space="0"/>
              <w:right w:val="single" w:color="000000" w:sz="4" w:space="0"/>
            </w:tcBorders>
            <w:noWrap w:val="0"/>
            <w:vAlign w:val="top"/>
          </w:tcPr>
          <w:p w14:paraId="0F28C82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一、无人机基本技术参数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1、通信频段:2.400MHZ-2.525MHZ；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2、空中速率：250k~2Mbps；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3、发射功率：20dBm；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4、机架：PP+尼龙；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5、重量：&lt;100g（含电池、桨叶、保护罩）；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6、轴距：152mm；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7、桨叶：65mm双叶桨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8、电机：空心杯电机；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9、电池：800mah以上/3.8v/1S/Lip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10、桨叶保护罩：快拆式保护罩；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11、活动半径：&lt;50米；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12、留空时间：7分钟以上；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13、飞行环境：室内；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14、支持红外拓展模块；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二、功能应用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1、支持多语言编程（图形化编程、Python编程、C++编程）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2、定位方式：视觉、光流、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3、定高：气压、激光、惯导融合定高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4、支持无人机一键起降、一键回正、一键校准、一键急停、无头模式；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5、支持地面站修改通道及密码；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6、遥控器可实时显示飞机电池电压和各类传感器状态；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7、支持AI自主巡线、AI颜色识别、AI语音识别；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8、支持二维码识别功能：可通过图形化编程进行二维码识别功能的演示；并且遥控器上可实时显示识别到二维码的数据；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9、支持选择性色块定位，支持定自定义标志定位；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10、支持多类别外挂执行器（舵机、彩灯、激光、红外、电磁铁等）；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11、标尺功能：可以用无人机测量两个点之间的距离，桌子的长度等；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12、高度限定：无人机可以通过地面站软件设置最高高度；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13、支持多机联动；支持10台多机联动，最多20台。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包含但不限于：无人机（含桨叶、保护罩）*1台，无人机遥控器*1个，专用电池*2块，标准Micro-USB数据线*1根，备用桨叶*2对，标准化航空铝箱（含定制化内衬）*1个</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8CF3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B18E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149D2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0"/>
            <w:vAlign w:val="center"/>
          </w:tcPr>
          <w:p w14:paraId="08091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95EA7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编程无人机电池</w:t>
            </w:r>
          </w:p>
        </w:tc>
        <w:tc>
          <w:tcPr>
            <w:tcW w:w="9953" w:type="dxa"/>
            <w:tcBorders>
              <w:top w:val="single" w:color="000000" w:sz="4" w:space="0"/>
              <w:left w:val="single" w:color="000000" w:sz="4" w:space="0"/>
              <w:bottom w:val="single" w:color="000000" w:sz="4" w:space="0"/>
              <w:right w:val="single" w:color="000000" w:sz="4" w:space="0"/>
            </w:tcBorders>
            <w:noWrap w:val="0"/>
            <w:vAlign w:val="center"/>
          </w:tcPr>
          <w:p w14:paraId="19CDE6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含：无人机锂电池1块，3.8v-800mah，30C</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C795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691D1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449D1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0"/>
            <w:vAlign w:val="center"/>
          </w:tcPr>
          <w:p w14:paraId="1B2D8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1CBAC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编程无人机配件包</w:t>
            </w:r>
          </w:p>
        </w:tc>
        <w:tc>
          <w:tcPr>
            <w:tcW w:w="9953" w:type="dxa"/>
            <w:tcBorders>
              <w:top w:val="single" w:color="000000" w:sz="4" w:space="0"/>
              <w:left w:val="single" w:color="000000" w:sz="4" w:space="0"/>
              <w:bottom w:val="single" w:color="000000" w:sz="4" w:space="0"/>
              <w:right w:val="single" w:color="000000" w:sz="4" w:space="0"/>
            </w:tcBorders>
            <w:noWrap w:val="0"/>
            <w:vAlign w:val="center"/>
          </w:tcPr>
          <w:p w14:paraId="3ADBF8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含：主架*2套，上盖*1块，下盖*1块，电机*4个（正反电机各2个），桨叶*16片（正反桨叶各8片），保护罩*8个</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46E1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37287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1EE7A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0"/>
            <w:vAlign w:val="center"/>
          </w:tcPr>
          <w:p w14:paraId="3D2D9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927" w:type="dxa"/>
            <w:tcBorders>
              <w:top w:val="single" w:color="000000" w:sz="4" w:space="0"/>
              <w:left w:val="single" w:color="000000" w:sz="4" w:space="0"/>
              <w:bottom w:val="nil"/>
              <w:right w:val="single" w:color="000000" w:sz="4" w:space="0"/>
            </w:tcBorders>
            <w:noWrap w:val="0"/>
            <w:vAlign w:val="center"/>
          </w:tcPr>
          <w:p w14:paraId="61BDA1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课程资源</w:t>
            </w:r>
          </w:p>
        </w:tc>
        <w:tc>
          <w:tcPr>
            <w:tcW w:w="9953" w:type="dxa"/>
            <w:tcBorders>
              <w:top w:val="single" w:color="000000" w:sz="4" w:space="0"/>
              <w:left w:val="single" w:color="000000" w:sz="4" w:space="0"/>
              <w:bottom w:val="single" w:color="000000" w:sz="4" w:space="0"/>
              <w:right w:val="single" w:color="000000" w:sz="4" w:space="0"/>
            </w:tcBorders>
            <w:noWrap w:val="0"/>
            <w:vAlign w:val="center"/>
          </w:tcPr>
          <w:p w14:paraId="0A8FB9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须提供不少于16课时的课程资源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程简介：本系列课程以航空理念为内核，以无人机为载体，以STEAM教育理念为模式。学生可以系统的学习无人机相关知识，并通过实验室场景模拟行业应用的场景，方便学生学习和了解前沿的无人机知识。从安全法规、知识学习、DIY动手、飞行操控、智能编程等多个维度，全面提升学生动手能力、操控能力、空间判断能力、团队协作能力、科学认知能力、工程实践能力、解决问题能力、智能化水平及科学艺术素养。本套课程为系列课程中的“编程无人机”部分，包含4个主题：主题1-飞天梦之旅：了解无人机的发展史、种类及应用，并进行初步的无人机飞行体验；主题2-空域守护者：学习图形化编程控制无人机的基本方法，通过基础编程实现简单的无人机飞行；主题3-飞将勇者团：巩固编程控制无人机的方法，实现一般难度的无人机飞行任务;主题4-飞将探险队：熟练运用编程方法控制无人机完成场景化任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程内容包含：1、飞天之梦；2、蔚蓝之翼；3、飞行秘密；4、飞将初征；5、编程之智；6、守护天空；7、障碍穿越；8、地盘守护；9、飞递先锋；10、特工飞巡；11、舞动天空；12、勇闯禁区；13、环球冒险；14、森林穿越；15、飞将听我的；16、飞将看我的</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9347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32C28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8FEA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3035" w:type="dxa"/>
            <w:gridSpan w:val="5"/>
            <w:tcBorders>
              <w:top w:val="single" w:color="000000" w:sz="8" w:space="0"/>
              <w:left w:val="single" w:color="000000" w:sz="8" w:space="0"/>
              <w:bottom w:val="single" w:color="000000" w:sz="8" w:space="0"/>
              <w:right w:val="nil"/>
            </w:tcBorders>
            <w:noWrap w:val="0"/>
            <w:vAlign w:val="center"/>
          </w:tcPr>
          <w:p w14:paraId="26D6226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爱国心创新梦系列课程及软硬件</w:t>
            </w:r>
          </w:p>
        </w:tc>
      </w:tr>
      <w:tr w14:paraId="69E55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0"/>
            <w:vAlign w:val="center"/>
          </w:tcPr>
          <w:p w14:paraId="43AAE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927" w:type="dxa"/>
            <w:tcBorders>
              <w:top w:val="nil"/>
              <w:left w:val="single" w:color="000000" w:sz="4" w:space="0"/>
              <w:bottom w:val="single" w:color="000000" w:sz="4" w:space="0"/>
              <w:right w:val="single" w:color="000000" w:sz="4" w:space="0"/>
            </w:tcBorders>
            <w:noWrap w:val="0"/>
            <w:vAlign w:val="center"/>
          </w:tcPr>
          <w:p w14:paraId="56D009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爱国心创新梦系列课程——大国重器学习套装</w:t>
            </w:r>
          </w:p>
        </w:tc>
        <w:tc>
          <w:tcPr>
            <w:tcW w:w="9953" w:type="dxa"/>
            <w:tcBorders>
              <w:top w:val="nil"/>
              <w:left w:val="single" w:color="000000" w:sz="4" w:space="0"/>
              <w:bottom w:val="single" w:color="000000" w:sz="4" w:space="0"/>
              <w:right w:val="single" w:color="000000" w:sz="4" w:space="0"/>
            </w:tcBorders>
            <w:noWrap w:val="0"/>
            <w:vAlign w:val="center"/>
          </w:tcPr>
          <w:p w14:paraId="72B437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套装以“大国重器”为主题，现代科技与红色教育相结合，并配备丰富的传感器及创意硬件，能够满足学生需要使用硬件进行 DIY 项目制作的需求。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二.基本参数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（1）新一代 WiFi &amp; 蓝牙 双模双核无线通信芯片。芯片集成蓝牙4.2和WiFi HT40技术为一身，拥有高性能Tensilica LX6 双核处理器，支持超低功耗待机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（2）高可靠性   能在 –40°C 到 +125°C 间正常工作。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（3）板载的语音识别支持中英文识别、方言学习、自学习唤醒词与命令词功能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（4）板载语音合成模块 ，2路按键、1路音量感应、1路光线感应，1个蜂鸣器、3个led全彩灯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（5）输入电源：6-12V外部电源、USB 5V供电；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（6）USB通讯接口： Type-C；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（7）11个KF2510-4P引脚输入输出、3路I2C、2个7.4V供电输出与2个5V供电输出；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（8）板载了一块1.3寸的OLED液晶屏幕，一个MP3音乐播放模块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（9）尺寸：≥72*56*16mm（长*宽*高）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（10）外观上采用2层设计，主控芯片电路为下层，KF2510引脚扩展为上层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课程配套教具，包括港珠澳大桥、高铁模型、月球车、天眼模型、三峡大坝模型、C919客机模型等系列主题课程所需电子元器件及耗材。课程设计注重理论与实践相结合，通过故事讲述、模型制作、编程实践、头脑风暴、讨论辩论、科学游戏等形式，让学生学习国防科技知识，同时培养他们的责任感和使命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3、符合最新信息技术课标，课程内容结合国防科技的最新发展，聚焦科技培养和价值观养成，在趣味实践中养成爱国爱科技意识，不少于24节课。</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CE99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77D2E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58A53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0"/>
            <w:vAlign w:val="center"/>
          </w:tcPr>
          <w:p w14:paraId="1F82D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927" w:type="dxa"/>
            <w:tcBorders>
              <w:top w:val="nil"/>
              <w:left w:val="single" w:color="000000" w:sz="4" w:space="0"/>
              <w:bottom w:val="single" w:color="000000" w:sz="4" w:space="0"/>
              <w:right w:val="single" w:color="000000" w:sz="4" w:space="0"/>
            </w:tcBorders>
            <w:noWrap w:val="0"/>
            <w:vAlign w:val="center"/>
          </w:tcPr>
          <w:p w14:paraId="2632DA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港珠澳大桥实践活动课程资源</w:t>
            </w:r>
          </w:p>
        </w:tc>
        <w:tc>
          <w:tcPr>
            <w:tcW w:w="9953" w:type="dxa"/>
            <w:tcBorders>
              <w:top w:val="nil"/>
              <w:left w:val="single" w:color="000000" w:sz="4" w:space="0"/>
              <w:bottom w:val="single" w:color="000000" w:sz="4" w:space="0"/>
              <w:right w:val="single" w:color="000000" w:sz="4" w:space="0"/>
            </w:tcBorders>
            <w:noWrap w:val="0"/>
            <w:vAlign w:val="center"/>
          </w:tcPr>
          <w:p w14:paraId="5B40BA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介绍：作为"大国重器系列"的一部分，"走近港珠澳大桥"主题单元让学生紧贴这一世纪工程的脉动，深刻体验大国工匠精神的精髓。通过观看纪录片、分组讨论和现场模型搭建，我们的学生不仅能够感受到港珠澳大桥建设的宏伟壮观，更能亲身体验到工程设计背后的智慧与挑战。编程课程让学生动手为模型桥梁设计智能照明系统，加深对技术应用的理解。这一单元的高潮是孩子们化身小小桥梁设计师，他们将尽情发挥想象力设计未来的大桥，并通过汇报分享自己的创造。整个课程单元的目的是培养下一代对民族工程的自豪感，激发他们对科学技术的探究热情，并鼓励他们为未来的工程创新做出贡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提供不少于4课时的教案、学案、PPT等教学资源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课程目录：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1、建桥记——揭秘港珠澳大桥；2、桥梁构造——亲手搭建辉煌；3、智慧光影——编程点亮未来桥；4、桥梁设计室——未来桥梁的远景</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5B72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5C308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A8D3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0"/>
            <w:vAlign w:val="center"/>
          </w:tcPr>
          <w:p w14:paraId="421D77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927" w:type="dxa"/>
            <w:tcBorders>
              <w:top w:val="nil"/>
              <w:left w:val="single" w:color="000000" w:sz="4" w:space="0"/>
              <w:bottom w:val="single" w:color="000000" w:sz="4" w:space="0"/>
              <w:right w:val="single" w:color="000000" w:sz="4" w:space="0"/>
            </w:tcBorders>
            <w:noWrap w:val="0"/>
            <w:vAlign w:val="center"/>
          </w:tcPr>
          <w:p w14:paraId="084AE4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高铁速度实践活动课程资源</w:t>
            </w:r>
          </w:p>
        </w:tc>
        <w:tc>
          <w:tcPr>
            <w:tcW w:w="9953" w:type="dxa"/>
            <w:tcBorders>
              <w:top w:val="nil"/>
              <w:left w:val="single" w:color="000000" w:sz="4" w:space="0"/>
              <w:bottom w:val="single" w:color="000000" w:sz="4" w:space="0"/>
              <w:right w:val="single" w:color="000000" w:sz="4" w:space="0"/>
            </w:tcBorders>
            <w:noWrap w:val="0"/>
            <w:vAlign w:val="center"/>
          </w:tcPr>
          <w:p w14:paraId="027BAA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介绍：“中国速度”主题单元是“大国重器系列”的关键部分，它使学生近距离感受中国高铁的飞速发展，深入领略大国工匠精神的核心。通过观看相关视频、进行小组讨论和现场模型搭建等活动，学生们不仅可以感受到中国高铁建设的壮观辉煌，还能亲身体会到工程设计背后的智慧和挑战。在编程课程中，学生们动手为模型高铁设计智能控制系统，深化对技术应用的认识。本单元的亮点是学生们将化身为小小高铁设计师，他们将充分发挥想象，设计未来的高铁，并通过展示分享自己的创意。整个课程单元旨在培养学生对民族工业的自豪感，激发他们对科学技术的探索热情，鼓励他们为未来的工程创新贡献力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提供不少于4课时的教案、学案、PPT等教学资源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课程目录：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1、高铁的速度与激情；2、高铁模型我来造；3、高铁智能升级；4、高铁的奇幻之旅</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838E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20A61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08C5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0"/>
            <w:vAlign w:val="center"/>
          </w:tcPr>
          <w:p w14:paraId="0697F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27" w:type="dxa"/>
            <w:tcBorders>
              <w:top w:val="nil"/>
              <w:left w:val="single" w:color="000000" w:sz="4" w:space="0"/>
              <w:bottom w:val="single" w:color="000000" w:sz="4" w:space="0"/>
              <w:right w:val="single" w:color="000000" w:sz="4" w:space="0"/>
            </w:tcBorders>
            <w:noWrap w:val="0"/>
            <w:vAlign w:val="center"/>
          </w:tcPr>
          <w:p w14:paraId="7C554E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太空里的中国骄傲实践活动课程资源</w:t>
            </w:r>
          </w:p>
        </w:tc>
        <w:tc>
          <w:tcPr>
            <w:tcW w:w="9953" w:type="dxa"/>
            <w:tcBorders>
              <w:top w:val="nil"/>
              <w:left w:val="single" w:color="000000" w:sz="4" w:space="0"/>
              <w:bottom w:val="single" w:color="000000" w:sz="4" w:space="0"/>
              <w:right w:val="single" w:color="000000" w:sz="4" w:space="0"/>
            </w:tcBorders>
            <w:noWrap w:val="0"/>
            <w:vAlign w:val="center"/>
          </w:tcPr>
          <w:p w14:paraId="59878A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介绍：“太空里的中国骄傲”主题通过一系列课程，激发学生对太空探索的兴趣。学生将了解我国的航天器和月球探索历史，制作自己的月球探测车。此外，学生还将设计天宫模型并进行遥控对接。最后，通过宇航知识大赛，学生将进一步加深对太空知识、科学家和宇航员的了解。本主题旨在让学生感受中国在太空领域的骄傲成就，培养他们的探索精神和创新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提供不少于4课时的教案、学案、PPT等教学资源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课程目录：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1、太空，我来了；2、我的月球车；3、月球车跑起来；4、太空知识大赛</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F17C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6A8B9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EB44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0"/>
            <w:vAlign w:val="center"/>
          </w:tcPr>
          <w:p w14:paraId="13150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927" w:type="dxa"/>
            <w:tcBorders>
              <w:top w:val="nil"/>
              <w:left w:val="single" w:color="000000" w:sz="4" w:space="0"/>
              <w:bottom w:val="single" w:color="000000" w:sz="4" w:space="0"/>
              <w:right w:val="single" w:color="000000" w:sz="4" w:space="0"/>
            </w:tcBorders>
            <w:noWrap w:val="0"/>
            <w:vAlign w:val="center"/>
          </w:tcPr>
          <w:p w14:paraId="3A68E6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太空里的中国骄傲倾听宇宙的声音-天眼实践活动课程资源</w:t>
            </w:r>
          </w:p>
        </w:tc>
        <w:tc>
          <w:tcPr>
            <w:tcW w:w="9953" w:type="dxa"/>
            <w:tcBorders>
              <w:top w:val="nil"/>
              <w:left w:val="single" w:color="000000" w:sz="4" w:space="0"/>
              <w:bottom w:val="single" w:color="000000" w:sz="4" w:space="0"/>
              <w:right w:val="single" w:color="000000" w:sz="4" w:space="0"/>
            </w:tcBorders>
            <w:noWrap w:val="0"/>
            <w:vAlign w:val="center"/>
          </w:tcPr>
          <w:p w14:paraId="724164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介绍：“太空里的中国骄傲”主题通过一系列课程，激发学生对太空探索的兴趣。学生将了解我国的航天器和月球探索历史，制作自己的月球探测车。此外，学生还将设计天宫模型并进行遥控对接。最后，通过宇航知识大赛，学生将进一步加深对太空知识、科学家和宇航员的了解。本主题旨在让学生感受中国在太空领域的骄傲成就，培养他们的探索精神和创新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提供不少于4课时的教案、学案、PPT等教学资源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课程目录：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1、天眼探秘-了解FAST；2、天眼模型大比拼；3、来自远方的讯息；4、天文数据解码游戏</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E7536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3A736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8757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0"/>
            <w:vAlign w:val="center"/>
          </w:tcPr>
          <w:p w14:paraId="0D520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927" w:type="dxa"/>
            <w:tcBorders>
              <w:top w:val="nil"/>
              <w:left w:val="single" w:color="000000" w:sz="4" w:space="0"/>
              <w:bottom w:val="single" w:color="000000" w:sz="4" w:space="0"/>
              <w:right w:val="single" w:color="000000" w:sz="4" w:space="0"/>
            </w:tcBorders>
            <w:noWrap w:val="0"/>
            <w:vAlign w:val="center"/>
          </w:tcPr>
          <w:p w14:paraId="3E5B76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走进三峡大坝，领略国之重器实践活动课程资源</w:t>
            </w:r>
          </w:p>
        </w:tc>
        <w:tc>
          <w:tcPr>
            <w:tcW w:w="9953" w:type="dxa"/>
            <w:tcBorders>
              <w:top w:val="nil"/>
              <w:left w:val="single" w:color="000000" w:sz="4" w:space="0"/>
              <w:bottom w:val="single" w:color="000000" w:sz="4" w:space="0"/>
              <w:right w:val="single" w:color="000000" w:sz="4" w:space="0"/>
            </w:tcBorders>
            <w:noWrap w:val="0"/>
            <w:vAlign w:val="center"/>
          </w:tcPr>
          <w:p w14:paraId="4A62A2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介绍：主题内容旨在让学生全面了解三峡大坝。学生将学习其历史、建设过程及在能源和水利方面的重要作用，培养正确价值观。通过制作水坝模型，学生将了解设计和工程原理，提升实践与创新能力。智能设计课程将介绍智能控制系统，学生将学习如何实现水电站的自动控制和优化调度。最后，通过辩论会，学生将提高批判性思维和演讲能力，深入思考大坝建设的利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提供不少于4课时的教案、学案、PPT等教学资源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课程目录：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1、三峡大坝的前生今世；2、我是水坝工程师；3、智能水电站控制系统；4、大坝利弊大辩论</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E622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2CF11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21B5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0"/>
            <w:vAlign w:val="center"/>
          </w:tcPr>
          <w:p w14:paraId="44490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927" w:type="dxa"/>
            <w:tcBorders>
              <w:top w:val="nil"/>
              <w:left w:val="single" w:color="000000" w:sz="4" w:space="0"/>
              <w:bottom w:val="single" w:color="000000" w:sz="4" w:space="0"/>
              <w:right w:val="single" w:color="000000" w:sz="4" w:space="0"/>
            </w:tcBorders>
            <w:noWrap w:val="0"/>
            <w:vAlign w:val="center"/>
          </w:tcPr>
          <w:p w14:paraId="6FA5A0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翱翔蓝天-中国智造的荣耀实践活动课程资源</w:t>
            </w:r>
          </w:p>
        </w:tc>
        <w:tc>
          <w:tcPr>
            <w:tcW w:w="9953" w:type="dxa"/>
            <w:tcBorders>
              <w:top w:val="nil"/>
              <w:left w:val="single" w:color="000000" w:sz="4" w:space="0"/>
              <w:bottom w:val="single" w:color="000000" w:sz="4" w:space="0"/>
              <w:right w:val="single" w:color="000000" w:sz="4" w:space="0"/>
            </w:tcBorders>
            <w:noWrap w:val="0"/>
            <w:vAlign w:val="center"/>
          </w:tcPr>
          <w:p w14:paraId="36FC0F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《翱翔蓝天-中国智造的荣耀》主题内容将带领学生探索中国航空领域的卓越成就。通过了解 C919 客机的研发历程和技术创新，学生能感受中国航空工业的飞速发展。在模型制作环节，学生将学习 3D 设计软件，深入了解 C919 的设计和技术特点。智能设计课程将聚焦飞机自动入港装置，培养学生的科技创新能力。最后，通过纸飞机比赛等活动，学生将激发对飞行原理的兴趣，提升实践能力。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提供不少于4课时的教案、学案、PPT等教学资源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课程目录：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1、冲上云霄；2、C919 大揭秘；3、飞机自动入港；4、飞行的梦想</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264F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4C06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C00F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3035" w:type="dxa"/>
            <w:gridSpan w:val="5"/>
            <w:tcBorders>
              <w:top w:val="single" w:color="000000" w:sz="8" w:space="0"/>
              <w:left w:val="single" w:color="000000" w:sz="8" w:space="0"/>
              <w:bottom w:val="single" w:color="000000" w:sz="8" w:space="0"/>
              <w:right w:val="nil"/>
            </w:tcBorders>
            <w:noWrap w:val="0"/>
            <w:vAlign w:val="center"/>
          </w:tcPr>
          <w:p w14:paraId="2546FCC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机器人竞赛部分</w:t>
            </w:r>
          </w:p>
        </w:tc>
      </w:tr>
      <w:tr w14:paraId="4997F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81" w:type="dxa"/>
            <w:tcBorders>
              <w:top w:val="nil"/>
              <w:left w:val="single" w:color="000000" w:sz="8" w:space="0"/>
              <w:bottom w:val="single" w:color="000000" w:sz="4" w:space="0"/>
              <w:right w:val="single" w:color="000000" w:sz="4" w:space="0"/>
            </w:tcBorders>
            <w:noWrap/>
            <w:vAlign w:val="center"/>
          </w:tcPr>
          <w:p w14:paraId="26934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9525" cy="387350"/>
                  <wp:effectExtent l="0" t="0" r="635" b="8890"/>
                  <wp:wrapNone/>
                  <wp:docPr id="15" name="图片_9_SpCnt_1"/>
                  <wp:cNvGraphicFramePr/>
                  <a:graphic xmlns:a="http://schemas.openxmlformats.org/drawingml/2006/main">
                    <a:graphicData uri="http://schemas.openxmlformats.org/drawingml/2006/picture">
                      <pic:pic xmlns:pic="http://schemas.openxmlformats.org/drawingml/2006/picture">
                        <pic:nvPicPr>
                          <pic:cNvPr id="15" name="图片_9_SpCnt_1"/>
                          <pic:cNvPicPr/>
                        </pic:nvPicPr>
                        <pic:blipFill>
                          <a:blip r:embed="rId20"/>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6" name="图片_8_SpCnt_1"/>
                  <wp:cNvGraphicFramePr/>
                  <a:graphic xmlns:a="http://schemas.openxmlformats.org/drawingml/2006/main">
                    <a:graphicData uri="http://schemas.openxmlformats.org/drawingml/2006/picture">
                      <pic:pic xmlns:pic="http://schemas.openxmlformats.org/drawingml/2006/picture">
                        <pic:nvPicPr>
                          <pic:cNvPr id="16" name="图片_8_SpCnt_1"/>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9525" cy="387350"/>
                  <wp:effectExtent l="0" t="0" r="635" b="8890"/>
                  <wp:wrapNone/>
                  <wp:docPr id="17" name="图片_9_SpCnt_2"/>
                  <wp:cNvGraphicFramePr/>
                  <a:graphic xmlns:a="http://schemas.openxmlformats.org/drawingml/2006/main">
                    <a:graphicData uri="http://schemas.openxmlformats.org/drawingml/2006/picture">
                      <pic:pic xmlns:pic="http://schemas.openxmlformats.org/drawingml/2006/picture">
                        <pic:nvPicPr>
                          <pic:cNvPr id="17" name="图片_9_SpCnt_2"/>
                          <pic:cNvPicPr/>
                        </pic:nvPicPr>
                        <pic:blipFill>
                          <a:blip r:embed="rId20"/>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9525" cy="387350"/>
                  <wp:effectExtent l="0" t="0" r="635" b="8890"/>
                  <wp:wrapNone/>
                  <wp:docPr id="18" name="图片_1_SpCnt_2"/>
                  <wp:cNvGraphicFramePr/>
                  <a:graphic xmlns:a="http://schemas.openxmlformats.org/drawingml/2006/main">
                    <a:graphicData uri="http://schemas.openxmlformats.org/drawingml/2006/picture">
                      <pic:pic xmlns:pic="http://schemas.openxmlformats.org/drawingml/2006/picture">
                        <pic:nvPicPr>
                          <pic:cNvPr id="18" name="图片_1_SpCnt_2"/>
                          <pic:cNvPicPr/>
                        </pic:nvPicPr>
                        <pic:blipFill>
                          <a:blip r:embed="rId21"/>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9" name="图片_8_SpCnt_2"/>
                  <wp:cNvGraphicFramePr/>
                  <a:graphic xmlns:a="http://schemas.openxmlformats.org/drawingml/2006/main">
                    <a:graphicData uri="http://schemas.openxmlformats.org/drawingml/2006/picture">
                      <pic:pic xmlns:pic="http://schemas.openxmlformats.org/drawingml/2006/picture">
                        <pic:nvPicPr>
                          <pic:cNvPr id="19" name="图片_8_SpCnt_2"/>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0" name="图片_8_SpCnt_3"/>
                  <wp:cNvGraphicFramePr/>
                  <a:graphic xmlns:a="http://schemas.openxmlformats.org/drawingml/2006/main">
                    <a:graphicData uri="http://schemas.openxmlformats.org/drawingml/2006/picture">
                      <pic:pic xmlns:pic="http://schemas.openxmlformats.org/drawingml/2006/picture">
                        <pic:nvPicPr>
                          <pic:cNvPr id="20" name="图片_8_SpCnt_3"/>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9525" cy="387350"/>
                  <wp:effectExtent l="0" t="0" r="635" b="8890"/>
                  <wp:wrapNone/>
                  <wp:docPr id="21" name="图片_1_SpCnt_3"/>
                  <wp:cNvGraphicFramePr/>
                  <a:graphic xmlns:a="http://schemas.openxmlformats.org/drawingml/2006/main">
                    <a:graphicData uri="http://schemas.openxmlformats.org/drawingml/2006/picture">
                      <pic:pic xmlns:pic="http://schemas.openxmlformats.org/drawingml/2006/picture">
                        <pic:nvPicPr>
                          <pic:cNvPr id="21" name="图片_1_SpCnt_3"/>
                          <pic:cNvPicPr/>
                        </pic:nvPicPr>
                        <pic:blipFill>
                          <a:blip r:embed="rId21"/>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44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2C336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智慧城市竞赛套装</w:t>
            </w:r>
          </w:p>
        </w:tc>
        <w:tc>
          <w:tcPr>
            <w:tcW w:w="9953" w:type="dxa"/>
            <w:tcBorders>
              <w:top w:val="single" w:color="000000" w:sz="4" w:space="0"/>
              <w:left w:val="single" w:color="000000" w:sz="4" w:space="0"/>
              <w:bottom w:val="single" w:color="000000" w:sz="4" w:space="0"/>
              <w:right w:val="single" w:color="000000" w:sz="4" w:space="0"/>
            </w:tcBorders>
            <w:noWrap w:val="0"/>
            <w:vAlign w:val="center"/>
          </w:tcPr>
          <w:p w14:paraId="636B66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1、整车尺寸：长度275mm*宽度180mm*高度40mm（不含扩展件）。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2、外壳材料：铝合金。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3、驱动方式：四轮麦克纳姆轮驱动，轮胎直径60mm。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4、电源：11.1V3000mAh锂电池、含充电器、18650锂电池、带保护板、能有效防止过充/过放/短路/过流。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5、控制模块：高性能处理器，兼容Arduino主控板。自带4颗RGB灯珠，可通过编程控制亮度及颜色。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（1）超声波传感器：1路AI信号、测量范围5-50cm、配有4pin防反接接头；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（2）灰度传感器：1路I2C信号，4路灰度检测，可控制补光灯亮灭情况，配有4pin防反接接头；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（3）陀螺仪：6轴陀螺仪，可检测XYZ轴加速度以及XYZ角速度；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7、执行器：130减速电机，额定电压12V，减速比1:90，额定转速175rpm，自带霍尔编码器，4枚。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8、编程环境：控制编程采用Mixly0.98版本及以上，图形化编程界面，兼容arduino IDE，建议在Windows系统上使用；计算板编程，Python。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9、大扭力编程投掷套件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（1）投掷装载尺寸：75mm×75mm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（2）材料：铝合金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（3）结构铝合金厚度：2mm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（4）投掷长度：120mm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（5）大扭力直流减速电机：555电机，额定电压12V，空载转速500rpm/mins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（6）电机驱动板：输入电压≤12.6v，可接入1枚12V电机，电源接口为XH2.54防反接接口，2路PH2.0防反接信号接口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10、三轴180机械臂套件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（1）爪子张开尺寸：≥105mm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（2）爪子抓合包围尺寸：50mm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（3）材料：铝合金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（4）结构铝合金厚度：2mm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（5）自由度：3轴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（6）翻转舵机：额定电压7.4v，扭矩20kg.cm，自由度180°，共2枚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（7）爪子舵机：额定电压5v，扭矩13kg.cm，自由度180°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11、机械驱动模块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（1）额定输入电压：7.4v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（2）电源接口：xh2.54，1个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（3）舵机接口：ph2.0，6个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（4）通讯接口：ph2.0，通讯方式I2C，1个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（5）额定输出电压：2个接口5v输出，4个接口7.4v输出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（6）自带舵机过载保护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12、主控2：</w:t>
            </w:r>
            <w:r>
              <w:rPr>
                <w:rFonts w:hint="eastAsia" w:ascii="宋体" w:hAnsi="宋体" w:eastAsia="宋体" w:cs="宋体"/>
                <w:i w:val="0"/>
                <w:iCs w:val="0"/>
                <w:color w:val="000000"/>
                <w:kern w:val="0"/>
                <w:sz w:val="18"/>
                <w:szCs w:val="18"/>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（1）新一代 WiFi &amp; 蓝牙 双模双核无线通信芯片。芯片集成蓝牙4.2和WiFi HT40技术为一身，拥有高性能Tensilica LX6 双核处理器，支持超低功耗待机（须提供满足国家认可的第三方检测机构出具的CNAS或CMA标识的检测报告复印件或影印件证明,并加盖厂家公章）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（2）输入电源：6-12V外部电源、USB 5V供电；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（3）USB通讯接口： Type-C； </w:t>
            </w:r>
            <w:r>
              <w:rPr>
                <w:rFonts w:hint="eastAsia" w:ascii="宋体" w:hAnsi="宋体" w:eastAsia="宋体" w:cs="宋体"/>
                <w:i w:val="0"/>
                <w:iCs w:val="0"/>
                <w:color w:val="000000"/>
                <w:kern w:val="0"/>
                <w:sz w:val="18"/>
                <w:szCs w:val="18"/>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（4）11个KF2510-4P引脚输入输出、3路I2C、2个7.4V供电输出与2个5V供电输出（须提供满足国家认可的第三方检测机构出具的CNAS或CMA标识的检测报告复印件或影印件证明,并加盖厂家公章）；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（5）板载了一块1.3寸的OLED液晶屏幕，一个MP3音乐播放模块（须提供满足国家认可的第三方检测机构出具的CNAS或CMA标识的检测报告复印件或影印件证明,并加盖厂家公章）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（6）尺寸：≥72*56*16mm（长*宽*高）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（7）外观上采用2层设计，主控芯片电路为下层，KF2510引脚扩展为上层</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60D0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nil"/>
              <w:left w:val="single" w:color="000000" w:sz="4" w:space="0"/>
              <w:bottom w:val="single" w:color="000000" w:sz="4" w:space="0"/>
              <w:right w:val="single" w:color="000000" w:sz="4" w:space="0"/>
            </w:tcBorders>
            <w:noWrap/>
            <w:vAlign w:val="center"/>
          </w:tcPr>
          <w:p w14:paraId="05DE2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FE02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ign w:val="center"/>
          </w:tcPr>
          <w:p w14:paraId="53181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E2709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智慧城市竞赛配件包</w:t>
            </w:r>
          </w:p>
        </w:tc>
        <w:tc>
          <w:tcPr>
            <w:tcW w:w="9953" w:type="dxa"/>
            <w:tcBorders>
              <w:top w:val="single" w:color="000000" w:sz="4" w:space="0"/>
              <w:left w:val="single" w:color="000000" w:sz="4" w:space="0"/>
              <w:bottom w:val="single" w:color="000000" w:sz="4" w:space="0"/>
              <w:right w:val="single" w:color="000000" w:sz="4" w:space="0"/>
            </w:tcBorders>
            <w:noWrap w:val="0"/>
            <w:vAlign w:val="center"/>
          </w:tcPr>
          <w:p w14:paraId="24746B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1、外形尺寸：长度113mm*宽度52mm*高度35mm±5mm。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2、外壳材料：铝合金。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视觉模块：内置高性能四核处理器，高速神经网络处理器，3W扬声器，串口1个，USB接口1个，可实现双车道识别，颜色识别，颜色跟踪，交通标志识别，数字识别，图像识别，开放神经网络分类器，可自定义识别图像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4、摄像头：100万像素，水平视觉105°±5°，垂直视角76°±5°，对角线视角120°±5°</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B295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nil"/>
              <w:left w:val="single" w:color="000000" w:sz="4" w:space="0"/>
              <w:bottom w:val="single" w:color="000000" w:sz="4" w:space="0"/>
              <w:right w:val="single" w:color="000000" w:sz="4" w:space="0"/>
            </w:tcBorders>
            <w:noWrap/>
            <w:vAlign w:val="center"/>
          </w:tcPr>
          <w:p w14:paraId="48534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38E1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ign w:val="center"/>
          </w:tcPr>
          <w:p w14:paraId="5798D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2" name="图片_8_SpCnt_4"/>
                  <wp:cNvGraphicFramePr/>
                  <a:graphic xmlns:a="http://schemas.openxmlformats.org/drawingml/2006/main">
                    <a:graphicData uri="http://schemas.openxmlformats.org/drawingml/2006/picture">
                      <pic:pic xmlns:pic="http://schemas.openxmlformats.org/drawingml/2006/picture">
                        <pic:nvPicPr>
                          <pic:cNvPr id="22" name="图片_8_SpCnt_4"/>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46</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71A4A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智慧城市竞赛场地及道具</w:t>
            </w:r>
          </w:p>
        </w:tc>
        <w:tc>
          <w:tcPr>
            <w:tcW w:w="9953" w:type="dxa"/>
            <w:tcBorders>
              <w:top w:val="single" w:color="000000" w:sz="4" w:space="0"/>
              <w:left w:val="single" w:color="000000" w:sz="4" w:space="0"/>
              <w:bottom w:val="single" w:color="000000" w:sz="4" w:space="0"/>
              <w:right w:val="single" w:color="000000" w:sz="4" w:space="0"/>
            </w:tcBorders>
            <w:noWrap w:val="0"/>
            <w:vAlign w:val="center"/>
          </w:tcPr>
          <w:p w14:paraId="2F0D97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1.场地总尺寸：长度2880mm*宽度2880mm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2.场地材质：可拼接EVA赛道模块，共计25块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3.模块规格：长度440mm宽度440mm，厚度10mm，数量21块。长度440mm宽度240mm，厚度10mm，数量4块。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4.车道规格：车道宽度200mm，引导线宽度20mm。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5.标识喷绘布：尺寸2880mm*2880mm，含道具放置位置的标记框，含EVA赛道模块牙口标识。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6.任务场景：安全搬运，智慧餐厅，超级工厂，神奇出租车，道路工程队，自动咖啡机，建筑工地，高空救援。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任务模型：垃圾桶模型红色1个，垃圾桶模型蓝色1个，咖啡机模型1个，指示牌模型9个，工程装置模型2个，纸杯1个，存放框1个，EVA蓝色方块4个，EVA红色方块1个，EVA绿色方块1个，EVA大方块1个，救援担架模型1个，小人模型1个，投掷挡板模型2个，沙包货物道具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8.纸杯规格：高度8.5cm，长口径7.5cm，下口径5cm，颜色蓝色1个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9.EVA方块：尺寸5cm×5cm×5cm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10.EVA大方块：尺寸8cm×8cm×8cm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11.沙包货物道具：尺寸4cm×4cm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12.识别图像：公园贴纸，办公区贴纸，左转路标贴纸，右转路标贴纸</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C17A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nil"/>
              <w:left w:val="single" w:color="000000" w:sz="4" w:space="0"/>
              <w:bottom w:val="single" w:color="000000" w:sz="4" w:space="0"/>
              <w:right w:val="single" w:color="000000" w:sz="4" w:space="0"/>
            </w:tcBorders>
            <w:noWrap/>
            <w:vAlign w:val="center"/>
          </w:tcPr>
          <w:p w14:paraId="3595B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AEE5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035" w:type="dxa"/>
            <w:gridSpan w:val="5"/>
            <w:tcBorders>
              <w:top w:val="single" w:color="000000" w:sz="8" w:space="0"/>
              <w:left w:val="single" w:color="000000" w:sz="8" w:space="0"/>
              <w:bottom w:val="single" w:color="000000" w:sz="8" w:space="0"/>
              <w:right w:val="nil"/>
            </w:tcBorders>
            <w:noWrap w:val="0"/>
            <w:vAlign w:val="center"/>
          </w:tcPr>
          <w:p w14:paraId="3249A08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3D打印课程及软硬件</w:t>
            </w:r>
          </w:p>
        </w:tc>
      </w:tr>
      <w:tr w14:paraId="5822A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ign w:val="center"/>
          </w:tcPr>
          <w:p w14:paraId="198DC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41E6C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3D打印机（双色）</w:t>
            </w:r>
          </w:p>
        </w:tc>
        <w:tc>
          <w:tcPr>
            <w:tcW w:w="9953" w:type="dxa"/>
            <w:tcBorders>
              <w:top w:val="single" w:color="000000" w:sz="4" w:space="0"/>
              <w:left w:val="single" w:color="000000" w:sz="4" w:space="0"/>
              <w:bottom w:val="single" w:color="000000" w:sz="4" w:space="0"/>
              <w:right w:val="single" w:color="000000" w:sz="4" w:space="0"/>
            </w:tcBorders>
            <w:noWrap w:val="0"/>
            <w:vAlign w:val="center"/>
          </w:tcPr>
          <w:p w14:paraId="203CBF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1、成型尺寸：250×300×400mm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2、打印技术：熔融沉积型（FDM）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3、层分辨率： 0.05-0.3mm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4、定位精度 ≤0.0125mm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5、是否有空气过滤系统： 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6、断电续打： 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7、料用完暂停报警： 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8、喷头数量：  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9、打印头： 双色打印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10、打印速度： 30-150mm/s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11、结构： 封闭式结构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12、储料箱： 悬挂式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13、照明功能： 内置照明LED照明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14、挤出头直径 可选: 0.3 , 0.4，0.5mm,0.6mm，0.8mm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15、挤出头工作温度： Max 260℃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16、显示屏幕特性： 3.2寸全彩全彩触摸屏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17、中央处理器（CPU）： 32位ARM CPU单片机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18、外储存器： 支持SD卡、U盘拔插及USB连接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19、电源要求： AC100v-AC240v 50Hz/60Hz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20、操作系统支持： Windows,Linux,MAC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21、文件格式支持： STL、OBJ</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22、机器外观表面处理： 钣金高温烤漆形成独特的外观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23、机箱尺寸：≥ 470*560*700mm</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7F15C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E6CF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B5DF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81" w:type="dxa"/>
            <w:tcBorders>
              <w:top w:val="nil"/>
              <w:left w:val="single" w:color="000000" w:sz="8" w:space="0"/>
              <w:bottom w:val="single" w:color="000000" w:sz="4" w:space="0"/>
              <w:right w:val="single" w:color="000000" w:sz="4" w:space="0"/>
            </w:tcBorders>
            <w:noWrap/>
            <w:vAlign w:val="center"/>
          </w:tcPr>
          <w:p w14:paraId="72544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77ADA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3D打印机（学生用）</w:t>
            </w:r>
          </w:p>
        </w:tc>
        <w:tc>
          <w:tcPr>
            <w:tcW w:w="9953" w:type="dxa"/>
            <w:tcBorders>
              <w:top w:val="single" w:color="000000" w:sz="4" w:space="0"/>
              <w:left w:val="single" w:color="000000" w:sz="4" w:space="0"/>
              <w:bottom w:val="single" w:color="000000" w:sz="4" w:space="0"/>
              <w:right w:val="single" w:color="000000" w:sz="4" w:space="0"/>
            </w:tcBorders>
            <w:noWrap w:val="0"/>
            <w:vAlign w:val="center"/>
          </w:tcPr>
          <w:p w14:paraId="5673D6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1、成型尺寸≥200*200*200mm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2、打印技术 熔融沉积型（FDM）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3、层分辨率 0.05-0.3mm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4、定位精度 ≤0.0125mm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5、是否有空气过滤系统 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6、断电续打 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7、料用完暂停报警 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8、喷头数量  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9、打印头 单色打印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10、打印速度 30-150mm/s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11、结构 非全封闭整机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12、储料箱 悬挂式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13、照明功能 内置照明LED照明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14、挤出头直径 可选: 0.3 , 0.4，0.5mm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15、挤出头工作温度 Max 260℃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16、显示屏幕特性 3.5寸全彩全彩触摸屏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17、中央处理器（CPU） 32位ARM CPU单片机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18、外储存器 支持SD卡拔插及USB连接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19、电源要求 AC100v-AC240v 50Hz/60Hz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20、操作系统支持 Windows,Linux,MAC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21、文件格式支持 STL、OBJ</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22、机器外观表面处理 钣金高温烤漆形成独特的外观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23、机箱尺寸 ≥390*370*435mm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w:t>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支持断电续打、一键进退丝、一键中途换料、打印速度实时调整等（提供满足国家认可的第三方检测机构出具的CNAS或CMA标识的检测报告复印件或影印件证明,并加盖厂家公章）</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3A838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2BF78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CD7B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ign w:val="center"/>
          </w:tcPr>
          <w:p w14:paraId="5D5E07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DB4FA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三维设计软件</w:t>
            </w:r>
          </w:p>
        </w:tc>
        <w:tc>
          <w:tcPr>
            <w:tcW w:w="9953" w:type="dxa"/>
            <w:tcBorders>
              <w:top w:val="single" w:color="000000" w:sz="4" w:space="0"/>
              <w:left w:val="single" w:color="000000" w:sz="4" w:space="0"/>
              <w:bottom w:val="single" w:color="000000" w:sz="4" w:space="0"/>
              <w:right w:val="single" w:color="000000" w:sz="4" w:space="0"/>
            </w:tcBorders>
            <w:noWrap w:val="0"/>
            <w:vAlign w:val="center"/>
          </w:tcPr>
          <w:p w14:paraId="670EE7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一款简单、易用的 3D CAD 工具，你可以使用一些简单的图形来设计、创建、编辑三维模型，或者在一个已有的模型上进行修改。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破了常规专业CAD软件从草图生成三维模型的建模方法，提供了一些简单的三维图形，通过对这些简单图形的堆砌和编辑生成复杂形状。这种‘傻瓜式’的建模方式感觉像是在搭积木，即使你不是一个CAD建模工程师，也能随心所欲地在软件里建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曲线建模，支持导入平面图片建模、文字建模、自定义绘制图形建模等多种建模方式。提供平面绘图工具，比如直线、折线、曲线及矩形工具，用于设计复杂线条。提供10种以上的艺术曲线，比如心型线、肾形线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2.3D浮雕建模，支持导入平面图片、文字以及自定义绘制图形，并能一键式生成可制造的立体透光浮雕模型。生成的立体浮雕模型类型包括: 平面型、圆柱面型等，并可选择内向、外向模式。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3.参数建模，支持全参数交互式驱动建模方式，用户可修改尺寸、角度等参数，改变模型的大小、位置、姿势，生成新的模型。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4.一键平置，在移动模型的过程中，可以一键将模型移动到水平面上，方便切片。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5.自动放平，在旋转模型的过程中，可以一键将模型放平，软件自动为模型找到合适的旋转角度进行旋转，方便切片。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6.文字建模，支持输入文字，即可生成立体文字模型，支持主流字体，软件内置10种以上字体，生成的3D文字可进行竖直弯曲和水平弯曲，并且可以调整文字的弯曲半径和角度。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7.曲面建模，支持挤出、移动长方体盒子的面生成多面体，通过细分曲面的方式生成3D模型。支持五分法分割面，生成新的面。支持移动多面体的边，改变多面体的形状。包含球、圆柱、正方体3种内置基本体。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8.拉伸建模，支持从二维封闭曲线垂直拉伸得到3D模型，导入图片作为二维草图的绘制向导，并内置网格线作为绘制参考。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9.旋转建模，支持从二维曲线沿轴旋转得到3D模型，导入图片作为二维草图的绘制向导，并内置网格线作为参考线，可人工设置曲线是否封闭。软件可自动对曲线进行补全，从而生成旋转体模型。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10.切片软件集成，支持切片功能，设置层厚、壁厚、填充密度、打印速度等参数，从3D模型计算得到打印机的执行文件，并支持单层/多层/全部等模式可视化查看打印路径。支持输出切片gcode文件。</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7E0B6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27592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DDD9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ign w:val="center"/>
          </w:tcPr>
          <w:p w14:paraId="7635B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BB1D2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三维设计课程</w:t>
            </w:r>
          </w:p>
        </w:tc>
        <w:tc>
          <w:tcPr>
            <w:tcW w:w="9953" w:type="dxa"/>
            <w:tcBorders>
              <w:top w:val="single" w:color="000000" w:sz="4" w:space="0"/>
              <w:left w:val="single" w:color="000000" w:sz="4" w:space="0"/>
              <w:bottom w:val="single" w:color="000000" w:sz="4" w:space="0"/>
              <w:right w:val="single" w:color="000000" w:sz="4" w:space="0"/>
            </w:tcBorders>
            <w:noWrap w:val="0"/>
            <w:vAlign w:val="center"/>
          </w:tcPr>
          <w:p w14:paraId="75A3FB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不少于32节课程，每节课程内容包含教案、学案、课件、3D模型文件等资料。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程简介：立体世界-3D打印课程是专为中小学生设计的创意课程。通过本课程，学生将学习如何运用三维设计软件进行简单而实用的立体设计，并将这些设计通过3D打印机实现真实物体的制作。课程注重培养学生的创造力和实践能力，激发他们的空间想象力和解决问题的能力。通过设计和制作过程，学生将有机会体验到先进的制造技术，并在实践中掌握基本的3D打印技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入门课程：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123D世界；2、虫虫世界；3、定海神针；4、时空飞船；5、神笔马良；6、01幸运数；7、我的魔法帽；8、元素精灵；9、音乐精灵；10、七彩心情；11、图形特工；12、跟随大脚板；13、重组DNA；14、齿轮转动；15、轮滑模型；16、我的探险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进阶课程：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D像素；2、我的房子；3、庄园围栏；4、我的庄园；5、小牛牟牟；6、小猪哼哼；7、六角凉亭；8、楚河汉界；9、先生请坐；10、空间艺术；11、松柏长青；12、豌豆射手；13、阳光笑脸；14、一支玫瑰；15、汽车滴滴；16、新年礼物</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6511C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375DD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2A33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ign w:val="center"/>
          </w:tcPr>
          <w:p w14:paraId="0A2F9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B26FE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3D打印耗材</w:t>
            </w:r>
          </w:p>
        </w:tc>
        <w:tc>
          <w:tcPr>
            <w:tcW w:w="9953" w:type="dxa"/>
            <w:tcBorders>
              <w:top w:val="single" w:color="000000" w:sz="4" w:space="0"/>
              <w:left w:val="single" w:color="000000" w:sz="4" w:space="0"/>
              <w:bottom w:val="single" w:color="000000" w:sz="4" w:space="0"/>
              <w:right w:val="single" w:color="000000" w:sz="4" w:space="0"/>
            </w:tcBorders>
            <w:noWrap w:val="0"/>
            <w:vAlign w:val="center"/>
          </w:tcPr>
          <w:p w14:paraId="5682A7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耗材直径 1.75mm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 1卷1KG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包装重量 1.4kg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可选颜色 11色，红色、天蓝色、象牙白、苹果绿、橙色、金色、肤色、黑色、银色、鲜粉红、黄色</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3A82E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3C6CE7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2F144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581" w:type="dxa"/>
            <w:tcBorders>
              <w:top w:val="nil"/>
              <w:left w:val="single" w:color="000000" w:sz="8" w:space="0"/>
              <w:bottom w:val="single" w:color="000000" w:sz="4" w:space="0"/>
              <w:right w:val="single" w:color="000000" w:sz="4" w:space="0"/>
            </w:tcBorders>
            <w:noWrap/>
            <w:vAlign w:val="center"/>
          </w:tcPr>
          <w:p w14:paraId="2519B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4F2BE7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3D模型资源库</w:t>
            </w:r>
          </w:p>
        </w:tc>
        <w:tc>
          <w:tcPr>
            <w:tcW w:w="9953" w:type="dxa"/>
            <w:tcBorders>
              <w:top w:val="single" w:color="000000" w:sz="4" w:space="0"/>
              <w:left w:val="single" w:color="000000" w:sz="4" w:space="0"/>
              <w:bottom w:val="single" w:color="000000" w:sz="4" w:space="0"/>
              <w:right w:val="single" w:color="000000" w:sz="4" w:space="0"/>
            </w:tcBorders>
            <w:noWrap/>
            <w:vAlign w:val="center"/>
          </w:tcPr>
          <w:p w14:paraId="5FFD6F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包含教学、创意类模型不少于500种</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7629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32E74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3596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81" w:type="dxa"/>
            <w:tcBorders>
              <w:top w:val="nil"/>
              <w:left w:val="single" w:color="000000" w:sz="8" w:space="0"/>
              <w:bottom w:val="single" w:color="000000" w:sz="4" w:space="0"/>
              <w:right w:val="single" w:color="000000" w:sz="4" w:space="0"/>
            </w:tcBorders>
            <w:noWrap/>
            <w:vAlign w:val="center"/>
          </w:tcPr>
          <w:p w14:paraId="33FBB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09F14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3D打印工具包</w:t>
            </w:r>
          </w:p>
        </w:tc>
        <w:tc>
          <w:tcPr>
            <w:tcW w:w="9953" w:type="dxa"/>
            <w:tcBorders>
              <w:top w:val="single" w:color="000000" w:sz="4" w:space="0"/>
              <w:left w:val="single" w:color="000000" w:sz="4" w:space="0"/>
              <w:bottom w:val="single" w:color="000000" w:sz="4" w:space="0"/>
              <w:right w:val="single" w:color="000000" w:sz="4" w:space="0"/>
            </w:tcBorders>
            <w:noWrap w:val="0"/>
            <w:vAlign w:val="center"/>
          </w:tcPr>
          <w:p w14:paraId="029A83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小铲刀、斜口钳、3D调平工具、料架固定支架，3D打印机常用易损件、U盘、读卡器、PLA导线管、常用内六角套装</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780E9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752B86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C1F5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035" w:type="dxa"/>
            <w:gridSpan w:val="5"/>
            <w:tcBorders>
              <w:top w:val="single" w:color="000000" w:sz="8" w:space="0"/>
              <w:left w:val="single" w:color="000000" w:sz="8" w:space="0"/>
              <w:bottom w:val="single" w:color="000000" w:sz="8" w:space="0"/>
              <w:right w:val="nil"/>
            </w:tcBorders>
            <w:noWrap w:val="0"/>
            <w:vAlign w:val="center"/>
          </w:tcPr>
          <w:p w14:paraId="3A00BB1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bdr w:val="single" w:color="000000" w:sz="8"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3" name="图片_8_SpCnt_5"/>
                  <wp:cNvGraphicFramePr/>
                  <a:graphic xmlns:a="http://schemas.openxmlformats.org/drawingml/2006/main">
                    <a:graphicData uri="http://schemas.openxmlformats.org/drawingml/2006/picture">
                      <pic:pic xmlns:pic="http://schemas.openxmlformats.org/drawingml/2006/picture">
                        <pic:nvPicPr>
                          <pic:cNvPr id="23" name="图片_8_SpCnt_5"/>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24"/>
                <w:szCs w:val="24"/>
                <w:u w:val="none"/>
                <w:bdr w:val="single" w:color="000000" w:sz="8"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9525" cy="387350"/>
                  <wp:effectExtent l="0" t="0" r="635" b="8890"/>
                  <wp:wrapNone/>
                  <wp:docPr id="24" name="图片_1_SpCnt_4"/>
                  <wp:cNvGraphicFramePr/>
                  <a:graphic xmlns:a="http://schemas.openxmlformats.org/drawingml/2006/main">
                    <a:graphicData uri="http://schemas.openxmlformats.org/drawingml/2006/picture">
                      <pic:pic xmlns:pic="http://schemas.openxmlformats.org/drawingml/2006/picture">
                        <pic:nvPicPr>
                          <pic:cNvPr id="24" name="图片_1_SpCnt_4"/>
                          <pic:cNvPicPr/>
                        </pic:nvPicPr>
                        <pic:blipFill>
                          <a:blip r:embed="rId21"/>
                          <a:stretch>
                            <a:fillRect/>
                          </a:stretch>
                        </pic:blipFill>
                        <pic:spPr>
                          <a:xfrm>
                            <a:off x="0" y="0"/>
                            <a:ext cx="9525" cy="3873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24"/>
                <w:szCs w:val="24"/>
                <w:u w:val="none"/>
                <w:bdr w:val="single" w:color="000000" w:sz="8"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9525" cy="387350"/>
                  <wp:effectExtent l="0" t="0" r="635" b="8890"/>
                  <wp:wrapNone/>
                  <wp:docPr id="25" name="图片_1_SpCnt_5"/>
                  <wp:cNvGraphicFramePr/>
                  <a:graphic xmlns:a="http://schemas.openxmlformats.org/drawingml/2006/main">
                    <a:graphicData uri="http://schemas.openxmlformats.org/drawingml/2006/picture">
                      <pic:pic xmlns:pic="http://schemas.openxmlformats.org/drawingml/2006/picture">
                        <pic:nvPicPr>
                          <pic:cNvPr id="25" name="图片_1_SpCnt_5"/>
                          <pic:cNvPicPr/>
                        </pic:nvPicPr>
                        <pic:blipFill>
                          <a:blip r:embed="rId21"/>
                          <a:stretch>
                            <a:fillRect/>
                          </a:stretch>
                        </pic:blipFill>
                        <pic:spPr>
                          <a:xfrm>
                            <a:off x="0" y="0"/>
                            <a:ext cx="9525" cy="3873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24"/>
                <w:szCs w:val="24"/>
                <w:u w:val="none"/>
                <w:bdr w:val="single" w:color="000000" w:sz="8"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9525" cy="387350"/>
                  <wp:effectExtent l="0" t="0" r="635" b="8890"/>
                  <wp:wrapNone/>
                  <wp:docPr id="26" name="图片_9_SpCnt_3"/>
                  <wp:cNvGraphicFramePr/>
                  <a:graphic xmlns:a="http://schemas.openxmlformats.org/drawingml/2006/main">
                    <a:graphicData uri="http://schemas.openxmlformats.org/drawingml/2006/picture">
                      <pic:pic xmlns:pic="http://schemas.openxmlformats.org/drawingml/2006/picture">
                        <pic:nvPicPr>
                          <pic:cNvPr id="26" name="图片_9_SpCnt_3"/>
                          <pic:cNvPicPr/>
                        </pic:nvPicPr>
                        <pic:blipFill>
                          <a:blip r:embed="rId20"/>
                          <a:stretch>
                            <a:fillRect/>
                          </a:stretch>
                        </pic:blipFill>
                        <pic:spPr>
                          <a:xfrm>
                            <a:off x="0" y="0"/>
                            <a:ext cx="9525" cy="3873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24"/>
                <w:szCs w:val="24"/>
                <w:u w:val="none"/>
                <w:bdr w:val="single" w:color="000000" w:sz="8"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7" name="图片_8_SpCnt_6"/>
                  <wp:cNvGraphicFramePr/>
                  <a:graphic xmlns:a="http://schemas.openxmlformats.org/drawingml/2006/main">
                    <a:graphicData uri="http://schemas.openxmlformats.org/drawingml/2006/picture">
                      <pic:pic xmlns:pic="http://schemas.openxmlformats.org/drawingml/2006/picture">
                        <pic:nvPicPr>
                          <pic:cNvPr id="27" name="图片_8_SpCnt_6"/>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24"/>
                <w:szCs w:val="24"/>
                <w:u w:val="none"/>
                <w:bdr w:val="single" w:color="000000" w:sz="8"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9525" cy="387350"/>
                  <wp:effectExtent l="0" t="0" r="635" b="8890"/>
                  <wp:wrapNone/>
                  <wp:docPr id="28" name="图片_9_SpCnt_4"/>
                  <wp:cNvGraphicFramePr/>
                  <a:graphic xmlns:a="http://schemas.openxmlformats.org/drawingml/2006/main">
                    <a:graphicData uri="http://schemas.openxmlformats.org/drawingml/2006/picture">
                      <pic:pic xmlns:pic="http://schemas.openxmlformats.org/drawingml/2006/picture">
                        <pic:nvPicPr>
                          <pic:cNvPr id="28" name="图片_9_SpCnt_4"/>
                          <pic:cNvPicPr/>
                        </pic:nvPicPr>
                        <pic:blipFill>
                          <a:blip r:embed="rId20"/>
                          <a:stretch>
                            <a:fillRect/>
                          </a:stretch>
                        </pic:blipFill>
                        <pic:spPr>
                          <a:xfrm>
                            <a:off x="0" y="0"/>
                            <a:ext cx="9525" cy="3873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24"/>
                <w:szCs w:val="24"/>
                <w:u w:val="none"/>
                <w:bdr w:val="single" w:color="000000" w:sz="8"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9525" cy="387350"/>
                  <wp:effectExtent l="0" t="0" r="635" b="8890"/>
                  <wp:wrapNone/>
                  <wp:docPr id="29" name="图片_1_SpCnt_6"/>
                  <wp:cNvGraphicFramePr/>
                  <a:graphic xmlns:a="http://schemas.openxmlformats.org/drawingml/2006/main">
                    <a:graphicData uri="http://schemas.openxmlformats.org/drawingml/2006/picture">
                      <pic:pic xmlns:pic="http://schemas.openxmlformats.org/drawingml/2006/picture">
                        <pic:nvPicPr>
                          <pic:cNvPr id="29" name="图片_1_SpCnt_6"/>
                          <pic:cNvPicPr/>
                        </pic:nvPicPr>
                        <pic:blipFill>
                          <a:blip r:embed="rId21"/>
                          <a:stretch>
                            <a:fillRect/>
                          </a:stretch>
                        </pic:blipFill>
                        <pic:spPr>
                          <a:xfrm>
                            <a:off x="0" y="0"/>
                            <a:ext cx="9525" cy="3873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24"/>
                <w:szCs w:val="24"/>
                <w:u w:val="none"/>
                <w:bdr w:val="single" w:color="000000" w:sz="8"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30" name="图片_8_SpCnt_7"/>
                  <wp:cNvGraphicFramePr/>
                  <a:graphic xmlns:a="http://schemas.openxmlformats.org/drawingml/2006/main">
                    <a:graphicData uri="http://schemas.openxmlformats.org/drawingml/2006/picture">
                      <pic:pic xmlns:pic="http://schemas.openxmlformats.org/drawingml/2006/picture">
                        <pic:nvPicPr>
                          <pic:cNvPr id="30" name="图片_8_SpCnt_7"/>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24"/>
                <w:szCs w:val="24"/>
                <w:u w:val="none"/>
                <w:bdr w:val="single" w:color="000000" w:sz="8"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9525" cy="387350"/>
                  <wp:effectExtent l="0" t="0" r="635" b="8890"/>
                  <wp:wrapNone/>
                  <wp:docPr id="31" name="图片_35"/>
                  <wp:cNvGraphicFramePr/>
                  <a:graphic xmlns:a="http://schemas.openxmlformats.org/drawingml/2006/main">
                    <a:graphicData uri="http://schemas.openxmlformats.org/drawingml/2006/picture">
                      <pic:pic xmlns:pic="http://schemas.openxmlformats.org/drawingml/2006/picture">
                        <pic:nvPicPr>
                          <pic:cNvPr id="31" name="图片_35"/>
                          <pic:cNvPicPr/>
                        </pic:nvPicPr>
                        <pic:blipFill>
                          <a:blip r:embed="rId20"/>
                          <a:stretch>
                            <a:fillRect/>
                          </a:stretch>
                        </pic:blipFill>
                        <pic:spPr>
                          <a:xfrm>
                            <a:off x="0" y="0"/>
                            <a:ext cx="9525" cy="3873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24"/>
                <w:szCs w:val="24"/>
                <w:u w:val="none"/>
                <w:lang w:val="en-US" w:eastAsia="zh-CN" w:bidi="ar"/>
              </w:rPr>
              <w:t>展示体验活动配套设备</w:t>
            </w:r>
          </w:p>
        </w:tc>
      </w:tr>
      <w:tr w14:paraId="087BA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81" w:type="dxa"/>
            <w:tcBorders>
              <w:top w:val="nil"/>
              <w:left w:val="single" w:color="000000" w:sz="8" w:space="0"/>
              <w:bottom w:val="single" w:color="000000" w:sz="4" w:space="0"/>
              <w:right w:val="single" w:color="000000" w:sz="4" w:space="0"/>
            </w:tcBorders>
            <w:noWrap/>
            <w:vAlign w:val="center"/>
          </w:tcPr>
          <w:p w14:paraId="19744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2E31F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大数据人工智能魔镜系统</w:t>
            </w:r>
          </w:p>
        </w:tc>
        <w:tc>
          <w:tcPr>
            <w:tcW w:w="9953" w:type="dxa"/>
            <w:tcBorders>
              <w:top w:val="single" w:color="000000" w:sz="4" w:space="0"/>
              <w:left w:val="single" w:color="000000" w:sz="4" w:space="0"/>
              <w:bottom w:val="single" w:color="000000" w:sz="4" w:space="0"/>
              <w:right w:val="single" w:color="000000" w:sz="4" w:space="0"/>
            </w:tcBorders>
            <w:noWrap w:val="0"/>
            <w:vAlign w:val="center"/>
          </w:tcPr>
          <w:p w14:paraId="11A2D6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综述：大数据人工智能-魔镜是体验人工智能的套件，帮助学生理解什么是人工智能，通过应用项目亲身体会人工智能的机器学习原理，认知机器神经网络的特性，模拟图像识别、语音识别等先进的人工智能领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2.材质：外形采用一体式框架，14寸高清显示屏，电子模块外壳采用金属铝材质，内置采用无铅焊接工艺加工的电路板。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3.主板芯片：CPU: 8核64位处理器，4核Cortex-A76和4核Cortex-A55及独立的NEON协处理器，Cortex-A76主频2.4GHz, Cortex-A55主频1.8GHz；GPU:集成ARM Mali-G610，内置3D GPU；NPU: 内嵌的NPU支持INT4/INT8/INT16/FP16混合运算，算力高达6 Top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4.主板具有丰富的接口：HDMI输出端口*2个，HDMI输入端口*1个，2.5G以太网接口*2个，USB 3.0*2个，USB 2.0*2个，Type -C *2个。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5.内含材料：8核64位ARM主控、4麦克风阵列、高清摄像头、有源音箱、下位控制器、3.5mm音频线、音箱充电头、音箱电源线、摄像头的数据线、杜邦线、按键开关模块、LED灯（红1、绿1）、HDMI线、无线键鼠；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6.编程软件：人工智能技术的图形化编程软件，支持Python编程语言。                                                                                                                       </w:t>
            </w:r>
            <w:r>
              <w:rPr>
                <w:rFonts w:hint="eastAsia" w:ascii="宋体" w:hAnsi="宋体" w:eastAsia="宋体" w:cs="宋体"/>
                <w:i w:val="0"/>
                <w:iCs w:val="0"/>
                <w:color w:val="000000"/>
                <w:kern w:val="0"/>
                <w:sz w:val="18"/>
                <w:szCs w:val="18"/>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7.该套件同时支持语音识别、人脸识别、图形识别、机器学习等功能（提供满足国家认可的第三方检测机构出具的CNAS或CMA标识的检测报告复印件或影印件证明,并加盖厂家公章）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8、内嵌入多模态大模型平台，可支持：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1）快速、精准地回答数学、物理、化学、文学、历史、地理等学科问题（提供满足国家认可的第三方检测机构出具的CNAS或CMA标识的检测报告复印件或影印件证明,并加盖厂家公章）；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2）可以提供语言学习方面的支持，例如：英语、汉语、日语等多种语言的学习；</w:t>
            </w:r>
            <w:r>
              <w:rPr>
                <w:rFonts w:hint="eastAsia" w:ascii="宋体" w:hAnsi="宋体" w:eastAsia="宋体" w:cs="宋体"/>
                <w:i w:val="0"/>
                <w:iCs w:val="0"/>
                <w:color w:val="000000"/>
                <w:kern w:val="0"/>
                <w:sz w:val="18"/>
                <w:szCs w:val="18"/>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3）可以实现本地自然语言对话、图像理解、图像文本生成（提供满足国家认可的第三方检测机构出具的CNAS或CMA标识的检测报告复印件或影印件证明,并加盖厂家公章）；  </w:t>
            </w:r>
            <w:r>
              <w:rPr>
                <w:rFonts w:hint="eastAsia" w:ascii="宋体" w:hAnsi="宋体" w:eastAsia="宋体" w:cs="宋体"/>
                <w:i w:val="0"/>
                <w:iCs w:val="0"/>
                <w:color w:val="000000"/>
                <w:kern w:val="0"/>
                <w:sz w:val="18"/>
                <w:szCs w:val="18"/>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4）可以图像文本生成：场景、海报设计、壁纸设计（提供满足国家认可的第三方检测机构出具的CNAS或CMA标识的检测报告复印件或影印件证明,并加盖厂家公章）；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5）具备代码能力，可以代码生成，代码解释，代码纠错（提供满足国家认可的第三方检测机构出具的CNAS或CMA标识的检测报告复印件或影印件证明,并加盖厂家公章）；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6）AI绘画能力，通过算法、机器学习和大数据等技术，学生输入简单的文字或图片描述，然后系统自动生成一幅艺术作品（提供满足国家认可的第三方检测机构出具的CNAS或CMA标识的检测报告复印件或影印件证明,并加盖厂家公章）。</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78FAC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2EA7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EE73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581" w:type="dxa"/>
            <w:tcBorders>
              <w:top w:val="nil"/>
              <w:left w:val="single" w:color="000000" w:sz="8" w:space="0"/>
              <w:bottom w:val="single" w:color="000000" w:sz="4" w:space="0"/>
              <w:right w:val="single" w:color="000000" w:sz="4" w:space="0"/>
            </w:tcBorders>
            <w:noWrap/>
            <w:vAlign w:val="center"/>
          </w:tcPr>
          <w:p w14:paraId="18E34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8639B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人工智能仿生四足机器人</w:t>
            </w:r>
          </w:p>
        </w:tc>
        <w:tc>
          <w:tcPr>
            <w:tcW w:w="9953" w:type="dxa"/>
            <w:tcBorders>
              <w:top w:val="single" w:color="000000" w:sz="4" w:space="0"/>
              <w:left w:val="single" w:color="000000" w:sz="4" w:space="0"/>
              <w:bottom w:val="single" w:color="000000" w:sz="4" w:space="0"/>
              <w:right w:val="single" w:color="000000" w:sz="4" w:space="0"/>
            </w:tcBorders>
            <w:noWrap w:val="0"/>
            <w:vAlign w:val="center"/>
          </w:tcPr>
          <w:p w14:paraId="0122EE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一、功能描述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1、可实现AI边缘计算图形化编程，例如骨骼识别，手势识别，人脸检测，语音识别等常用AI程序。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2、可实现物体抓取，全向移动，六维姿态控制，多种运动步态及运动叠加，内置陀螺仪，可保持身体自平衡。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3、产品配套编程云平台，可以通过无线wifi对机器狗进行AI编程。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4、伺服舵机具有关节角度回读功能，可用于机器人示教。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二、配置要求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1、机器狗套件包含15个总线舵机；AI模组；机器狗驱动和钣金件；电源适配器 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2、机器狗零件材质为铝合金材质，阳极氧化上色，安全无毒。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4、定制串口总线伺服舵机，可实现精准动作的控制及表达。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1、舵机参数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（1）型号：总线串口舵机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（2）输出扭矩：4.5KG•CM；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（3）转速（S/60°）：0.1 S/60°；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（4）精度：0.01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（5）工作电压范围：4.8V～7.4V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（6）工作温度：-20℃～ +60℃；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（7）角度范围：0~360°；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（8）重量：20±1g。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（9）马达类型：空心杯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2、AI模组参数：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（1）模块：树莓派CM4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（2）屏幕：全彩2.0 TFT屏幕，可显示视频，图片及文字。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（3）喇叭：8欧3W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（4）麦克风：双MEMS数字麦克风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（5）按键：4个可编程按键。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（6）摄像头：OV5647，500W像素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（7）外接：串口，mini hdmi和usb等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3、电源系统：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（1）充电器输入电压：100-240V AC 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（2）充电器输出电压：8.4V；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（3）充电器输出电流：1A，具有过流保护特性，防止过充爆炸。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（4）电池：18650标准3500毫安3C放电。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（1）默认姿态尺寸：28*15*18CM；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（2）重量：915g；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（3）结构：1.5mm阳极氧化铝合金</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7639A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4CC33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AC66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ign w:val="center"/>
          </w:tcPr>
          <w:p w14:paraId="1CC92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9525" cy="387350"/>
                  <wp:effectExtent l="0" t="0" r="635" b="8890"/>
                  <wp:wrapNone/>
                  <wp:docPr id="32" name="图片_1_SpCnt_7"/>
                  <wp:cNvGraphicFramePr/>
                  <a:graphic xmlns:a="http://schemas.openxmlformats.org/drawingml/2006/main">
                    <a:graphicData uri="http://schemas.openxmlformats.org/drawingml/2006/picture">
                      <pic:pic xmlns:pic="http://schemas.openxmlformats.org/drawingml/2006/picture">
                        <pic:nvPicPr>
                          <pic:cNvPr id="32" name="图片_1_SpCnt_7"/>
                          <pic:cNvPicPr/>
                        </pic:nvPicPr>
                        <pic:blipFill>
                          <a:blip r:embed="rId21"/>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33" name="图片_8_SpCnt_8"/>
                  <wp:cNvGraphicFramePr/>
                  <a:graphic xmlns:a="http://schemas.openxmlformats.org/drawingml/2006/main">
                    <a:graphicData uri="http://schemas.openxmlformats.org/drawingml/2006/picture">
                      <pic:pic xmlns:pic="http://schemas.openxmlformats.org/drawingml/2006/picture">
                        <pic:nvPicPr>
                          <pic:cNvPr id="33" name="图片_8_SpCnt_8"/>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34" name="图片_8_SpCnt_9"/>
                  <wp:cNvGraphicFramePr/>
                  <a:graphic xmlns:a="http://schemas.openxmlformats.org/drawingml/2006/main">
                    <a:graphicData uri="http://schemas.openxmlformats.org/drawingml/2006/picture">
                      <pic:pic xmlns:pic="http://schemas.openxmlformats.org/drawingml/2006/picture">
                        <pic:nvPicPr>
                          <pic:cNvPr id="34" name="图片_8_SpCnt_9"/>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35" name="图片_8_SpCnt_10"/>
                  <wp:cNvGraphicFramePr/>
                  <a:graphic xmlns:a="http://schemas.openxmlformats.org/drawingml/2006/main">
                    <a:graphicData uri="http://schemas.openxmlformats.org/drawingml/2006/picture">
                      <pic:pic xmlns:pic="http://schemas.openxmlformats.org/drawingml/2006/picture">
                        <pic:nvPicPr>
                          <pic:cNvPr id="35" name="图片_8_SpCnt_10"/>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36" name="图片_8_SpCnt_11"/>
                  <wp:cNvGraphicFramePr/>
                  <a:graphic xmlns:a="http://schemas.openxmlformats.org/drawingml/2006/main">
                    <a:graphicData uri="http://schemas.openxmlformats.org/drawingml/2006/picture">
                      <pic:pic xmlns:pic="http://schemas.openxmlformats.org/drawingml/2006/picture">
                        <pic:nvPicPr>
                          <pic:cNvPr id="36" name="图片_8_SpCnt_11"/>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37" name="图片_8_SpCnt_12"/>
                  <wp:cNvGraphicFramePr/>
                  <a:graphic xmlns:a="http://schemas.openxmlformats.org/drawingml/2006/main">
                    <a:graphicData uri="http://schemas.openxmlformats.org/drawingml/2006/picture">
                      <pic:pic xmlns:pic="http://schemas.openxmlformats.org/drawingml/2006/picture">
                        <pic:nvPicPr>
                          <pic:cNvPr id="37" name="图片_8_SpCnt_12"/>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38" name="图片_8_SpCnt_13"/>
                  <wp:cNvGraphicFramePr/>
                  <a:graphic xmlns:a="http://schemas.openxmlformats.org/drawingml/2006/main">
                    <a:graphicData uri="http://schemas.openxmlformats.org/drawingml/2006/picture">
                      <pic:pic xmlns:pic="http://schemas.openxmlformats.org/drawingml/2006/picture">
                        <pic:nvPicPr>
                          <pic:cNvPr id="38" name="图片_8_SpCnt_13"/>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39" name="图片_8_SpCnt_14"/>
                  <wp:cNvGraphicFramePr/>
                  <a:graphic xmlns:a="http://schemas.openxmlformats.org/drawingml/2006/main">
                    <a:graphicData uri="http://schemas.openxmlformats.org/drawingml/2006/picture">
                      <pic:pic xmlns:pic="http://schemas.openxmlformats.org/drawingml/2006/picture">
                        <pic:nvPicPr>
                          <pic:cNvPr id="39" name="图片_8_SpCnt_14"/>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40" name="图片_8_SpCnt_15"/>
                  <wp:cNvGraphicFramePr/>
                  <a:graphic xmlns:a="http://schemas.openxmlformats.org/drawingml/2006/main">
                    <a:graphicData uri="http://schemas.openxmlformats.org/drawingml/2006/picture">
                      <pic:pic xmlns:pic="http://schemas.openxmlformats.org/drawingml/2006/picture">
                        <pic:nvPicPr>
                          <pic:cNvPr id="40" name="图片_8_SpCnt_15"/>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41" name="图片_8_SpCnt_16"/>
                  <wp:cNvGraphicFramePr/>
                  <a:graphic xmlns:a="http://schemas.openxmlformats.org/drawingml/2006/main">
                    <a:graphicData uri="http://schemas.openxmlformats.org/drawingml/2006/picture">
                      <pic:pic xmlns:pic="http://schemas.openxmlformats.org/drawingml/2006/picture">
                        <pic:nvPicPr>
                          <pic:cNvPr id="41" name="图片_8_SpCnt_16"/>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42" name="图片_8_SpCnt_17"/>
                  <wp:cNvGraphicFramePr/>
                  <a:graphic xmlns:a="http://schemas.openxmlformats.org/drawingml/2006/main">
                    <a:graphicData uri="http://schemas.openxmlformats.org/drawingml/2006/picture">
                      <pic:pic xmlns:pic="http://schemas.openxmlformats.org/drawingml/2006/picture">
                        <pic:nvPicPr>
                          <pic:cNvPr id="42" name="图片_8_SpCnt_17"/>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43" name="图片_8_SpCnt_18"/>
                  <wp:cNvGraphicFramePr/>
                  <a:graphic xmlns:a="http://schemas.openxmlformats.org/drawingml/2006/main">
                    <a:graphicData uri="http://schemas.openxmlformats.org/drawingml/2006/picture">
                      <pic:pic xmlns:pic="http://schemas.openxmlformats.org/drawingml/2006/picture">
                        <pic:nvPicPr>
                          <pic:cNvPr id="43" name="图片_8_SpCnt_18"/>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44" name="图片_8_SpCnt_19"/>
                  <wp:cNvGraphicFramePr/>
                  <a:graphic xmlns:a="http://schemas.openxmlformats.org/drawingml/2006/main">
                    <a:graphicData uri="http://schemas.openxmlformats.org/drawingml/2006/picture">
                      <pic:pic xmlns:pic="http://schemas.openxmlformats.org/drawingml/2006/picture">
                        <pic:nvPicPr>
                          <pic:cNvPr id="44" name="图片_8_SpCnt_19"/>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45" name="图片_8_SpCnt_20"/>
                  <wp:cNvGraphicFramePr/>
                  <a:graphic xmlns:a="http://schemas.openxmlformats.org/drawingml/2006/main">
                    <a:graphicData uri="http://schemas.openxmlformats.org/drawingml/2006/picture">
                      <pic:pic xmlns:pic="http://schemas.openxmlformats.org/drawingml/2006/picture">
                        <pic:nvPicPr>
                          <pic:cNvPr id="45" name="图片_8_SpCnt_20"/>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46" name="图片_8_SpCnt_21"/>
                  <wp:cNvGraphicFramePr/>
                  <a:graphic xmlns:a="http://schemas.openxmlformats.org/drawingml/2006/main">
                    <a:graphicData uri="http://schemas.openxmlformats.org/drawingml/2006/picture">
                      <pic:pic xmlns:pic="http://schemas.openxmlformats.org/drawingml/2006/picture">
                        <pic:nvPicPr>
                          <pic:cNvPr id="46" name="图片_8_SpCnt_21"/>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47" name="图片_8_SpCnt_22"/>
                  <wp:cNvGraphicFramePr/>
                  <a:graphic xmlns:a="http://schemas.openxmlformats.org/drawingml/2006/main">
                    <a:graphicData uri="http://schemas.openxmlformats.org/drawingml/2006/picture">
                      <pic:pic xmlns:pic="http://schemas.openxmlformats.org/drawingml/2006/picture">
                        <pic:nvPicPr>
                          <pic:cNvPr id="47" name="图片_8_SpCnt_22"/>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48" name="图片_8_SpCnt_23"/>
                  <wp:cNvGraphicFramePr/>
                  <a:graphic xmlns:a="http://schemas.openxmlformats.org/drawingml/2006/main">
                    <a:graphicData uri="http://schemas.openxmlformats.org/drawingml/2006/picture">
                      <pic:pic xmlns:pic="http://schemas.openxmlformats.org/drawingml/2006/picture">
                        <pic:nvPicPr>
                          <pic:cNvPr id="48" name="图片_8_SpCnt_23"/>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49" name="图片_8_SpCnt_24"/>
                  <wp:cNvGraphicFramePr/>
                  <a:graphic xmlns:a="http://schemas.openxmlformats.org/drawingml/2006/main">
                    <a:graphicData uri="http://schemas.openxmlformats.org/drawingml/2006/picture">
                      <pic:pic xmlns:pic="http://schemas.openxmlformats.org/drawingml/2006/picture">
                        <pic:nvPicPr>
                          <pic:cNvPr id="49" name="图片_8_SpCnt_24"/>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50" name="图片_8_SpCnt_25"/>
                  <wp:cNvGraphicFramePr/>
                  <a:graphic xmlns:a="http://schemas.openxmlformats.org/drawingml/2006/main">
                    <a:graphicData uri="http://schemas.openxmlformats.org/drawingml/2006/picture">
                      <pic:pic xmlns:pic="http://schemas.openxmlformats.org/drawingml/2006/picture">
                        <pic:nvPicPr>
                          <pic:cNvPr id="50" name="图片_8_SpCnt_25"/>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51" name="图片_8_SpCnt_26"/>
                  <wp:cNvGraphicFramePr/>
                  <a:graphic xmlns:a="http://schemas.openxmlformats.org/drawingml/2006/main">
                    <a:graphicData uri="http://schemas.openxmlformats.org/drawingml/2006/picture">
                      <pic:pic xmlns:pic="http://schemas.openxmlformats.org/drawingml/2006/picture">
                        <pic:nvPicPr>
                          <pic:cNvPr id="51" name="图片_8_SpCnt_26"/>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52" name="图片_8_SpCnt_27"/>
                  <wp:cNvGraphicFramePr/>
                  <a:graphic xmlns:a="http://schemas.openxmlformats.org/drawingml/2006/main">
                    <a:graphicData uri="http://schemas.openxmlformats.org/drawingml/2006/picture">
                      <pic:pic xmlns:pic="http://schemas.openxmlformats.org/drawingml/2006/picture">
                        <pic:nvPicPr>
                          <pic:cNvPr id="52" name="图片_8_SpCnt_27"/>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53" name="图片_8_SpCnt_28"/>
                  <wp:cNvGraphicFramePr/>
                  <a:graphic xmlns:a="http://schemas.openxmlformats.org/drawingml/2006/main">
                    <a:graphicData uri="http://schemas.openxmlformats.org/drawingml/2006/picture">
                      <pic:pic xmlns:pic="http://schemas.openxmlformats.org/drawingml/2006/picture">
                        <pic:nvPicPr>
                          <pic:cNvPr id="53" name="图片_8_SpCnt_28"/>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54" name="图片_8_SpCnt_29"/>
                  <wp:cNvGraphicFramePr/>
                  <a:graphic xmlns:a="http://schemas.openxmlformats.org/drawingml/2006/main">
                    <a:graphicData uri="http://schemas.openxmlformats.org/drawingml/2006/picture">
                      <pic:pic xmlns:pic="http://schemas.openxmlformats.org/drawingml/2006/picture">
                        <pic:nvPicPr>
                          <pic:cNvPr id="54" name="图片_8_SpCnt_29"/>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55" name="图片_8_SpCnt_30"/>
                  <wp:cNvGraphicFramePr/>
                  <a:graphic xmlns:a="http://schemas.openxmlformats.org/drawingml/2006/main">
                    <a:graphicData uri="http://schemas.openxmlformats.org/drawingml/2006/picture">
                      <pic:pic xmlns:pic="http://schemas.openxmlformats.org/drawingml/2006/picture">
                        <pic:nvPicPr>
                          <pic:cNvPr id="55" name="图片_8_SpCnt_30"/>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56" name="图片_8_SpCnt_31"/>
                  <wp:cNvGraphicFramePr/>
                  <a:graphic xmlns:a="http://schemas.openxmlformats.org/drawingml/2006/main">
                    <a:graphicData uri="http://schemas.openxmlformats.org/drawingml/2006/picture">
                      <pic:pic xmlns:pic="http://schemas.openxmlformats.org/drawingml/2006/picture">
                        <pic:nvPicPr>
                          <pic:cNvPr id="56" name="图片_8_SpCnt_31"/>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57" name="图片_8_SpCnt_32"/>
                  <wp:cNvGraphicFramePr/>
                  <a:graphic xmlns:a="http://schemas.openxmlformats.org/drawingml/2006/main">
                    <a:graphicData uri="http://schemas.openxmlformats.org/drawingml/2006/picture">
                      <pic:pic xmlns:pic="http://schemas.openxmlformats.org/drawingml/2006/picture">
                        <pic:nvPicPr>
                          <pic:cNvPr id="57" name="图片_8_SpCnt_32"/>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58" name="图片_8_SpCnt_33"/>
                  <wp:cNvGraphicFramePr/>
                  <a:graphic xmlns:a="http://schemas.openxmlformats.org/drawingml/2006/main">
                    <a:graphicData uri="http://schemas.openxmlformats.org/drawingml/2006/picture">
                      <pic:pic xmlns:pic="http://schemas.openxmlformats.org/drawingml/2006/picture">
                        <pic:nvPicPr>
                          <pic:cNvPr id="58" name="图片_8_SpCnt_33"/>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59" name="图片_8_SpCnt_34"/>
                  <wp:cNvGraphicFramePr/>
                  <a:graphic xmlns:a="http://schemas.openxmlformats.org/drawingml/2006/main">
                    <a:graphicData uri="http://schemas.openxmlformats.org/drawingml/2006/picture">
                      <pic:pic xmlns:pic="http://schemas.openxmlformats.org/drawingml/2006/picture">
                        <pic:nvPicPr>
                          <pic:cNvPr id="59" name="图片_8_SpCnt_34"/>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60" name="图片_8_SpCnt_35"/>
                  <wp:cNvGraphicFramePr/>
                  <a:graphic xmlns:a="http://schemas.openxmlformats.org/drawingml/2006/main">
                    <a:graphicData uri="http://schemas.openxmlformats.org/drawingml/2006/picture">
                      <pic:pic xmlns:pic="http://schemas.openxmlformats.org/drawingml/2006/picture">
                        <pic:nvPicPr>
                          <pic:cNvPr id="60" name="图片_8_SpCnt_35"/>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61" name="图片_8_SpCnt_36"/>
                  <wp:cNvGraphicFramePr/>
                  <a:graphic xmlns:a="http://schemas.openxmlformats.org/drawingml/2006/main">
                    <a:graphicData uri="http://schemas.openxmlformats.org/drawingml/2006/picture">
                      <pic:pic xmlns:pic="http://schemas.openxmlformats.org/drawingml/2006/picture">
                        <pic:nvPicPr>
                          <pic:cNvPr id="61" name="图片_8_SpCnt_36"/>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62" name="图片_8_SpCnt_37"/>
                  <wp:cNvGraphicFramePr/>
                  <a:graphic xmlns:a="http://schemas.openxmlformats.org/drawingml/2006/main">
                    <a:graphicData uri="http://schemas.openxmlformats.org/drawingml/2006/picture">
                      <pic:pic xmlns:pic="http://schemas.openxmlformats.org/drawingml/2006/picture">
                        <pic:nvPicPr>
                          <pic:cNvPr id="62" name="图片_8_SpCnt_37"/>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63" name="图片_8_SpCnt_38"/>
                  <wp:cNvGraphicFramePr/>
                  <a:graphic xmlns:a="http://schemas.openxmlformats.org/drawingml/2006/main">
                    <a:graphicData uri="http://schemas.openxmlformats.org/drawingml/2006/picture">
                      <pic:pic xmlns:pic="http://schemas.openxmlformats.org/drawingml/2006/picture">
                        <pic:nvPicPr>
                          <pic:cNvPr id="63" name="图片_8_SpCnt_38"/>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64" name="图片_8_SpCnt_39"/>
                  <wp:cNvGraphicFramePr/>
                  <a:graphic xmlns:a="http://schemas.openxmlformats.org/drawingml/2006/main">
                    <a:graphicData uri="http://schemas.openxmlformats.org/drawingml/2006/picture">
                      <pic:pic xmlns:pic="http://schemas.openxmlformats.org/drawingml/2006/picture">
                        <pic:nvPicPr>
                          <pic:cNvPr id="64" name="图片_8_SpCnt_39"/>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65" name="图片_8_SpCnt_40"/>
                  <wp:cNvGraphicFramePr/>
                  <a:graphic xmlns:a="http://schemas.openxmlformats.org/drawingml/2006/main">
                    <a:graphicData uri="http://schemas.openxmlformats.org/drawingml/2006/picture">
                      <pic:pic xmlns:pic="http://schemas.openxmlformats.org/drawingml/2006/picture">
                        <pic:nvPicPr>
                          <pic:cNvPr id="65" name="图片_8_SpCnt_40"/>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66" name="图片_8_SpCnt_41"/>
                  <wp:cNvGraphicFramePr/>
                  <a:graphic xmlns:a="http://schemas.openxmlformats.org/drawingml/2006/main">
                    <a:graphicData uri="http://schemas.openxmlformats.org/drawingml/2006/picture">
                      <pic:pic xmlns:pic="http://schemas.openxmlformats.org/drawingml/2006/picture">
                        <pic:nvPicPr>
                          <pic:cNvPr id="66" name="图片_8_SpCnt_41"/>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67" name="图片_8_SpCnt_42"/>
                  <wp:cNvGraphicFramePr/>
                  <a:graphic xmlns:a="http://schemas.openxmlformats.org/drawingml/2006/main">
                    <a:graphicData uri="http://schemas.openxmlformats.org/drawingml/2006/picture">
                      <pic:pic xmlns:pic="http://schemas.openxmlformats.org/drawingml/2006/picture">
                        <pic:nvPicPr>
                          <pic:cNvPr id="67" name="图片_8_SpCnt_42"/>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68" name="图片_8_SpCnt_43"/>
                  <wp:cNvGraphicFramePr/>
                  <a:graphic xmlns:a="http://schemas.openxmlformats.org/drawingml/2006/main">
                    <a:graphicData uri="http://schemas.openxmlformats.org/drawingml/2006/picture">
                      <pic:pic xmlns:pic="http://schemas.openxmlformats.org/drawingml/2006/picture">
                        <pic:nvPicPr>
                          <pic:cNvPr id="68" name="图片_8_SpCnt_43"/>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69" name="图片_8_SpCnt_44"/>
                  <wp:cNvGraphicFramePr/>
                  <a:graphic xmlns:a="http://schemas.openxmlformats.org/drawingml/2006/main">
                    <a:graphicData uri="http://schemas.openxmlformats.org/drawingml/2006/picture">
                      <pic:pic xmlns:pic="http://schemas.openxmlformats.org/drawingml/2006/picture">
                        <pic:nvPicPr>
                          <pic:cNvPr id="69" name="图片_8_SpCnt_44"/>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70" name="图片_8_SpCnt_45"/>
                  <wp:cNvGraphicFramePr/>
                  <a:graphic xmlns:a="http://schemas.openxmlformats.org/drawingml/2006/main">
                    <a:graphicData uri="http://schemas.openxmlformats.org/drawingml/2006/picture">
                      <pic:pic xmlns:pic="http://schemas.openxmlformats.org/drawingml/2006/picture">
                        <pic:nvPicPr>
                          <pic:cNvPr id="70" name="图片_8_SpCnt_45"/>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71" name="图片_8_SpCnt_46"/>
                  <wp:cNvGraphicFramePr/>
                  <a:graphic xmlns:a="http://schemas.openxmlformats.org/drawingml/2006/main">
                    <a:graphicData uri="http://schemas.openxmlformats.org/drawingml/2006/picture">
                      <pic:pic xmlns:pic="http://schemas.openxmlformats.org/drawingml/2006/picture">
                        <pic:nvPicPr>
                          <pic:cNvPr id="71" name="图片_8_SpCnt_46"/>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72" name="图片_8_SpCnt_47"/>
                  <wp:cNvGraphicFramePr/>
                  <a:graphic xmlns:a="http://schemas.openxmlformats.org/drawingml/2006/main">
                    <a:graphicData uri="http://schemas.openxmlformats.org/drawingml/2006/picture">
                      <pic:pic xmlns:pic="http://schemas.openxmlformats.org/drawingml/2006/picture">
                        <pic:nvPicPr>
                          <pic:cNvPr id="72" name="图片_8_SpCnt_47"/>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73" name="图片_8_SpCnt_48"/>
                  <wp:cNvGraphicFramePr/>
                  <a:graphic xmlns:a="http://schemas.openxmlformats.org/drawingml/2006/main">
                    <a:graphicData uri="http://schemas.openxmlformats.org/drawingml/2006/picture">
                      <pic:pic xmlns:pic="http://schemas.openxmlformats.org/drawingml/2006/picture">
                        <pic:nvPicPr>
                          <pic:cNvPr id="73" name="图片_8_SpCnt_48"/>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74" name="图片_8_SpCnt_49"/>
                  <wp:cNvGraphicFramePr/>
                  <a:graphic xmlns:a="http://schemas.openxmlformats.org/drawingml/2006/main">
                    <a:graphicData uri="http://schemas.openxmlformats.org/drawingml/2006/picture">
                      <pic:pic xmlns:pic="http://schemas.openxmlformats.org/drawingml/2006/picture">
                        <pic:nvPicPr>
                          <pic:cNvPr id="74" name="图片_8_SpCnt_49"/>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75" name="图片_8_SpCnt_50"/>
                  <wp:cNvGraphicFramePr/>
                  <a:graphic xmlns:a="http://schemas.openxmlformats.org/drawingml/2006/main">
                    <a:graphicData uri="http://schemas.openxmlformats.org/drawingml/2006/picture">
                      <pic:pic xmlns:pic="http://schemas.openxmlformats.org/drawingml/2006/picture">
                        <pic:nvPicPr>
                          <pic:cNvPr id="75" name="图片_8_SpCnt_50"/>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76" name="图片_8_SpCnt_51"/>
                  <wp:cNvGraphicFramePr/>
                  <a:graphic xmlns:a="http://schemas.openxmlformats.org/drawingml/2006/main">
                    <a:graphicData uri="http://schemas.openxmlformats.org/drawingml/2006/picture">
                      <pic:pic xmlns:pic="http://schemas.openxmlformats.org/drawingml/2006/picture">
                        <pic:nvPicPr>
                          <pic:cNvPr id="76" name="图片_8_SpCnt_51"/>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77" name="图片_8_SpCnt_52"/>
                  <wp:cNvGraphicFramePr/>
                  <a:graphic xmlns:a="http://schemas.openxmlformats.org/drawingml/2006/main">
                    <a:graphicData uri="http://schemas.openxmlformats.org/drawingml/2006/picture">
                      <pic:pic xmlns:pic="http://schemas.openxmlformats.org/drawingml/2006/picture">
                        <pic:nvPicPr>
                          <pic:cNvPr id="77" name="图片_8_SpCnt_52"/>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78" name="图片_8_SpCnt_53"/>
                  <wp:cNvGraphicFramePr/>
                  <a:graphic xmlns:a="http://schemas.openxmlformats.org/drawingml/2006/main">
                    <a:graphicData uri="http://schemas.openxmlformats.org/drawingml/2006/picture">
                      <pic:pic xmlns:pic="http://schemas.openxmlformats.org/drawingml/2006/picture">
                        <pic:nvPicPr>
                          <pic:cNvPr id="78" name="图片_8_SpCnt_53"/>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79" name="图片_8_SpCnt_54"/>
                  <wp:cNvGraphicFramePr/>
                  <a:graphic xmlns:a="http://schemas.openxmlformats.org/drawingml/2006/main">
                    <a:graphicData uri="http://schemas.openxmlformats.org/drawingml/2006/picture">
                      <pic:pic xmlns:pic="http://schemas.openxmlformats.org/drawingml/2006/picture">
                        <pic:nvPicPr>
                          <pic:cNvPr id="79" name="图片_8_SpCnt_54"/>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80" name="图片_8_SpCnt_55"/>
                  <wp:cNvGraphicFramePr/>
                  <a:graphic xmlns:a="http://schemas.openxmlformats.org/drawingml/2006/main">
                    <a:graphicData uri="http://schemas.openxmlformats.org/drawingml/2006/picture">
                      <pic:pic xmlns:pic="http://schemas.openxmlformats.org/drawingml/2006/picture">
                        <pic:nvPicPr>
                          <pic:cNvPr id="80" name="图片_8_SpCnt_55"/>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81" name="图片_8_SpCnt_56"/>
                  <wp:cNvGraphicFramePr/>
                  <a:graphic xmlns:a="http://schemas.openxmlformats.org/drawingml/2006/main">
                    <a:graphicData uri="http://schemas.openxmlformats.org/drawingml/2006/picture">
                      <pic:pic xmlns:pic="http://schemas.openxmlformats.org/drawingml/2006/picture">
                        <pic:nvPicPr>
                          <pic:cNvPr id="81" name="图片_8_SpCnt_56"/>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82" name="图片_8_SpCnt_57"/>
                  <wp:cNvGraphicFramePr/>
                  <a:graphic xmlns:a="http://schemas.openxmlformats.org/drawingml/2006/main">
                    <a:graphicData uri="http://schemas.openxmlformats.org/drawingml/2006/picture">
                      <pic:pic xmlns:pic="http://schemas.openxmlformats.org/drawingml/2006/picture">
                        <pic:nvPicPr>
                          <pic:cNvPr id="82" name="图片_8_SpCnt_57"/>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83" name="图片_8_SpCnt_58"/>
                  <wp:cNvGraphicFramePr/>
                  <a:graphic xmlns:a="http://schemas.openxmlformats.org/drawingml/2006/main">
                    <a:graphicData uri="http://schemas.openxmlformats.org/drawingml/2006/picture">
                      <pic:pic xmlns:pic="http://schemas.openxmlformats.org/drawingml/2006/picture">
                        <pic:nvPicPr>
                          <pic:cNvPr id="83" name="图片_8_SpCnt_58"/>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84" name="图片_8_SpCnt_59"/>
                  <wp:cNvGraphicFramePr/>
                  <a:graphic xmlns:a="http://schemas.openxmlformats.org/drawingml/2006/main">
                    <a:graphicData uri="http://schemas.openxmlformats.org/drawingml/2006/picture">
                      <pic:pic xmlns:pic="http://schemas.openxmlformats.org/drawingml/2006/picture">
                        <pic:nvPicPr>
                          <pic:cNvPr id="84" name="图片_8_SpCnt_59"/>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85" name="图片_8_SpCnt_60"/>
                  <wp:cNvGraphicFramePr/>
                  <a:graphic xmlns:a="http://schemas.openxmlformats.org/drawingml/2006/main">
                    <a:graphicData uri="http://schemas.openxmlformats.org/drawingml/2006/picture">
                      <pic:pic xmlns:pic="http://schemas.openxmlformats.org/drawingml/2006/picture">
                        <pic:nvPicPr>
                          <pic:cNvPr id="85" name="图片_8_SpCnt_60"/>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86" name="图片_8_SpCnt_61"/>
                  <wp:cNvGraphicFramePr/>
                  <a:graphic xmlns:a="http://schemas.openxmlformats.org/drawingml/2006/main">
                    <a:graphicData uri="http://schemas.openxmlformats.org/drawingml/2006/picture">
                      <pic:pic xmlns:pic="http://schemas.openxmlformats.org/drawingml/2006/picture">
                        <pic:nvPicPr>
                          <pic:cNvPr id="86" name="图片_8_SpCnt_61"/>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87" name="图片_8_SpCnt_62"/>
                  <wp:cNvGraphicFramePr/>
                  <a:graphic xmlns:a="http://schemas.openxmlformats.org/drawingml/2006/main">
                    <a:graphicData uri="http://schemas.openxmlformats.org/drawingml/2006/picture">
                      <pic:pic xmlns:pic="http://schemas.openxmlformats.org/drawingml/2006/picture">
                        <pic:nvPicPr>
                          <pic:cNvPr id="87" name="图片_8_SpCnt_62"/>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88" name="图片_8_SpCnt_63"/>
                  <wp:cNvGraphicFramePr/>
                  <a:graphic xmlns:a="http://schemas.openxmlformats.org/drawingml/2006/main">
                    <a:graphicData uri="http://schemas.openxmlformats.org/drawingml/2006/picture">
                      <pic:pic xmlns:pic="http://schemas.openxmlformats.org/drawingml/2006/picture">
                        <pic:nvPicPr>
                          <pic:cNvPr id="88" name="图片_8_SpCnt_63"/>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89" name="图片_8_SpCnt_64"/>
                  <wp:cNvGraphicFramePr/>
                  <a:graphic xmlns:a="http://schemas.openxmlformats.org/drawingml/2006/main">
                    <a:graphicData uri="http://schemas.openxmlformats.org/drawingml/2006/picture">
                      <pic:pic xmlns:pic="http://schemas.openxmlformats.org/drawingml/2006/picture">
                        <pic:nvPicPr>
                          <pic:cNvPr id="89" name="图片_8_SpCnt_64"/>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90" name="图片_8_SpCnt_65"/>
                  <wp:cNvGraphicFramePr/>
                  <a:graphic xmlns:a="http://schemas.openxmlformats.org/drawingml/2006/main">
                    <a:graphicData uri="http://schemas.openxmlformats.org/drawingml/2006/picture">
                      <pic:pic xmlns:pic="http://schemas.openxmlformats.org/drawingml/2006/picture">
                        <pic:nvPicPr>
                          <pic:cNvPr id="90" name="图片_8_SpCnt_65"/>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91" name="图片_8_SpCnt_66"/>
                  <wp:cNvGraphicFramePr/>
                  <a:graphic xmlns:a="http://schemas.openxmlformats.org/drawingml/2006/main">
                    <a:graphicData uri="http://schemas.openxmlformats.org/drawingml/2006/picture">
                      <pic:pic xmlns:pic="http://schemas.openxmlformats.org/drawingml/2006/picture">
                        <pic:nvPicPr>
                          <pic:cNvPr id="91" name="图片_8_SpCnt_66"/>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92" name="图片_8_SpCnt_67"/>
                  <wp:cNvGraphicFramePr/>
                  <a:graphic xmlns:a="http://schemas.openxmlformats.org/drawingml/2006/main">
                    <a:graphicData uri="http://schemas.openxmlformats.org/drawingml/2006/picture">
                      <pic:pic xmlns:pic="http://schemas.openxmlformats.org/drawingml/2006/picture">
                        <pic:nvPicPr>
                          <pic:cNvPr id="92" name="图片_8_SpCnt_67"/>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93" name="图片_8_SpCnt_68"/>
                  <wp:cNvGraphicFramePr/>
                  <a:graphic xmlns:a="http://schemas.openxmlformats.org/drawingml/2006/main">
                    <a:graphicData uri="http://schemas.openxmlformats.org/drawingml/2006/picture">
                      <pic:pic xmlns:pic="http://schemas.openxmlformats.org/drawingml/2006/picture">
                        <pic:nvPicPr>
                          <pic:cNvPr id="93" name="图片_8_SpCnt_68"/>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94" name="图片_8_SpCnt_69"/>
                  <wp:cNvGraphicFramePr/>
                  <a:graphic xmlns:a="http://schemas.openxmlformats.org/drawingml/2006/main">
                    <a:graphicData uri="http://schemas.openxmlformats.org/drawingml/2006/picture">
                      <pic:pic xmlns:pic="http://schemas.openxmlformats.org/drawingml/2006/picture">
                        <pic:nvPicPr>
                          <pic:cNvPr id="94" name="图片_8_SpCnt_69"/>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95" name="图片_8_SpCnt_70"/>
                  <wp:cNvGraphicFramePr/>
                  <a:graphic xmlns:a="http://schemas.openxmlformats.org/drawingml/2006/main">
                    <a:graphicData uri="http://schemas.openxmlformats.org/drawingml/2006/picture">
                      <pic:pic xmlns:pic="http://schemas.openxmlformats.org/drawingml/2006/picture">
                        <pic:nvPicPr>
                          <pic:cNvPr id="95" name="图片_8_SpCnt_70"/>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96" name="图片_8_SpCnt_71"/>
                  <wp:cNvGraphicFramePr/>
                  <a:graphic xmlns:a="http://schemas.openxmlformats.org/drawingml/2006/main">
                    <a:graphicData uri="http://schemas.openxmlformats.org/drawingml/2006/picture">
                      <pic:pic xmlns:pic="http://schemas.openxmlformats.org/drawingml/2006/picture">
                        <pic:nvPicPr>
                          <pic:cNvPr id="96" name="图片_8_SpCnt_71"/>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97" name="图片_8_SpCnt_72"/>
                  <wp:cNvGraphicFramePr/>
                  <a:graphic xmlns:a="http://schemas.openxmlformats.org/drawingml/2006/main">
                    <a:graphicData uri="http://schemas.openxmlformats.org/drawingml/2006/picture">
                      <pic:pic xmlns:pic="http://schemas.openxmlformats.org/drawingml/2006/picture">
                        <pic:nvPicPr>
                          <pic:cNvPr id="97" name="图片_8_SpCnt_72"/>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98" name="图片_8_SpCnt_73"/>
                  <wp:cNvGraphicFramePr/>
                  <a:graphic xmlns:a="http://schemas.openxmlformats.org/drawingml/2006/main">
                    <a:graphicData uri="http://schemas.openxmlformats.org/drawingml/2006/picture">
                      <pic:pic xmlns:pic="http://schemas.openxmlformats.org/drawingml/2006/picture">
                        <pic:nvPicPr>
                          <pic:cNvPr id="98" name="图片_8_SpCnt_73"/>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99" name="图片_8_SpCnt_74"/>
                  <wp:cNvGraphicFramePr/>
                  <a:graphic xmlns:a="http://schemas.openxmlformats.org/drawingml/2006/main">
                    <a:graphicData uri="http://schemas.openxmlformats.org/drawingml/2006/picture">
                      <pic:pic xmlns:pic="http://schemas.openxmlformats.org/drawingml/2006/picture">
                        <pic:nvPicPr>
                          <pic:cNvPr id="99" name="图片_8_SpCnt_74"/>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00" name="图片_8_SpCnt_75"/>
                  <wp:cNvGraphicFramePr/>
                  <a:graphic xmlns:a="http://schemas.openxmlformats.org/drawingml/2006/main">
                    <a:graphicData uri="http://schemas.openxmlformats.org/drawingml/2006/picture">
                      <pic:pic xmlns:pic="http://schemas.openxmlformats.org/drawingml/2006/picture">
                        <pic:nvPicPr>
                          <pic:cNvPr id="100" name="图片_8_SpCnt_75"/>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01" name="图片_8_SpCnt_76"/>
                  <wp:cNvGraphicFramePr/>
                  <a:graphic xmlns:a="http://schemas.openxmlformats.org/drawingml/2006/main">
                    <a:graphicData uri="http://schemas.openxmlformats.org/drawingml/2006/picture">
                      <pic:pic xmlns:pic="http://schemas.openxmlformats.org/drawingml/2006/picture">
                        <pic:nvPicPr>
                          <pic:cNvPr id="101" name="图片_8_SpCnt_76"/>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02" name="图片_8_SpCnt_77"/>
                  <wp:cNvGraphicFramePr/>
                  <a:graphic xmlns:a="http://schemas.openxmlformats.org/drawingml/2006/main">
                    <a:graphicData uri="http://schemas.openxmlformats.org/drawingml/2006/picture">
                      <pic:pic xmlns:pic="http://schemas.openxmlformats.org/drawingml/2006/picture">
                        <pic:nvPicPr>
                          <pic:cNvPr id="102" name="图片_8_SpCnt_77"/>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03" name="图片_8_SpCnt_78"/>
                  <wp:cNvGraphicFramePr/>
                  <a:graphic xmlns:a="http://schemas.openxmlformats.org/drawingml/2006/main">
                    <a:graphicData uri="http://schemas.openxmlformats.org/drawingml/2006/picture">
                      <pic:pic xmlns:pic="http://schemas.openxmlformats.org/drawingml/2006/picture">
                        <pic:nvPicPr>
                          <pic:cNvPr id="103" name="图片_8_SpCnt_78"/>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04" name="图片_8_SpCnt_79"/>
                  <wp:cNvGraphicFramePr/>
                  <a:graphic xmlns:a="http://schemas.openxmlformats.org/drawingml/2006/main">
                    <a:graphicData uri="http://schemas.openxmlformats.org/drawingml/2006/picture">
                      <pic:pic xmlns:pic="http://schemas.openxmlformats.org/drawingml/2006/picture">
                        <pic:nvPicPr>
                          <pic:cNvPr id="104" name="图片_8_SpCnt_79"/>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05" name="图片_8_SpCnt_80"/>
                  <wp:cNvGraphicFramePr/>
                  <a:graphic xmlns:a="http://schemas.openxmlformats.org/drawingml/2006/main">
                    <a:graphicData uri="http://schemas.openxmlformats.org/drawingml/2006/picture">
                      <pic:pic xmlns:pic="http://schemas.openxmlformats.org/drawingml/2006/picture">
                        <pic:nvPicPr>
                          <pic:cNvPr id="105" name="图片_8_SpCnt_80"/>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06" name="图片_8_SpCnt_81"/>
                  <wp:cNvGraphicFramePr/>
                  <a:graphic xmlns:a="http://schemas.openxmlformats.org/drawingml/2006/main">
                    <a:graphicData uri="http://schemas.openxmlformats.org/drawingml/2006/picture">
                      <pic:pic xmlns:pic="http://schemas.openxmlformats.org/drawingml/2006/picture">
                        <pic:nvPicPr>
                          <pic:cNvPr id="106" name="图片_8_SpCnt_81"/>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07" name="图片_8_SpCnt_82"/>
                  <wp:cNvGraphicFramePr/>
                  <a:graphic xmlns:a="http://schemas.openxmlformats.org/drawingml/2006/main">
                    <a:graphicData uri="http://schemas.openxmlformats.org/drawingml/2006/picture">
                      <pic:pic xmlns:pic="http://schemas.openxmlformats.org/drawingml/2006/picture">
                        <pic:nvPicPr>
                          <pic:cNvPr id="107" name="图片_8_SpCnt_82"/>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08" name="图片_8_SpCnt_83"/>
                  <wp:cNvGraphicFramePr/>
                  <a:graphic xmlns:a="http://schemas.openxmlformats.org/drawingml/2006/main">
                    <a:graphicData uri="http://schemas.openxmlformats.org/drawingml/2006/picture">
                      <pic:pic xmlns:pic="http://schemas.openxmlformats.org/drawingml/2006/picture">
                        <pic:nvPicPr>
                          <pic:cNvPr id="108" name="图片_8_SpCnt_83"/>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09" name="图片_8_SpCnt_84"/>
                  <wp:cNvGraphicFramePr/>
                  <a:graphic xmlns:a="http://schemas.openxmlformats.org/drawingml/2006/main">
                    <a:graphicData uri="http://schemas.openxmlformats.org/drawingml/2006/picture">
                      <pic:pic xmlns:pic="http://schemas.openxmlformats.org/drawingml/2006/picture">
                        <pic:nvPicPr>
                          <pic:cNvPr id="109" name="图片_8_SpCnt_84"/>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10" name="图片_8_SpCnt_85"/>
                  <wp:cNvGraphicFramePr/>
                  <a:graphic xmlns:a="http://schemas.openxmlformats.org/drawingml/2006/main">
                    <a:graphicData uri="http://schemas.openxmlformats.org/drawingml/2006/picture">
                      <pic:pic xmlns:pic="http://schemas.openxmlformats.org/drawingml/2006/picture">
                        <pic:nvPicPr>
                          <pic:cNvPr id="110" name="图片_8_SpCnt_85"/>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11" name="图片_8_SpCnt_86"/>
                  <wp:cNvGraphicFramePr/>
                  <a:graphic xmlns:a="http://schemas.openxmlformats.org/drawingml/2006/main">
                    <a:graphicData uri="http://schemas.openxmlformats.org/drawingml/2006/picture">
                      <pic:pic xmlns:pic="http://schemas.openxmlformats.org/drawingml/2006/picture">
                        <pic:nvPicPr>
                          <pic:cNvPr id="111" name="图片_8_SpCnt_86"/>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12" name="图片_8_SpCnt_87"/>
                  <wp:cNvGraphicFramePr/>
                  <a:graphic xmlns:a="http://schemas.openxmlformats.org/drawingml/2006/main">
                    <a:graphicData uri="http://schemas.openxmlformats.org/drawingml/2006/picture">
                      <pic:pic xmlns:pic="http://schemas.openxmlformats.org/drawingml/2006/picture">
                        <pic:nvPicPr>
                          <pic:cNvPr id="112" name="图片_8_SpCnt_87"/>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13" name="图片_8_SpCnt_88"/>
                  <wp:cNvGraphicFramePr/>
                  <a:graphic xmlns:a="http://schemas.openxmlformats.org/drawingml/2006/main">
                    <a:graphicData uri="http://schemas.openxmlformats.org/drawingml/2006/picture">
                      <pic:pic xmlns:pic="http://schemas.openxmlformats.org/drawingml/2006/picture">
                        <pic:nvPicPr>
                          <pic:cNvPr id="113" name="图片_8_SpCnt_88"/>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14" name="图片_8_SpCnt_89"/>
                  <wp:cNvGraphicFramePr/>
                  <a:graphic xmlns:a="http://schemas.openxmlformats.org/drawingml/2006/main">
                    <a:graphicData uri="http://schemas.openxmlformats.org/drawingml/2006/picture">
                      <pic:pic xmlns:pic="http://schemas.openxmlformats.org/drawingml/2006/picture">
                        <pic:nvPicPr>
                          <pic:cNvPr id="114" name="图片_8_SpCnt_89"/>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15" name="图片_8_SpCnt_90"/>
                  <wp:cNvGraphicFramePr/>
                  <a:graphic xmlns:a="http://schemas.openxmlformats.org/drawingml/2006/main">
                    <a:graphicData uri="http://schemas.openxmlformats.org/drawingml/2006/picture">
                      <pic:pic xmlns:pic="http://schemas.openxmlformats.org/drawingml/2006/picture">
                        <pic:nvPicPr>
                          <pic:cNvPr id="115" name="图片_8_SpCnt_90"/>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16" name="图片_8_SpCnt_91"/>
                  <wp:cNvGraphicFramePr/>
                  <a:graphic xmlns:a="http://schemas.openxmlformats.org/drawingml/2006/main">
                    <a:graphicData uri="http://schemas.openxmlformats.org/drawingml/2006/picture">
                      <pic:pic xmlns:pic="http://schemas.openxmlformats.org/drawingml/2006/picture">
                        <pic:nvPicPr>
                          <pic:cNvPr id="116" name="图片_8_SpCnt_91"/>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17" name="图片_8_SpCnt_92"/>
                  <wp:cNvGraphicFramePr/>
                  <a:graphic xmlns:a="http://schemas.openxmlformats.org/drawingml/2006/main">
                    <a:graphicData uri="http://schemas.openxmlformats.org/drawingml/2006/picture">
                      <pic:pic xmlns:pic="http://schemas.openxmlformats.org/drawingml/2006/picture">
                        <pic:nvPicPr>
                          <pic:cNvPr id="117" name="图片_8_SpCnt_92"/>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18" name="图片_8_SpCnt_93"/>
                  <wp:cNvGraphicFramePr/>
                  <a:graphic xmlns:a="http://schemas.openxmlformats.org/drawingml/2006/main">
                    <a:graphicData uri="http://schemas.openxmlformats.org/drawingml/2006/picture">
                      <pic:pic xmlns:pic="http://schemas.openxmlformats.org/drawingml/2006/picture">
                        <pic:nvPicPr>
                          <pic:cNvPr id="118" name="图片_8_SpCnt_93"/>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19" name="图片_8_SpCnt_94"/>
                  <wp:cNvGraphicFramePr/>
                  <a:graphic xmlns:a="http://schemas.openxmlformats.org/drawingml/2006/main">
                    <a:graphicData uri="http://schemas.openxmlformats.org/drawingml/2006/picture">
                      <pic:pic xmlns:pic="http://schemas.openxmlformats.org/drawingml/2006/picture">
                        <pic:nvPicPr>
                          <pic:cNvPr id="119" name="图片_8_SpCnt_94"/>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20" name="图片_8_SpCnt_95"/>
                  <wp:cNvGraphicFramePr/>
                  <a:graphic xmlns:a="http://schemas.openxmlformats.org/drawingml/2006/main">
                    <a:graphicData uri="http://schemas.openxmlformats.org/drawingml/2006/picture">
                      <pic:pic xmlns:pic="http://schemas.openxmlformats.org/drawingml/2006/picture">
                        <pic:nvPicPr>
                          <pic:cNvPr id="120" name="图片_8_SpCnt_95"/>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21" name="图片_8_SpCnt_96"/>
                  <wp:cNvGraphicFramePr/>
                  <a:graphic xmlns:a="http://schemas.openxmlformats.org/drawingml/2006/main">
                    <a:graphicData uri="http://schemas.openxmlformats.org/drawingml/2006/picture">
                      <pic:pic xmlns:pic="http://schemas.openxmlformats.org/drawingml/2006/picture">
                        <pic:nvPicPr>
                          <pic:cNvPr id="121" name="图片_8_SpCnt_96"/>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22" name="图片_8_SpCnt_97"/>
                  <wp:cNvGraphicFramePr/>
                  <a:graphic xmlns:a="http://schemas.openxmlformats.org/drawingml/2006/main">
                    <a:graphicData uri="http://schemas.openxmlformats.org/drawingml/2006/picture">
                      <pic:pic xmlns:pic="http://schemas.openxmlformats.org/drawingml/2006/picture">
                        <pic:nvPicPr>
                          <pic:cNvPr id="122" name="图片_8_SpCnt_97"/>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23" name="图片_8_SpCnt_98"/>
                  <wp:cNvGraphicFramePr/>
                  <a:graphic xmlns:a="http://schemas.openxmlformats.org/drawingml/2006/main">
                    <a:graphicData uri="http://schemas.openxmlformats.org/drawingml/2006/picture">
                      <pic:pic xmlns:pic="http://schemas.openxmlformats.org/drawingml/2006/picture">
                        <pic:nvPicPr>
                          <pic:cNvPr id="123" name="图片_8_SpCnt_98"/>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24" name="图片_8_SpCnt_99"/>
                  <wp:cNvGraphicFramePr/>
                  <a:graphic xmlns:a="http://schemas.openxmlformats.org/drawingml/2006/main">
                    <a:graphicData uri="http://schemas.openxmlformats.org/drawingml/2006/picture">
                      <pic:pic xmlns:pic="http://schemas.openxmlformats.org/drawingml/2006/picture">
                        <pic:nvPicPr>
                          <pic:cNvPr id="124" name="图片_8_SpCnt_99"/>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25" name="图片_8_SpCnt_100"/>
                  <wp:cNvGraphicFramePr/>
                  <a:graphic xmlns:a="http://schemas.openxmlformats.org/drawingml/2006/main">
                    <a:graphicData uri="http://schemas.openxmlformats.org/drawingml/2006/picture">
                      <pic:pic xmlns:pic="http://schemas.openxmlformats.org/drawingml/2006/picture">
                        <pic:nvPicPr>
                          <pic:cNvPr id="125" name="图片_8_SpCnt_100"/>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26" name="图片_8_SpCnt_101"/>
                  <wp:cNvGraphicFramePr/>
                  <a:graphic xmlns:a="http://schemas.openxmlformats.org/drawingml/2006/main">
                    <a:graphicData uri="http://schemas.openxmlformats.org/drawingml/2006/picture">
                      <pic:pic xmlns:pic="http://schemas.openxmlformats.org/drawingml/2006/picture">
                        <pic:nvPicPr>
                          <pic:cNvPr id="126" name="图片_8_SpCnt_101"/>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27" name="图片_8_SpCnt_102"/>
                  <wp:cNvGraphicFramePr/>
                  <a:graphic xmlns:a="http://schemas.openxmlformats.org/drawingml/2006/main">
                    <a:graphicData uri="http://schemas.openxmlformats.org/drawingml/2006/picture">
                      <pic:pic xmlns:pic="http://schemas.openxmlformats.org/drawingml/2006/picture">
                        <pic:nvPicPr>
                          <pic:cNvPr id="127" name="图片_8_SpCnt_102"/>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28" name="图片_8_SpCnt_103"/>
                  <wp:cNvGraphicFramePr/>
                  <a:graphic xmlns:a="http://schemas.openxmlformats.org/drawingml/2006/main">
                    <a:graphicData uri="http://schemas.openxmlformats.org/drawingml/2006/picture">
                      <pic:pic xmlns:pic="http://schemas.openxmlformats.org/drawingml/2006/picture">
                        <pic:nvPicPr>
                          <pic:cNvPr id="128" name="图片_8_SpCnt_103"/>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29" name="图片_8_SpCnt_104"/>
                  <wp:cNvGraphicFramePr/>
                  <a:graphic xmlns:a="http://schemas.openxmlformats.org/drawingml/2006/main">
                    <a:graphicData uri="http://schemas.openxmlformats.org/drawingml/2006/picture">
                      <pic:pic xmlns:pic="http://schemas.openxmlformats.org/drawingml/2006/picture">
                        <pic:nvPicPr>
                          <pic:cNvPr id="129" name="图片_8_SpCnt_104"/>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30" name="图片_8_SpCnt_105"/>
                  <wp:cNvGraphicFramePr/>
                  <a:graphic xmlns:a="http://schemas.openxmlformats.org/drawingml/2006/main">
                    <a:graphicData uri="http://schemas.openxmlformats.org/drawingml/2006/picture">
                      <pic:pic xmlns:pic="http://schemas.openxmlformats.org/drawingml/2006/picture">
                        <pic:nvPicPr>
                          <pic:cNvPr id="130" name="图片_8_SpCnt_105"/>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31" name="图片_8_SpCnt_106"/>
                  <wp:cNvGraphicFramePr/>
                  <a:graphic xmlns:a="http://schemas.openxmlformats.org/drawingml/2006/main">
                    <a:graphicData uri="http://schemas.openxmlformats.org/drawingml/2006/picture">
                      <pic:pic xmlns:pic="http://schemas.openxmlformats.org/drawingml/2006/picture">
                        <pic:nvPicPr>
                          <pic:cNvPr id="131" name="图片_8_SpCnt_106"/>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32" name="图片_8_SpCnt_107"/>
                  <wp:cNvGraphicFramePr/>
                  <a:graphic xmlns:a="http://schemas.openxmlformats.org/drawingml/2006/main">
                    <a:graphicData uri="http://schemas.openxmlformats.org/drawingml/2006/picture">
                      <pic:pic xmlns:pic="http://schemas.openxmlformats.org/drawingml/2006/picture">
                        <pic:nvPicPr>
                          <pic:cNvPr id="132" name="图片_8_SpCnt_107"/>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33" name="图片_8_SpCnt_108"/>
                  <wp:cNvGraphicFramePr/>
                  <a:graphic xmlns:a="http://schemas.openxmlformats.org/drawingml/2006/main">
                    <a:graphicData uri="http://schemas.openxmlformats.org/drawingml/2006/picture">
                      <pic:pic xmlns:pic="http://schemas.openxmlformats.org/drawingml/2006/picture">
                        <pic:nvPicPr>
                          <pic:cNvPr id="133" name="图片_8_SpCnt_108"/>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34" name="图片_8_SpCnt_109"/>
                  <wp:cNvGraphicFramePr/>
                  <a:graphic xmlns:a="http://schemas.openxmlformats.org/drawingml/2006/main">
                    <a:graphicData uri="http://schemas.openxmlformats.org/drawingml/2006/picture">
                      <pic:pic xmlns:pic="http://schemas.openxmlformats.org/drawingml/2006/picture">
                        <pic:nvPicPr>
                          <pic:cNvPr id="134" name="图片_8_SpCnt_109"/>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35" name="图片_8_SpCnt_110"/>
                  <wp:cNvGraphicFramePr/>
                  <a:graphic xmlns:a="http://schemas.openxmlformats.org/drawingml/2006/main">
                    <a:graphicData uri="http://schemas.openxmlformats.org/drawingml/2006/picture">
                      <pic:pic xmlns:pic="http://schemas.openxmlformats.org/drawingml/2006/picture">
                        <pic:nvPicPr>
                          <pic:cNvPr id="135" name="图片_8_SpCnt_110"/>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36" name="图片_8_SpCnt_111"/>
                  <wp:cNvGraphicFramePr/>
                  <a:graphic xmlns:a="http://schemas.openxmlformats.org/drawingml/2006/main">
                    <a:graphicData uri="http://schemas.openxmlformats.org/drawingml/2006/picture">
                      <pic:pic xmlns:pic="http://schemas.openxmlformats.org/drawingml/2006/picture">
                        <pic:nvPicPr>
                          <pic:cNvPr id="136" name="图片_8_SpCnt_111"/>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37" name="图片_8_SpCnt_112"/>
                  <wp:cNvGraphicFramePr/>
                  <a:graphic xmlns:a="http://schemas.openxmlformats.org/drawingml/2006/main">
                    <a:graphicData uri="http://schemas.openxmlformats.org/drawingml/2006/picture">
                      <pic:pic xmlns:pic="http://schemas.openxmlformats.org/drawingml/2006/picture">
                        <pic:nvPicPr>
                          <pic:cNvPr id="137" name="图片_8_SpCnt_112"/>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38" name="图片_8_SpCnt_113"/>
                  <wp:cNvGraphicFramePr/>
                  <a:graphic xmlns:a="http://schemas.openxmlformats.org/drawingml/2006/main">
                    <a:graphicData uri="http://schemas.openxmlformats.org/drawingml/2006/picture">
                      <pic:pic xmlns:pic="http://schemas.openxmlformats.org/drawingml/2006/picture">
                        <pic:nvPicPr>
                          <pic:cNvPr id="138" name="图片_8_SpCnt_113"/>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39" name="图片_8_SpCnt_114"/>
                  <wp:cNvGraphicFramePr/>
                  <a:graphic xmlns:a="http://schemas.openxmlformats.org/drawingml/2006/main">
                    <a:graphicData uri="http://schemas.openxmlformats.org/drawingml/2006/picture">
                      <pic:pic xmlns:pic="http://schemas.openxmlformats.org/drawingml/2006/picture">
                        <pic:nvPicPr>
                          <pic:cNvPr id="139" name="图片_8_SpCnt_114"/>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40" name="图片_8_SpCnt_115"/>
                  <wp:cNvGraphicFramePr/>
                  <a:graphic xmlns:a="http://schemas.openxmlformats.org/drawingml/2006/main">
                    <a:graphicData uri="http://schemas.openxmlformats.org/drawingml/2006/picture">
                      <pic:pic xmlns:pic="http://schemas.openxmlformats.org/drawingml/2006/picture">
                        <pic:nvPicPr>
                          <pic:cNvPr id="140" name="图片_8_SpCnt_115"/>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41" name="图片_8_SpCnt_116"/>
                  <wp:cNvGraphicFramePr/>
                  <a:graphic xmlns:a="http://schemas.openxmlformats.org/drawingml/2006/main">
                    <a:graphicData uri="http://schemas.openxmlformats.org/drawingml/2006/picture">
                      <pic:pic xmlns:pic="http://schemas.openxmlformats.org/drawingml/2006/picture">
                        <pic:nvPicPr>
                          <pic:cNvPr id="141" name="图片_8_SpCnt_116"/>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42" name="图片_8_SpCnt_117"/>
                  <wp:cNvGraphicFramePr/>
                  <a:graphic xmlns:a="http://schemas.openxmlformats.org/drawingml/2006/main">
                    <a:graphicData uri="http://schemas.openxmlformats.org/drawingml/2006/picture">
                      <pic:pic xmlns:pic="http://schemas.openxmlformats.org/drawingml/2006/picture">
                        <pic:nvPicPr>
                          <pic:cNvPr id="142" name="图片_8_SpCnt_117"/>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43" name="图片_8_SpCnt_118"/>
                  <wp:cNvGraphicFramePr/>
                  <a:graphic xmlns:a="http://schemas.openxmlformats.org/drawingml/2006/main">
                    <a:graphicData uri="http://schemas.openxmlformats.org/drawingml/2006/picture">
                      <pic:pic xmlns:pic="http://schemas.openxmlformats.org/drawingml/2006/picture">
                        <pic:nvPicPr>
                          <pic:cNvPr id="143" name="图片_8_SpCnt_118"/>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44" name="图片_8_SpCnt_119"/>
                  <wp:cNvGraphicFramePr/>
                  <a:graphic xmlns:a="http://schemas.openxmlformats.org/drawingml/2006/main">
                    <a:graphicData uri="http://schemas.openxmlformats.org/drawingml/2006/picture">
                      <pic:pic xmlns:pic="http://schemas.openxmlformats.org/drawingml/2006/picture">
                        <pic:nvPicPr>
                          <pic:cNvPr id="144" name="图片_8_SpCnt_119"/>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45" name="图片_8_SpCnt_120"/>
                  <wp:cNvGraphicFramePr/>
                  <a:graphic xmlns:a="http://schemas.openxmlformats.org/drawingml/2006/main">
                    <a:graphicData uri="http://schemas.openxmlformats.org/drawingml/2006/picture">
                      <pic:pic xmlns:pic="http://schemas.openxmlformats.org/drawingml/2006/picture">
                        <pic:nvPicPr>
                          <pic:cNvPr id="145" name="图片_8_SpCnt_120"/>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46" name="图片_8_SpCnt_121"/>
                  <wp:cNvGraphicFramePr/>
                  <a:graphic xmlns:a="http://schemas.openxmlformats.org/drawingml/2006/main">
                    <a:graphicData uri="http://schemas.openxmlformats.org/drawingml/2006/picture">
                      <pic:pic xmlns:pic="http://schemas.openxmlformats.org/drawingml/2006/picture">
                        <pic:nvPicPr>
                          <pic:cNvPr id="146" name="图片_8_SpCnt_121"/>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47" name="图片_8_SpCnt_122"/>
                  <wp:cNvGraphicFramePr/>
                  <a:graphic xmlns:a="http://schemas.openxmlformats.org/drawingml/2006/main">
                    <a:graphicData uri="http://schemas.openxmlformats.org/drawingml/2006/picture">
                      <pic:pic xmlns:pic="http://schemas.openxmlformats.org/drawingml/2006/picture">
                        <pic:nvPicPr>
                          <pic:cNvPr id="147" name="图片_8_SpCnt_122"/>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48" name="图片_8_SpCnt_123"/>
                  <wp:cNvGraphicFramePr/>
                  <a:graphic xmlns:a="http://schemas.openxmlformats.org/drawingml/2006/main">
                    <a:graphicData uri="http://schemas.openxmlformats.org/drawingml/2006/picture">
                      <pic:pic xmlns:pic="http://schemas.openxmlformats.org/drawingml/2006/picture">
                        <pic:nvPicPr>
                          <pic:cNvPr id="148" name="图片_8_SpCnt_123"/>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49" name="图片_8_SpCnt_124"/>
                  <wp:cNvGraphicFramePr/>
                  <a:graphic xmlns:a="http://schemas.openxmlformats.org/drawingml/2006/main">
                    <a:graphicData uri="http://schemas.openxmlformats.org/drawingml/2006/picture">
                      <pic:pic xmlns:pic="http://schemas.openxmlformats.org/drawingml/2006/picture">
                        <pic:nvPicPr>
                          <pic:cNvPr id="149" name="图片_8_SpCnt_124"/>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50" name="图片_8_SpCnt_125"/>
                  <wp:cNvGraphicFramePr/>
                  <a:graphic xmlns:a="http://schemas.openxmlformats.org/drawingml/2006/main">
                    <a:graphicData uri="http://schemas.openxmlformats.org/drawingml/2006/picture">
                      <pic:pic xmlns:pic="http://schemas.openxmlformats.org/drawingml/2006/picture">
                        <pic:nvPicPr>
                          <pic:cNvPr id="150" name="图片_8_SpCnt_125"/>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51" name="图片_8_SpCnt_126"/>
                  <wp:cNvGraphicFramePr/>
                  <a:graphic xmlns:a="http://schemas.openxmlformats.org/drawingml/2006/main">
                    <a:graphicData uri="http://schemas.openxmlformats.org/drawingml/2006/picture">
                      <pic:pic xmlns:pic="http://schemas.openxmlformats.org/drawingml/2006/picture">
                        <pic:nvPicPr>
                          <pic:cNvPr id="151" name="图片_8_SpCnt_126"/>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52" name="图片_8_SpCnt_127"/>
                  <wp:cNvGraphicFramePr/>
                  <a:graphic xmlns:a="http://schemas.openxmlformats.org/drawingml/2006/main">
                    <a:graphicData uri="http://schemas.openxmlformats.org/drawingml/2006/picture">
                      <pic:pic xmlns:pic="http://schemas.openxmlformats.org/drawingml/2006/picture">
                        <pic:nvPicPr>
                          <pic:cNvPr id="152" name="图片_8_SpCnt_127"/>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53" name="图片_8_SpCnt_128"/>
                  <wp:cNvGraphicFramePr/>
                  <a:graphic xmlns:a="http://schemas.openxmlformats.org/drawingml/2006/main">
                    <a:graphicData uri="http://schemas.openxmlformats.org/drawingml/2006/picture">
                      <pic:pic xmlns:pic="http://schemas.openxmlformats.org/drawingml/2006/picture">
                        <pic:nvPicPr>
                          <pic:cNvPr id="153" name="图片_8_SpCnt_128"/>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54" name="图片_8_SpCnt_129"/>
                  <wp:cNvGraphicFramePr/>
                  <a:graphic xmlns:a="http://schemas.openxmlformats.org/drawingml/2006/main">
                    <a:graphicData uri="http://schemas.openxmlformats.org/drawingml/2006/picture">
                      <pic:pic xmlns:pic="http://schemas.openxmlformats.org/drawingml/2006/picture">
                        <pic:nvPicPr>
                          <pic:cNvPr id="154" name="图片_8_SpCnt_129"/>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55" name="图片_8_SpCnt_130"/>
                  <wp:cNvGraphicFramePr/>
                  <a:graphic xmlns:a="http://schemas.openxmlformats.org/drawingml/2006/main">
                    <a:graphicData uri="http://schemas.openxmlformats.org/drawingml/2006/picture">
                      <pic:pic xmlns:pic="http://schemas.openxmlformats.org/drawingml/2006/picture">
                        <pic:nvPicPr>
                          <pic:cNvPr id="155" name="图片_8_SpCnt_130"/>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56" name="图片_8_SpCnt_131"/>
                  <wp:cNvGraphicFramePr/>
                  <a:graphic xmlns:a="http://schemas.openxmlformats.org/drawingml/2006/main">
                    <a:graphicData uri="http://schemas.openxmlformats.org/drawingml/2006/picture">
                      <pic:pic xmlns:pic="http://schemas.openxmlformats.org/drawingml/2006/picture">
                        <pic:nvPicPr>
                          <pic:cNvPr id="156" name="图片_8_SpCnt_131"/>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57" name="图片_8_SpCnt_132"/>
                  <wp:cNvGraphicFramePr/>
                  <a:graphic xmlns:a="http://schemas.openxmlformats.org/drawingml/2006/main">
                    <a:graphicData uri="http://schemas.openxmlformats.org/drawingml/2006/picture">
                      <pic:pic xmlns:pic="http://schemas.openxmlformats.org/drawingml/2006/picture">
                        <pic:nvPicPr>
                          <pic:cNvPr id="157" name="图片_8_SpCnt_132"/>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58" name="图片_8_SpCnt_133"/>
                  <wp:cNvGraphicFramePr/>
                  <a:graphic xmlns:a="http://schemas.openxmlformats.org/drawingml/2006/main">
                    <a:graphicData uri="http://schemas.openxmlformats.org/drawingml/2006/picture">
                      <pic:pic xmlns:pic="http://schemas.openxmlformats.org/drawingml/2006/picture">
                        <pic:nvPicPr>
                          <pic:cNvPr id="158" name="图片_8_SpCnt_133"/>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59" name="图片_8_SpCnt_134"/>
                  <wp:cNvGraphicFramePr/>
                  <a:graphic xmlns:a="http://schemas.openxmlformats.org/drawingml/2006/main">
                    <a:graphicData uri="http://schemas.openxmlformats.org/drawingml/2006/picture">
                      <pic:pic xmlns:pic="http://schemas.openxmlformats.org/drawingml/2006/picture">
                        <pic:nvPicPr>
                          <pic:cNvPr id="159" name="图片_8_SpCnt_134"/>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60" name="图片_8_SpCnt_135"/>
                  <wp:cNvGraphicFramePr/>
                  <a:graphic xmlns:a="http://schemas.openxmlformats.org/drawingml/2006/main">
                    <a:graphicData uri="http://schemas.openxmlformats.org/drawingml/2006/picture">
                      <pic:pic xmlns:pic="http://schemas.openxmlformats.org/drawingml/2006/picture">
                        <pic:nvPicPr>
                          <pic:cNvPr id="160" name="图片_8_SpCnt_135"/>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61" name="图片_8_SpCnt_136"/>
                  <wp:cNvGraphicFramePr/>
                  <a:graphic xmlns:a="http://schemas.openxmlformats.org/drawingml/2006/main">
                    <a:graphicData uri="http://schemas.openxmlformats.org/drawingml/2006/picture">
                      <pic:pic xmlns:pic="http://schemas.openxmlformats.org/drawingml/2006/picture">
                        <pic:nvPicPr>
                          <pic:cNvPr id="161" name="图片_8_SpCnt_136"/>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62" name="图片_8_SpCnt_137"/>
                  <wp:cNvGraphicFramePr/>
                  <a:graphic xmlns:a="http://schemas.openxmlformats.org/drawingml/2006/main">
                    <a:graphicData uri="http://schemas.openxmlformats.org/drawingml/2006/picture">
                      <pic:pic xmlns:pic="http://schemas.openxmlformats.org/drawingml/2006/picture">
                        <pic:nvPicPr>
                          <pic:cNvPr id="162" name="图片_8_SpCnt_137"/>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63" name="图片_8_SpCnt_138"/>
                  <wp:cNvGraphicFramePr/>
                  <a:graphic xmlns:a="http://schemas.openxmlformats.org/drawingml/2006/main">
                    <a:graphicData uri="http://schemas.openxmlformats.org/drawingml/2006/picture">
                      <pic:pic xmlns:pic="http://schemas.openxmlformats.org/drawingml/2006/picture">
                        <pic:nvPicPr>
                          <pic:cNvPr id="163" name="图片_8_SpCnt_138"/>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64" name="图片_8_SpCnt_139"/>
                  <wp:cNvGraphicFramePr/>
                  <a:graphic xmlns:a="http://schemas.openxmlformats.org/drawingml/2006/main">
                    <a:graphicData uri="http://schemas.openxmlformats.org/drawingml/2006/picture">
                      <pic:pic xmlns:pic="http://schemas.openxmlformats.org/drawingml/2006/picture">
                        <pic:nvPicPr>
                          <pic:cNvPr id="164" name="图片_8_SpCnt_139"/>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65" name="图片_8_SpCnt_140"/>
                  <wp:cNvGraphicFramePr/>
                  <a:graphic xmlns:a="http://schemas.openxmlformats.org/drawingml/2006/main">
                    <a:graphicData uri="http://schemas.openxmlformats.org/drawingml/2006/picture">
                      <pic:pic xmlns:pic="http://schemas.openxmlformats.org/drawingml/2006/picture">
                        <pic:nvPicPr>
                          <pic:cNvPr id="165" name="图片_8_SpCnt_140"/>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66" name="图片_8_SpCnt_141"/>
                  <wp:cNvGraphicFramePr/>
                  <a:graphic xmlns:a="http://schemas.openxmlformats.org/drawingml/2006/main">
                    <a:graphicData uri="http://schemas.openxmlformats.org/drawingml/2006/picture">
                      <pic:pic xmlns:pic="http://schemas.openxmlformats.org/drawingml/2006/picture">
                        <pic:nvPicPr>
                          <pic:cNvPr id="166" name="图片_8_SpCnt_141"/>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67" name="图片_8_SpCnt_142"/>
                  <wp:cNvGraphicFramePr/>
                  <a:graphic xmlns:a="http://schemas.openxmlformats.org/drawingml/2006/main">
                    <a:graphicData uri="http://schemas.openxmlformats.org/drawingml/2006/picture">
                      <pic:pic xmlns:pic="http://schemas.openxmlformats.org/drawingml/2006/picture">
                        <pic:nvPicPr>
                          <pic:cNvPr id="167" name="图片_8_SpCnt_142"/>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68" name="图片_8_SpCnt_143"/>
                  <wp:cNvGraphicFramePr/>
                  <a:graphic xmlns:a="http://schemas.openxmlformats.org/drawingml/2006/main">
                    <a:graphicData uri="http://schemas.openxmlformats.org/drawingml/2006/picture">
                      <pic:pic xmlns:pic="http://schemas.openxmlformats.org/drawingml/2006/picture">
                        <pic:nvPicPr>
                          <pic:cNvPr id="168" name="图片_8_SpCnt_143"/>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69" name="图片_8_SpCnt_144"/>
                  <wp:cNvGraphicFramePr/>
                  <a:graphic xmlns:a="http://schemas.openxmlformats.org/drawingml/2006/main">
                    <a:graphicData uri="http://schemas.openxmlformats.org/drawingml/2006/picture">
                      <pic:pic xmlns:pic="http://schemas.openxmlformats.org/drawingml/2006/picture">
                        <pic:nvPicPr>
                          <pic:cNvPr id="169" name="图片_8_SpCnt_144"/>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70" name="图片_8_SpCnt_145"/>
                  <wp:cNvGraphicFramePr/>
                  <a:graphic xmlns:a="http://schemas.openxmlformats.org/drawingml/2006/main">
                    <a:graphicData uri="http://schemas.openxmlformats.org/drawingml/2006/picture">
                      <pic:pic xmlns:pic="http://schemas.openxmlformats.org/drawingml/2006/picture">
                        <pic:nvPicPr>
                          <pic:cNvPr id="170" name="图片_8_SpCnt_145"/>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71" name="图片_8_SpCnt_146"/>
                  <wp:cNvGraphicFramePr/>
                  <a:graphic xmlns:a="http://schemas.openxmlformats.org/drawingml/2006/main">
                    <a:graphicData uri="http://schemas.openxmlformats.org/drawingml/2006/picture">
                      <pic:pic xmlns:pic="http://schemas.openxmlformats.org/drawingml/2006/picture">
                        <pic:nvPicPr>
                          <pic:cNvPr id="171" name="图片_8_SpCnt_146"/>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72" name="图片_8_SpCnt_147"/>
                  <wp:cNvGraphicFramePr/>
                  <a:graphic xmlns:a="http://schemas.openxmlformats.org/drawingml/2006/main">
                    <a:graphicData uri="http://schemas.openxmlformats.org/drawingml/2006/picture">
                      <pic:pic xmlns:pic="http://schemas.openxmlformats.org/drawingml/2006/picture">
                        <pic:nvPicPr>
                          <pic:cNvPr id="172" name="图片_8_SpCnt_147"/>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73" name="图片_8_SpCnt_148"/>
                  <wp:cNvGraphicFramePr/>
                  <a:graphic xmlns:a="http://schemas.openxmlformats.org/drawingml/2006/main">
                    <a:graphicData uri="http://schemas.openxmlformats.org/drawingml/2006/picture">
                      <pic:pic xmlns:pic="http://schemas.openxmlformats.org/drawingml/2006/picture">
                        <pic:nvPicPr>
                          <pic:cNvPr id="173" name="图片_8_SpCnt_148"/>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74" name="图片_8_SpCnt_149"/>
                  <wp:cNvGraphicFramePr/>
                  <a:graphic xmlns:a="http://schemas.openxmlformats.org/drawingml/2006/main">
                    <a:graphicData uri="http://schemas.openxmlformats.org/drawingml/2006/picture">
                      <pic:pic xmlns:pic="http://schemas.openxmlformats.org/drawingml/2006/picture">
                        <pic:nvPicPr>
                          <pic:cNvPr id="174" name="图片_8_SpCnt_149"/>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75" name="图片_8_SpCnt_150"/>
                  <wp:cNvGraphicFramePr/>
                  <a:graphic xmlns:a="http://schemas.openxmlformats.org/drawingml/2006/main">
                    <a:graphicData uri="http://schemas.openxmlformats.org/drawingml/2006/picture">
                      <pic:pic xmlns:pic="http://schemas.openxmlformats.org/drawingml/2006/picture">
                        <pic:nvPicPr>
                          <pic:cNvPr id="175" name="图片_8_SpCnt_150"/>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76" name="图片_8_SpCnt_151"/>
                  <wp:cNvGraphicFramePr/>
                  <a:graphic xmlns:a="http://schemas.openxmlformats.org/drawingml/2006/main">
                    <a:graphicData uri="http://schemas.openxmlformats.org/drawingml/2006/picture">
                      <pic:pic xmlns:pic="http://schemas.openxmlformats.org/drawingml/2006/picture">
                        <pic:nvPicPr>
                          <pic:cNvPr id="176" name="图片_8_SpCnt_151"/>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77" name="图片_8_SpCnt_152"/>
                  <wp:cNvGraphicFramePr/>
                  <a:graphic xmlns:a="http://schemas.openxmlformats.org/drawingml/2006/main">
                    <a:graphicData uri="http://schemas.openxmlformats.org/drawingml/2006/picture">
                      <pic:pic xmlns:pic="http://schemas.openxmlformats.org/drawingml/2006/picture">
                        <pic:nvPicPr>
                          <pic:cNvPr id="177" name="图片_8_SpCnt_152"/>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78" name="图片_8_SpCnt_153"/>
                  <wp:cNvGraphicFramePr/>
                  <a:graphic xmlns:a="http://schemas.openxmlformats.org/drawingml/2006/main">
                    <a:graphicData uri="http://schemas.openxmlformats.org/drawingml/2006/picture">
                      <pic:pic xmlns:pic="http://schemas.openxmlformats.org/drawingml/2006/picture">
                        <pic:nvPicPr>
                          <pic:cNvPr id="178" name="图片_8_SpCnt_153"/>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79" name="图片_8_SpCnt_154"/>
                  <wp:cNvGraphicFramePr/>
                  <a:graphic xmlns:a="http://schemas.openxmlformats.org/drawingml/2006/main">
                    <a:graphicData uri="http://schemas.openxmlformats.org/drawingml/2006/picture">
                      <pic:pic xmlns:pic="http://schemas.openxmlformats.org/drawingml/2006/picture">
                        <pic:nvPicPr>
                          <pic:cNvPr id="179" name="图片_8_SpCnt_154"/>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80" name="图片_8_SpCnt_155"/>
                  <wp:cNvGraphicFramePr/>
                  <a:graphic xmlns:a="http://schemas.openxmlformats.org/drawingml/2006/main">
                    <a:graphicData uri="http://schemas.openxmlformats.org/drawingml/2006/picture">
                      <pic:pic xmlns:pic="http://schemas.openxmlformats.org/drawingml/2006/picture">
                        <pic:nvPicPr>
                          <pic:cNvPr id="180" name="图片_8_SpCnt_155"/>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81" name="图片_8_SpCnt_156"/>
                  <wp:cNvGraphicFramePr/>
                  <a:graphic xmlns:a="http://schemas.openxmlformats.org/drawingml/2006/main">
                    <a:graphicData uri="http://schemas.openxmlformats.org/drawingml/2006/picture">
                      <pic:pic xmlns:pic="http://schemas.openxmlformats.org/drawingml/2006/picture">
                        <pic:nvPicPr>
                          <pic:cNvPr id="181" name="图片_8_SpCnt_156"/>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82" name="图片_8_SpCnt_157"/>
                  <wp:cNvGraphicFramePr/>
                  <a:graphic xmlns:a="http://schemas.openxmlformats.org/drawingml/2006/main">
                    <a:graphicData uri="http://schemas.openxmlformats.org/drawingml/2006/picture">
                      <pic:pic xmlns:pic="http://schemas.openxmlformats.org/drawingml/2006/picture">
                        <pic:nvPicPr>
                          <pic:cNvPr id="182" name="图片_8_SpCnt_157"/>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83" name="图片_8_SpCnt_158"/>
                  <wp:cNvGraphicFramePr/>
                  <a:graphic xmlns:a="http://schemas.openxmlformats.org/drawingml/2006/main">
                    <a:graphicData uri="http://schemas.openxmlformats.org/drawingml/2006/picture">
                      <pic:pic xmlns:pic="http://schemas.openxmlformats.org/drawingml/2006/picture">
                        <pic:nvPicPr>
                          <pic:cNvPr id="183" name="图片_8_SpCnt_158"/>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84" name="图片_8_SpCnt_159"/>
                  <wp:cNvGraphicFramePr/>
                  <a:graphic xmlns:a="http://schemas.openxmlformats.org/drawingml/2006/main">
                    <a:graphicData uri="http://schemas.openxmlformats.org/drawingml/2006/picture">
                      <pic:pic xmlns:pic="http://schemas.openxmlformats.org/drawingml/2006/picture">
                        <pic:nvPicPr>
                          <pic:cNvPr id="184" name="图片_8_SpCnt_159"/>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85" name="图片_8_SpCnt_160"/>
                  <wp:cNvGraphicFramePr/>
                  <a:graphic xmlns:a="http://schemas.openxmlformats.org/drawingml/2006/main">
                    <a:graphicData uri="http://schemas.openxmlformats.org/drawingml/2006/picture">
                      <pic:pic xmlns:pic="http://schemas.openxmlformats.org/drawingml/2006/picture">
                        <pic:nvPicPr>
                          <pic:cNvPr id="185" name="图片_8_SpCnt_160"/>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86" name="图片_8_SpCnt_161"/>
                  <wp:cNvGraphicFramePr/>
                  <a:graphic xmlns:a="http://schemas.openxmlformats.org/drawingml/2006/main">
                    <a:graphicData uri="http://schemas.openxmlformats.org/drawingml/2006/picture">
                      <pic:pic xmlns:pic="http://schemas.openxmlformats.org/drawingml/2006/picture">
                        <pic:nvPicPr>
                          <pic:cNvPr id="186" name="图片_8_SpCnt_161"/>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87" name="图片_8_SpCnt_162"/>
                  <wp:cNvGraphicFramePr/>
                  <a:graphic xmlns:a="http://schemas.openxmlformats.org/drawingml/2006/main">
                    <a:graphicData uri="http://schemas.openxmlformats.org/drawingml/2006/picture">
                      <pic:pic xmlns:pic="http://schemas.openxmlformats.org/drawingml/2006/picture">
                        <pic:nvPicPr>
                          <pic:cNvPr id="187" name="图片_8_SpCnt_162"/>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88" name="图片_8_SpCnt_163"/>
                  <wp:cNvGraphicFramePr/>
                  <a:graphic xmlns:a="http://schemas.openxmlformats.org/drawingml/2006/main">
                    <a:graphicData uri="http://schemas.openxmlformats.org/drawingml/2006/picture">
                      <pic:pic xmlns:pic="http://schemas.openxmlformats.org/drawingml/2006/picture">
                        <pic:nvPicPr>
                          <pic:cNvPr id="188" name="图片_8_SpCnt_163"/>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89" name="图片_8_SpCnt_164"/>
                  <wp:cNvGraphicFramePr/>
                  <a:graphic xmlns:a="http://schemas.openxmlformats.org/drawingml/2006/main">
                    <a:graphicData uri="http://schemas.openxmlformats.org/drawingml/2006/picture">
                      <pic:pic xmlns:pic="http://schemas.openxmlformats.org/drawingml/2006/picture">
                        <pic:nvPicPr>
                          <pic:cNvPr id="189" name="图片_8_SpCnt_164"/>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90" name="图片_8_SpCnt_165"/>
                  <wp:cNvGraphicFramePr/>
                  <a:graphic xmlns:a="http://schemas.openxmlformats.org/drawingml/2006/main">
                    <a:graphicData uri="http://schemas.openxmlformats.org/drawingml/2006/picture">
                      <pic:pic xmlns:pic="http://schemas.openxmlformats.org/drawingml/2006/picture">
                        <pic:nvPicPr>
                          <pic:cNvPr id="190" name="图片_8_SpCnt_165"/>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91" name="图片_8_SpCnt_166"/>
                  <wp:cNvGraphicFramePr/>
                  <a:graphic xmlns:a="http://schemas.openxmlformats.org/drawingml/2006/main">
                    <a:graphicData uri="http://schemas.openxmlformats.org/drawingml/2006/picture">
                      <pic:pic xmlns:pic="http://schemas.openxmlformats.org/drawingml/2006/picture">
                        <pic:nvPicPr>
                          <pic:cNvPr id="191" name="图片_8_SpCnt_166"/>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92" name="图片_8_SpCnt_167"/>
                  <wp:cNvGraphicFramePr/>
                  <a:graphic xmlns:a="http://schemas.openxmlformats.org/drawingml/2006/main">
                    <a:graphicData uri="http://schemas.openxmlformats.org/drawingml/2006/picture">
                      <pic:pic xmlns:pic="http://schemas.openxmlformats.org/drawingml/2006/picture">
                        <pic:nvPicPr>
                          <pic:cNvPr id="192" name="图片_8_SpCnt_167"/>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93" name="图片_8_SpCnt_168"/>
                  <wp:cNvGraphicFramePr/>
                  <a:graphic xmlns:a="http://schemas.openxmlformats.org/drawingml/2006/main">
                    <a:graphicData uri="http://schemas.openxmlformats.org/drawingml/2006/picture">
                      <pic:pic xmlns:pic="http://schemas.openxmlformats.org/drawingml/2006/picture">
                        <pic:nvPicPr>
                          <pic:cNvPr id="193" name="图片_8_SpCnt_168"/>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94" name="图片_8_SpCnt_169"/>
                  <wp:cNvGraphicFramePr/>
                  <a:graphic xmlns:a="http://schemas.openxmlformats.org/drawingml/2006/main">
                    <a:graphicData uri="http://schemas.openxmlformats.org/drawingml/2006/picture">
                      <pic:pic xmlns:pic="http://schemas.openxmlformats.org/drawingml/2006/picture">
                        <pic:nvPicPr>
                          <pic:cNvPr id="194" name="图片_8_SpCnt_169"/>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95" name="图片_8_SpCnt_170"/>
                  <wp:cNvGraphicFramePr/>
                  <a:graphic xmlns:a="http://schemas.openxmlformats.org/drawingml/2006/main">
                    <a:graphicData uri="http://schemas.openxmlformats.org/drawingml/2006/picture">
                      <pic:pic xmlns:pic="http://schemas.openxmlformats.org/drawingml/2006/picture">
                        <pic:nvPicPr>
                          <pic:cNvPr id="195" name="图片_8_SpCnt_170"/>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96" name="图片_8_SpCnt_171"/>
                  <wp:cNvGraphicFramePr/>
                  <a:graphic xmlns:a="http://schemas.openxmlformats.org/drawingml/2006/main">
                    <a:graphicData uri="http://schemas.openxmlformats.org/drawingml/2006/picture">
                      <pic:pic xmlns:pic="http://schemas.openxmlformats.org/drawingml/2006/picture">
                        <pic:nvPicPr>
                          <pic:cNvPr id="196" name="图片_8_SpCnt_171"/>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97" name="图片_8_SpCnt_172"/>
                  <wp:cNvGraphicFramePr/>
                  <a:graphic xmlns:a="http://schemas.openxmlformats.org/drawingml/2006/main">
                    <a:graphicData uri="http://schemas.openxmlformats.org/drawingml/2006/picture">
                      <pic:pic xmlns:pic="http://schemas.openxmlformats.org/drawingml/2006/picture">
                        <pic:nvPicPr>
                          <pic:cNvPr id="197" name="图片_8_SpCnt_172"/>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98" name="图片_8_SpCnt_173"/>
                  <wp:cNvGraphicFramePr/>
                  <a:graphic xmlns:a="http://schemas.openxmlformats.org/drawingml/2006/main">
                    <a:graphicData uri="http://schemas.openxmlformats.org/drawingml/2006/picture">
                      <pic:pic xmlns:pic="http://schemas.openxmlformats.org/drawingml/2006/picture">
                        <pic:nvPicPr>
                          <pic:cNvPr id="198" name="图片_8_SpCnt_173"/>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199" name="图片_8_SpCnt_174"/>
                  <wp:cNvGraphicFramePr/>
                  <a:graphic xmlns:a="http://schemas.openxmlformats.org/drawingml/2006/main">
                    <a:graphicData uri="http://schemas.openxmlformats.org/drawingml/2006/picture">
                      <pic:pic xmlns:pic="http://schemas.openxmlformats.org/drawingml/2006/picture">
                        <pic:nvPicPr>
                          <pic:cNvPr id="199" name="图片_8_SpCnt_174"/>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00" name="图片_8_SpCnt_175"/>
                  <wp:cNvGraphicFramePr/>
                  <a:graphic xmlns:a="http://schemas.openxmlformats.org/drawingml/2006/main">
                    <a:graphicData uri="http://schemas.openxmlformats.org/drawingml/2006/picture">
                      <pic:pic xmlns:pic="http://schemas.openxmlformats.org/drawingml/2006/picture">
                        <pic:nvPicPr>
                          <pic:cNvPr id="200" name="图片_8_SpCnt_175"/>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01" name="图片_8_SpCnt_176"/>
                  <wp:cNvGraphicFramePr/>
                  <a:graphic xmlns:a="http://schemas.openxmlformats.org/drawingml/2006/main">
                    <a:graphicData uri="http://schemas.openxmlformats.org/drawingml/2006/picture">
                      <pic:pic xmlns:pic="http://schemas.openxmlformats.org/drawingml/2006/picture">
                        <pic:nvPicPr>
                          <pic:cNvPr id="201" name="图片_8_SpCnt_176"/>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02" name="图片_8_SpCnt_177"/>
                  <wp:cNvGraphicFramePr/>
                  <a:graphic xmlns:a="http://schemas.openxmlformats.org/drawingml/2006/main">
                    <a:graphicData uri="http://schemas.openxmlformats.org/drawingml/2006/picture">
                      <pic:pic xmlns:pic="http://schemas.openxmlformats.org/drawingml/2006/picture">
                        <pic:nvPicPr>
                          <pic:cNvPr id="202" name="图片_8_SpCnt_177"/>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03" name="图片_8_SpCnt_178"/>
                  <wp:cNvGraphicFramePr/>
                  <a:graphic xmlns:a="http://schemas.openxmlformats.org/drawingml/2006/main">
                    <a:graphicData uri="http://schemas.openxmlformats.org/drawingml/2006/picture">
                      <pic:pic xmlns:pic="http://schemas.openxmlformats.org/drawingml/2006/picture">
                        <pic:nvPicPr>
                          <pic:cNvPr id="203" name="图片_8_SpCnt_178"/>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04" name="图片_8_SpCnt_179"/>
                  <wp:cNvGraphicFramePr/>
                  <a:graphic xmlns:a="http://schemas.openxmlformats.org/drawingml/2006/main">
                    <a:graphicData uri="http://schemas.openxmlformats.org/drawingml/2006/picture">
                      <pic:pic xmlns:pic="http://schemas.openxmlformats.org/drawingml/2006/picture">
                        <pic:nvPicPr>
                          <pic:cNvPr id="204" name="图片_8_SpCnt_179"/>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05" name="图片_8_SpCnt_180"/>
                  <wp:cNvGraphicFramePr/>
                  <a:graphic xmlns:a="http://schemas.openxmlformats.org/drawingml/2006/main">
                    <a:graphicData uri="http://schemas.openxmlformats.org/drawingml/2006/picture">
                      <pic:pic xmlns:pic="http://schemas.openxmlformats.org/drawingml/2006/picture">
                        <pic:nvPicPr>
                          <pic:cNvPr id="205" name="图片_8_SpCnt_180"/>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06" name="图片_8_SpCnt_181"/>
                  <wp:cNvGraphicFramePr/>
                  <a:graphic xmlns:a="http://schemas.openxmlformats.org/drawingml/2006/main">
                    <a:graphicData uri="http://schemas.openxmlformats.org/drawingml/2006/picture">
                      <pic:pic xmlns:pic="http://schemas.openxmlformats.org/drawingml/2006/picture">
                        <pic:nvPicPr>
                          <pic:cNvPr id="206" name="图片_8_SpCnt_181"/>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07" name="图片_8_SpCnt_182"/>
                  <wp:cNvGraphicFramePr/>
                  <a:graphic xmlns:a="http://schemas.openxmlformats.org/drawingml/2006/main">
                    <a:graphicData uri="http://schemas.openxmlformats.org/drawingml/2006/picture">
                      <pic:pic xmlns:pic="http://schemas.openxmlformats.org/drawingml/2006/picture">
                        <pic:nvPicPr>
                          <pic:cNvPr id="207" name="图片_8_SpCnt_182"/>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08" name="图片_8_SpCnt_183"/>
                  <wp:cNvGraphicFramePr/>
                  <a:graphic xmlns:a="http://schemas.openxmlformats.org/drawingml/2006/main">
                    <a:graphicData uri="http://schemas.openxmlformats.org/drawingml/2006/picture">
                      <pic:pic xmlns:pic="http://schemas.openxmlformats.org/drawingml/2006/picture">
                        <pic:nvPicPr>
                          <pic:cNvPr id="208" name="图片_8_SpCnt_183"/>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09" name="图片_8_SpCnt_184"/>
                  <wp:cNvGraphicFramePr/>
                  <a:graphic xmlns:a="http://schemas.openxmlformats.org/drawingml/2006/main">
                    <a:graphicData uri="http://schemas.openxmlformats.org/drawingml/2006/picture">
                      <pic:pic xmlns:pic="http://schemas.openxmlformats.org/drawingml/2006/picture">
                        <pic:nvPicPr>
                          <pic:cNvPr id="209" name="图片_8_SpCnt_184"/>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10" name="图片_8_SpCnt_185"/>
                  <wp:cNvGraphicFramePr/>
                  <a:graphic xmlns:a="http://schemas.openxmlformats.org/drawingml/2006/main">
                    <a:graphicData uri="http://schemas.openxmlformats.org/drawingml/2006/picture">
                      <pic:pic xmlns:pic="http://schemas.openxmlformats.org/drawingml/2006/picture">
                        <pic:nvPicPr>
                          <pic:cNvPr id="210" name="图片_8_SpCnt_185"/>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11" name="图片_8_SpCnt_186"/>
                  <wp:cNvGraphicFramePr/>
                  <a:graphic xmlns:a="http://schemas.openxmlformats.org/drawingml/2006/main">
                    <a:graphicData uri="http://schemas.openxmlformats.org/drawingml/2006/picture">
                      <pic:pic xmlns:pic="http://schemas.openxmlformats.org/drawingml/2006/picture">
                        <pic:nvPicPr>
                          <pic:cNvPr id="211" name="图片_8_SpCnt_186"/>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12" name="图片_8_SpCnt_187"/>
                  <wp:cNvGraphicFramePr/>
                  <a:graphic xmlns:a="http://schemas.openxmlformats.org/drawingml/2006/main">
                    <a:graphicData uri="http://schemas.openxmlformats.org/drawingml/2006/picture">
                      <pic:pic xmlns:pic="http://schemas.openxmlformats.org/drawingml/2006/picture">
                        <pic:nvPicPr>
                          <pic:cNvPr id="212" name="图片_8_SpCnt_187"/>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13" name="图片_8_SpCnt_188"/>
                  <wp:cNvGraphicFramePr/>
                  <a:graphic xmlns:a="http://schemas.openxmlformats.org/drawingml/2006/main">
                    <a:graphicData uri="http://schemas.openxmlformats.org/drawingml/2006/picture">
                      <pic:pic xmlns:pic="http://schemas.openxmlformats.org/drawingml/2006/picture">
                        <pic:nvPicPr>
                          <pic:cNvPr id="213" name="图片_8_SpCnt_188"/>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14" name="图片_8_SpCnt_189"/>
                  <wp:cNvGraphicFramePr/>
                  <a:graphic xmlns:a="http://schemas.openxmlformats.org/drawingml/2006/main">
                    <a:graphicData uri="http://schemas.openxmlformats.org/drawingml/2006/picture">
                      <pic:pic xmlns:pic="http://schemas.openxmlformats.org/drawingml/2006/picture">
                        <pic:nvPicPr>
                          <pic:cNvPr id="214" name="图片_8_SpCnt_189"/>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15" name="图片_8_SpCnt_190"/>
                  <wp:cNvGraphicFramePr/>
                  <a:graphic xmlns:a="http://schemas.openxmlformats.org/drawingml/2006/main">
                    <a:graphicData uri="http://schemas.openxmlformats.org/drawingml/2006/picture">
                      <pic:pic xmlns:pic="http://schemas.openxmlformats.org/drawingml/2006/picture">
                        <pic:nvPicPr>
                          <pic:cNvPr id="215" name="图片_8_SpCnt_190"/>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16" name="图片_8_SpCnt_191"/>
                  <wp:cNvGraphicFramePr/>
                  <a:graphic xmlns:a="http://schemas.openxmlformats.org/drawingml/2006/main">
                    <a:graphicData uri="http://schemas.openxmlformats.org/drawingml/2006/picture">
                      <pic:pic xmlns:pic="http://schemas.openxmlformats.org/drawingml/2006/picture">
                        <pic:nvPicPr>
                          <pic:cNvPr id="216" name="图片_8_SpCnt_191"/>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17" name="图片_8_SpCnt_192"/>
                  <wp:cNvGraphicFramePr/>
                  <a:graphic xmlns:a="http://schemas.openxmlformats.org/drawingml/2006/main">
                    <a:graphicData uri="http://schemas.openxmlformats.org/drawingml/2006/picture">
                      <pic:pic xmlns:pic="http://schemas.openxmlformats.org/drawingml/2006/picture">
                        <pic:nvPicPr>
                          <pic:cNvPr id="217" name="图片_8_SpCnt_192"/>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18" name="图片_8_SpCnt_193"/>
                  <wp:cNvGraphicFramePr/>
                  <a:graphic xmlns:a="http://schemas.openxmlformats.org/drawingml/2006/main">
                    <a:graphicData uri="http://schemas.openxmlformats.org/drawingml/2006/picture">
                      <pic:pic xmlns:pic="http://schemas.openxmlformats.org/drawingml/2006/picture">
                        <pic:nvPicPr>
                          <pic:cNvPr id="218" name="图片_8_SpCnt_193"/>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19" name="图片_8_SpCnt_194"/>
                  <wp:cNvGraphicFramePr/>
                  <a:graphic xmlns:a="http://schemas.openxmlformats.org/drawingml/2006/main">
                    <a:graphicData uri="http://schemas.openxmlformats.org/drawingml/2006/picture">
                      <pic:pic xmlns:pic="http://schemas.openxmlformats.org/drawingml/2006/picture">
                        <pic:nvPicPr>
                          <pic:cNvPr id="219" name="图片_8_SpCnt_194"/>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20" name="图片_8_SpCnt_195"/>
                  <wp:cNvGraphicFramePr/>
                  <a:graphic xmlns:a="http://schemas.openxmlformats.org/drawingml/2006/main">
                    <a:graphicData uri="http://schemas.openxmlformats.org/drawingml/2006/picture">
                      <pic:pic xmlns:pic="http://schemas.openxmlformats.org/drawingml/2006/picture">
                        <pic:nvPicPr>
                          <pic:cNvPr id="220" name="图片_8_SpCnt_195"/>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21" name="图片_8_SpCnt_196"/>
                  <wp:cNvGraphicFramePr/>
                  <a:graphic xmlns:a="http://schemas.openxmlformats.org/drawingml/2006/main">
                    <a:graphicData uri="http://schemas.openxmlformats.org/drawingml/2006/picture">
                      <pic:pic xmlns:pic="http://schemas.openxmlformats.org/drawingml/2006/picture">
                        <pic:nvPicPr>
                          <pic:cNvPr id="221" name="图片_8_SpCnt_196"/>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22" name="图片_8_SpCnt_197"/>
                  <wp:cNvGraphicFramePr/>
                  <a:graphic xmlns:a="http://schemas.openxmlformats.org/drawingml/2006/main">
                    <a:graphicData uri="http://schemas.openxmlformats.org/drawingml/2006/picture">
                      <pic:pic xmlns:pic="http://schemas.openxmlformats.org/drawingml/2006/picture">
                        <pic:nvPicPr>
                          <pic:cNvPr id="222" name="图片_8_SpCnt_197"/>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23" name="图片_8_SpCnt_198"/>
                  <wp:cNvGraphicFramePr/>
                  <a:graphic xmlns:a="http://schemas.openxmlformats.org/drawingml/2006/main">
                    <a:graphicData uri="http://schemas.openxmlformats.org/drawingml/2006/picture">
                      <pic:pic xmlns:pic="http://schemas.openxmlformats.org/drawingml/2006/picture">
                        <pic:nvPicPr>
                          <pic:cNvPr id="223" name="图片_8_SpCnt_198"/>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24" name="图片_8_SpCnt_199"/>
                  <wp:cNvGraphicFramePr/>
                  <a:graphic xmlns:a="http://schemas.openxmlformats.org/drawingml/2006/main">
                    <a:graphicData uri="http://schemas.openxmlformats.org/drawingml/2006/picture">
                      <pic:pic xmlns:pic="http://schemas.openxmlformats.org/drawingml/2006/picture">
                        <pic:nvPicPr>
                          <pic:cNvPr id="224" name="图片_8_SpCnt_199"/>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25" name="图片_8_SpCnt_200"/>
                  <wp:cNvGraphicFramePr/>
                  <a:graphic xmlns:a="http://schemas.openxmlformats.org/drawingml/2006/main">
                    <a:graphicData uri="http://schemas.openxmlformats.org/drawingml/2006/picture">
                      <pic:pic xmlns:pic="http://schemas.openxmlformats.org/drawingml/2006/picture">
                        <pic:nvPicPr>
                          <pic:cNvPr id="225" name="图片_8_SpCnt_200"/>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26" name="图片_8_SpCnt_201"/>
                  <wp:cNvGraphicFramePr/>
                  <a:graphic xmlns:a="http://schemas.openxmlformats.org/drawingml/2006/main">
                    <a:graphicData uri="http://schemas.openxmlformats.org/drawingml/2006/picture">
                      <pic:pic xmlns:pic="http://schemas.openxmlformats.org/drawingml/2006/picture">
                        <pic:nvPicPr>
                          <pic:cNvPr id="226" name="图片_8_SpCnt_201"/>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27" name="图片_8_SpCnt_202"/>
                  <wp:cNvGraphicFramePr/>
                  <a:graphic xmlns:a="http://schemas.openxmlformats.org/drawingml/2006/main">
                    <a:graphicData uri="http://schemas.openxmlformats.org/drawingml/2006/picture">
                      <pic:pic xmlns:pic="http://schemas.openxmlformats.org/drawingml/2006/picture">
                        <pic:nvPicPr>
                          <pic:cNvPr id="227" name="图片_8_SpCnt_202"/>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28" name="图片_8_SpCnt_203"/>
                  <wp:cNvGraphicFramePr/>
                  <a:graphic xmlns:a="http://schemas.openxmlformats.org/drawingml/2006/main">
                    <a:graphicData uri="http://schemas.openxmlformats.org/drawingml/2006/picture">
                      <pic:pic xmlns:pic="http://schemas.openxmlformats.org/drawingml/2006/picture">
                        <pic:nvPicPr>
                          <pic:cNvPr id="228" name="图片_8_SpCnt_203"/>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29" name="图片_8_SpCnt_204"/>
                  <wp:cNvGraphicFramePr/>
                  <a:graphic xmlns:a="http://schemas.openxmlformats.org/drawingml/2006/main">
                    <a:graphicData uri="http://schemas.openxmlformats.org/drawingml/2006/picture">
                      <pic:pic xmlns:pic="http://schemas.openxmlformats.org/drawingml/2006/picture">
                        <pic:nvPicPr>
                          <pic:cNvPr id="229" name="图片_8_SpCnt_204"/>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30" name="图片_8_SpCnt_205"/>
                  <wp:cNvGraphicFramePr/>
                  <a:graphic xmlns:a="http://schemas.openxmlformats.org/drawingml/2006/main">
                    <a:graphicData uri="http://schemas.openxmlformats.org/drawingml/2006/picture">
                      <pic:pic xmlns:pic="http://schemas.openxmlformats.org/drawingml/2006/picture">
                        <pic:nvPicPr>
                          <pic:cNvPr id="230" name="图片_8_SpCnt_205"/>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31" name="图片_8_SpCnt_206"/>
                  <wp:cNvGraphicFramePr/>
                  <a:graphic xmlns:a="http://schemas.openxmlformats.org/drawingml/2006/main">
                    <a:graphicData uri="http://schemas.openxmlformats.org/drawingml/2006/picture">
                      <pic:pic xmlns:pic="http://schemas.openxmlformats.org/drawingml/2006/picture">
                        <pic:nvPicPr>
                          <pic:cNvPr id="231" name="图片_8_SpCnt_206"/>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32" name="图片_8_SpCnt_207"/>
                  <wp:cNvGraphicFramePr/>
                  <a:graphic xmlns:a="http://schemas.openxmlformats.org/drawingml/2006/main">
                    <a:graphicData uri="http://schemas.openxmlformats.org/drawingml/2006/picture">
                      <pic:pic xmlns:pic="http://schemas.openxmlformats.org/drawingml/2006/picture">
                        <pic:nvPicPr>
                          <pic:cNvPr id="232" name="图片_8_SpCnt_207"/>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33" name="图片_8_SpCnt_208"/>
                  <wp:cNvGraphicFramePr/>
                  <a:graphic xmlns:a="http://schemas.openxmlformats.org/drawingml/2006/main">
                    <a:graphicData uri="http://schemas.openxmlformats.org/drawingml/2006/picture">
                      <pic:pic xmlns:pic="http://schemas.openxmlformats.org/drawingml/2006/picture">
                        <pic:nvPicPr>
                          <pic:cNvPr id="233" name="图片_8_SpCnt_208"/>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34" name="图片_8_SpCnt_209"/>
                  <wp:cNvGraphicFramePr/>
                  <a:graphic xmlns:a="http://schemas.openxmlformats.org/drawingml/2006/main">
                    <a:graphicData uri="http://schemas.openxmlformats.org/drawingml/2006/picture">
                      <pic:pic xmlns:pic="http://schemas.openxmlformats.org/drawingml/2006/picture">
                        <pic:nvPicPr>
                          <pic:cNvPr id="234" name="图片_8_SpCnt_209"/>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9525" cy="387350"/>
                  <wp:effectExtent l="0" t="0" r="635" b="8890"/>
                  <wp:wrapNone/>
                  <wp:docPr id="235" name="图片_9_SpCnt_5"/>
                  <wp:cNvGraphicFramePr/>
                  <a:graphic xmlns:a="http://schemas.openxmlformats.org/drawingml/2006/main">
                    <a:graphicData uri="http://schemas.openxmlformats.org/drawingml/2006/picture">
                      <pic:pic xmlns:pic="http://schemas.openxmlformats.org/drawingml/2006/picture">
                        <pic:nvPicPr>
                          <pic:cNvPr id="235" name="图片_9_SpCnt_5"/>
                          <pic:cNvPicPr/>
                        </pic:nvPicPr>
                        <pic:blipFill>
                          <a:blip r:embed="rId20"/>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36" name="图片_8_SpCnt_210"/>
                  <wp:cNvGraphicFramePr/>
                  <a:graphic xmlns:a="http://schemas.openxmlformats.org/drawingml/2006/main">
                    <a:graphicData uri="http://schemas.openxmlformats.org/drawingml/2006/picture">
                      <pic:pic xmlns:pic="http://schemas.openxmlformats.org/drawingml/2006/picture">
                        <pic:nvPicPr>
                          <pic:cNvPr id="236" name="图片_8_SpCnt_210"/>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9525" cy="387350"/>
                  <wp:effectExtent l="0" t="0" r="635" b="8890"/>
                  <wp:wrapNone/>
                  <wp:docPr id="237" name="图片_9_SpCnt_6"/>
                  <wp:cNvGraphicFramePr/>
                  <a:graphic xmlns:a="http://schemas.openxmlformats.org/drawingml/2006/main">
                    <a:graphicData uri="http://schemas.openxmlformats.org/drawingml/2006/picture">
                      <pic:pic xmlns:pic="http://schemas.openxmlformats.org/drawingml/2006/picture">
                        <pic:nvPicPr>
                          <pic:cNvPr id="237" name="图片_9_SpCnt_6"/>
                          <pic:cNvPicPr/>
                        </pic:nvPicPr>
                        <pic:blipFill>
                          <a:blip r:embed="rId20"/>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38" name="图片_8_SpCnt_211"/>
                  <wp:cNvGraphicFramePr/>
                  <a:graphic xmlns:a="http://schemas.openxmlformats.org/drawingml/2006/main">
                    <a:graphicData uri="http://schemas.openxmlformats.org/drawingml/2006/picture">
                      <pic:pic xmlns:pic="http://schemas.openxmlformats.org/drawingml/2006/picture">
                        <pic:nvPicPr>
                          <pic:cNvPr id="238" name="图片_8_SpCnt_211"/>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9525" cy="387350"/>
                  <wp:effectExtent l="0" t="0" r="635" b="8890"/>
                  <wp:wrapNone/>
                  <wp:docPr id="239" name="图片_93"/>
                  <wp:cNvGraphicFramePr/>
                  <a:graphic xmlns:a="http://schemas.openxmlformats.org/drawingml/2006/main">
                    <a:graphicData uri="http://schemas.openxmlformats.org/drawingml/2006/picture">
                      <pic:pic xmlns:pic="http://schemas.openxmlformats.org/drawingml/2006/picture">
                        <pic:nvPicPr>
                          <pic:cNvPr id="239" name="图片_93"/>
                          <pic:cNvPicPr/>
                        </pic:nvPicPr>
                        <pic:blipFill>
                          <a:blip r:embed="rId20"/>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40" name="图片_8_SpCnt_212"/>
                  <wp:cNvGraphicFramePr/>
                  <a:graphic xmlns:a="http://schemas.openxmlformats.org/drawingml/2006/main">
                    <a:graphicData uri="http://schemas.openxmlformats.org/drawingml/2006/picture">
                      <pic:pic xmlns:pic="http://schemas.openxmlformats.org/drawingml/2006/picture">
                        <pic:nvPicPr>
                          <pic:cNvPr id="240" name="图片_8_SpCnt_212"/>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9525" cy="387350"/>
                  <wp:effectExtent l="0" t="0" r="635" b="8890"/>
                  <wp:wrapNone/>
                  <wp:docPr id="241" name="图片_9_SpCnt_7"/>
                  <wp:cNvGraphicFramePr/>
                  <a:graphic xmlns:a="http://schemas.openxmlformats.org/drawingml/2006/main">
                    <a:graphicData uri="http://schemas.openxmlformats.org/drawingml/2006/picture">
                      <pic:pic xmlns:pic="http://schemas.openxmlformats.org/drawingml/2006/picture">
                        <pic:nvPicPr>
                          <pic:cNvPr id="241" name="图片_9_SpCnt_7"/>
                          <pic:cNvPicPr/>
                        </pic:nvPicPr>
                        <pic:blipFill>
                          <a:blip r:embed="rId20"/>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42" name="图片_8_SpCnt_213"/>
                  <wp:cNvGraphicFramePr/>
                  <a:graphic xmlns:a="http://schemas.openxmlformats.org/drawingml/2006/main">
                    <a:graphicData uri="http://schemas.openxmlformats.org/drawingml/2006/picture">
                      <pic:pic xmlns:pic="http://schemas.openxmlformats.org/drawingml/2006/picture">
                        <pic:nvPicPr>
                          <pic:cNvPr id="242" name="图片_8_SpCnt_213"/>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9525" cy="387350"/>
                  <wp:effectExtent l="0" t="0" r="635" b="8890"/>
                  <wp:wrapNone/>
                  <wp:docPr id="243" name="图片_9_SpCnt_8"/>
                  <wp:cNvGraphicFramePr/>
                  <a:graphic xmlns:a="http://schemas.openxmlformats.org/drawingml/2006/main">
                    <a:graphicData uri="http://schemas.openxmlformats.org/drawingml/2006/picture">
                      <pic:pic xmlns:pic="http://schemas.openxmlformats.org/drawingml/2006/picture">
                        <pic:nvPicPr>
                          <pic:cNvPr id="243" name="图片_9_SpCnt_8"/>
                          <pic:cNvPicPr/>
                        </pic:nvPicPr>
                        <pic:blipFill>
                          <a:blip r:embed="rId20"/>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44" name="图片_8_SpCnt_214"/>
                  <wp:cNvGraphicFramePr/>
                  <a:graphic xmlns:a="http://schemas.openxmlformats.org/drawingml/2006/main">
                    <a:graphicData uri="http://schemas.openxmlformats.org/drawingml/2006/picture">
                      <pic:pic xmlns:pic="http://schemas.openxmlformats.org/drawingml/2006/picture">
                        <pic:nvPicPr>
                          <pic:cNvPr id="244" name="图片_8_SpCnt_214"/>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9525" cy="387350"/>
                  <wp:effectExtent l="0" t="0" r="635" b="8890"/>
                  <wp:wrapNone/>
                  <wp:docPr id="245" name="图片_9_SpCnt_9"/>
                  <wp:cNvGraphicFramePr/>
                  <a:graphic xmlns:a="http://schemas.openxmlformats.org/drawingml/2006/main">
                    <a:graphicData uri="http://schemas.openxmlformats.org/drawingml/2006/picture">
                      <pic:pic xmlns:pic="http://schemas.openxmlformats.org/drawingml/2006/picture">
                        <pic:nvPicPr>
                          <pic:cNvPr id="245" name="图片_9_SpCnt_9"/>
                          <pic:cNvPicPr/>
                        </pic:nvPicPr>
                        <pic:blipFill>
                          <a:blip r:embed="rId20"/>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9525" cy="387350"/>
                  <wp:effectExtent l="0" t="0" r="635" b="8890"/>
                  <wp:wrapNone/>
                  <wp:docPr id="246" name="图片_9_SpCnt_10"/>
                  <wp:cNvGraphicFramePr/>
                  <a:graphic xmlns:a="http://schemas.openxmlformats.org/drawingml/2006/main">
                    <a:graphicData uri="http://schemas.openxmlformats.org/drawingml/2006/picture">
                      <pic:pic xmlns:pic="http://schemas.openxmlformats.org/drawingml/2006/picture">
                        <pic:nvPicPr>
                          <pic:cNvPr id="246" name="图片_9_SpCnt_10"/>
                          <pic:cNvPicPr/>
                        </pic:nvPicPr>
                        <pic:blipFill>
                          <a:blip r:embed="rId20"/>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47" name="图片_8_SpCnt_215"/>
                  <wp:cNvGraphicFramePr/>
                  <a:graphic xmlns:a="http://schemas.openxmlformats.org/drawingml/2006/main">
                    <a:graphicData uri="http://schemas.openxmlformats.org/drawingml/2006/picture">
                      <pic:pic xmlns:pic="http://schemas.openxmlformats.org/drawingml/2006/picture">
                        <pic:nvPicPr>
                          <pic:cNvPr id="247" name="图片_8_SpCnt_215"/>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9525" cy="387350"/>
                  <wp:effectExtent l="0" t="0" r="635" b="8890"/>
                  <wp:wrapNone/>
                  <wp:docPr id="248" name="图片_83"/>
                  <wp:cNvGraphicFramePr/>
                  <a:graphic xmlns:a="http://schemas.openxmlformats.org/drawingml/2006/main">
                    <a:graphicData uri="http://schemas.openxmlformats.org/drawingml/2006/picture">
                      <pic:pic xmlns:pic="http://schemas.openxmlformats.org/drawingml/2006/picture">
                        <pic:nvPicPr>
                          <pic:cNvPr id="248" name="图片_83"/>
                          <pic:cNvPicPr/>
                        </pic:nvPicPr>
                        <pic:blipFill>
                          <a:blip r:embed="rId20"/>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49" name="图片_8_SpCnt_216"/>
                  <wp:cNvGraphicFramePr/>
                  <a:graphic xmlns:a="http://schemas.openxmlformats.org/drawingml/2006/main">
                    <a:graphicData uri="http://schemas.openxmlformats.org/drawingml/2006/picture">
                      <pic:pic xmlns:pic="http://schemas.openxmlformats.org/drawingml/2006/picture">
                        <pic:nvPicPr>
                          <pic:cNvPr id="249" name="图片_8_SpCnt_216"/>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9525" cy="387350"/>
                  <wp:effectExtent l="0" t="0" r="635" b="8890"/>
                  <wp:wrapNone/>
                  <wp:docPr id="250" name="图片_9_SpCnt_11"/>
                  <wp:cNvGraphicFramePr/>
                  <a:graphic xmlns:a="http://schemas.openxmlformats.org/drawingml/2006/main">
                    <a:graphicData uri="http://schemas.openxmlformats.org/drawingml/2006/picture">
                      <pic:pic xmlns:pic="http://schemas.openxmlformats.org/drawingml/2006/picture">
                        <pic:nvPicPr>
                          <pic:cNvPr id="250" name="图片_9_SpCnt_11"/>
                          <pic:cNvPicPr/>
                        </pic:nvPicPr>
                        <pic:blipFill>
                          <a:blip r:embed="rId20"/>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51" name="图片_8_SpCnt_217"/>
                  <wp:cNvGraphicFramePr/>
                  <a:graphic xmlns:a="http://schemas.openxmlformats.org/drawingml/2006/main">
                    <a:graphicData uri="http://schemas.openxmlformats.org/drawingml/2006/picture">
                      <pic:pic xmlns:pic="http://schemas.openxmlformats.org/drawingml/2006/picture">
                        <pic:nvPicPr>
                          <pic:cNvPr id="251" name="图片_8_SpCnt_217"/>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9525" cy="387350"/>
                  <wp:effectExtent l="0" t="0" r="635" b="8890"/>
                  <wp:wrapNone/>
                  <wp:docPr id="252" name="图片_9_SpCnt_12"/>
                  <wp:cNvGraphicFramePr/>
                  <a:graphic xmlns:a="http://schemas.openxmlformats.org/drawingml/2006/main">
                    <a:graphicData uri="http://schemas.openxmlformats.org/drawingml/2006/picture">
                      <pic:pic xmlns:pic="http://schemas.openxmlformats.org/drawingml/2006/picture">
                        <pic:nvPicPr>
                          <pic:cNvPr id="252" name="图片_9_SpCnt_12"/>
                          <pic:cNvPicPr/>
                        </pic:nvPicPr>
                        <pic:blipFill>
                          <a:blip r:embed="rId20"/>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53" name="图片_8_SpCnt_218"/>
                  <wp:cNvGraphicFramePr/>
                  <a:graphic xmlns:a="http://schemas.openxmlformats.org/drawingml/2006/main">
                    <a:graphicData uri="http://schemas.openxmlformats.org/drawingml/2006/picture">
                      <pic:pic xmlns:pic="http://schemas.openxmlformats.org/drawingml/2006/picture">
                        <pic:nvPicPr>
                          <pic:cNvPr id="253" name="图片_8_SpCnt_218"/>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54" name="图片_8_SpCnt_219"/>
                  <wp:cNvGraphicFramePr/>
                  <a:graphic xmlns:a="http://schemas.openxmlformats.org/drawingml/2006/main">
                    <a:graphicData uri="http://schemas.openxmlformats.org/drawingml/2006/picture">
                      <pic:pic xmlns:pic="http://schemas.openxmlformats.org/drawingml/2006/picture">
                        <pic:nvPicPr>
                          <pic:cNvPr id="254" name="图片_8_SpCnt_219"/>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55" name="图片_8_SpCnt_220"/>
                  <wp:cNvGraphicFramePr/>
                  <a:graphic xmlns:a="http://schemas.openxmlformats.org/drawingml/2006/main">
                    <a:graphicData uri="http://schemas.openxmlformats.org/drawingml/2006/picture">
                      <pic:pic xmlns:pic="http://schemas.openxmlformats.org/drawingml/2006/picture">
                        <pic:nvPicPr>
                          <pic:cNvPr id="255" name="图片_8_SpCnt_220"/>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9525" cy="387350"/>
                  <wp:effectExtent l="0" t="0" r="635" b="8890"/>
                  <wp:wrapNone/>
                  <wp:docPr id="256" name="图片_1_SpCnt_8"/>
                  <wp:cNvGraphicFramePr/>
                  <a:graphic xmlns:a="http://schemas.openxmlformats.org/drawingml/2006/main">
                    <a:graphicData uri="http://schemas.openxmlformats.org/drawingml/2006/picture">
                      <pic:pic xmlns:pic="http://schemas.openxmlformats.org/drawingml/2006/picture">
                        <pic:nvPicPr>
                          <pic:cNvPr id="256" name="图片_1_SpCnt_8"/>
                          <pic:cNvPicPr/>
                        </pic:nvPicPr>
                        <pic:blipFill>
                          <a:blip r:embed="rId21"/>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57" name="图片_8_SpCnt_221"/>
                  <wp:cNvGraphicFramePr/>
                  <a:graphic xmlns:a="http://schemas.openxmlformats.org/drawingml/2006/main">
                    <a:graphicData uri="http://schemas.openxmlformats.org/drawingml/2006/picture">
                      <pic:pic xmlns:pic="http://schemas.openxmlformats.org/drawingml/2006/picture">
                        <pic:nvPicPr>
                          <pic:cNvPr id="257" name="图片_8_SpCnt_221"/>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9525" cy="387350"/>
                  <wp:effectExtent l="0" t="0" r="635" b="8890"/>
                  <wp:wrapNone/>
                  <wp:docPr id="258" name="图片_1_SpCnt_9"/>
                  <wp:cNvGraphicFramePr/>
                  <a:graphic xmlns:a="http://schemas.openxmlformats.org/drawingml/2006/main">
                    <a:graphicData uri="http://schemas.openxmlformats.org/drawingml/2006/picture">
                      <pic:pic xmlns:pic="http://schemas.openxmlformats.org/drawingml/2006/picture">
                        <pic:nvPicPr>
                          <pic:cNvPr id="258" name="图片_1_SpCnt_9"/>
                          <pic:cNvPicPr/>
                        </pic:nvPicPr>
                        <pic:blipFill>
                          <a:blip r:embed="rId21"/>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59" name="图片_8_SpCnt_222"/>
                  <wp:cNvGraphicFramePr/>
                  <a:graphic xmlns:a="http://schemas.openxmlformats.org/drawingml/2006/main">
                    <a:graphicData uri="http://schemas.openxmlformats.org/drawingml/2006/picture">
                      <pic:pic xmlns:pic="http://schemas.openxmlformats.org/drawingml/2006/picture">
                        <pic:nvPicPr>
                          <pic:cNvPr id="259" name="图片_8_SpCnt_222"/>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9525" cy="387350"/>
                  <wp:effectExtent l="0" t="0" r="635" b="8890"/>
                  <wp:wrapNone/>
                  <wp:docPr id="260" name="图片_1_SpCnt_10"/>
                  <wp:cNvGraphicFramePr/>
                  <a:graphic xmlns:a="http://schemas.openxmlformats.org/drawingml/2006/main">
                    <a:graphicData uri="http://schemas.openxmlformats.org/drawingml/2006/picture">
                      <pic:pic xmlns:pic="http://schemas.openxmlformats.org/drawingml/2006/picture">
                        <pic:nvPicPr>
                          <pic:cNvPr id="260" name="图片_1_SpCnt_10"/>
                          <pic:cNvPicPr/>
                        </pic:nvPicPr>
                        <pic:blipFill>
                          <a:blip r:embed="rId21"/>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9525" cy="387350"/>
                  <wp:effectExtent l="0" t="0" r="635" b="8890"/>
                  <wp:wrapNone/>
                  <wp:docPr id="261" name="图片_1_SpCnt_11"/>
                  <wp:cNvGraphicFramePr/>
                  <a:graphic xmlns:a="http://schemas.openxmlformats.org/drawingml/2006/main">
                    <a:graphicData uri="http://schemas.openxmlformats.org/drawingml/2006/picture">
                      <pic:pic xmlns:pic="http://schemas.openxmlformats.org/drawingml/2006/picture">
                        <pic:nvPicPr>
                          <pic:cNvPr id="261" name="图片_1_SpCnt_11"/>
                          <pic:cNvPicPr/>
                        </pic:nvPicPr>
                        <pic:blipFill>
                          <a:blip r:embed="rId21"/>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62" name="图片_8_SpCnt_223"/>
                  <wp:cNvGraphicFramePr/>
                  <a:graphic xmlns:a="http://schemas.openxmlformats.org/drawingml/2006/main">
                    <a:graphicData uri="http://schemas.openxmlformats.org/drawingml/2006/picture">
                      <pic:pic xmlns:pic="http://schemas.openxmlformats.org/drawingml/2006/picture">
                        <pic:nvPicPr>
                          <pic:cNvPr id="262" name="图片_8_SpCnt_223"/>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9525" cy="387350"/>
                  <wp:effectExtent l="0" t="0" r="635" b="8890"/>
                  <wp:wrapNone/>
                  <wp:docPr id="263" name="图片_1_SpCnt_12"/>
                  <wp:cNvGraphicFramePr/>
                  <a:graphic xmlns:a="http://schemas.openxmlformats.org/drawingml/2006/main">
                    <a:graphicData uri="http://schemas.openxmlformats.org/drawingml/2006/picture">
                      <pic:pic xmlns:pic="http://schemas.openxmlformats.org/drawingml/2006/picture">
                        <pic:nvPicPr>
                          <pic:cNvPr id="263" name="图片_1_SpCnt_12"/>
                          <pic:cNvPicPr/>
                        </pic:nvPicPr>
                        <pic:blipFill>
                          <a:blip r:embed="rId21"/>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64" name="图片_8_SpCnt_224"/>
                  <wp:cNvGraphicFramePr/>
                  <a:graphic xmlns:a="http://schemas.openxmlformats.org/drawingml/2006/main">
                    <a:graphicData uri="http://schemas.openxmlformats.org/drawingml/2006/picture">
                      <pic:pic xmlns:pic="http://schemas.openxmlformats.org/drawingml/2006/picture">
                        <pic:nvPicPr>
                          <pic:cNvPr id="264" name="图片_8_SpCnt_224"/>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9525" cy="387350"/>
                  <wp:effectExtent l="0" t="0" r="635" b="8890"/>
                  <wp:wrapNone/>
                  <wp:docPr id="265" name="图片_1_SpCnt_13"/>
                  <wp:cNvGraphicFramePr/>
                  <a:graphic xmlns:a="http://schemas.openxmlformats.org/drawingml/2006/main">
                    <a:graphicData uri="http://schemas.openxmlformats.org/drawingml/2006/picture">
                      <pic:pic xmlns:pic="http://schemas.openxmlformats.org/drawingml/2006/picture">
                        <pic:nvPicPr>
                          <pic:cNvPr id="265" name="图片_1_SpCnt_13"/>
                          <pic:cNvPicPr/>
                        </pic:nvPicPr>
                        <pic:blipFill>
                          <a:blip r:embed="rId21"/>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66" name="图片_8_SpCnt_225"/>
                  <wp:cNvGraphicFramePr/>
                  <a:graphic xmlns:a="http://schemas.openxmlformats.org/drawingml/2006/main">
                    <a:graphicData uri="http://schemas.openxmlformats.org/drawingml/2006/picture">
                      <pic:pic xmlns:pic="http://schemas.openxmlformats.org/drawingml/2006/picture">
                        <pic:nvPicPr>
                          <pic:cNvPr id="266" name="图片_8_SpCnt_225"/>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9525" cy="387350"/>
                  <wp:effectExtent l="0" t="0" r="635" b="8890"/>
                  <wp:wrapNone/>
                  <wp:docPr id="267" name="图片_1_SpCnt_14"/>
                  <wp:cNvGraphicFramePr/>
                  <a:graphic xmlns:a="http://schemas.openxmlformats.org/drawingml/2006/main">
                    <a:graphicData uri="http://schemas.openxmlformats.org/drawingml/2006/picture">
                      <pic:pic xmlns:pic="http://schemas.openxmlformats.org/drawingml/2006/picture">
                        <pic:nvPicPr>
                          <pic:cNvPr id="267" name="图片_1_SpCnt_14"/>
                          <pic:cNvPicPr/>
                        </pic:nvPicPr>
                        <pic:blipFill>
                          <a:blip r:embed="rId21"/>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9525" cy="387350"/>
                  <wp:effectExtent l="0" t="0" r="635" b="8890"/>
                  <wp:wrapNone/>
                  <wp:docPr id="268" name="图片_1_SpCnt_15"/>
                  <wp:cNvGraphicFramePr/>
                  <a:graphic xmlns:a="http://schemas.openxmlformats.org/drawingml/2006/main">
                    <a:graphicData uri="http://schemas.openxmlformats.org/drawingml/2006/picture">
                      <pic:pic xmlns:pic="http://schemas.openxmlformats.org/drawingml/2006/picture">
                        <pic:nvPicPr>
                          <pic:cNvPr id="268" name="图片_1_SpCnt_15"/>
                          <pic:cNvPicPr/>
                        </pic:nvPicPr>
                        <pic:blipFill>
                          <a:blip r:embed="rId21"/>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69" name="图片_8_SpCnt_226"/>
                  <wp:cNvGraphicFramePr/>
                  <a:graphic xmlns:a="http://schemas.openxmlformats.org/drawingml/2006/main">
                    <a:graphicData uri="http://schemas.openxmlformats.org/drawingml/2006/picture">
                      <pic:pic xmlns:pic="http://schemas.openxmlformats.org/drawingml/2006/picture">
                        <pic:nvPicPr>
                          <pic:cNvPr id="269" name="图片_8_SpCnt_226"/>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9525" cy="759460"/>
                  <wp:effectExtent l="0" t="0" r="635" b="2540"/>
                  <wp:wrapNone/>
                  <wp:docPr id="270" name="图片_8_SpCnt_227"/>
                  <wp:cNvGraphicFramePr/>
                  <a:graphic xmlns:a="http://schemas.openxmlformats.org/drawingml/2006/main">
                    <a:graphicData uri="http://schemas.openxmlformats.org/drawingml/2006/picture">
                      <pic:pic xmlns:pic="http://schemas.openxmlformats.org/drawingml/2006/picture">
                        <pic:nvPicPr>
                          <pic:cNvPr id="270" name="图片_8_SpCnt_227"/>
                          <pic:cNvPicPr/>
                        </pic:nvPicPr>
                        <pic:blipFill>
                          <a:blip r:embed="rId17"/>
                          <a:stretch>
                            <a:fillRect/>
                          </a:stretch>
                        </pic:blipFill>
                        <pic:spPr>
                          <a:xfrm>
                            <a:off x="0" y="0"/>
                            <a:ext cx="9525" cy="7594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9525" cy="387350"/>
                  <wp:effectExtent l="0" t="0" r="635" b="8890"/>
                  <wp:wrapNone/>
                  <wp:docPr id="271" name="图片_1_SpCnt_16"/>
                  <wp:cNvGraphicFramePr/>
                  <a:graphic xmlns:a="http://schemas.openxmlformats.org/drawingml/2006/main">
                    <a:graphicData uri="http://schemas.openxmlformats.org/drawingml/2006/picture">
                      <pic:pic xmlns:pic="http://schemas.openxmlformats.org/drawingml/2006/picture">
                        <pic:nvPicPr>
                          <pic:cNvPr id="271" name="图片_1_SpCnt_16"/>
                          <pic:cNvPicPr/>
                        </pic:nvPicPr>
                        <pic:blipFill>
                          <a:blip r:embed="rId21"/>
                          <a:stretch>
                            <a:fillRect/>
                          </a:stretch>
                        </pic:blipFill>
                        <pic:spPr>
                          <a:xfrm>
                            <a:off x="0" y="0"/>
                            <a:ext cx="9525" cy="3873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56</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19D1D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六足机器人</w:t>
            </w:r>
          </w:p>
        </w:tc>
        <w:tc>
          <w:tcPr>
            <w:tcW w:w="9953" w:type="dxa"/>
            <w:tcBorders>
              <w:top w:val="single" w:color="000000" w:sz="4" w:space="0"/>
              <w:left w:val="single" w:color="000000" w:sz="4" w:space="0"/>
              <w:bottom w:val="single" w:color="000000" w:sz="4" w:space="0"/>
              <w:right w:val="single" w:color="000000" w:sz="4" w:space="0"/>
            </w:tcBorders>
            <w:noWrap w:val="0"/>
            <w:vAlign w:val="center"/>
          </w:tcPr>
          <w:p w14:paraId="4F2298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由度：24自由度；颜色：黑/蓝色；材质：铝合金材质；电池：带保护可充电2S锂电池；编程：支持zide图形化编程、支持arduino二次开发；调试：无线调试；控制：支持手柄控制、蓝牙控制、支持手套控制，支持联网控制，红外遥控器控制，支持多机联动控制；支持语音识别；语音：支持mp3播放；视觉：K210视觉识别模块、教程：提供详细的开发课程；舵机扭力：20kg.cm；舵机通信方式：串行单总线；舵机通信速率：115200；舵机接口：5264接口；</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3D31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3DA76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AEAB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ign w:val="center"/>
          </w:tcPr>
          <w:p w14:paraId="414DD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80BFF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机械臂机器人</w:t>
            </w:r>
          </w:p>
        </w:tc>
        <w:tc>
          <w:tcPr>
            <w:tcW w:w="9953" w:type="dxa"/>
            <w:tcBorders>
              <w:top w:val="single" w:color="000000" w:sz="4" w:space="0"/>
              <w:left w:val="single" w:color="000000" w:sz="4" w:space="0"/>
              <w:bottom w:val="single" w:color="000000" w:sz="4" w:space="0"/>
              <w:right w:val="single" w:color="000000" w:sz="4" w:space="0"/>
            </w:tcBorders>
            <w:noWrap w:val="0"/>
            <w:vAlign w:val="center"/>
          </w:tcPr>
          <w:p w14:paraId="62C1CE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使用无线PS2遥控，控制小车以及车载的机械臂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使用PS2遥控控制小车的前进后退，左转右转，以及车载上的4自由度的机械臂。PS2手柄上的上下左右控制小车行动，两个摇杆和按键控制4自由度的机械臂。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三、电子模块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（1）主控 nano：一款基于ATmega328P微控制器的小型开发板，因其紧凑的体积和丰富的功能，即使在有限的空间内依然能够实现复杂的控制逻辑。Nano提供了多种接口和功能，如模拟输入，数字输入输出，PWM，SPI，I2C等，使其在嵌入式系统开发中具有广泛应用。</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（2）无线通信 PS2：主要由手柄和接收器两部分组成，手柄负责发送按键信息，接收器则负责接收这些信息并将其转换为可用的信号。当手柄与接收器接通电源并打开开关时，它们会自动配对连接。配对成功后，接收器上的绿灯会常亮，手柄上的灯也会常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（3）机械臂 4自由度：一种可编程的装置，具有与人类手臂相似的功能，能够通过关节连接完成各种复杂的操作任务。机械臂通常由一系列刚性构件（连杆）通过关节联结而成，这些关节可以是移动关节或旋转关节，分别实现平移和旋转运动。4自由度的机械臂，由4个舵机和连接件组成，可以实现前后，左右，上下，抓取松开等动作</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（4）电机驱动：一种双H桥电机驱动芯片，其中每个H桥可以提供2A的电流，功率部分的供电电压范围是2.5-48v，逻辑部分5v供电，接受5vTTL电平。一般情况下，功率部分的电压应大于6V否则芯片可能不能正常工作。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（5）舵机转接板：在高性能电源的支持下，可以先给舵机转接板供电，经过降压后给舵机供电，而这次降压可看做一次隔离，就可以将电源分流给主控供电。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四、编程平台参数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可使用如Mind+纯图形化编程软件进行编程，也可以使用兼容Arduino软硬件开发平台。</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3010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4556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8D95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000000" w:sz="4" w:space="0"/>
              <w:right w:val="single" w:color="000000" w:sz="4" w:space="0"/>
            </w:tcBorders>
            <w:noWrap/>
            <w:vAlign w:val="center"/>
          </w:tcPr>
          <w:p w14:paraId="0EB6E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46915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超声波避障机器人</w:t>
            </w:r>
          </w:p>
        </w:tc>
        <w:tc>
          <w:tcPr>
            <w:tcW w:w="9953" w:type="dxa"/>
            <w:tcBorders>
              <w:top w:val="single" w:color="000000" w:sz="4" w:space="0"/>
              <w:left w:val="single" w:color="000000" w:sz="4" w:space="0"/>
              <w:bottom w:val="single" w:color="000000" w:sz="4" w:space="0"/>
              <w:right w:val="single" w:color="000000" w:sz="4" w:space="0"/>
            </w:tcBorders>
            <w:noWrap w:val="0"/>
            <w:vAlign w:val="center"/>
          </w:tcPr>
          <w:p w14:paraId="37E296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一、产品描述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利用超声波模块实现躲避障碍物的功能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在程序中设定一个避障距离，当超声波模块检测到的距离数值小于设定的数值时，小车进行寻路，让舵机带动超声波模块，分别转向左右两边，与此同时采集超声波模块数据，此时对左右检测数据进行比较，选择距离数值较大的一方进行转向，从而实现避障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三、电子模块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（1）主控 nano：基于ATmega328P微控制器的小型开发板，因其紧凑的体积和丰富的功能，即使在有限的空间内依然能够实现复杂的控制逻辑。主板提供了多种接口和功能，如模拟输入，数字输入输出，PWM，SPI，I2C等，使其在嵌入式系统开发中具有广泛应用。</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（2）传感器 超声波模块：一种常用的测距模块，它通过检测超声波发射后遇到障碍物所反射的回波，从而测量出与障碍物之间的距离。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（3）执行器 舵机：一种位置（角度）伺服的驱动器，适用于需要角度不断变化并可以保持的控制系统。舵机主要由直流电机、减速齿轮组、传感器和控制电路组成，通过发送信号指定输出轴旋转角度</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（4）电机驱动：一种双H桥电机驱动芯片，其中每个H桥可以提供2A的电流，功率部分的供电电压范围是2.5-48v，逻辑部分5v供电，接受5vTTL电平。一般情况下，功率部分的电压应大于6V否则芯片可能不能正常工作。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三、编程平台参数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可使用如Mind+纯图形化编程软件进行编程，也可以使用兼容Arduino软硬件开发平台。</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7EEB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4CBE2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A982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3035" w:type="dxa"/>
            <w:gridSpan w:val="5"/>
            <w:tcBorders>
              <w:top w:val="single" w:color="000000" w:sz="8" w:space="0"/>
              <w:left w:val="single" w:color="000000" w:sz="8" w:space="0"/>
              <w:bottom w:val="single" w:color="000000" w:sz="8" w:space="0"/>
              <w:right w:val="nil"/>
            </w:tcBorders>
            <w:noWrap w:val="0"/>
            <w:vAlign w:val="center"/>
          </w:tcPr>
          <w:p w14:paraId="070527B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服务与平台部分</w:t>
            </w:r>
          </w:p>
        </w:tc>
      </w:tr>
      <w:tr w14:paraId="2D792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nil"/>
              <w:left w:val="single" w:color="000000" w:sz="8" w:space="0"/>
              <w:bottom w:val="single" w:color="auto" w:sz="4" w:space="0"/>
              <w:right w:val="single" w:color="000000" w:sz="4" w:space="0"/>
            </w:tcBorders>
            <w:noWrap/>
            <w:vAlign w:val="center"/>
          </w:tcPr>
          <w:p w14:paraId="052AA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927" w:type="dxa"/>
            <w:tcBorders>
              <w:top w:val="nil"/>
              <w:left w:val="single" w:color="000000" w:sz="4" w:space="0"/>
              <w:bottom w:val="single" w:color="auto" w:sz="4" w:space="0"/>
              <w:right w:val="single" w:color="000000" w:sz="4" w:space="0"/>
            </w:tcBorders>
            <w:noWrap/>
            <w:vAlign w:val="center"/>
          </w:tcPr>
          <w:p w14:paraId="769E6C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产品培训</w:t>
            </w:r>
          </w:p>
        </w:tc>
        <w:tc>
          <w:tcPr>
            <w:tcW w:w="9953" w:type="dxa"/>
            <w:tcBorders>
              <w:top w:val="nil"/>
              <w:left w:val="single" w:color="000000" w:sz="4" w:space="0"/>
              <w:bottom w:val="single" w:color="auto" w:sz="4" w:space="0"/>
              <w:right w:val="single" w:color="000000" w:sz="4" w:space="0"/>
            </w:tcBorders>
            <w:noWrap w:val="0"/>
            <w:vAlign w:val="center"/>
          </w:tcPr>
          <w:p w14:paraId="562CDE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1.设备安装完提供产品培训服务，服务具体包括带领老师学习所供设备的使用，</w:t>
            </w:r>
          </w:p>
        </w:tc>
        <w:tc>
          <w:tcPr>
            <w:tcW w:w="787" w:type="dxa"/>
            <w:tcBorders>
              <w:top w:val="nil"/>
              <w:left w:val="single" w:color="000000" w:sz="4" w:space="0"/>
              <w:bottom w:val="single" w:color="auto" w:sz="4" w:space="0"/>
              <w:right w:val="single" w:color="000000" w:sz="4" w:space="0"/>
            </w:tcBorders>
            <w:noWrap w:val="0"/>
            <w:vAlign w:val="center"/>
          </w:tcPr>
          <w:p w14:paraId="6DC3C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87" w:type="dxa"/>
            <w:tcBorders>
              <w:top w:val="nil"/>
              <w:left w:val="single" w:color="000000" w:sz="4" w:space="0"/>
              <w:bottom w:val="single" w:color="auto" w:sz="4" w:space="0"/>
              <w:right w:val="single" w:color="000000" w:sz="4" w:space="0"/>
            </w:tcBorders>
            <w:noWrap/>
            <w:vAlign w:val="center"/>
          </w:tcPr>
          <w:p w14:paraId="4BA23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CDD4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single" w:color="auto" w:sz="4" w:space="0"/>
              <w:left w:val="single" w:color="auto" w:sz="4" w:space="0"/>
              <w:bottom w:val="single" w:color="auto" w:sz="4" w:space="0"/>
              <w:right w:val="single" w:color="auto" w:sz="4" w:space="0"/>
            </w:tcBorders>
            <w:noWrap/>
            <w:vAlign w:val="center"/>
          </w:tcPr>
          <w:p w14:paraId="3DFD3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27" w:type="dxa"/>
            <w:tcBorders>
              <w:top w:val="single" w:color="auto" w:sz="4" w:space="0"/>
              <w:left w:val="single" w:color="auto" w:sz="4" w:space="0"/>
              <w:bottom w:val="single" w:color="auto" w:sz="4" w:space="0"/>
              <w:right w:val="single" w:color="auto" w:sz="4" w:space="0"/>
            </w:tcBorders>
            <w:noWrap/>
            <w:vAlign w:val="center"/>
          </w:tcPr>
          <w:p w14:paraId="70D227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教师成长平台</w:t>
            </w:r>
          </w:p>
        </w:tc>
        <w:tc>
          <w:tcPr>
            <w:tcW w:w="9953" w:type="dxa"/>
            <w:tcBorders>
              <w:top w:val="single" w:color="auto" w:sz="4" w:space="0"/>
              <w:left w:val="single" w:color="auto" w:sz="4" w:space="0"/>
              <w:bottom w:val="single" w:color="auto" w:sz="4" w:space="0"/>
              <w:right w:val="single" w:color="auto" w:sz="4" w:space="0"/>
            </w:tcBorders>
            <w:noWrap w:val="0"/>
            <w:vAlign w:val="center"/>
          </w:tcPr>
          <w:p w14:paraId="71FBCC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教师成长平台，围绕人工智能系列课程，以先进的人工智能技术为支撑，以领先的思维型教学为途径，旨在锤炼人工智能教师队伍，让教师成长为有温度的赋能者，让学生在智能时代熠熠生辉。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1、系统采用云端的方式进行部署，方便进行维护和更新。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2、系统基于 B/S 架构，用户通过浏览器即可访问，无需下载或安装单独的客户端软件。系统支持 IE、Google Chrome、Firefox 等主流浏览器访问；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3、系统支持不同类型的课程资源的在线预览，包括 doc、xls、ppt、pdf 等文档类资源 png、jpg 等图片类资源，rmv、mp4等视频类资源，并且无需单独安装插件，即可在线访问所有资源；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4、平台课程中心包含专业学习模块、课堂教学模块、学生课程模块。（提供截图证明，并加盖厂家公章）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5、专业学习模块：提供人工智能、创客教育专业课程体系，从0到1让老师和学生快速了解人工智能。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在专业学习模块，免费提供不少于28课时的教师在线课程，包含且不限于以下几大模块：机械设计课程、物联网课程、开源硬件课程、初识人工智能课程、简单机械课程、Python编程课程、人工智能通识课程、人工智能时代的核心思维和图形化编程课程。（提供截图证明，并加盖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6、课堂教学模块：深度解读人工智能课程构建与教学的原理，直接呈现多种课型的教学过程，互动研讨教学案例，生成教学智慧与机智。</w:t>
            </w:r>
            <w:r>
              <w:rPr>
                <w:rFonts w:hint="eastAsia" w:ascii="宋体" w:hAnsi="宋体" w:eastAsia="宋体" w:cs="宋体"/>
                <w:i w:val="0"/>
                <w:iCs w:val="0"/>
                <w:color w:val="000000"/>
                <w:kern w:val="0"/>
                <w:sz w:val="18"/>
                <w:szCs w:val="18"/>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在课程教学模块，免费提供不少于15课时的教师在线课程学习，包含且不限于以下四大模块：人工智能课程建构的TPI模型、思维型教学理论、人工智能素养与课程构建和人工智能通识课程视频案例。（提供截图证明，并加盖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7、平台支持教师将自研的课程资源上传至平台，在线课程学习，在线交流互动；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8、提供优质丰富持续更新的创新课程；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9、提供创客主题社区讨论，为学生提供更多新鲜想法，扩展视野，分享经验，通过交流探讨获激发更多的创造力；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10、能实时分享教育最新资讯。</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0ED05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auto" w:sz="4" w:space="0"/>
              <w:left w:val="single" w:color="auto" w:sz="4" w:space="0"/>
              <w:bottom w:val="single" w:color="auto" w:sz="4" w:space="0"/>
              <w:right w:val="single" w:color="auto" w:sz="4" w:space="0"/>
            </w:tcBorders>
            <w:noWrap/>
            <w:vAlign w:val="center"/>
          </w:tcPr>
          <w:p w14:paraId="6371E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443E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81" w:type="dxa"/>
            <w:tcBorders>
              <w:top w:val="single" w:color="auto" w:sz="4" w:space="0"/>
              <w:left w:val="single" w:color="auto" w:sz="4" w:space="0"/>
              <w:bottom w:val="single" w:color="auto" w:sz="4" w:space="0"/>
              <w:right w:val="single" w:color="auto" w:sz="4" w:space="0"/>
            </w:tcBorders>
            <w:noWrap/>
            <w:vAlign w:val="center"/>
          </w:tcPr>
          <w:p w14:paraId="0FE440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15D593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创客教育云平台</w:t>
            </w:r>
          </w:p>
        </w:tc>
        <w:tc>
          <w:tcPr>
            <w:tcW w:w="9953" w:type="dxa"/>
            <w:tcBorders>
              <w:top w:val="single" w:color="auto" w:sz="4" w:space="0"/>
              <w:left w:val="single" w:color="auto" w:sz="4" w:space="0"/>
              <w:bottom w:val="single" w:color="auto" w:sz="4" w:space="0"/>
              <w:right w:val="single" w:color="auto" w:sz="4" w:space="0"/>
            </w:tcBorders>
            <w:noWrap w:val="0"/>
            <w:vAlign w:val="center"/>
          </w:tcPr>
          <w:p w14:paraId="17A49A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1、系统采用云端的方式进行部署，方便进行维护和更新。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2、系统基于 B/S 架构，用户通过浏览器即可访问，无需下载或安装单独的客户端软件。系统支持 IE、Google Chrome、Firefox 等主流浏览器访问；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3、系统支持不同类型的课程资源的在线预览，包括 doc、xls、ppt、pdf 等文档类资源 png、jpg 等图片类资源，rmv、mp4等视频类资源，并且无需单独安装插件，即可在线访问所有资源；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4、教师端：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1）数据统计当前班级数、学生数、上课数、作品数；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2）了解学生基本信息，支持添加班级所有作品视频及评分、查看学生课后知识点测评情况；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3）平台支持以班级为维度记录学生每课时作品情况、测评情况、课程表现并汇总；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4）平台支持教师管理班级学生，新增/编辑/删除等操作；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5）平台支持教师线上批改学生作业，可从编程技术、创意表达、计算思维、艺术审美、创新思维多维度评测；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5、学生端：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1）平台可全面覆盖查询自己的学习课程，提交自己的作品，回顾学习还支持再编辑；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2）平台支持知晓当前课程学习进度，方便学生进入快速学习；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4）平台支持同一页面进行视频，教案，讲义文档学习；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5）平台支持随堂测评；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6）平台支持学生自己作品创作视频永久保存，随时复习时可查看；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6、家长端：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1）支持获取学生学情报告，协助家长合理规划学生学习，快速掌握学生学习情况；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7、课程资源模块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1）为适应中小学 STEAM/创客教育/人工智能教育，使学生操作更加简便方便教师应用，课程资源系统以模块化内容展示，首页即可对所有主题课程进行预览；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2）课程资源包含人工智能、编程、机器人、竞赛、3D打印等主题课程，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3）课程资源包含教学设计、教学PPT、学生用书、作品视频、搭建图、参考程序等；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4）课程资源以思维型教学理论为支撑进行开发，教学设计包含：教学内容分析，核心问题分解体系，教学目标，教学资源与准备和教学流程与提示5个环节；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18"/>
                <w:szCs w:val="18"/>
                <w:u w:val="none"/>
                <w:lang w:val="en-US" w:eastAsia="zh-CN" w:bidi="ar"/>
              </w:rPr>
              <w:t>8、投标时需要提供相应平台的软件著作权证书。（须提供软著证书复印件或影印件证明,并加盖厂家公章）</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6FBF2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56E3C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14:paraId="31553A9A">
      <w:pPr>
        <w:rPr>
          <w:b/>
          <w:color w:val="auto"/>
          <w:sz w:val="24"/>
        </w:rPr>
      </w:pPr>
    </w:p>
    <w:tbl>
      <w:tblPr>
        <w:tblStyle w:val="44"/>
        <w:tblW w:w="130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8"/>
        <w:gridCol w:w="1354"/>
        <w:gridCol w:w="2468"/>
        <w:gridCol w:w="1037"/>
        <w:gridCol w:w="5263"/>
        <w:gridCol w:w="1118"/>
        <w:gridCol w:w="618"/>
        <w:gridCol w:w="619"/>
      </w:tblGrid>
      <w:tr w14:paraId="6B7AF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4" w:hRule="atLeast"/>
        </w:trPr>
        <w:tc>
          <w:tcPr>
            <w:tcW w:w="13095" w:type="dxa"/>
            <w:gridSpan w:val="8"/>
            <w:tcBorders>
              <w:top w:val="single" w:color="000000" w:sz="4" w:space="0"/>
              <w:left w:val="single" w:color="000000" w:sz="4" w:space="0"/>
              <w:bottom w:val="single" w:color="000000" w:sz="4" w:space="0"/>
              <w:right w:val="single" w:color="000000" w:sz="4" w:space="0"/>
            </w:tcBorders>
            <w:noWrap w:val="0"/>
            <w:vAlign w:val="center"/>
          </w:tcPr>
          <w:p w14:paraId="536417BF">
            <w:pPr>
              <w:keepNext w:val="0"/>
              <w:keepLines w:val="0"/>
              <w:widowControl/>
              <w:suppressLineNumbers w:val="0"/>
              <w:jc w:val="center"/>
              <w:textAlignment w:val="center"/>
              <w:rPr>
                <w:rFonts w:hint="eastAsia" w:ascii="宋体" w:hAnsi="宋体" w:eastAsia="宋体" w:cs="宋体"/>
                <w:b/>
                <w:bCs/>
                <w:i w:val="0"/>
                <w:iCs w:val="0"/>
                <w:color w:val="000000"/>
                <w:sz w:val="52"/>
                <w:szCs w:val="52"/>
                <w:u w:val="none"/>
              </w:rPr>
            </w:pPr>
            <w:r>
              <w:rPr>
                <w:rFonts w:hint="eastAsia" w:ascii="宋体" w:hAnsi="宋体" w:eastAsia="宋体" w:cs="宋体"/>
                <w:b/>
                <w:bCs/>
                <w:i w:val="0"/>
                <w:iCs w:val="0"/>
                <w:color w:val="000000"/>
                <w:kern w:val="0"/>
                <w:sz w:val="52"/>
                <w:szCs w:val="52"/>
                <w:u w:val="none"/>
                <w:lang w:val="en-US" w:eastAsia="zh-CN" w:bidi="ar"/>
              </w:rPr>
              <w:t xml:space="preserve"> </w:t>
            </w:r>
            <w:r>
              <w:rPr>
                <w:rFonts w:hint="eastAsia" w:ascii="宋体" w:hAnsi="宋体" w:eastAsia="宋体" w:cs="宋体"/>
                <w:b/>
                <w:bCs/>
                <w:i w:val="0"/>
                <w:iCs w:val="0"/>
                <w:color w:val="000000"/>
                <w:kern w:val="0"/>
                <w:sz w:val="40"/>
                <w:szCs w:val="40"/>
                <w:u w:val="none"/>
                <w:lang w:val="en-US" w:eastAsia="zh-CN" w:bidi="ar"/>
              </w:rPr>
              <w:t>心理辅导室建设清单</w:t>
            </w:r>
          </w:p>
        </w:tc>
      </w:tr>
      <w:tr w14:paraId="6D1F2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noWrap/>
            <w:vAlign w:val="center"/>
          </w:tcPr>
          <w:p w14:paraId="3B4A42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序列</w:t>
            </w:r>
          </w:p>
        </w:tc>
        <w:tc>
          <w:tcPr>
            <w:tcW w:w="1354" w:type="dxa"/>
            <w:tcBorders>
              <w:top w:val="single" w:color="000000" w:sz="4" w:space="0"/>
              <w:left w:val="single" w:color="000000" w:sz="4" w:space="0"/>
              <w:bottom w:val="single" w:color="000000" w:sz="4" w:space="0"/>
              <w:right w:val="single" w:color="000000" w:sz="4" w:space="0"/>
            </w:tcBorders>
            <w:noWrap/>
            <w:vAlign w:val="center"/>
          </w:tcPr>
          <w:p w14:paraId="36C401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功能室（参考面积）</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570D59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功能室介绍</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10D079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5263" w:type="dxa"/>
            <w:tcBorders>
              <w:top w:val="single" w:color="000000" w:sz="4" w:space="0"/>
              <w:left w:val="single" w:color="000000" w:sz="4" w:space="0"/>
              <w:bottom w:val="single" w:color="000000" w:sz="4" w:space="0"/>
              <w:right w:val="single" w:color="000000" w:sz="4" w:space="0"/>
            </w:tcBorders>
            <w:noWrap/>
            <w:vAlign w:val="center"/>
          </w:tcPr>
          <w:p w14:paraId="65381D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5AFC31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产品作用说明</w:t>
            </w:r>
          </w:p>
        </w:tc>
        <w:tc>
          <w:tcPr>
            <w:tcW w:w="618" w:type="dxa"/>
            <w:tcBorders>
              <w:top w:val="single" w:color="000000" w:sz="4" w:space="0"/>
              <w:left w:val="single" w:color="000000" w:sz="4" w:space="0"/>
              <w:bottom w:val="single" w:color="000000" w:sz="4" w:space="0"/>
              <w:right w:val="single" w:color="000000" w:sz="4" w:space="0"/>
            </w:tcBorders>
            <w:noWrap/>
            <w:vAlign w:val="center"/>
          </w:tcPr>
          <w:p w14:paraId="4BB259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6CA853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370B2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6"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33211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4" w:type="dxa"/>
            <w:vMerge w:val="restart"/>
            <w:tcBorders>
              <w:top w:val="single" w:color="000000" w:sz="4" w:space="0"/>
              <w:left w:val="single" w:color="000000" w:sz="4" w:space="0"/>
              <w:bottom w:val="single" w:color="000000" w:sz="4" w:space="0"/>
              <w:right w:val="single" w:color="000000" w:sz="4" w:space="0"/>
            </w:tcBorders>
            <w:noWrap w:val="0"/>
            <w:vAlign w:val="top"/>
          </w:tcPr>
          <w:p w14:paraId="466D53A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办公接待室15平米</w:t>
            </w:r>
          </w:p>
        </w:tc>
        <w:tc>
          <w:tcPr>
            <w:tcW w:w="2468" w:type="dxa"/>
            <w:vMerge w:val="restart"/>
            <w:tcBorders>
              <w:top w:val="single" w:color="000000" w:sz="4" w:space="0"/>
              <w:left w:val="single" w:color="000000" w:sz="4" w:space="0"/>
              <w:bottom w:val="single" w:color="000000" w:sz="4" w:space="0"/>
              <w:right w:val="single" w:color="000000" w:sz="4" w:space="0"/>
            </w:tcBorders>
            <w:noWrap w:val="0"/>
            <w:vAlign w:val="top"/>
          </w:tcPr>
          <w:p w14:paraId="7C943BC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1、心理教师办公、接待来访者、登记来访者预约信息、存放来访者心理档案、管理心理教育室和心理辅导室的场所，可以实现办公、接待、管理等功能。</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57071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w:t>
            </w:r>
          </w:p>
        </w:tc>
        <w:tc>
          <w:tcPr>
            <w:tcW w:w="5263" w:type="dxa"/>
            <w:tcBorders>
              <w:top w:val="single" w:color="000000" w:sz="4" w:space="0"/>
              <w:left w:val="single" w:color="000000" w:sz="4" w:space="0"/>
              <w:bottom w:val="single" w:color="000000" w:sz="4" w:space="0"/>
              <w:right w:val="single" w:color="000000" w:sz="4" w:space="0"/>
            </w:tcBorders>
            <w:noWrap w:val="0"/>
            <w:vAlign w:val="center"/>
          </w:tcPr>
          <w:p w14:paraId="036BAF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1.CPU：主频≥2.7GHz 、≥8核处理器8线程，二级缓存≥8MB。</w:t>
            </w:r>
          </w:p>
          <w:p w14:paraId="72ECE6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2.内存：8GB DDR5 4800MT/s 内存。</w:t>
            </w:r>
          </w:p>
          <w:p w14:paraId="16E5E3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3.硬盘：≥256GB M.2 NVMe SSD硬盘</w:t>
            </w:r>
          </w:p>
          <w:p w14:paraId="3D8343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4.集成标准声卡。</w:t>
            </w:r>
          </w:p>
          <w:p w14:paraId="7763E0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5.主板：ZX200芯片组</w:t>
            </w:r>
          </w:p>
          <w:p w14:paraId="5106C1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6.前置面板：USB3.0≥3个；TypeC≥1个；音频接口≥1个（支持耳机麦克风二合一）</w:t>
            </w:r>
          </w:p>
          <w:p w14:paraId="37FBAE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支持物理网络开关按键。</w:t>
            </w:r>
          </w:p>
          <w:p w14:paraId="2AB038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r>
              <w:rPr>
                <w:rFonts w:hint="eastAsia" w:ascii="Microsoft YaHei UI" w:hAnsi="Microsoft YaHei UI" w:eastAsia="Microsoft YaHei UI" w:cs="Microsoft YaHei UI"/>
                <w:i w:val="0"/>
                <w:iCs w:val="0"/>
                <w:color w:val="000000"/>
                <w:kern w:val="0"/>
                <w:sz w:val="16"/>
                <w:szCs w:val="16"/>
                <w:u w:val="none"/>
                <w:lang w:val="en-US" w:eastAsia="zh-CN" w:bidi="ar"/>
              </w:rPr>
              <w:t>▲</w:t>
            </w:r>
            <w:r>
              <w:rPr>
                <w:rFonts w:hint="eastAsia" w:ascii="宋体" w:hAnsi="宋体" w:eastAsia="宋体" w:cs="宋体"/>
                <w:i w:val="0"/>
                <w:iCs w:val="0"/>
                <w:color w:val="000000"/>
                <w:kern w:val="0"/>
                <w:sz w:val="20"/>
                <w:szCs w:val="20"/>
                <w:u w:val="none"/>
                <w:lang w:val="en-US" w:eastAsia="zh-CN" w:bidi="ar"/>
              </w:rPr>
              <w:t>关机状态下，支持≥3前置USB端口对外供电。</w:t>
            </w:r>
          </w:p>
          <w:p w14:paraId="2F2306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9.后置面板：USB3.0≥4个；HDMI输出≥1个；VGA输出≥1个；音频输入≥2个；音频输出≥1个；RJ45≥1个；PS/2≥2个；串口≥1个。</w:t>
            </w:r>
          </w:p>
          <w:p w14:paraId="63745C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10.集成显卡</w:t>
            </w:r>
          </w:p>
          <w:p w14:paraId="4F0C28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11.内部插槽：PCIEX16≥1个（支持拓展独立显卡）；PCIEX8≥2个；M.2≥2个；SATA≥4个。</w:t>
            </w:r>
          </w:p>
          <w:p w14:paraId="2F8C35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12.机箱体积：≤8L。</w:t>
            </w:r>
          </w:p>
          <w:p w14:paraId="2C9D34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13.电源功率：≤200W。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显示器：≥19英寸低蓝光显示器；"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键鼠：有线鼠标、键盘；</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15920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办公用</w:t>
            </w:r>
          </w:p>
        </w:tc>
        <w:tc>
          <w:tcPr>
            <w:tcW w:w="618" w:type="dxa"/>
            <w:tcBorders>
              <w:top w:val="single" w:color="000000" w:sz="4" w:space="0"/>
              <w:left w:val="single" w:color="000000" w:sz="4" w:space="0"/>
              <w:bottom w:val="single" w:color="000000" w:sz="4" w:space="0"/>
              <w:right w:val="single" w:color="000000" w:sz="4" w:space="0"/>
            </w:tcBorders>
            <w:noWrap/>
            <w:vAlign w:val="center"/>
          </w:tcPr>
          <w:p w14:paraId="778FA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66E2F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F6E3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22F8B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top"/>
          </w:tcPr>
          <w:p w14:paraId="56B088EA">
            <w:pPr>
              <w:jc w:val="center"/>
              <w:rPr>
                <w:rFonts w:hint="eastAsia" w:ascii="宋体" w:hAnsi="宋体" w:eastAsia="宋体" w:cs="宋体"/>
                <w:i w:val="0"/>
                <w:iCs w:val="0"/>
                <w:color w:val="000000"/>
                <w:sz w:val="20"/>
                <w:szCs w:val="20"/>
                <w:u w:val="none"/>
              </w:rPr>
            </w:pPr>
          </w:p>
        </w:tc>
        <w:tc>
          <w:tcPr>
            <w:tcW w:w="2468" w:type="dxa"/>
            <w:vMerge w:val="continue"/>
            <w:tcBorders>
              <w:top w:val="single" w:color="000000" w:sz="4" w:space="0"/>
              <w:left w:val="single" w:color="000000" w:sz="4" w:space="0"/>
              <w:bottom w:val="single" w:color="000000" w:sz="4" w:space="0"/>
              <w:right w:val="single" w:color="000000" w:sz="4" w:space="0"/>
            </w:tcBorders>
            <w:noWrap w:val="0"/>
            <w:vAlign w:val="top"/>
          </w:tcPr>
          <w:p w14:paraId="13022D23">
            <w:pPr>
              <w:jc w:val="left"/>
              <w:rPr>
                <w:rFonts w:hint="eastAsia" w:ascii="宋体" w:hAnsi="宋体" w:eastAsia="宋体" w:cs="宋体"/>
                <w:i w:val="0"/>
                <w:iCs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51C21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办公桌椅</w:t>
            </w:r>
          </w:p>
        </w:tc>
        <w:tc>
          <w:tcPr>
            <w:tcW w:w="5263" w:type="dxa"/>
            <w:tcBorders>
              <w:top w:val="single" w:color="000000" w:sz="4" w:space="0"/>
              <w:left w:val="single" w:color="000000" w:sz="4" w:space="0"/>
              <w:bottom w:val="single" w:color="000000" w:sz="4" w:space="0"/>
              <w:right w:val="single" w:color="000000" w:sz="4" w:space="0"/>
            </w:tcBorders>
            <w:noWrap w:val="0"/>
            <w:vAlign w:val="center"/>
          </w:tcPr>
          <w:p w14:paraId="0A9C5E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办公桌椅为简约现代风格，材质采用厚度为25mm环保板材，面板具有树脂保护膜，耐摩擦不褪色。办公桌规格：1200mm*600mm*750mm。配套人体工学网面办公椅1把，舒适柔软，回弹性好。</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DCE7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办公用</w:t>
            </w:r>
          </w:p>
        </w:tc>
        <w:tc>
          <w:tcPr>
            <w:tcW w:w="618" w:type="dxa"/>
            <w:tcBorders>
              <w:top w:val="single" w:color="000000" w:sz="4" w:space="0"/>
              <w:left w:val="single" w:color="000000" w:sz="4" w:space="0"/>
              <w:bottom w:val="single" w:color="000000" w:sz="4" w:space="0"/>
              <w:right w:val="single" w:color="000000" w:sz="4" w:space="0"/>
            </w:tcBorders>
            <w:noWrap/>
            <w:vAlign w:val="center"/>
          </w:tcPr>
          <w:p w14:paraId="48D14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4BB10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448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2DEBE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top"/>
          </w:tcPr>
          <w:p w14:paraId="1CFB4E3D">
            <w:pPr>
              <w:jc w:val="center"/>
              <w:rPr>
                <w:rFonts w:hint="eastAsia" w:ascii="宋体" w:hAnsi="宋体" w:eastAsia="宋体" w:cs="宋体"/>
                <w:i w:val="0"/>
                <w:iCs w:val="0"/>
                <w:color w:val="000000"/>
                <w:sz w:val="20"/>
                <w:szCs w:val="20"/>
                <w:u w:val="none"/>
              </w:rPr>
            </w:pPr>
          </w:p>
        </w:tc>
        <w:tc>
          <w:tcPr>
            <w:tcW w:w="2468" w:type="dxa"/>
            <w:vMerge w:val="continue"/>
            <w:tcBorders>
              <w:top w:val="single" w:color="000000" w:sz="4" w:space="0"/>
              <w:left w:val="single" w:color="000000" w:sz="4" w:space="0"/>
              <w:bottom w:val="single" w:color="000000" w:sz="4" w:space="0"/>
              <w:right w:val="single" w:color="000000" w:sz="4" w:space="0"/>
            </w:tcBorders>
            <w:noWrap w:val="0"/>
            <w:vAlign w:val="top"/>
          </w:tcPr>
          <w:p w14:paraId="3267B211">
            <w:pPr>
              <w:jc w:val="left"/>
              <w:rPr>
                <w:rFonts w:hint="eastAsia" w:ascii="宋体" w:hAnsi="宋体" w:eastAsia="宋体" w:cs="宋体"/>
                <w:i w:val="0"/>
                <w:iCs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1B5CA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无声挂钟</w:t>
            </w:r>
          </w:p>
        </w:tc>
        <w:tc>
          <w:tcPr>
            <w:tcW w:w="5263" w:type="dxa"/>
            <w:tcBorders>
              <w:top w:val="single" w:color="000000" w:sz="4" w:space="0"/>
              <w:left w:val="single" w:color="000000" w:sz="4" w:space="0"/>
              <w:bottom w:val="single" w:color="000000" w:sz="4" w:space="0"/>
              <w:right w:val="single" w:color="000000" w:sz="4" w:space="0"/>
            </w:tcBorders>
            <w:noWrap w:val="0"/>
            <w:vAlign w:val="center"/>
          </w:tcPr>
          <w:p w14:paraId="2CF355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控制咨询时间，尺寸: ≥12英寸；机芯：静音机芯；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材质：金属、玻璃</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6B469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办公用</w:t>
            </w:r>
          </w:p>
        </w:tc>
        <w:tc>
          <w:tcPr>
            <w:tcW w:w="618" w:type="dxa"/>
            <w:tcBorders>
              <w:top w:val="single" w:color="000000" w:sz="4" w:space="0"/>
              <w:left w:val="single" w:color="000000" w:sz="4" w:space="0"/>
              <w:bottom w:val="single" w:color="000000" w:sz="4" w:space="0"/>
              <w:right w:val="single" w:color="000000" w:sz="4" w:space="0"/>
            </w:tcBorders>
            <w:noWrap/>
            <w:vAlign w:val="center"/>
          </w:tcPr>
          <w:p w14:paraId="7F6F7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61695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902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033D9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top"/>
          </w:tcPr>
          <w:p w14:paraId="0DEA46AA">
            <w:pPr>
              <w:jc w:val="center"/>
              <w:rPr>
                <w:rFonts w:hint="eastAsia" w:ascii="宋体" w:hAnsi="宋体" w:eastAsia="宋体" w:cs="宋体"/>
                <w:i w:val="0"/>
                <w:iCs w:val="0"/>
                <w:color w:val="000000"/>
                <w:sz w:val="20"/>
                <w:szCs w:val="20"/>
                <w:u w:val="none"/>
              </w:rPr>
            </w:pPr>
          </w:p>
        </w:tc>
        <w:tc>
          <w:tcPr>
            <w:tcW w:w="2468" w:type="dxa"/>
            <w:vMerge w:val="continue"/>
            <w:tcBorders>
              <w:top w:val="single" w:color="000000" w:sz="4" w:space="0"/>
              <w:left w:val="single" w:color="000000" w:sz="4" w:space="0"/>
              <w:bottom w:val="single" w:color="000000" w:sz="4" w:space="0"/>
              <w:right w:val="single" w:color="000000" w:sz="4" w:space="0"/>
            </w:tcBorders>
            <w:noWrap w:val="0"/>
            <w:vAlign w:val="top"/>
          </w:tcPr>
          <w:p w14:paraId="6D5F2D47">
            <w:pPr>
              <w:jc w:val="left"/>
              <w:rPr>
                <w:rFonts w:hint="eastAsia" w:ascii="宋体" w:hAnsi="宋体" w:eastAsia="宋体" w:cs="宋体"/>
                <w:i w:val="0"/>
                <w:iCs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27E29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文件柜</w:t>
            </w:r>
          </w:p>
        </w:tc>
        <w:tc>
          <w:tcPr>
            <w:tcW w:w="5263" w:type="dxa"/>
            <w:tcBorders>
              <w:top w:val="single" w:color="000000" w:sz="4" w:space="0"/>
              <w:left w:val="single" w:color="000000" w:sz="4" w:space="0"/>
              <w:bottom w:val="single" w:color="000000" w:sz="4" w:space="0"/>
              <w:right w:val="single" w:color="000000" w:sz="4" w:space="0"/>
            </w:tcBorders>
            <w:noWrap w:val="0"/>
            <w:vAlign w:val="center"/>
          </w:tcPr>
          <w:p w14:paraId="721414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文件柜规格：（长*宽*高）850mm*390mm*1800mm，采用加厚优质 SPCC 冷轧碳素钢板，板材抗腐蚀，强度高，坚固不易变形。环保粉末喷漆，防腐防锈,耐刮划，内部隔板上下均有卡扣，可根据物品大小自由调节。</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577C0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办公用</w:t>
            </w:r>
          </w:p>
        </w:tc>
        <w:tc>
          <w:tcPr>
            <w:tcW w:w="618" w:type="dxa"/>
            <w:tcBorders>
              <w:top w:val="single" w:color="000000" w:sz="4" w:space="0"/>
              <w:left w:val="single" w:color="000000" w:sz="4" w:space="0"/>
              <w:bottom w:val="single" w:color="000000" w:sz="4" w:space="0"/>
              <w:right w:val="single" w:color="000000" w:sz="4" w:space="0"/>
            </w:tcBorders>
            <w:noWrap/>
            <w:vAlign w:val="center"/>
          </w:tcPr>
          <w:p w14:paraId="121BB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73015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873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7064D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top"/>
          </w:tcPr>
          <w:p w14:paraId="044777B9">
            <w:pPr>
              <w:jc w:val="center"/>
              <w:rPr>
                <w:rFonts w:hint="eastAsia" w:ascii="宋体" w:hAnsi="宋体" w:eastAsia="宋体" w:cs="宋体"/>
                <w:i w:val="0"/>
                <w:iCs w:val="0"/>
                <w:color w:val="000000"/>
                <w:sz w:val="20"/>
                <w:szCs w:val="20"/>
                <w:u w:val="none"/>
              </w:rPr>
            </w:pPr>
          </w:p>
        </w:tc>
        <w:tc>
          <w:tcPr>
            <w:tcW w:w="2468" w:type="dxa"/>
            <w:vMerge w:val="continue"/>
            <w:tcBorders>
              <w:top w:val="single" w:color="000000" w:sz="4" w:space="0"/>
              <w:left w:val="single" w:color="000000" w:sz="4" w:space="0"/>
              <w:bottom w:val="single" w:color="000000" w:sz="4" w:space="0"/>
              <w:right w:val="single" w:color="000000" w:sz="4" w:space="0"/>
            </w:tcBorders>
            <w:noWrap w:val="0"/>
            <w:vAlign w:val="top"/>
          </w:tcPr>
          <w:p w14:paraId="32FAF7D3">
            <w:pPr>
              <w:jc w:val="left"/>
              <w:rPr>
                <w:rFonts w:hint="eastAsia" w:ascii="宋体" w:hAnsi="宋体" w:eastAsia="宋体" w:cs="宋体"/>
                <w:i w:val="0"/>
                <w:iCs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1170C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沙发茶几</w:t>
            </w:r>
          </w:p>
        </w:tc>
        <w:tc>
          <w:tcPr>
            <w:tcW w:w="5263" w:type="dxa"/>
            <w:tcBorders>
              <w:top w:val="single" w:color="000000" w:sz="4" w:space="0"/>
              <w:left w:val="single" w:color="000000" w:sz="4" w:space="0"/>
              <w:bottom w:val="single" w:color="000000" w:sz="4" w:space="0"/>
              <w:right w:val="single" w:color="000000" w:sz="4" w:space="0"/>
            </w:tcBorders>
            <w:noWrap w:val="0"/>
            <w:vAlign w:val="center"/>
          </w:tcPr>
          <w:p w14:paraId="027A68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1+3沙发，实木框架。布艺沙发，采用海绵填充。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茶几适合整体风格</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45D44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办公用</w:t>
            </w:r>
          </w:p>
        </w:tc>
        <w:tc>
          <w:tcPr>
            <w:tcW w:w="618" w:type="dxa"/>
            <w:tcBorders>
              <w:top w:val="single" w:color="000000" w:sz="4" w:space="0"/>
              <w:left w:val="single" w:color="000000" w:sz="4" w:space="0"/>
              <w:bottom w:val="single" w:color="000000" w:sz="4" w:space="0"/>
              <w:right w:val="single" w:color="000000" w:sz="4" w:space="0"/>
            </w:tcBorders>
            <w:noWrap/>
            <w:vAlign w:val="center"/>
          </w:tcPr>
          <w:p w14:paraId="35C23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251CC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FCD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19342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top"/>
          </w:tcPr>
          <w:p w14:paraId="38591D42">
            <w:pPr>
              <w:jc w:val="center"/>
              <w:rPr>
                <w:rFonts w:hint="eastAsia" w:ascii="宋体" w:hAnsi="宋体" w:eastAsia="宋体" w:cs="宋体"/>
                <w:i w:val="0"/>
                <w:iCs w:val="0"/>
                <w:color w:val="000000"/>
                <w:sz w:val="20"/>
                <w:szCs w:val="20"/>
                <w:u w:val="none"/>
              </w:rPr>
            </w:pPr>
          </w:p>
        </w:tc>
        <w:tc>
          <w:tcPr>
            <w:tcW w:w="2468" w:type="dxa"/>
            <w:vMerge w:val="continue"/>
            <w:tcBorders>
              <w:top w:val="single" w:color="000000" w:sz="4" w:space="0"/>
              <w:left w:val="single" w:color="000000" w:sz="4" w:space="0"/>
              <w:bottom w:val="single" w:color="000000" w:sz="4" w:space="0"/>
              <w:right w:val="single" w:color="000000" w:sz="4" w:space="0"/>
            </w:tcBorders>
            <w:noWrap w:val="0"/>
            <w:vAlign w:val="top"/>
          </w:tcPr>
          <w:p w14:paraId="46807BFE">
            <w:pPr>
              <w:jc w:val="left"/>
              <w:rPr>
                <w:rFonts w:hint="eastAsia" w:ascii="宋体" w:hAnsi="宋体" w:eastAsia="宋体" w:cs="宋体"/>
                <w:i w:val="0"/>
                <w:iCs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26718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书架</w:t>
            </w:r>
          </w:p>
        </w:tc>
        <w:tc>
          <w:tcPr>
            <w:tcW w:w="5263" w:type="dxa"/>
            <w:tcBorders>
              <w:top w:val="single" w:color="000000" w:sz="4" w:space="0"/>
              <w:left w:val="single" w:color="000000" w:sz="4" w:space="0"/>
              <w:bottom w:val="single" w:color="000000" w:sz="4" w:space="0"/>
              <w:right w:val="single" w:color="000000" w:sz="4" w:space="0"/>
            </w:tcBorders>
            <w:noWrap w:val="0"/>
            <w:vAlign w:val="center"/>
          </w:tcPr>
          <w:p w14:paraId="25AB5C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简约组合书柜，每组约长1米</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62911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办公用</w:t>
            </w: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75B03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28353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F93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7EFB0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top"/>
          </w:tcPr>
          <w:p w14:paraId="3A888742">
            <w:pPr>
              <w:jc w:val="center"/>
              <w:rPr>
                <w:rFonts w:hint="eastAsia" w:ascii="宋体" w:hAnsi="宋体" w:eastAsia="宋体" w:cs="宋体"/>
                <w:i w:val="0"/>
                <w:iCs w:val="0"/>
                <w:color w:val="000000"/>
                <w:sz w:val="20"/>
                <w:szCs w:val="20"/>
                <w:u w:val="none"/>
              </w:rPr>
            </w:pPr>
          </w:p>
        </w:tc>
        <w:tc>
          <w:tcPr>
            <w:tcW w:w="2468" w:type="dxa"/>
            <w:vMerge w:val="continue"/>
            <w:tcBorders>
              <w:top w:val="single" w:color="000000" w:sz="4" w:space="0"/>
              <w:left w:val="single" w:color="000000" w:sz="4" w:space="0"/>
              <w:bottom w:val="single" w:color="000000" w:sz="4" w:space="0"/>
              <w:right w:val="single" w:color="000000" w:sz="4" w:space="0"/>
            </w:tcBorders>
            <w:noWrap w:val="0"/>
            <w:vAlign w:val="top"/>
          </w:tcPr>
          <w:p w14:paraId="07591EE6">
            <w:pPr>
              <w:jc w:val="left"/>
              <w:rPr>
                <w:rFonts w:hint="eastAsia" w:ascii="宋体" w:hAnsi="宋体" w:eastAsia="宋体" w:cs="宋体"/>
                <w:i w:val="0"/>
                <w:iCs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57E2C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心理教辅工具</w:t>
            </w:r>
          </w:p>
        </w:tc>
        <w:tc>
          <w:tcPr>
            <w:tcW w:w="5263" w:type="dxa"/>
            <w:tcBorders>
              <w:top w:val="single" w:color="000000" w:sz="4" w:space="0"/>
              <w:left w:val="single" w:color="000000" w:sz="4" w:space="0"/>
              <w:bottom w:val="single" w:color="000000" w:sz="4" w:space="0"/>
              <w:right w:val="single" w:color="000000" w:sz="4" w:space="0"/>
            </w:tcBorders>
            <w:noWrap w:val="0"/>
            <w:vAlign w:val="center"/>
          </w:tcPr>
          <w:p w14:paraId="1795EF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⑴适合于学生阅读的心理学、教育学资料；                                                  ⑵适合于心理教师阅读的比较专业的心理学、教育学资料；                                                      ⑶适合于一般教师阅读的通俗的心理学、教育学资料。</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72E92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心理相关书籍</w:t>
            </w: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22A35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1AE07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BAF3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2ED42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top"/>
          </w:tcPr>
          <w:p w14:paraId="3B9FE233">
            <w:pPr>
              <w:jc w:val="center"/>
              <w:rPr>
                <w:rFonts w:hint="eastAsia" w:ascii="宋体" w:hAnsi="宋体" w:eastAsia="宋体" w:cs="宋体"/>
                <w:i w:val="0"/>
                <w:iCs w:val="0"/>
                <w:color w:val="000000"/>
                <w:sz w:val="20"/>
                <w:szCs w:val="20"/>
                <w:u w:val="none"/>
              </w:rPr>
            </w:pPr>
          </w:p>
        </w:tc>
        <w:tc>
          <w:tcPr>
            <w:tcW w:w="2468" w:type="dxa"/>
            <w:vMerge w:val="continue"/>
            <w:tcBorders>
              <w:top w:val="single" w:color="000000" w:sz="4" w:space="0"/>
              <w:left w:val="single" w:color="000000" w:sz="4" w:space="0"/>
              <w:bottom w:val="single" w:color="000000" w:sz="4" w:space="0"/>
              <w:right w:val="single" w:color="000000" w:sz="4" w:space="0"/>
            </w:tcBorders>
            <w:noWrap w:val="0"/>
            <w:vAlign w:val="top"/>
          </w:tcPr>
          <w:p w14:paraId="7E8B27A0">
            <w:pPr>
              <w:jc w:val="left"/>
              <w:rPr>
                <w:rFonts w:hint="eastAsia" w:ascii="宋体" w:hAnsi="宋体" w:eastAsia="宋体" w:cs="宋体"/>
                <w:i w:val="0"/>
                <w:iCs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754BE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心理文化墙装饰画系列一</w:t>
            </w:r>
          </w:p>
        </w:tc>
        <w:tc>
          <w:tcPr>
            <w:tcW w:w="5263" w:type="dxa"/>
            <w:tcBorders>
              <w:top w:val="single" w:color="000000" w:sz="4" w:space="0"/>
              <w:left w:val="single" w:color="000000" w:sz="4" w:space="0"/>
              <w:bottom w:val="single" w:color="000000" w:sz="4" w:space="0"/>
              <w:right w:val="single" w:color="000000" w:sz="4" w:space="0"/>
            </w:tcBorders>
            <w:noWrap w:val="0"/>
            <w:vAlign w:val="center"/>
          </w:tcPr>
          <w:p w14:paraId="7EDFA7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心理文化墙装饰画系列一：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1、心理格言7幅，用于营造心理辅导室氛围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2、材质:结皮PVC板，厚度约5mm，形态：圆形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3、规格尺寸：小图直径320mm，中图直径430mm，大图直径460mm。</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7520C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环境布置、文化宣传</w:t>
            </w:r>
          </w:p>
        </w:tc>
        <w:tc>
          <w:tcPr>
            <w:tcW w:w="618" w:type="dxa"/>
            <w:tcBorders>
              <w:top w:val="single" w:color="000000" w:sz="4" w:space="0"/>
              <w:left w:val="single" w:color="000000" w:sz="4" w:space="0"/>
              <w:bottom w:val="single" w:color="000000" w:sz="4" w:space="0"/>
              <w:right w:val="single" w:color="000000" w:sz="4" w:space="0"/>
            </w:tcBorders>
            <w:noWrap/>
            <w:vAlign w:val="center"/>
          </w:tcPr>
          <w:p w14:paraId="133BD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60446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50E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3C440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top"/>
          </w:tcPr>
          <w:p w14:paraId="6DE96A3E">
            <w:pPr>
              <w:jc w:val="center"/>
              <w:rPr>
                <w:rFonts w:hint="eastAsia" w:ascii="宋体" w:hAnsi="宋体" w:eastAsia="宋体" w:cs="宋体"/>
                <w:i w:val="0"/>
                <w:iCs w:val="0"/>
                <w:color w:val="000000"/>
                <w:sz w:val="20"/>
                <w:szCs w:val="20"/>
                <w:u w:val="none"/>
              </w:rPr>
            </w:pPr>
          </w:p>
        </w:tc>
        <w:tc>
          <w:tcPr>
            <w:tcW w:w="2468" w:type="dxa"/>
            <w:vMerge w:val="continue"/>
            <w:tcBorders>
              <w:top w:val="single" w:color="000000" w:sz="4" w:space="0"/>
              <w:left w:val="single" w:color="000000" w:sz="4" w:space="0"/>
              <w:bottom w:val="single" w:color="000000" w:sz="4" w:space="0"/>
              <w:right w:val="single" w:color="000000" w:sz="4" w:space="0"/>
            </w:tcBorders>
            <w:noWrap w:val="0"/>
            <w:vAlign w:val="top"/>
          </w:tcPr>
          <w:p w14:paraId="5371CF07">
            <w:pPr>
              <w:jc w:val="left"/>
              <w:rPr>
                <w:rFonts w:hint="eastAsia" w:ascii="宋体" w:hAnsi="宋体" w:eastAsia="宋体" w:cs="宋体"/>
                <w:i w:val="0"/>
                <w:iCs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0B70F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制度挂图</w:t>
            </w:r>
          </w:p>
        </w:tc>
        <w:tc>
          <w:tcPr>
            <w:tcW w:w="5263" w:type="dxa"/>
            <w:tcBorders>
              <w:top w:val="single" w:color="000000" w:sz="4" w:space="0"/>
              <w:left w:val="single" w:color="000000" w:sz="4" w:space="0"/>
              <w:bottom w:val="single" w:color="000000" w:sz="4" w:space="0"/>
              <w:right w:val="single" w:color="000000" w:sz="4" w:space="0"/>
            </w:tcBorders>
            <w:noWrap w:val="0"/>
            <w:vAlign w:val="center"/>
          </w:tcPr>
          <w:p w14:paraId="7827DE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管理制度挂图内芯材质: 高清相纸；装裱方式: 黑色铝合金边框，环保透明面板；风格: 简约现代；工艺: 喷绘；组合形式: 独立；图片形式: 平面；可免拆边框更换内芯。含框尺寸: ≥440*570mm（±3mm）。</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65EA4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环境布置、文化宣传</w:t>
            </w:r>
          </w:p>
        </w:tc>
        <w:tc>
          <w:tcPr>
            <w:tcW w:w="618" w:type="dxa"/>
            <w:tcBorders>
              <w:top w:val="single" w:color="000000" w:sz="4" w:space="0"/>
              <w:left w:val="single" w:color="000000" w:sz="4" w:space="0"/>
              <w:bottom w:val="single" w:color="000000" w:sz="4" w:space="0"/>
              <w:right w:val="single" w:color="000000" w:sz="4" w:space="0"/>
            </w:tcBorders>
            <w:noWrap/>
            <w:vAlign w:val="center"/>
          </w:tcPr>
          <w:p w14:paraId="054C1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07142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AC8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3C1B5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54" w:type="dxa"/>
            <w:vMerge w:val="restart"/>
            <w:tcBorders>
              <w:top w:val="single" w:color="000000" w:sz="4" w:space="0"/>
              <w:left w:val="single" w:color="000000" w:sz="4" w:space="0"/>
              <w:bottom w:val="single" w:color="000000" w:sz="4" w:space="0"/>
              <w:right w:val="single" w:color="000000" w:sz="4" w:space="0"/>
            </w:tcBorders>
            <w:noWrap w:val="0"/>
            <w:vAlign w:val="top"/>
          </w:tcPr>
          <w:p w14:paraId="6D4CEBF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个体辅导室10平米</w:t>
            </w:r>
          </w:p>
        </w:tc>
        <w:tc>
          <w:tcPr>
            <w:tcW w:w="2468" w:type="dxa"/>
            <w:vMerge w:val="restart"/>
            <w:tcBorders>
              <w:top w:val="single" w:color="000000" w:sz="4" w:space="0"/>
              <w:left w:val="single" w:color="000000" w:sz="4" w:space="0"/>
              <w:bottom w:val="single" w:color="000000" w:sz="4" w:space="0"/>
              <w:right w:val="single" w:color="000000" w:sz="4" w:space="0"/>
            </w:tcBorders>
            <w:noWrap w:val="0"/>
            <w:vAlign w:val="top"/>
          </w:tcPr>
          <w:p w14:paraId="0CB68F8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心理教师与来访者进行个体心理辅导的专用场所。心理教师在功能室对来访者开展问题排查、判断和认知调整等工作。</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64DB3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无声挂钟</w:t>
            </w:r>
          </w:p>
        </w:tc>
        <w:tc>
          <w:tcPr>
            <w:tcW w:w="5263" w:type="dxa"/>
            <w:tcBorders>
              <w:top w:val="single" w:color="000000" w:sz="4" w:space="0"/>
              <w:left w:val="single" w:color="000000" w:sz="4" w:space="0"/>
              <w:bottom w:val="single" w:color="000000" w:sz="4" w:space="0"/>
              <w:right w:val="single" w:color="000000" w:sz="4" w:space="0"/>
            </w:tcBorders>
            <w:noWrap w:val="0"/>
            <w:vAlign w:val="center"/>
          </w:tcPr>
          <w:p w14:paraId="03F44A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控制咨询时间，尺寸: ≥12英寸；机芯：静音机芯；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材质：金属、玻璃</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283C8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办公用</w:t>
            </w:r>
          </w:p>
        </w:tc>
        <w:tc>
          <w:tcPr>
            <w:tcW w:w="618" w:type="dxa"/>
            <w:tcBorders>
              <w:top w:val="single" w:color="000000" w:sz="4" w:space="0"/>
              <w:left w:val="single" w:color="000000" w:sz="4" w:space="0"/>
              <w:bottom w:val="single" w:color="000000" w:sz="4" w:space="0"/>
              <w:right w:val="single" w:color="000000" w:sz="4" w:space="0"/>
            </w:tcBorders>
            <w:noWrap/>
            <w:vAlign w:val="center"/>
          </w:tcPr>
          <w:p w14:paraId="7D16C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45628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E93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0F2A2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top"/>
          </w:tcPr>
          <w:p w14:paraId="7C4C858D">
            <w:pPr>
              <w:jc w:val="center"/>
              <w:rPr>
                <w:rFonts w:hint="eastAsia" w:ascii="宋体" w:hAnsi="宋体" w:eastAsia="宋体" w:cs="宋体"/>
                <w:i w:val="0"/>
                <w:iCs w:val="0"/>
                <w:color w:val="000000"/>
                <w:sz w:val="20"/>
                <w:szCs w:val="20"/>
                <w:u w:val="none"/>
              </w:rPr>
            </w:pPr>
          </w:p>
        </w:tc>
        <w:tc>
          <w:tcPr>
            <w:tcW w:w="2468" w:type="dxa"/>
            <w:vMerge w:val="continue"/>
            <w:tcBorders>
              <w:top w:val="single" w:color="000000" w:sz="4" w:space="0"/>
              <w:left w:val="single" w:color="000000" w:sz="4" w:space="0"/>
              <w:bottom w:val="single" w:color="000000" w:sz="4" w:space="0"/>
              <w:right w:val="single" w:color="000000" w:sz="4" w:space="0"/>
            </w:tcBorders>
            <w:noWrap w:val="0"/>
            <w:vAlign w:val="top"/>
          </w:tcPr>
          <w:p w14:paraId="79D96463">
            <w:pPr>
              <w:jc w:val="center"/>
              <w:rPr>
                <w:rFonts w:hint="eastAsia" w:ascii="宋体" w:hAnsi="宋体" w:eastAsia="宋体" w:cs="宋体"/>
                <w:i w:val="0"/>
                <w:iCs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0C0B9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录音笔</w:t>
            </w:r>
          </w:p>
        </w:tc>
        <w:tc>
          <w:tcPr>
            <w:tcW w:w="5263" w:type="dxa"/>
            <w:tcBorders>
              <w:top w:val="single" w:color="000000" w:sz="4" w:space="0"/>
              <w:left w:val="single" w:color="000000" w:sz="4" w:space="0"/>
              <w:bottom w:val="single" w:color="000000" w:sz="4" w:space="0"/>
              <w:right w:val="single" w:color="000000" w:sz="4" w:space="0"/>
            </w:tcBorders>
            <w:noWrap w:val="0"/>
            <w:vAlign w:val="center"/>
          </w:tcPr>
          <w:p w14:paraId="64B3AA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录音用，内存不少于32G</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4419E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办公用</w:t>
            </w:r>
          </w:p>
        </w:tc>
        <w:tc>
          <w:tcPr>
            <w:tcW w:w="618" w:type="dxa"/>
            <w:tcBorders>
              <w:top w:val="single" w:color="000000" w:sz="4" w:space="0"/>
              <w:left w:val="single" w:color="000000" w:sz="4" w:space="0"/>
              <w:bottom w:val="single" w:color="000000" w:sz="4" w:space="0"/>
              <w:right w:val="single" w:color="000000" w:sz="4" w:space="0"/>
            </w:tcBorders>
            <w:noWrap/>
            <w:vAlign w:val="center"/>
          </w:tcPr>
          <w:p w14:paraId="02AD4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04ED5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91D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7937F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top"/>
          </w:tcPr>
          <w:p w14:paraId="4C5EE574">
            <w:pPr>
              <w:jc w:val="center"/>
              <w:rPr>
                <w:rFonts w:hint="eastAsia" w:ascii="宋体" w:hAnsi="宋体" w:eastAsia="宋体" w:cs="宋体"/>
                <w:i w:val="0"/>
                <w:iCs w:val="0"/>
                <w:color w:val="000000"/>
                <w:sz w:val="20"/>
                <w:szCs w:val="20"/>
                <w:u w:val="none"/>
              </w:rPr>
            </w:pPr>
          </w:p>
        </w:tc>
        <w:tc>
          <w:tcPr>
            <w:tcW w:w="2468" w:type="dxa"/>
            <w:vMerge w:val="continue"/>
            <w:tcBorders>
              <w:top w:val="single" w:color="000000" w:sz="4" w:space="0"/>
              <w:left w:val="single" w:color="000000" w:sz="4" w:space="0"/>
              <w:bottom w:val="single" w:color="000000" w:sz="4" w:space="0"/>
              <w:right w:val="single" w:color="000000" w:sz="4" w:space="0"/>
            </w:tcBorders>
            <w:noWrap w:val="0"/>
            <w:vAlign w:val="top"/>
          </w:tcPr>
          <w:p w14:paraId="03C1D146">
            <w:pPr>
              <w:jc w:val="center"/>
              <w:rPr>
                <w:rFonts w:hint="eastAsia" w:ascii="宋体" w:hAnsi="宋体" w:eastAsia="宋体" w:cs="宋体"/>
                <w:i w:val="0"/>
                <w:iCs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77319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沙发+茶几</w:t>
            </w:r>
          </w:p>
        </w:tc>
        <w:tc>
          <w:tcPr>
            <w:tcW w:w="5263" w:type="dxa"/>
            <w:tcBorders>
              <w:top w:val="single" w:color="000000" w:sz="4" w:space="0"/>
              <w:left w:val="single" w:color="000000" w:sz="4" w:space="0"/>
              <w:bottom w:val="single" w:color="000000" w:sz="4" w:space="0"/>
              <w:right w:val="single" w:color="000000" w:sz="4" w:space="0"/>
            </w:tcBorders>
            <w:noWrap w:val="0"/>
            <w:vAlign w:val="center"/>
          </w:tcPr>
          <w:p w14:paraId="77E983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2个单人位沙发,面料: 布艺，实木框架，采用海绵填充。茶几：圆形玻璃茶几或者木质茶几。</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49FFC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办公用</w:t>
            </w:r>
          </w:p>
        </w:tc>
        <w:tc>
          <w:tcPr>
            <w:tcW w:w="618" w:type="dxa"/>
            <w:tcBorders>
              <w:top w:val="single" w:color="000000" w:sz="4" w:space="0"/>
              <w:left w:val="single" w:color="000000" w:sz="4" w:space="0"/>
              <w:bottom w:val="single" w:color="000000" w:sz="4" w:space="0"/>
              <w:right w:val="single" w:color="000000" w:sz="4" w:space="0"/>
            </w:tcBorders>
            <w:noWrap/>
            <w:vAlign w:val="center"/>
          </w:tcPr>
          <w:p w14:paraId="39921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530F5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F62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53D1C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top"/>
          </w:tcPr>
          <w:p w14:paraId="4D23840E">
            <w:pPr>
              <w:jc w:val="center"/>
              <w:rPr>
                <w:rFonts w:hint="eastAsia" w:ascii="宋体" w:hAnsi="宋体" w:eastAsia="宋体" w:cs="宋体"/>
                <w:i w:val="0"/>
                <w:iCs w:val="0"/>
                <w:color w:val="000000"/>
                <w:sz w:val="20"/>
                <w:szCs w:val="20"/>
                <w:u w:val="none"/>
              </w:rPr>
            </w:pPr>
          </w:p>
        </w:tc>
        <w:tc>
          <w:tcPr>
            <w:tcW w:w="2468" w:type="dxa"/>
            <w:vMerge w:val="continue"/>
            <w:tcBorders>
              <w:top w:val="single" w:color="000000" w:sz="4" w:space="0"/>
              <w:left w:val="single" w:color="000000" w:sz="4" w:space="0"/>
              <w:bottom w:val="single" w:color="000000" w:sz="4" w:space="0"/>
              <w:right w:val="single" w:color="000000" w:sz="4" w:space="0"/>
            </w:tcBorders>
            <w:noWrap w:val="0"/>
            <w:vAlign w:val="top"/>
          </w:tcPr>
          <w:p w14:paraId="53BAFE54">
            <w:pPr>
              <w:jc w:val="center"/>
              <w:rPr>
                <w:rFonts w:hint="eastAsia" w:ascii="宋体" w:hAnsi="宋体" w:eastAsia="宋体" w:cs="宋体"/>
                <w:i w:val="0"/>
                <w:iCs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57ED9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心理文化墙装饰画系列二</w:t>
            </w:r>
          </w:p>
        </w:tc>
        <w:tc>
          <w:tcPr>
            <w:tcW w:w="5263" w:type="dxa"/>
            <w:tcBorders>
              <w:top w:val="single" w:color="000000" w:sz="4" w:space="0"/>
              <w:left w:val="single" w:color="000000" w:sz="4" w:space="0"/>
              <w:bottom w:val="single" w:color="000000" w:sz="4" w:space="0"/>
              <w:right w:val="single" w:color="000000" w:sz="4" w:space="0"/>
            </w:tcBorders>
            <w:noWrap w:val="0"/>
            <w:vAlign w:val="center"/>
          </w:tcPr>
          <w:p w14:paraId="70AB72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心理文化墙装饰画系列二：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1、心理知识5幅，用于营造心理辅导室氛围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2、材质:结皮PVC板，厚度约5mm，形态：不规则图形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3、每幅规格尺寸：480*480mm。</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50F15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环境布置、文化宣传</w:t>
            </w:r>
          </w:p>
        </w:tc>
        <w:tc>
          <w:tcPr>
            <w:tcW w:w="618" w:type="dxa"/>
            <w:tcBorders>
              <w:top w:val="single" w:color="000000" w:sz="4" w:space="0"/>
              <w:left w:val="single" w:color="000000" w:sz="4" w:space="0"/>
              <w:bottom w:val="single" w:color="000000" w:sz="4" w:space="0"/>
              <w:right w:val="single" w:color="000000" w:sz="4" w:space="0"/>
            </w:tcBorders>
            <w:noWrap/>
            <w:vAlign w:val="center"/>
          </w:tcPr>
          <w:p w14:paraId="3AB9F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64E4F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722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6C5E4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top"/>
          </w:tcPr>
          <w:p w14:paraId="22AE59AC">
            <w:pPr>
              <w:jc w:val="center"/>
              <w:rPr>
                <w:rFonts w:hint="eastAsia" w:ascii="宋体" w:hAnsi="宋体" w:eastAsia="宋体" w:cs="宋体"/>
                <w:i w:val="0"/>
                <w:iCs w:val="0"/>
                <w:color w:val="000000"/>
                <w:sz w:val="20"/>
                <w:szCs w:val="20"/>
                <w:u w:val="none"/>
              </w:rPr>
            </w:pPr>
          </w:p>
        </w:tc>
        <w:tc>
          <w:tcPr>
            <w:tcW w:w="2468" w:type="dxa"/>
            <w:vMerge w:val="continue"/>
            <w:tcBorders>
              <w:top w:val="single" w:color="000000" w:sz="4" w:space="0"/>
              <w:left w:val="single" w:color="000000" w:sz="4" w:space="0"/>
              <w:bottom w:val="single" w:color="000000" w:sz="4" w:space="0"/>
              <w:right w:val="single" w:color="000000" w:sz="4" w:space="0"/>
            </w:tcBorders>
            <w:noWrap w:val="0"/>
            <w:vAlign w:val="top"/>
          </w:tcPr>
          <w:p w14:paraId="5354A978">
            <w:pPr>
              <w:jc w:val="center"/>
              <w:rPr>
                <w:rFonts w:hint="eastAsia" w:ascii="宋体" w:hAnsi="宋体" w:eastAsia="宋体" w:cs="宋体"/>
                <w:i w:val="0"/>
                <w:iCs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298A8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制度挂图</w:t>
            </w:r>
          </w:p>
        </w:tc>
        <w:tc>
          <w:tcPr>
            <w:tcW w:w="5263" w:type="dxa"/>
            <w:tcBorders>
              <w:top w:val="single" w:color="000000" w:sz="4" w:space="0"/>
              <w:left w:val="single" w:color="000000" w:sz="4" w:space="0"/>
              <w:bottom w:val="single" w:color="000000" w:sz="4" w:space="0"/>
              <w:right w:val="single" w:color="000000" w:sz="4" w:space="0"/>
            </w:tcBorders>
            <w:noWrap w:val="0"/>
            <w:vAlign w:val="center"/>
          </w:tcPr>
          <w:p w14:paraId="54F9CC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管理制度挂图内芯材质: 高清相纸；装裱方式: 黑色铝合金边框，环保透明面板；风格: 简约现代；工艺: 喷绘；组合形式: 独立；图片形式: 平面；可免拆边框更换内芯。含框尺寸: ≥440*570mm（±3mm）。</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7148F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环境布置、文化宣传</w:t>
            </w:r>
          </w:p>
        </w:tc>
        <w:tc>
          <w:tcPr>
            <w:tcW w:w="618" w:type="dxa"/>
            <w:tcBorders>
              <w:top w:val="single" w:color="000000" w:sz="4" w:space="0"/>
              <w:left w:val="single" w:color="000000" w:sz="4" w:space="0"/>
              <w:bottom w:val="single" w:color="000000" w:sz="4" w:space="0"/>
              <w:right w:val="single" w:color="000000" w:sz="4" w:space="0"/>
            </w:tcBorders>
            <w:noWrap/>
            <w:vAlign w:val="center"/>
          </w:tcPr>
          <w:p w14:paraId="1ED61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4A172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054A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7ADBC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54" w:type="dxa"/>
            <w:vMerge w:val="restart"/>
            <w:tcBorders>
              <w:top w:val="single" w:color="000000" w:sz="4" w:space="0"/>
              <w:left w:val="single" w:color="000000" w:sz="4" w:space="0"/>
              <w:bottom w:val="single" w:color="000000" w:sz="4" w:space="0"/>
              <w:right w:val="single" w:color="000000" w:sz="4" w:space="0"/>
            </w:tcBorders>
            <w:noWrap w:val="0"/>
            <w:vAlign w:val="top"/>
          </w:tcPr>
          <w:p w14:paraId="581BEC5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p>
        </w:tc>
        <w:tc>
          <w:tcPr>
            <w:tcW w:w="2468" w:type="dxa"/>
            <w:vMerge w:val="restart"/>
            <w:tcBorders>
              <w:top w:val="single" w:color="000000" w:sz="4" w:space="0"/>
              <w:left w:val="single" w:color="000000" w:sz="4" w:space="0"/>
              <w:bottom w:val="single" w:color="000000" w:sz="4" w:space="0"/>
              <w:right w:val="single" w:color="000000" w:sz="4" w:space="0"/>
            </w:tcBorders>
            <w:noWrap w:val="0"/>
            <w:vAlign w:val="top"/>
          </w:tcPr>
          <w:p w14:paraId="6D532FC1">
            <w:pPr>
              <w:jc w:val="left"/>
              <w:rPr>
                <w:rFonts w:hint="eastAsia" w:ascii="宋体" w:hAnsi="宋体" w:eastAsia="宋体" w:cs="宋体"/>
                <w:i w:val="0"/>
                <w:iCs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06B51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沙盘凳</w:t>
            </w:r>
          </w:p>
        </w:tc>
        <w:tc>
          <w:tcPr>
            <w:tcW w:w="5263" w:type="dxa"/>
            <w:tcBorders>
              <w:top w:val="single" w:color="000000" w:sz="4" w:space="0"/>
              <w:left w:val="single" w:color="000000" w:sz="4" w:space="0"/>
              <w:bottom w:val="single" w:color="000000" w:sz="4" w:space="0"/>
              <w:right w:val="single" w:color="000000" w:sz="4" w:space="0"/>
            </w:tcBorders>
            <w:noWrap w:val="0"/>
            <w:vAlign w:val="center"/>
          </w:tcPr>
          <w:p w14:paraId="36F49A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纯实木榫卯结构，边角圆弧设计，可叠放。</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2A4C4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办公用</w:t>
            </w:r>
          </w:p>
        </w:tc>
        <w:tc>
          <w:tcPr>
            <w:tcW w:w="618" w:type="dxa"/>
            <w:tcBorders>
              <w:top w:val="single" w:color="000000" w:sz="4" w:space="0"/>
              <w:left w:val="single" w:color="000000" w:sz="4" w:space="0"/>
              <w:bottom w:val="single" w:color="000000" w:sz="4" w:space="0"/>
              <w:right w:val="single" w:color="000000" w:sz="4" w:space="0"/>
            </w:tcBorders>
            <w:noWrap/>
            <w:vAlign w:val="center"/>
          </w:tcPr>
          <w:p w14:paraId="7EA47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22A2B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A27F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1B5F7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top"/>
          </w:tcPr>
          <w:p w14:paraId="71157F12">
            <w:pPr>
              <w:jc w:val="center"/>
              <w:rPr>
                <w:rFonts w:hint="eastAsia" w:ascii="宋体" w:hAnsi="宋体" w:eastAsia="宋体" w:cs="宋体"/>
                <w:i w:val="0"/>
                <w:iCs w:val="0"/>
                <w:color w:val="000000"/>
                <w:sz w:val="20"/>
                <w:szCs w:val="20"/>
                <w:u w:val="none"/>
              </w:rPr>
            </w:pPr>
          </w:p>
        </w:tc>
        <w:tc>
          <w:tcPr>
            <w:tcW w:w="2468" w:type="dxa"/>
            <w:vMerge w:val="continue"/>
            <w:tcBorders>
              <w:top w:val="single" w:color="000000" w:sz="4" w:space="0"/>
              <w:left w:val="single" w:color="000000" w:sz="4" w:space="0"/>
              <w:bottom w:val="single" w:color="000000" w:sz="4" w:space="0"/>
              <w:right w:val="single" w:color="000000" w:sz="4" w:space="0"/>
            </w:tcBorders>
            <w:noWrap w:val="0"/>
            <w:vAlign w:val="top"/>
          </w:tcPr>
          <w:p w14:paraId="65EE98F4">
            <w:pPr>
              <w:jc w:val="left"/>
              <w:rPr>
                <w:rFonts w:hint="eastAsia" w:ascii="宋体" w:hAnsi="宋体" w:eastAsia="宋体" w:cs="宋体"/>
                <w:i w:val="0"/>
                <w:iCs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29471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心理文化墙装饰画系列三</w:t>
            </w:r>
          </w:p>
        </w:tc>
        <w:tc>
          <w:tcPr>
            <w:tcW w:w="5263" w:type="dxa"/>
            <w:tcBorders>
              <w:top w:val="single" w:color="000000" w:sz="4" w:space="0"/>
              <w:left w:val="single" w:color="000000" w:sz="4" w:space="0"/>
              <w:bottom w:val="single" w:color="000000" w:sz="4" w:space="0"/>
              <w:right w:val="single" w:color="000000" w:sz="4" w:space="0"/>
            </w:tcBorders>
            <w:noWrap w:val="0"/>
            <w:vAlign w:val="center"/>
          </w:tcPr>
          <w:p w14:paraId="243B4E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心理文化墙装饰画系列三：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1、心理知识4幅，用于营造心理辅导室氛围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2、材质:结皮PVC板，厚度约5mm，形态：不规则图形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3、每幅规格尺寸：500*430mm。</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7B429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环境布置、文化宣传</w:t>
            </w:r>
          </w:p>
        </w:tc>
        <w:tc>
          <w:tcPr>
            <w:tcW w:w="618" w:type="dxa"/>
            <w:tcBorders>
              <w:top w:val="single" w:color="000000" w:sz="4" w:space="0"/>
              <w:left w:val="single" w:color="000000" w:sz="4" w:space="0"/>
              <w:bottom w:val="single" w:color="000000" w:sz="4" w:space="0"/>
              <w:right w:val="single" w:color="000000" w:sz="4" w:space="0"/>
            </w:tcBorders>
            <w:noWrap/>
            <w:vAlign w:val="center"/>
          </w:tcPr>
          <w:p w14:paraId="541EE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014E1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D18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0E7D7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top"/>
          </w:tcPr>
          <w:p w14:paraId="4DBAF035">
            <w:pPr>
              <w:jc w:val="center"/>
              <w:rPr>
                <w:rFonts w:hint="eastAsia" w:ascii="宋体" w:hAnsi="宋体" w:eastAsia="宋体" w:cs="宋体"/>
                <w:i w:val="0"/>
                <w:iCs w:val="0"/>
                <w:color w:val="000000"/>
                <w:sz w:val="20"/>
                <w:szCs w:val="20"/>
                <w:u w:val="none"/>
              </w:rPr>
            </w:pPr>
          </w:p>
        </w:tc>
        <w:tc>
          <w:tcPr>
            <w:tcW w:w="2468" w:type="dxa"/>
            <w:vMerge w:val="continue"/>
            <w:tcBorders>
              <w:top w:val="single" w:color="000000" w:sz="4" w:space="0"/>
              <w:left w:val="single" w:color="000000" w:sz="4" w:space="0"/>
              <w:bottom w:val="single" w:color="000000" w:sz="4" w:space="0"/>
              <w:right w:val="single" w:color="000000" w:sz="4" w:space="0"/>
            </w:tcBorders>
            <w:noWrap w:val="0"/>
            <w:vAlign w:val="top"/>
          </w:tcPr>
          <w:p w14:paraId="1FAD2595">
            <w:pPr>
              <w:jc w:val="left"/>
              <w:rPr>
                <w:rFonts w:hint="eastAsia" w:ascii="宋体" w:hAnsi="宋体" w:eastAsia="宋体" w:cs="宋体"/>
                <w:i w:val="0"/>
                <w:iCs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62461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制度挂图</w:t>
            </w:r>
          </w:p>
        </w:tc>
        <w:tc>
          <w:tcPr>
            <w:tcW w:w="5263" w:type="dxa"/>
            <w:tcBorders>
              <w:top w:val="single" w:color="000000" w:sz="4" w:space="0"/>
              <w:left w:val="single" w:color="000000" w:sz="4" w:space="0"/>
              <w:bottom w:val="single" w:color="000000" w:sz="4" w:space="0"/>
              <w:right w:val="single" w:color="000000" w:sz="4" w:space="0"/>
            </w:tcBorders>
            <w:noWrap w:val="0"/>
            <w:vAlign w:val="center"/>
          </w:tcPr>
          <w:p w14:paraId="783F3F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管理制度挂图内芯材质: 高清相纸；装裱方式: 黑色铝合金边框，环保透明面板；风格: 简约现代；工艺: 喷绘；组合形式: 独立；图片形式: 平面；可免拆边框更换内芯。含框尺寸: ≥440*570mm（±3mm）。</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4F855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环境布置、文化宣传</w:t>
            </w:r>
          </w:p>
        </w:tc>
        <w:tc>
          <w:tcPr>
            <w:tcW w:w="618" w:type="dxa"/>
            <w:tcBorders>
              <w:top w:val="single" w:color="000000" w:sz="4" w:space="0"/>
              <w:left w:val="single" w:color="000000" w:sz="4" w:space="0"/>
              <w:bottom w:val="single" w:color="000000" w:sz="4" w:space="0"/>
              <w:right w:val="single" w:color="000000" w:sz="4" w:space="0"/>
            </w:tcBorders>
            <w:noWrap/>
            <w:vAlign w:val="center"/>
          </w:tcPr>
          <w:p w14:paraId="6FFEA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03D6A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BB51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03845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top"/>
          </w:tcPr>
          <w:p w14:paraId="4B67A766">
            <w:pPr>
              <w:jc w:val="center"/>
              <w:rPr>
                <w:rFonts w:hint="eastAsia" w:ascii="宋体" w:hAnsi="宋体" w:eastAsia="宋体" w:cs="宋体"/>
                <w:i w:val="0"/>
                <w:iCs w:val="0"/>
                <w:color w:val="000000"/>
                <w:sz w:val="20"/>
                <w:szCs w:val="20"/>
                <w:u w:val="none"/>
              </w:rPr>
            </w:pPr>
          </w:p>
        </w:tc>
        <w:tc>
          <w:tcPr>
            <w:tcW w:w="2468" w:type="dxa"/>
            <w:vMerge w:val="continue"/>
            <w:tcBorders>
              <w:top w:val="single" w:color="000000" w:sz="4" w:space="0"/>
              <w:left w:val="single" w:color="000000" w:sz="4" w:space="0"/>
              <w:bottom w:val="single" w:color="000000" w:sz="4" w:space="0"/>
              <w:right w:val="single" w:color="000000" w:sz="4" w:space="0"/>
            </w:tcBorders>
            <w:noWrap w:val="0"/>
            <w:vAlign w:val="top"/>
          </w:tcPr>
          <w:p w14:paraId="556D95B3">
            <w:pPr>
              <w:jc w:val="left"/>
              <w:rPr>
                <w:rFonts w:hint="eastAsia" w:ascii="宋体" w:hAnsi="宋体" w:eastAsia="宋体" w:cs="宋体"/>
                <w:i w:val="0"/>
                <w:iCs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7BC12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心理骨干教师</w:t>
            </w:r>
          </w:p>
        </w:tc>
        <w:tc>
          <w:tcPr>
            <w:tcW w:w="5263" w:type="dxa"/>
            <w:tcBorders>
              <w:top w:val="single" w:color="000000" w:sz="4" w:space="0"/>
              <w:left w:val="single" w:color="000000" w:sz="4" w:space="0"/>
              <w:bottom w:val="single" w:color="000000" w:sz="4" w:space="0"/>
              <w:right w:val="single" w:color="000000" w:sz="4" w:space="0"/>
            </w:tcBorders>
            <w:noWrap w:val="0"/>
            <w:vAlign w:val="center"/>
          </w:tcPr>
          <w:p w14:paraId="4CF07A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简介：此课程体系共讲14讲，分为两阶。第一阶6讲，每讲三小时。针对心理健康教师、班主任、校长、主任等进行心理教育技术核心理论和实操技术讲解，帮助学校培养起一支心理技术型教师的队伍，让教师们能看清学生整体心理结构，更好把握学生心理活动和心理规律。第二阶8讲，每讲三小时：对学校部分骨干教师进行深层实操指导，从深入实操的角度教会骨干教师具体的心理教育技术方法。通过完整案例呈现讲解科学心理教育技术操作技能、技术实操培养、科学心理教育技术在教育教学中的辅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课程具体内容：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第一阶：科学心理教育技术核心理论讲解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1、第一讲：元认知心理干预技术与学生学习心理的本质；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2、第二讲：学生上课，自习困难的深层心理原因分析；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3、第三讲：塑造学生高效学习、人际和谐的心理暗示技术；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4、第四讲：塑造学生高效学习、人际和谐的心理编程技术；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5、第五讲：硬化德育，避免空心、抑郁的人格教育；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6、第六讲：元认知在工作、家庭教育中的非临床操作方法。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第二阶：  心理教育技术方法与实操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1、第一讲：评估与初诊接待；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2、第二讲：如何做好认知调整；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3、第三讲：技术辅导与非临床干预；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4、第四讲：完整案例呈现与总结；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5、第五讲：是什么制约了学生的成绩？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6、第六讲：学生提高成绩的学科策略；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7、第七讲：元认知心理干预技术在英语教学中的应用；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8、第八讲：元认知心理干预技术在班主任工作中的应用。                                                                                                                                            自账号开通后统一宣传学习有效期为2年</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71B05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教师心理技能培训</w:t>
            </w:r>
          </w:p>
        </w:tc>
        <w:tc>
          <w:tcPr>
            <w:tcW w:w="618" w:type="dxa"/>
            <w:tcBorders>
              <w:top w:val="single" w:color="000000" w:sz="4" w:space="0"/>
              <w:left w:val="single" w:color="000000" w:sz="4" w:space="0"/>
              <w:bottom w:val="single" w:color="000000" w:sz="4" w:space="0"/>
              <w:right w:val="single" w:color="000000" w:sz="4" w:space="0"/>
            </w:tcBorders>
            <w:noWrap/>
            <w:vAlign w:val="center"/>
          </w:tcPr>
          <w:p w14:paraId="5F597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5BF84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A22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0D11F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354" w:type="dxa"/>
            <w:vMerge w:val="restart"/>
            <w:tcBorders>
              <w:top w:val="single" w:color="000000" w:sz="4" w:space="0"/>
              <w:left w:val="single" w:color="000000" w:sz="4" w:space="0"/>
              <w:bottom w:val="single" w:color="000000" w:sz="4" w:space="0"/>
              <w:right w:val="single" w:color="000000" w:sz="4" w:space="0"/>
            </w:tcBorders>
            <w:noWrap w:val="0"/>
            <w:vAlign w:val="top"/>
          </w:tcPr>
          <w:p w14:paraId="7683C8A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音乐放松室25平米</w:t>
            </w:r>
          </w:p>
        </w:tc>
        <w:tc>
          <w:tcPr>
            <w:tcW w:w="2468" w:type="dxa"/>
            <w:vMerge w:val="restart"/>
            <w:tcBorders>
              <w:top w:val="single" w:color="000000" w:sz="4" w:space="0"/>
              <w:left w:val="single" w:color="000000" w:sz="4" w:space="0"/>
              <w:bottom w:val="single" w:color="000000" w:sz="4" w:space="0"/>
              <w:right w:val="single" w:color="000000" w:sz="4" w:space="0"/>
            </w:tcBorders>
            <w:noWrap w:val="0"/>
            <w:vAlign w:val="top"/>
          </w:tcPr>
          <w:p w14:paraId="3C248974">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心理教师强化来访者强化认知的场所。心理教师运用音乐放松相关设备把来访者的情绪放松到平静、愉悦状态，再强化在个体辅导时与来访者达成一致的认知内容。</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28CAA66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学习潜能提升训练系统</w:t>
            </w:r>
          </w:p>
        </w:tc>
        <w:tc>
          <w:tcPr>
            <w:tcW w:w="5263" w:type="dxa"/>
            <w:tcBorders>
              <w:top w:val="single" w:color="000000" w:sz="4" w:space="0"/>
              <w:left w:val="single" w:color="000000" w:sz="4" w:space="0"/>
              <w:bottom w:val="single" w:color="000000" w:sz="4" w:space="0"/>
              <w:right w:val="single" w:color="000000" w:sz="4" w:space="0"/>
            </w:tcBorders>
            <w:noWrap w:val="0"/>
            <w:vAlign w:val="center"/>
          </w:tcPr>
          <w:p w14:paraId="48AC8E1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一、系统简介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学习潜能提升训练系统制定多种放松练习，帮助用户通过训练能学会调节生理机能及控制情绪状态，从而达到心理、肌体放松和快速解压的目的，是一款集生理指标采集分析、放松反馈训练、情绪状态监测为一体的反馈型放松产品。能够帮助用户了解自己的情绪稳定性，并且通过放松训练和解决方案的指导提升自身的情绪、认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二、硬件参数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1.整体尺寸：≥760mm（长）*820mm（宽）*1220mm(高）(椅背收起)，≥1900mm（长）*820mm（宽）*1120mm(高）（椅背展开）；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2.产品净重：≥45KG，最大承载量：≥100KG；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3.播放系统：安卓系统，触控终端（10.1），系统内存：≥6G；储存空间：≥128G；支持任意格式音乐、心理文章，心理图片、心理电影播放，支持连接WiFi。</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4.独立电动控制系统：音乐椅靠背、腿部电动控制设计，靠背100度-170度，腿部90度-170度任意调节。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5.高品质播放系统:内置高品质音响，环绕式播放心理放松音乐。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6.遮光头罩≥740mm（长）*750mm（宽）*2mm(厚），材料ABS+PMMA，可通过遥控手柄调节。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多功能控制器：具有自动及音乐同步两种体感模式，可通过蓝牙的方式输入音频，借助多功能控制面板，可实现对音频、震动、音源、歌曲、座椅姿势随意切换，系统将跟随音乐的节奏变化而变化，从而达到音乐和体感同步效果。通过面板控制加热功能按钮，开启放松椅内的电加热丝进行内部加热，并通过热传递将热量传递给乘坐者，实现加热功能，有效提高天寒时节使用时的舒适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多功能生理指标采集系统：采用无线蓝牙指脉式生理指标采集，蓝牙频段范围：2402.00-2480.00MHZ，最大输出功率：＜100mW。集成手腕式生物反馈处理器，精确反馈人体多项生理指标，采集终端可直观显示：蓝牙指示灯、蜂鸣器指示灯、血氧饱和度指示灯、脉率指示灯、电量指示灯、血氧饱和度值、脉率值、脉搏强度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9.智能一体化操作系统：实现系统和音乐放松椅姿势调整系统高度集成一体化。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三、用户注册登录：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1.支持密码登陆和人脸登陆进入系统；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2.支持单个用户注册和多个用户批量导入；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3.支持可通过手机号与验证码找回密码；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4.支持首页展示用户头像姓名以及功能列表；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四、软件系统功能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1.系统功能模块：提供主题放松、音乐放松、通用放松、数据中心等不少于4个功能模块；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▲2.主题放松：提供考试焦虑、作业拖延、学习马虎、学习偏科等不少于4大类主题选择。（提供CMA或CNAS标记的“学习潜能提升训练系统”测试报告扫描件以及功能界面截图并加盖厂家公章予以佐证）。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2.1.考试焦虑：提供老师宣布要考试、同学说到要考试、即将进入考场、考试时遇到难题、宣布即将结束考试等不少于5个考试焦虑情境学习，支持在考试焦虑情境下选择不同的情绪状态。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作业拖延：提供准备开始做作业时、当遇到不会的题时、妈妈提醒写作业时、妈妈催促写作业时、发现做错很多题时等不少于5个作业拖延情境学习，每个作业拖延情境学习支持不少于三种情绪状态选择。（提供CMA或CNAS标记的“学习潜能提升训练系统”测试报告扫描件以及功能界面截图并加盖厂家公章予以佐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2.3.学习马虎：提供当面对简单题时、当老师批评自己马虎时、当妈妈提醒要注意时、想到自己犯的马虎错误时、当同学们讨论马虎问题时等不少于5个学习马虎情境学习，每个学习马虎场景下支持不少于三种情绪状态选择。（提供CMA或CNAS标记的“学习潜能提升训练系统”测试报告扫描件以及功能界面截图并加盖厂家公章予以佐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学习偏科：提供当面对自己弱科的课时、面对弱科的任课老师时、当面对弱科的作业时、面对弱科的考试时、妈妈提醒加强弱科学习时等不少于5个学习偏科情境学习，每个学习偏科场景下支持不少于三种情绪状态选择。（提供CMA或CNAS标记的“学习潜能提升训练系统”测试报告扫描件以及功能界面截图并加盖厂家公章予以佐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3.音乐放松：包括中国风、消除紧张焦虑、消除浮躁、伤感音乐、国外名曲、缓解身心疲劳、解除忧郁多种音乐类型内容，音频包含至少50首供用户自助放松练习。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4.通用放松：由呼吸放松、肌肉放松、想象放松等不少于三种放松训练组成。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数据中心：支持用户通过数据中心查看训练结束后的主题报告，报告包括基础信息、数据总览、HRV数据（脉率、血氧饱和度、PNN50、心率、R(max)、R(min)、Qrs（max）、Qrs（min））、综合曲线图、报告总结、调节训练建议等内容。（提供CMA或CNAS标记的“学习潜能提升训练系统”测试报告扫描件以及功能界面截图并加盖厂家公章予以佐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6.具有Web管理端功能，支持管理员通过Web页面，登录系统进行报告管理，可按照用户信息进行查询，可对报告进行查看等操作。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7.支持与云平台系统实现用户数据对接，实现用户信息的录入、保存、批量导入、删除、报告查看等管理功能。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8.支持软件版本更新功能。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9.支持人脸绑定和人脸解绑功能。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产品配置：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1、体感音乐放松椅1台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2、学习潜能提升训练系统1套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3、生理指标采集器1套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4、遮光眼罩2个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5、心理健康与潜能开发的策略书籍1本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6、头罩1个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7、支架1个</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7BB8F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软件+硬件，调节生理机能及控制情绪状态</w:t>
            </w: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10BE2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369D8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094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6AFDF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top"/>
          </w:tcPr>
          <w:p w14:paraId="75CAEA2A">
            <w:pPr>
              <w:jc w:val="center"/>
              <w:rPr>
                <w:rFonts w:hint="eastAsia" w:ascii="宋体" w:hAnsi="宋体" w:eastAsia="宋体" w:cs="宋体"/>
                <w:i w:val="0"/>
                <w:iCs w:val="0"/>
                <w:color w:val="000000"/>
                <w:sz w:val="20"/>
                <w:szCs w:val="20"/>
                <w:u w:val="none"/>
              </w:rPr>
            </w:pPr>
          </w:p>
        </w:tc>
        <w:tc>
          <w:tcPr>
            <w:tcW w:w="2468" w:type="dxa"/>
            <w:vMerge w:val="continue"/>
            <w:tcBorders>
              <w:top w:val="single" w:color="000000" w:sz="4" w:space="0"/>
              <w:left w:val="single" w:color="000000" w:sz="4" w:space="0"/>
              <w:bottom w:val="single" w:color="000000" w:sz="4" w:space="0"/>
              <w:right w:val="single" w:color="000000" w:sz="4" w:space="0"/>
            </w:tcBorders>
            <w:noWrap w:val="0"/>
            <w:vAlign w:val="top"/>
          </w:tcPr>
          <w:p w14:paraId="2B0ECDDA">
            <w:pPr>
              <w:jc w:val="center"/>
              <w:rPr>
                <w:rFonts w:hint="eastAsia" w:ascii="宋体" w:hAnsi="宋体" w:eastAsia="宋体" w:cs="宋体"/>
                <w:i w:val="0"/>
                <w:iCs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5D6AA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心理文化墙装饰画系列四</w:t>
            </w:r>
          </w:p>
        </w:tc>
        <w:tc>
          <w:tcPr>
            <w:tcW w:w="5263" w:type="dxa"/>
            <w:tcBorders>
              <w:top w:val="single" w:color="000000" w:sz="4" w:space="0"/>
              <w:left w:val="single" w:color="000000" w:sz="4" w:space="0"/>
              <w:bottom w:val="single" w:color="000000" w:sz="4" w:space="0"/>
              <w:right w:val="single" w:color="000000" w:sz="4" w:space="0"/>
            </w:tcBorders>
            <w:noWrap w:val="0"/>
            <w:vAlign w:val="center"/>
          </w:tcPr>
          <w:p w14:paraId="115866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心理文化墙装饰画系列四：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1、心理格言5幅，用于营造心理辅导室氛围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2、材质:结皮PVC板，厚度约5mm，形态：六边形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3、每幅规格尺寸：620*560mm。</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0C2B2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环境布置、文化宣传</w:t>
            </w:r>
          </w:p>
        </w:tc>
        <w:tc>
          <w:tcPr>
            <w:tcW w:w="618" w:type="dxa"/>
            <w:tcBorders>
              <w:top w:val="single" w:color="000000" w:sz="4" w:space="0"/>
              <w:left w:val="single" w:color="000000" w:sz="4" w:space="0"/>
              <w:bottom w:val="single" w:color="000000" w:sz="4" w:space="0"/>
              <w:right w:val="single" w:color="000000" w:sz="4" w:space="0"/>
            </w:tcBorders>
            <w:noWrap/>
            <w:vAlign w:val="center"/>
          </w:tcPr>
          <w:p w14:paraId="2A3E8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2BC51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164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3985F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top"/>
          </w:tcPr>
          <w:p w14:paraId="22DD9F7F">
            <w:pPr>
              <w:jc w:val="center"/>
              <w:rPr>
                <w:rFonts w:hint="eastAsia" w:ascii="宋体" w:hAnsi="宋体" w:eastAsia="宋体" w:cs="宋体"/>
                <w:i w:val="0"/>
                <w:iCs w:val="0"/>
                <w:color w:val="000000"/>
                <w:sz w:val="20"/>
                <w:szCs w:val="20"/>
                <w:u w:val="none"/>
              </w:rPr>
            </w:pPr>
          </w:p>
        </w:tc>
        <w:tc>
          <w:tcPr>
            <w:tcW w:w="2468" w:type="dxa"/>
            <w:vMerge w:val="continue"/>
            <w:tcBorders>
              <w:top w:val="single" w:color="000000" w:sz="4" w:space="0"/>
              <w:left w:val="single" w:color="000000" w:sz="4" w:space="0"/>
              <w:bottom w:val="single" w:color="000000" w:sz="4" w:space="0"/>
              <w:right w:val="single" w:color="000000" w:sz="4" w:space="0"/>
            </w:tcBorders>
            <w:noWrap w:val="0"/>
            <w:vAlign w:val="top"/>
          </w:tcPr>
          <w:p w14:paraId="73AB039F">
            <w:pPr>
              <w:jc w:val="center"/>
              <w:rPr>
                <w:rFonts w:hint="eastAsia" w:ascii="宋体" w:hAnsi="宋体" w:eastAsia="宋体" w:cs="宋体"/>
                <w:i w:val="0"/>
                <w:iCs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318DA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制度挂图</w:t>
            </w:r>
          </w:p>
        </w:tc>
        <w:tc>
          <w:tcPr>
            <w:tcW w:w="5263" w:type="dxa"/>
            <w:tcBorders>
              <w:top w:val="single" w:color="000000" w:sz="4" w:space="0"/>
              <w:left w:val="single" w:color="000000" w:sz="4" w:space="0"/>
              <w:bottom w:val="single" w:color="000000" w:sz="4" w:space="0"/>
              <w:right w:val="single" w:color="000000" w:sz="4" w:space="0"/>
            </w:tcBorders>
            <w:noWrap w:val="0"/>
            <w:vAlign w:val="center"/>
          </w:tcPr>
          <w:p w14:paraId="23EC9F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管理制度挂图内芯材质: 高清相纸；装裱方式: 黑色铝合金边框，环保透明面板；风格: 简约现代；工艺: 喷绘；组合形式: 独立；图片形式: 平面；可免拆边框更换内芯。含框尺寸: ≥440*570mm（±3mm）。</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30850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环境布置、文化宣传</w:t>
            </w:r>
          </w:p>
        </w:tc>
        <w:tc>
          <w:tcPr>
            <w:tcW w:w="618" w:type="dxa"/>
            <w:tcBorders>
              <w:top w:val="single" w:color="000000" w:sz="4" w:space="0"/>
              <w:left w:val="single" w:color="000000" w:sz="4" w:space="0"/>
              <w:bottom w:val="single" w:color="000000" w:sz="4" w:space="0"/>
              <w:right w:val="single" w:color="000000" w:sz="4" w:space="0"/>
            </w:tcBorders>
            <w:noWrap/>
            <w:vAlign w:val="center"/>
          </w:tcPr>
          <w:p w14:paraId="51323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5CB26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8EA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3D896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354" w:type="dxa"/>
            <w:vMerge w:val="restart"/>
            <w:tcBorders>
              <w:top w:val="single" w:color="000000" w:sz="4" w:space="0"/>
              <w:left w:val="single" w:color="000000" w:sz="4" w:space="0"/>
              <w:bottom w:val="single" w:color="000000" w:sz="4" w:space="0"/>
              <w:right w:val="single" w:color="000000" w:sz="4" w:space="0"/>
            </w:tcBorders>
            <w:noWrap w:val="0"/>
            <w:vAlign w:val="top"/>
          </w:tcPr>
          <w:p w14:paraId="4BC7B5A9">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p>
        </w:tc>
        <w:tc>
          <w:tcPr>
            <w:tcW w:w="2468" w:type="dxa"/>
            <w:vMerge w:val="restart"/>
            <w:tcBorders>
              <w:top w:val="single" w:color="000000" w:sz="4" w:space="0"/>
              <w:left w:val="single" w:color="000000" w:sz="4" w:space="0"/>
              <w:bottom w:val="single" w:color="000000" w:sz="4" w:space="0"/>
              <w:right w:val="single" w:color="000000" w:sz="4" w:space="0"/>
            </w:tcBorders>
            <w:noWrap w:val="0"/>
            <w:vAlign w:val="top"/>
          </w:tcPr>
          <w:p w14:paraId="53802363">
            <w:pPr>
              <w:jc w:val="center"/>
              <w:rPr>
                <w:rFonts w:hint="eastAsia" w:ascii="宋体" w:hAnsi="宋体" w:eastAsia="宋体" w:cs="宋体"/>
                <w:i w:val="0"/>
                <w:iCs w:val="0"/>
                <w:color w:val="auto"/>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09BA897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多元智动减压系统</w:t>
            </w:r>
          </w:p>
        </w:tc>
        <w:tc>
          <w:tcPr>
            <w:tcW w:w="5263" w:type="dxa"/>
            <w:tcBorders>
              <w:top w:val="single" w:color="000000" w:sz="4" w:space="0"/>
              <w:left w:val="single" w:color="000000" w:sz="4" w:space="0"/>
              <w:bottom w:val="single" w:color="000000" w:sz="4" w:space="0"/>
              <w:right w:val="single" w:color="000000" w:sz="4" w:space="0"/>
            </w:tcBorders>
            <w:noWrap w:val="0"/>
            <w:vAlign w:val="center"/>
          </w:tcPr>
          <w:p w14:paraId="3DDC7C8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一、产品组成：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1.1使用终端（43)；可视角度：178°；反应时间：8ms；耐久性：60M次触摸；抗爆性：莫氏7级；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1.2运存：8G；存储：64G;操作系统：安卓Android12；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1.3扬声器*1；USB3.0 OTG*1（Type-C)；USB3.0 HOST*1；USB HOST*4；USB2.0*2；RS-232C*1；10/100以太网接口；内置WIFI；支持蓝牙5.0；2个USB接口；1个RJ45网口；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1.4击打靶底座直径≥600mm,高≥350mm；靶心直径≥300mm，高≥1030mm；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1.5硬件搭载主机柜尺寸：长≥1000mm，宽≥500mm，高≥1700mm；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1.6摄像头：最高有效像素：1920*1080；有效焦距：≤3mm；供电电压：DC5V；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二、系统设置：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2.1支持用户名密码登录及刷脸登录双模式；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2.2支持设置击打仪和血氧仪蓝牙连接、人脸识别绑定、退出等；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2.3支持设置训练的难易程度、音量调节、灵敏度调节；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2.4支持数据采集和蓝牙连接状态悬浮展示，动态监测，时时掌控；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2.5系统支持与校园心育系统实现用户数据对接，实现用户信息的录入、保存、批量导入、删除、报告查看，数据分析等管理功能。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三、训练内容：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▲3.1系统包含声动未来、拳力以赴、面舞飞扬、动感平衡四大部分。(提供CMA或CNAS标记的“多元智动减压系统”报告扫描件加盖厂家公章予以佐证；)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3.2系统支持拳击、呐喊、体感互动多维一体的智能减压形式，适应不同用户的体验需求，吸引和激励训练者全身心释压释放。从而帮助用户疏导工作学习压力、缓解人际关系紧张、调整环境适应、克服焦虑、战胜挫折、自卑、消除压抑、释放不良情绪等问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3.3声动未来提供星河逐梦、一跃千里、破雨前行、智桥飞跃等不少于四个训练项目。系统通过麦克风传感器，将声波转换为电信号，从而捕捉声音的强度和频率，游戏界面可查看心跳速率、血氧饱和度、角色生命值、声音强度、得分、训练计时等内容。(提供CMA或CNAS标记的“多元智动减压系统”报告扫描件加盖厂家公章予以佐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3.4拳力以赴提供极速超越、拳速前进、泳无止境、活力拳击等不少于四个训练项目，连接击打仪，通过加速度传感器和数据处理算法，捕获用户的击打力度、频率，通过蓝牙传输心跳速率和血氧饱和度数据。(提供CMA或CNAS标记的“多元智动减压系统”报告扫描件加盖厂家公章予以佐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3.5面舞飞扬提供深海智航、星际奇航、食趣精灵等不少于三个训练项目，是一款考验体验者面部控制和快速反应的面部互动训练，通过摄像头捕获脸部和头部动作，具备高准确度的面部识别能力。可查看训练介绍，了解训练玩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3.6动感平衡提供飞行挑战、平衡大师、水果忍者等不少于三个训练项目。支持人体骨骼点扫描技术识别人体关键部位，捕捉用户的身体动作，通过体感分析技术分析用户身体动作数据，生成反馈结果；提供简单、中等、困难三种难度选择。(提供CMA或CNAS标记的“多元智动减压系统”报告扫描件加盖厂家公章予以佐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3.7训练过程中，系统会提供加油鼓励的动画和正向语音语库，包括涵盖工作、学习、情绪、社会等各方面8大类多种热点，通过心理激励语和心理疏导语，正向引导与鼓励，激发积极能量，鼓励用户达成目标。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3.8支持训练结束后系统自动统计并上传训练数据，如用户ID、训练项目、训练时长、训练结果等，便于后台管理。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四、产品配置：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1、系统显示终端1套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2、立式击打靶一个</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145B0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软件+硬件，呐喊、击打互动情绪疏导及训练</w:t>
            </w:r>
          </w:p>
        </w:tc>
        <w:tc>
          <w:tcPr>
            <w:tcW w:w="618" w:type="dxa"/>
            <w:tcBorders>
              <w:top w:val="single" w:color="000000" w:sz="4" w:space="0"/>
              <w:left w:val="single" w:color="000000" w:sz="4" w:space="0"/>
              <w:bottom w:val="single" w:color="000000" w:sz="4" w:space="0"/>
              <w:right w:val="single" w:color="000000" w:sz="4" w:space="0"/>
            </w:tcBorders>
            <w:noWrap/>
            <w:vAlign w:val="center"/>
          </w:tcPr>
          <w:p w14:paraId="32733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665D7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FE1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3C687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top"/>
          </w:tcPr>
          <w:p w14:paraId="4209180D">
            <w:pPr>
              <w:jc w:val="center"/>
              <w:rPr>
                <w:rFonts w:hint="eastAsia" w:ascii="宋体" w:hAnsi="宋体" w:eastAsia="宋体" w:cs="宋体"/>
                <w:i w:val="0"/>
                <w:iCs w:val="0"/>
                <w:color w:val="000000"/>
                <w:sz w:val="20"/>
                <w:szCs w:val="20"/>
                <w:u w:val="none"/>
              </w:rPr>
            </w:pPr>
          </w:p>
        </w:tc>
        <w:tc>
          <w:tcPr>
            <w:tcW w:w="2468" w:type="dxa"/>
            <w:vMerge w:val="continue"/>
            <w:tcBorders>
              <w:top w:val="single" w:color="000000" w:sz="4" w:space="0"/>
              <w:left w:val="single" w:color="000000" w:sz="4" w:space="0"/>
              <w:bottom w:val="single" w:color="000000" w:sz="4" w:space="0"/>
              <w:right w:val="single" w:color="000000" w:sz="4" w:space="0"/>
            </w:tcBorders>
            <w:noWrap w:val="0"/>
            <w:vAlign w:val="top"/>
          </w:tcPr>
          <w:p w14:paraId="7ED833F6">
            <w:pPr>
              <w:jc w:val="center"/>
              <w:rPr>
                <w:rFonts w:hint="eastAsia" w:ascii="宋体" w:hAnsi="宋体" w:eastAsia="宋体" w:cs="宋体"/>
                <w:i w:val="0"/>
                <w:iCs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55977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收纳凳</w:t>
            </w:r>
          </w:p>
        </w:tc>
        <w:tc>
          <w:tcPr>
            <w:tcW w:w="5263" w:type="dxa"/>
            <w:tcBorders>
              <w:top w:val="single" w:color="000000" w:sz="4" w:space="0"/>
              <w:left w:val="single" w:color="000000" w:sz="4" w:space="0"/>
              <w:bottom w:val="single" w:color="000000" w:sz="4" w:space="0"/>
              <w:right w:val="single" w:color="000000" w:sz="4" w:space="0"/>
            </w:tcBorders>
            <w:noWrap w:val="0"/>
            <w:vAlign w:val="center"/>
          </w:tcPr>
          <w:p w14:paraId="757B51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收纳凳尺寸：80*40*40cm，主体实木材质，外包材质PU皮，耐磨防滑，耐擦洗。</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53E9E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办公用</w:t>
            </w: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528E5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6E497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0DD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370F1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354" w:type="dxa"/>
            <w:vMerge w:val="restart"/>
            <w:tcBorders>
              <w:top w:val="single" w:color="000000" w:sz="4" w:space="0"/>
              <w:left w:val="single" w:color="000000" w:sz="4" w:space="0"/>
              <w:bottom w:val="single" w:color="000000" w:sz="4" w:space="0"/>
              <w:right w:val="single" w:color="000000" w:sz="4" w:space="0"/>
            </w:tcBorders>
            <w:noWrap w:val="0"/>
            <w:vAlign w:val="top"/>
          </w:tcPr>
          <w:p w14:paraId="61A7879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团体活动室60平米</w:t>
            </w:r>
          </w:p>
        </w:tc>
        <w:tc>
          <w:tcPr>
            <w:tcW w:w="2468" w:type="dxa"/>
            <w:vMerge w:val="restart"/>
            <w:tcBorders>
              <w:top w:val="single" w:color="000000" w:sz="4" w:space="0"/>
              <w:left w:val="single" w:color="000000" w:sz="4" w:space="0"/>
              <w:bottom w:val="single" w:color="000000" w:sz="4" w:space="0"/>
              <w:right w:val="single" w:color="000000" w:sz="4" w:space="0"/>
            </w:tcBorders>
            <w:noWrap w:val="0"/>
            <w:vAlign w:val="top"/>
          </w:tcPr>
          <w:p w14:paraId="2C7B410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心理教师对学生开展团体活动的场所。心理教师运用团体活动器材达到团体心理辅导的目的。</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23E45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团体活动桌椅</w:t>
            </w:r>
          </w:p>
        </w:tc>
        <w:tc>
          <w:tcPr>
            <w:tcW w:w="5263" w:type="dxa"/>
            <w:tcBorders>
              <w:top w:val="single" w:color="000000" w:sz="4" w:space="0"/>
              <w:left w:val="single" w:color="000000" w:sz="4" w:space="0"/>
              <w:bottom w:val="single" w:color="000000" w:sz="4" w:space="0"/>
              <w:right w:val="single" w:color="000000" w:sz="4" w:space="0"/>
            </w:tcBorders>
            <w:noWrap w:val="0"/>
            <w:vAlign w:val="center"/>
          </w:tcPr>
          <w:p w14:paraId="6702F0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每套环形组合桌，8个扇形桌面。颜色：红蓝绿黄橙白等不少于8种，能够根据团体活动需要，组合成圆形、扇形、方形、S形、C形、X形等十几种排列方式。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钢木材质，木质多层双面漆面板，厚度约18mm，扇形半径约600mm。桌子外圆直径约1800mm（8面），整体高度约680mm；色彩丰富，单色色度艳丽无色差，不开裂不变形，耐热耐污耐擦，更加环保。桌面支架为金属支架，采用直径为50mm±2mm的圆管,，榫卯结构让支架组合更美观牢固。配8个折叠椅支架由铁管加烤漆工艺构成。坐面宽大，坐感舒适；人体工程设计。</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3645B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接待多个来访者、小团体辅导</w:t>
            </w: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19022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1F482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71E9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4B253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top"/>
          </w:tcPr>
          <w:p w14:paraId="084F76B4">
            <w:pPr>
              <w:jc w:val="center"/>
              <w:rPr>
                <w:rFonts w:hint="eastAsia" w:ascii="宋体" w:hAnsi="宋体" w:eastAsia="宋体" w:cs="宋体"/>
                <w:i w:val="0"/>
                <w:iCs w:val="0"/>
                <w:color w:val="000000"/>
                <w:sz w:val="20"/>
                <w:szCs w:val="20"/>
                <w:u w:val="none"/>
              </w:rPr>
            </w:pPr>
          </w:p>
        </w:tc>
        <w:tc>
          <w:tcPr>
            <w:tcW w:w="2468" w:type="dxa"/>
            <w:vMerge w:val="continue"/>
            <w:tcBorders>
              <w:top w:val="single" w:color="000000" w:sz="4" w:space="0"/>
              <w:left w:val="single" w:color="000000" w:sz="4" w:space="0"/>
              <w:bottom w:val="single" w:color="000000" w:sz="4" w:space="0"/>
              <w:right w:val="single" w:color="000000" w:sz="4" w:space="0"/>
            </w:tcBorders>
            <w:noWrap w:val="0"/>
            <w:vAlign w:val="top"/>
          </w:tcPr>
          <w:p w14:paraId="090106B3">
            <w:pPr>
              <w:jc w:val="left"/>
              <w:rPr>
                <w:rFonts w:hint="eastAsia" w:ascii="宋体" w:hAnsi="宋体" w:eastAsia="宋体" w:cs="宋体"/>
                <w:i w:val="0"/>
                <w:iCs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112BF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心理课课例设计与实践课程</w:t>
            </w:r>
          </w:p>
        </w:tc>
        <w:tc>
          <w:tcPr>
            <w:tcW w:w="5263" w:type="dxa"/>
            <w:tcBorders>
              <w:top w:val="single" w:color="000000" w:sz="4" w:space="0"/>
              <w:left w:val="single" w:color="000000" w:sz="4" w:space="0"/>
              <w:bottom w:val="single" w:color="000000" w:sz="4" w:space="0"/>
              <w:right w:val="single" w:color="000000" w:sz="4" w:space="0"/>
            </w:tcBorders>
            <w:noWrap w:val="0"/>
            <w:vAlign w:val="center"/>
          </w:tcPr>
          <w:p w14:paraId="240B88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1、心理课课例设计与实践课程电子教材1套（U盘2个）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2、心理课课例设计与实践课程配套纸质教材4本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3、教材配套专业心理技术学习用书4本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4、心理课课例设计与实践课程道具箱1套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5、心理课课例设计与实践课程配套教学资源使用年限3年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6、学生用手册100本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7、实效化的心理课设计与实践课程培训服务1套，培训采用线下和线上培训方式相结合，其中线下集中培训2天（长沙）；线上培训每季度1次，持续1年。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7.1线下培训内容：从心理课设计与实践课程教材中的核心知识与核心心理技术原理入手，引导老师们初步学习教材中的知识体系，教材中的科学心理学知识，以及这些知识在教育教学中的应用。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7.2线上培训内容：每季度1次，共计4次。其中单数月份是示范课，由专家带领进行示范研讨学习；双数月份在线解决教材的应用问题，如怎样把教材用好？如何建立教材的支持体系？如何建立课程的管理体系？如何在心理课落地过程中联合家长形成家校合力？如何使科学心理学和心理课程在教学教育中的意义最大化等实效化落地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8、技术支持服务系统：在教材应用与培训期间，提供线上在线答疑服务，为老师们在教学与咨询中的问题进行答疑。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9、每校学习名额2个</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09383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课堂学习心理知识的课程</w:t>
            </w:r>
          </w:p>
        </w:tc>
        <w:tc>
          <w:tcPr>
            <w:tcW w:w="618" w:type="dxa"/>
            <w:tcBorders>
              <w:top w:val="single" w:color="000000" w:sz="4" w:space="0"/>
              <w:left w:val="single" w:color="000000" w:sz="4" w:space="0"/>
              <w:bottom w:val="single" w:color="000000" w:sz="4" w:space="0"/>
              <w:right w:val="single" w:color="000000" w:sz="4" w:space="0"/>
            </w:tcBorders>
            <w:noWrap/>
            <w:vAlign w:val="center"/>
          </w:tcPr>
          <w:p w14:paraId="26864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42998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532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463F7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top"/>
          </w:tcPr>
          <w:p w14:paraId="527BAA9D">
            <w:pPr>
              <w:jc w:val="center"/>
              <w:rPr>
                <w:rFonts w:hint="eastAsia" w:ascii="宋体" w:hAnsi="宋体" w:eastAsia="宋体" w:cs="宋体"/>
                <w:i w:val="0"/>
                <w:iCs w:val="0"/>
                <w:color w:val="000000"/>
                <w:sz w:val="20"/>
                <w:szCs w:val="20"/>
                <w:u w:val="none"/>
              </w:rPr>
            </w:pPr>
          </w:p>
        </w:tc>
        <w:tc>
          <w:tcPr>
            <w:tcW w:w="2468" w:type="dxa"/>
            <w:vMerge w:val="continue"/>
            <w:tcBorders>
              <w:top w:val="single" w:color="000000" w:sz="4" w:space="0"/>
              <w:left w:val="single" w:color="000000" w:sz="4" w:space="0"/>
              <w:bottom w:val="single" w:color="000000" w:sz="4" w:space="0"/>
              <w:right w:val="single" w:color="000000" w:sz="4" w:space="0"/>
            </w:tcBorders>
            <w:noWrap w:val="0"/>
            <w:vAlign w:val="top"/>
          </w:tcPr>
          <w:p w14:paraId="62D55FCE">
            <w:pPr>
              <w:jc w:val="left"/>
              <w:rPr>
                <w:rFonts w:hint="eastAsia" w:ascii="宋体" w:hAnsi="宋体" w:eastAsia="宋体" w:cs="宋体"/>
                <w:i w:val="0"/>
                <w:iCs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1C171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初中生校园心理剧</w:t>
            </w:r>
          </w:p>
        </w:tc>
        <w:tc>
          <w:tcPr>
            <w:tcW w:w="5263" w:type="dxa"/>
            <w:tcBorders>
              <w:top w:val="single" w:color="000000" w:sz="4" w:space="0"/>
              <w:left w:val="single" w:color="000000" w:sz="4" w:space="0"/>
              <w:bottom w:val="single" w:color="000000" w:sz="4" w:space="0"/>
              <w:right w:val="single" w:color="000000" w:sz="4" w:space="0"/>
            </w:tcBorders>
            <w:noWrap w:val="0"/>
            <w:vAlign w:val="center"/>
          </w:tcPr>
          <w:p w14:paraId="7473E8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己演，演自己"。校园心理剧把学生常见的成问题，以及问题的化解过程用舞台剧的形式表现出来。本心理情景剧通过初中学生心理问题个案辅导和学生心理健康教育实例总结提炼改编，学生通过表演、观看、体悟，得到心灵上的启迪，实现真正的成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一、活动主题：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新生适应性问题、人际关系问题、学习问题、性格与价值观问题，共设计4个主题，立足初中生常见的成长问题，筛选了来自现实原型的16个心理剧案例。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1、针对新环境、新课程、新老师、新同学产生的新生适应性问题，通过3个真实案例引导学生积极适应老师、同学与环境，以积极的状态投入新的生活与学习中。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心理剧分别为：向青春启航、换老师后、一堂别样的语文课。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针对师生关系，亲子关系，同学关系，家庭变故导致的人际问题，通过5个实例心理剧活动引导学生学会正确处理人际矛盾，学会与老师家长及同学沟通，在沟通中感受爱，传递爱；心理剧分别为：与你同行、让情绪过山车平稳着陆、晴空万里、我不是恋爱脑、摘掉“叛逆帽子”不是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针对厌学、偏科、学习低效、考试焦虑导致的学习问题，通过4个实例展现用科学理念揭示学习问题的心理本质，引导学生科学解决学习问题。心理剧分别为：齐步走、挣脱“网”的诱惑、偏科是个雷、今夜星光灿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初中生正处于由幼稚走向成熟的过渡期，也是性格与价值观形成的关键期，通过4个实例的展开，引导学生用发展的视角积极看待并正确处理成长中的问题，形成正确的价值观和坚强性格。心理剧分别为：阳光总在风雨后、胖子都是潜力股、做一个心灵健身小达人、南阳的演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1、心理剧道具箱1个，规格： 500*450*250mm ，内含配套心理剧活动器材100余件，如花名册、模型手机2个、时钟、鸟状头帽、鳄鱼头帽等；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2、《成长有方》初中生校园心理剧指导书籍1本，详细介绍了每个心理剧的活动方案及操作程序等内容。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3、电子u盘 1个：内含配套电子心理剧方案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4、校园心育平台账号1个：用于观看心理剧和使用心理剧活动方案。</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6F57A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开展心理团体心理剧</w:t>
            </w: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0074E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14DC7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D6F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03CC3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top"/>
          </w:tcPr>
          <w:p w14:paraId="6CE82A3C">
            <w:pPr>
              <w:jc w:val="center"/>
              <w:rPr>
                <w:rFonts w:hint="eastAsia" w:ascii="宋体" w:hAnsi="宋体" w:eastAsia="宋体" w:cs="宋体"/>
                <w:i w:val="0"/>
                <w:iCs w:val="0"/>
                <w:color w:val="000000"/>
                <w:sz w:val="20"/>
                <w:szCs w:val="20"/>
                <w:u w:val="none"/>
              </w:rPr>
            </w:pPr>
          </w:p>
        </w:tc>
        <w:tc>
          <w:tcPr>
            <w:tcW w:w="2468" w:type="dxa"/>
            <w:vMerge w:val="continue"/>
            <w:tcBorders>
              <w:top w:val="single" w:color="000000" w:sz="4" w:space="0"/>
              <w:left w:val="single" w:color="000000" w:sz="4" w:space="0"/>
              <w:bottom w:val="single" w:color="000000" w:sz="4" w:space="0"/>
              <w:right w:val="single" w:color="000000" w:sz="4" w:space="0"/>
            </w:tcBorders>
            <w:noWrap w:val="0"/>
            <w:vAlign w:val="top"/>
          </w:tcPr>
          <w:p w14:paraId="6C9B5B03">
            <w:pPr>
              <w:jc w:val="left"/>
              <w:rPr>
                <w:rFonts w:hint="eastAsia" w:ascii="宋体" w:hAnsi="宋体" w:eastAsia="宋体" w:cs="宋体"/>
                <w:i w:val="0"/>
                <w:iCs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75B98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户外拓展训练器材</w:t>
            </w:r>
          </w:p>
        </w:tc>
        <w:tc>
          <w:tcPr>
            <w:tcW w:w="5263" w:type="dxa"/>
            <w:tcBorders>
              <w:top w:val="single" w:color="000000" w:sz="4" w:space="0"/>
              <w:left w:val="single" w:color="000000" w:sz="4" w:space="0"/>
              <w:bottom w:val="single" w:color="000000" w:sz="4" w:space="0"/>
              <w:right w:val="single" w:color="000000" w:sz="4" w:space="0"/>
            </w:tcBorders>
            <w:noWrap w:val="0"/>
            <w:vAlign w:val="center"/>
          </w:tcPr>
          <w:p w14:paraId="587AE8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户外拓展训练箱1个，尺寸：≥870mm*420mm*180mm；拉杆箱带轮，方便携带。适用于户外团体活动使用，产品包括活动道具、说明书、包装袋等。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游戏包括：管理七巧板、急速60秒、穿越雷阵、击鼓颠球、摸石过河、盲人方阵、神笔马良、不倒森林、珠行万里、两人三足等。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1、管理七巧板：开发智力和想象力，可拼成多种图案。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2、急速60秒：在一个圈内放置了30张未知的数字信息卡片，要求在60秒的时间内把1－30的数字信息卡片按照依次全部的要求交给培训师。 培训目标：a/体验高速度的配合，体验团队成功的喜悦；b、团队内合理分工、有效计划、强执行力。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3、穿越雷阵：有利于团体之前的沟通，以及增强逻辑思维能力。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4、击鼓颠球：充分激发团体的运动激情，挖掘潜力。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5、摸石过河： a、向前放置砖头的距离不能大于手臂长度，一般和手臂长度相等即可，这样容易放和拿； b、三块砖头要放着在一条直线上，或者接近一条直线； c、每次向前跨不同的脚，不要在砖头上换脚，身体的朝向必须是一左一右，这样速度快。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6、盲人方阵：增强团队合作精神。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7、神笔马良：考验团体合作能力以及卸料能力。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8、不倒森林：需团队协作一起完成任务，考验团体能力与协作。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9、珠行万里：考验团体协作能力与平衡能力。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10、两人三足：考验团体合作能力。</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50FE1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开展户外团体辅导</w:t>
            </w: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74D27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50729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B06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60619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top"/>
          </w:tcPr>
          <w:p w14:paraId="73254EEF">
            <w:pPr>
              <w:jc w:val="center"/>
              <w:rPr>
                <w:rFonts w:hint="eastAsia" w:ascii="宋体" w:hAnsi="宋体" w:eastAsia="宋体" w:cs="宋体"/>
                <w:i w:val="0"/>
                <w:iCs w:val="0"/>
                <w:color w:val="000000"/>
                <w:sz w:val="20"/>
                <w:szCs w:val="20"/>
                <w:u w:val="none"/>
              </w:rPr>
            </w:pPr>
          </w:p>
        </w:tc>
        <w:tc>
          <w:tcPr>
            <w:tcW w:w="2468" w:type="dxa"/>
            <w:vMerge w:val="continue"/>
            <w:tcBorders>
              <w:top w:val="single" w:color="000000" w:sz="4" w:space="0"/>
              <w:left w:val="single" w:color="000000" w:sz="4" w:space="0"/>
              <w:bottom w:val="single" w:color="000000" w:sz="4" w:space="0"/>
              <w:right w:val="single" w:color="000000" w:sz="4" w:space="0"/>
            </w:tcBorders>
            <w:noWrap w:val="0"/>
            <w:vAlign w:val="top"/>
          </w:tcPr>
          <w:p w14:paraId="1D1C8B69">
            <w:pPr>
              <w:jc w:val="left"/>
              <w:rPr>
                <w:rFonts w:hint="eastAsia" w:ascii="宋体" w:hAnsi="宋体" w:eastAsia="宋体" w:cs="宋体"/>
                <w:i w:val="0"/>
                <w:iCs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5E2BE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心理文化墙装饰画系列五</w:t>
            </w:r>
          </w:p>
        </w:tc>
        <w:tc>
          <w:tcPr>
            <w:tcW w:w="5263" w:type="dxa"/>
            <w:tcBorders>
              <w:top w:val="single" w:color="000000" w:sz="4" w:space="0"/>
              <w:left w:val="single" w:color="000000" w:sz="4" w:space="0"/>
              <w:bottom w:val="single" w:color="000000" w:sz="4" w:space="0"/>
              <w:right w:val="single" w:color="000000" w:sz="4" w:space="0"/>
            </w:tcBorders>
            <w:noWrap w:val="0"/>
            <w:vAlign w:val="center"/>
          </w:tcPr>
          <w:p w14:paraId="1071F2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心理文化墙装饰画系列五：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1、心理格言7幅，用于营造心理辅导室氛围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2、材质:结皮PVC板，厚度约5mm，形态：六边形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3、每幅规格尺寸：590*520mm。</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4ADD3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环境布置、文化宣传</w:t>
            </w:r>
          </w:p>
        </w:tc>
        <w:tc>
          <w:tcPr>
            <w:tcW w:w="618" w:type="dxa"/>
            <w:tcBorders>
              <w:top w:val="single" w:color="000000" w:sz="4" w:space="0"/>
              <w:left w:val="single" w:color="000000" w:sz="4" w:space="0"/>
              <w:bottom w:val="single" w:color="000000" w:sz="4" w:space="0"/>
              <w:right w:val="single" w:color="000000" w:sz="4" w:space="0"/>
            </w:tcBorders>
            <w:noWrap/>
            <w:vAlign w:val="center"/>
          </w:tcPr>
          <w:p w14:paraId="147C7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0FB7F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B64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2B0EF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top"/>
          </w:tcPr>
          <w:p w14:paraId="019514E4">
            <w:pPr>
              <w:jc w:val="center"/>
              <w:rPr>
                <w:rFonts w:hint="eastAsia" w:ascii="宋体" w:hAnsi="宋体" w:eastAsia="宋体" w:cs="宋体"/>
                <w:i w:val="0"/>
                <w:iCs w:val="0"/>
                <w:color w:val="000000"/>
                <w:sz w:val="20"/>
                <w:szCs w:val="20"/>
                <w:u w:val="none"/>
              </w:rPr>
            </w:pPr>
          </w:p>
        </w:tc>
        <w:tc>
          <w:tcPr>
            <w:tcW w:w="2468" w:type="dxa"/>
            <w:vMerge w:val="continue"/>
            <w:tcBorders>
              <w:top w:val="single" w:color="000000" w:sz="4" w:space="0"/>
              <w:left w:val="single" w:color="000000" w:sz="4" w:space="0"/>
              <w:bottom w:val="single" w:color="000000" w:sz="4" w:space="0"/>
              <w:right w:val="single" w:color="000000" w:sz="4" w:space="0"/>
            </w:tcBorders>
            <w:noWrap w:val="0"/>
            <w:vAlign w:val="top"/>
          </w:tcPr>
          <w:p w14:paraId="7736C3AE">
            <w:pPr>
              <w:jc w:val="left"/>
              <w:rPr>
                <w:rFonts w:hint="eastAsia" w:ascii="宋体" w:hAnsi="宋体" w:eastAsia="宋体" w:cs="宋体"/>
                <w:i w:val="0"/>
                <w:iCs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2E5E4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心理文化墙装饰画系列六</w:t>
            </w:r>
          </w:p>
        </w:tc>
        <w:tc>
          <w:tcPr>
            <w:tcW w:w="5263" w:type="dxa"/>
            <w:tcBorders>
              <w:top w:val="single" w:color="000000" w:sz="4" w:space="0"/>
              <w:left w:val="single" w:color="000000" w:sz="4" w:space="0"/>
              <w:bottom w:val="single" w:color="000000" w:sz="4" w:space="0"/>
              <w:right w:val="single" w:color="000000" w:sz="4" w:space="0"/>
            </w:tcBorders>
            <w:noWrap w:val="0"/>
            <w:vAlign w:val="center"/>
          </w:tcPr>
          <w:p w14:paraId="16E9C8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心理文化墙装饰画系列六：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1、心理格言5幅，用于营造心理辅导室氛围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2、材质:结皮PVC板，厚度约5mm，形态：不规则图形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3、每幅规格尺寸：540*540mm。</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65FD6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环境布置、文化宣传</w:t>
            </w:r>
          </w:p>
        </w:tc>
        <w:tc>
          <w:tcPr>
            <w:tcW w:w="618" w:type="dxa"/>
            <w:tcBorders>
              <w:top w:val="single" w:color="000000" w:sz="4" w:space="0"/>
              <w:left w:val="single" w:color="000000" w:sz="4" w:space="0"/>
              <w:bottom w:val="single" w:color="000000" w:sz="4" w:space="0"/>
              <w:right w:val="single" w:color="000000" w:sz="4" w:space="0"/>
            </w:tcBorders>
            <w:noWrap/>
            <w:vAlign w:val="center"/>
          </w:tcPr>
          <w:p w14:paraId="2C4E8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5399E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353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20167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top"/>
          </w:tcPr>
          <w:p w14:paraId="354CD9F4">
            <w:pPr>
              <w:jc w:val="center"/>
              <w:rPr>
                <w:rFonts w:hint="eastAsia" w:ascii="宋体" w:hAnsi="宋体" w:eastAsia="宋体" w:cs="宋体"/>
                <w:i w:val="0"/>
                <w:iCs w:val="0"/>
                <w:color w:val="000000"/>
                <w:sz w:val="20"/>
                <w:szCs w:val="20"/>
                <w:u w:val="none"/>
              </w:rPr>
            </w:pPr>
          </w:p>
        </w:tc>
        <w:tc>
          <w:tcPr>
            <w:tcW w:w="2468" w:type="dxa"/>
            <w:vMerge w:val="continue"/>
            <w:tcBorders>
              <w:top w:val="single" w:color="000000" w:sz="4" w:space="0"/>
              <w:left w:val="single" w:color="000000" w:sz="4" w:space="0"/>
              <w:bottom w:val="single" w:color="000000" w:sz="4" w:space="0"/>
              <w:right w:val="single" w:color="000000" w:sz="4" w:space="0"/>
            </w:tcBorders>
            <w:noWrap w:val="0"/>
            <w:vAlign w:val="top"/>
          </w:tcPr>
          <w:p w14:paraId="71ACBC5E">
            <w:pPr>
              <w:jc w:val="left"/>
              <w:rPr>
                <w:rFonts w:hint="eastAsia" w:ascii="宋体" w:hAnsi="宋体" w:eastAsia="宋体" w:cs="宋体"/>
                <w:i w:val="0"/>
                <w:iCs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054E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制度挂图</w:t>
            </w:r>
          </w:p>
        </w:tc>
        <w:tc>
          <w:tcPr>
            <w:tcW w:w="5263" w:type="dxa"/>
            <w:tcBorders>
              <w:top w:val="single" w:color="000000" w:sz="4" w:space="0"/>
              <w:left w:val="single" w:color="000000" w:sz="4" w:space="0"/>
              <w:bottom w:val="single" w:color="000000" w:sz="4" w:space="0"/>
              <w:right w:val="single" w:color="000000" w:sz="4" w:space="0"/>
            </w:tcBorders>
            <w:noWrap w:val="0"/>
            <w:vAlign w:val="center"/>
          </w:tcPr>
          <w:p w14:paraId="37897E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管理制度挂图内芯材质: 高清相纸；装裱方式: 黑色铝合金边框，环保透明面板；风格: 简约现代；工艺: 喷绘；组合形式: 独立；图片形式: 平面；可免拆边框更换内芯。含框尺寸: ≥440*570mm（±3mm）。</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027BE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环境布置、文化宣传</w:t>
            </w:r>
          </w:p>
        </w:tc>
        <w:tc>
          <w:tcPr>
            <w:tcW w:w="618" w:type="dxa"/>
            <w:tcBorders>
              <w:top w:val="single" w:color="000000" w:sz="4" w:space="0"/>
              <w:left w:val="single" w:color="000000" w:sz="4" w:space="0"/>
              <w:bottom w:val="single" w:color="000000" w:sz="4" w:space="0"/>
              <w:right w:val="single" w:color="000000" w:sz="4" w:space="0"/>
            </w:tcBorders>
            <w:noWrap/>
            <w:vAlign w:val="center"/>
          </w:tcPr>
          <w:p w14:paraId="63F7F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34F12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902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0E92C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top"/>
          </w:tcPr>
          <w:p w14:paraId="41EECB04">
            <w:pPr>
              <w:jc w:val="center"/>
              <w:rPr>
                <w:rFonts w:hint="eastAsia" w:ascii="宋体" w:hAnsi="宋体" w:eastAsia="宋体" w:cs="宋体"/>
                <w:i w:val="0"/>
                <w:iCs w:val="0"/>
                <w:color w:val="000000"/>
                <w:sz w:val="20"/>
                <w:szCs w:val="20"/>
                <w:u w:val="none"/>
              </w:rPr>
            </w:pPr>
          </w:p>
        </w:tc>
        <w:tc>
          <w:tcPr>
            <w:tcW w:w="2468" w:type="dxa"/>
            <w:vMerge w:val="continue"/>
            <w:tcBorders>
              <w:top w:val="single" w:color="000000" w:sz="4" w:space="0"/>
              <w:left w:val="single" w:color="000000" w:sz="4" w:space="0"/>
              <w:bottom w:val="single" w:color="000000" w:sz="4" w:space="0"/>
              <w:right w:val="single" w:color="000000" w:sz="4" w:space="0"/>
            </w:tcBorders>
            <w:noWrap w:val="0"/>
            <w:vAlign w:val="top"/>
          </w:tcPr>
          <w:p w14:paraId="1BF82B58">
            <w:pPr>
              <w:jc w:val="left"/>
              <w:rPr>
                <w:rFonts w:hint="eastAsia" w:ascii="宋体" w:hAnsi="宋体" w:eastAsia="宋体" w:cs="宋体"/>
                <w:i w:val="0"/>
                <w:iCs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7442B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收纳柜</w:t>
            </w:r>
          </w:p>
        </w:tc>
        <w:tc>
          <w:tcPr>
            <w:tcW w:w="5263" w:type="dxa"/>
            <w:tcBorders>
              <w:top w:val="single" w:color="000000" w:sz="4" w:space="0"/>
              <w:left w:val="single" w:color="000000" w:sz="4" w:space="0"/>
              <w:bottom w:val="single" w:color="000000" w:sz="4" w:space="0"/>
              <w:right w:val="single" w:color="000000" w:sz="4" w:space="0"/>
            </w:tcBorders>
            <w:noWrap w:val="0"/>
            <w:vAlign w:val="center"/>
          </w:tcPr>
          <w:p w14:paraId="73060F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柜体采用1.6cm环保免漆板，承重性强，耐高温，耐酸碱，耐潮湿符合安全标准，不易变形。简约现代风格。</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6FF6A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办公用</w:t>
            </w:r>
          </w:p>
        </w:tc>
        <w:tc>
          <w:tcPr>
            <w:tcW w:w="618" w:type="dxa"/>
            <w:tcBorders>
              <w:top w:val="single" w:color="000000" w:sz="4" w:space="0"/>
              <w:left w:val="single" w:color="000000" w:sz="4" w:space="0"/>
              <w:bottom w:val="single" w:color="000000" w:sz="4" w:space="0"/>
              <w:right w:val="single" w:color="000000" w:sz="4" w:space="0"/>
            </w:tcBorders>
            <w:noWrap/>
            <w:vAlign w:val="center"/>
          </w:tcPr>
          <w:p w14:paraId="05E89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69FC6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A2F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7099A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354" w:type="dxa"/>
            <w:tcBorders>
              <w:top w:val="single" w:color="000000" w:sz="4" w:space="0"/>
              <w:left w:val="single" w:color="000000" w:sz="4" w:space="0"/>
              <w:bottom w:val="single" w:color="000000" w:sz="4" w:space="0"/>
              <w:right w:val="single" w:color="000000" w:sz="4" w:space="0"/>
            </w:tcBorders>
            <w:noWrap w:val="0"/>
            <w:vAlign w:val="top"/>
          </w:tcPr>
          <w:p w14:paraId="221CC618">
            <w:pPr>
              <w:jc w:val="center"/>
              <w:rPr>
                <w:rFonts w:hint="eastAsia" w:ascii="宋体" w:hAnsi="宋体" w:eastAsia="宋体" w:cs="宋体"/>
                <w:i w:val="0"/>
                <w:iCs w:val="0"/>
                <w:color w:val="000000"/>
                <w:sz w:val="20"/>
                <w:szCs w:val="20"/>
                <w:u w:val="none"/>
              </w:rPr>
            </w:pPr>
          </w:p>
        </w:tc>
        <w:tc>
          <w:tcPr>
            <w:tcW w:w="2468" w:type="dxa"/>
            <w:tcBorders>
              <w:top w:val="single" w:color="000000" w:sz="4" w:space="0"/>
              <w:left w:val="single" w:color="000000" w:sz="4" w:space="0"/>
              <w:bottom w:val="single" w:color="000000" w:sz="4" w:space="0"/>
              <w:right w:val="single" w:color="000000" w:sz="4" w:space="0"/>
            </w:tcBorders>
            <w:noWrap w:val="0"/>
            <w:vAlign w:val="top"/>
          </w:tcPr>
          <w:p w14:paraId="29B381B0">
            <w:pPr>
              <w:jc w:val="left"/>
              <w:rPr>
                <w:rFonts w:hint="eastAsia" w:ascii="宋体" w:hAnsi="宋体" w:eastAsia="宋体" w:cs="宋体"/>
                <w:i w:val="0"/>
                <w:iCs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1EBC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装修设计</w:t>
            </w:r>
          </w:p>
        </w:tc>
        <w:tc>
          <w:tcPr>
            <w:tcW w:w="5263" w:type="dxa"/>
            <w:tcBorders>
              <w:top w:val="single" w:color="000000" w:sz="4" w:space="0"/>
              <w:left w:val="single" w:color="000000" w:sz="4" w:space="0"/>
              <w:bottom w:val="single" w:color="000000" w:sz="4" w:space="0"/>
              <w:right w:val="single" w:color="000000" w:sz="4" w:space="0"/>
            </w:tcBorders>
            <w:noWrap w:val="0"/>
            <w:vAlign w:val="center"/>
          </w:tcPr>
          <w:p w14:paraId="7C572B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面积：根据现场实际情况进行装修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室内装修内容：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1、墙面处理(腻子粉刮平、环保乳胶墙面处理，调制温馨色彩)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2、心理辅导室门牌及管理制度牌的制定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3、地面：主要材料为高强度复合地板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4、电路改造：强电、空调专线、网络线路、电话线路等相关改造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5、插座、开关、灯具</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300B1947">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4BF60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46033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6E22FC64">
      <w:pPr>
        <w:rPr>
          <w:b/>
          <w:color w:val="auto"/>
          <w:sz w:val="24"/>
        </w:rPr>
      </w:pPr>
    </w:p>
    <w:tbl>
      <w:tblPr>
        <w:tblStyle w:val="44"/>
        <w:tblW w:w="130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1"/>
        <w:gridCol w:w="1272"/>
        <w:gridCol w:w="7529"/>
        <w:gridCol w:w="1272"/>
        <w:gridCol w:w="1715"/>
      </w:tblGrid>
      <w:tr w14:paraId="3FEDC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13059" w:type="dxa"/>
            <w:gridSpan w:val="5"/>
            <w:tcBorders>
              <w:top w:val="single" w:color="auto" w:sz="4" w:space="0"/>
              <w:left w:val="single" w:color="auto" w:sz="4" w:space="0"/>
              <w:bottom w:val="single" w:color="auto" w:sz="4" w:space="0"/>
              <w:right w:val="single" w:color="auto" w:sz="4" w:space="0"/>
            </w:tcBorders>
            <w:noWrap w:val="0"/>
            <w:vAlign w:val="center"/>
          </w:tcPr>
          <w:p w14:paraId="3F0CCBA8">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14:paraId="570102F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14:paraId="2573B51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14:paraId="32D6ECAC">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14:paraId="465FCBD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图书室、阅览（各1间）</w:t>
            </w:r>
          </w:p>
        </w:tc>
      </w:tr>
      <w:tr w14:paraId="3176E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1271" w:type="dxa"/>
            <w:tcBorders>
              <w:top w:val="single" w:color="auto" w:sz="4" w:space="0"/>
              <w:left w:val="single" w:color="auto" w:sz="4" w:space="0"/>
              <w:bottom w:val="single" w:color="auto" w:sz="4" w:space="0"/>
              <w:right w:val="single" w:color="auto" w:sz="4" w:space="0"/>
            </w:tcBorders>
            <w:noWrap w:val="0"/>
            <w:vAlign w:val="center"/>
          </w:tcPr>
          <w:p w14:paraId="2F0C66F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267FF8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7529" w:type="dxa"/>
            <w:tcBorders>
              <w:top w:val="single" w:color="auto" w:sz="4" w:space="0"/>
              <w:left w:val="single" w:color="auto" w:sz="4" w:space="0"/>
              <w:bottom w:val="single" w:color="auto" w:sz="4" w:space="0"/>
              <w:right w:val="single" w:color="auto" w:sz="4" w:space="0"/>
            </w:tcBorders>
            <w:noWrap w:val="0"/>
            <w:vAlign w:val="center"/>
          </w:tcPr>
          <w:p w14:paraId="0C62383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0D3AE89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715" w:type="dxa"/>
            <w:tcBorders>
              <w:top w:val="single" w:color="auto" w:sz="4" w:space="0"/>
              <w:left w:val="single" w:color="auto" w:sz="4" w:space="0"/>
              <w:bottom w:val="single" w:color="auto" w:sz="4" w:space="0"/>
              <w:right w:val="single" w:color="auto" w:sz="4" w:space="0"/>
            </w:tcBorders>
            <w:noWrap w:val="0"/>
            <w:vAlign w:val="center"/>
          </w:tcPr>
          <w:p w14:paraId="4D92F31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14:paraId="17CAA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271" w:type="dxa"/>
            <w:tcBorders>
              <w:top w:val="single" w:color="auto" w:sz="4" w:space="0"/>
              <w:left w:val="single" w:color="auto" w:sz="4" w:space="0"/>
              <w:bottom w:val="single" w:color="auto" w:sz="4" w:space="0"/>
              <w:right w:val="single" w:color="auto" w:sz="4" w:space="0"/>
            </w:tcBorders>
            <w:noWrap w:val="0"/>
            <w:vAlign w:val="center"/>
          </w:tcPr>
          <w:p w14:paraId="5E537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0141D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长方形板桌</w:t>
            </w:r>
          </w:p>
        </w:tc>
        <w:tc>
          <w:tcPr>
            <w:tcW w:w="7529" w:type="dxa"/>
            <w:tcBorders>
              <w:top w:val="single" w:color="auto" w:sz="4" w:space="0"/>
              <w:left w:val="single" w:color="auto" w:sz="4" w:space="0"/>
              <w:bottom w:val="single" w:color="auto" w:sz="4" w:space="0"/>
              <w:right w:val="single" w:color="auto" w:sz="4" w:space="0"/>
            </w:tcBorders>
            <w:noWrap w:val="0"/>
            <w:vAlign w:val="center"/>
          </w:tcPr>
          <w:p w14:paraId="6D56AA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1200*700*760mm；材质：橡胶木；一桌四椅。</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4E87B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715" w:type="dxa"/>
            <w:tcBorders>
              <w:top w:val="single" w:color="auto" w:sz="4" w:space="0"/>
              <w:left w:val="single" w:color="auto" w:sz="4" w:space="0"/>
              <w:bottom w:val="single" w:color="auto" w:sz="4" w:space="0"/>
              <w:right w:val="single" w:color="auto" w:sz="4" w:space="0"/>
            </w:tcBorders>
            <w:noWrap w:val="0"/>
            <w:vAlign w:val="center"/>
          </w:tcPr>
          <w:p w14:paraId="13B54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14:paraId="52787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5" w:hRule="atLeast"/>
        </w:trPr>
        <w:tc>
          <w:tcPr>
            <w:tcW w:w="1271" w:type="dxa"/>
            <w:tcBorders>
              <w:top w:val="single" w:color="auto" w:sz="4" w:space="0"/>
              <w:left w:val="single" w:color="000000" w:sz="4" w:space="0"/>
              <w:bottom w:val="single" w:color="000000" w:sz="4" w:space="0"/>
              <w:right w:val="single" w:color="000000" w:sz="4" w:space="0"/>
            </w:tcBorders>
            <w:noWrap w:val="0"/>
            <w:vAlign w:val="center"/>
          </w:tcPr>
          <w:p w14:paraId="124F2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2" w:type="dxa"/>
            <w:tcBorders>
              <w:top w:val="single" w:color="auto" w:sz="4" w:space="0"/>
              <w:left w:val="single" w:color="000000" w:sz="4" w:space="0"/>
              <w:bottom w:val="single" w:color="000000" w:sz="4" w:space="0"/>
              <w:right w:val="single" w:color="000000" w:sz="4" w:space="0"/>
            </w:tcBorders>
            <w:noWrap w:val="0"/>
            <w:vAlign w:val="center"/>
          </w:tcPr>
          <w:p w14:paraId="4F97D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办公桌</w:t>
            </w:r>
          </w:p>
        </w:tc>
        <w:tc>
          <w:tcPr>
            <w:tcW w:w="7529" w:type="dxa"/>
            <w:tcBorders>
              <w:top w:val="single" w:color="auto" w:sz="4" w:space="0"/>
              <w:left w:val="single" w:color="000000" w:sz="4" w:space="0"/>
              <w:bottom w:val="single" w:color="000000" w:sz="4" w:space="0"/>
              <w:right w:val="single" w:color="000000" w:sz="4" w:space="0"/>
            </w:tcBorders>
            <w:noWrap w:val="0"/>
            <w:vAlign w:val="center"/>
          </w:tcPr>
          <w:p w14:paraId="445D0F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1600*700*750；1、贴面材料：进口德国“夏特”品牌免漆纸饰面；                                                                                                                                                                                                  2、封边用材：PVC封边采用全自动直线封边，进口热熔胶不易脱落；                                                                                                                                                           3、基材:E1级高密度板耐磨、耐高温、耐腐蚀,优质绿色环保，甲醛含量≤1.0mg/L,密度≥760kg/m3,静曲张度≥51.2Mpa,吸水膨胀率≤8.1%；                                                                                                                                                4、五金配件：采用防腐，防锈处理，五金优质的滚珠无声导轨、门锁、拉手等；                                                                    5、功能特点：                                                                                                                                                                               1）表面颜色可以选择，全铝开模桌屏；</w:t>
            </w:r>
          </w:p>
        </w:tc>
        <w:tc>
          <w:tcPr>
            <w:tcW w:w="1272" w:type="dxa"/>
            <w:tcBorders>
              <w:top w:val="single" w:color="auto" w:sz="4" w:space="0"/>
              <w:left w:val="single" w:color="000000" w:sz="4" w:space="0"/>
              <w:bottom w:val="single" w:color="000000" w:sz="4" w:space="0"/>
              <w:right w:val="single" w:color="000000" w:sz="4" w:space="0"/>
            </w:tcBorders>
            <w:noWrap w:val="0"/>
            <w:vAlign w:val="center"/>
          </w:tcPr>
          <w:p w14:paraId="52F2E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15" w:type="dxa"/>
            <w:tcBorders>
              <w:top w:val="single" w:color="auto" w:sz="4" w:space="0"/>
              <w:left w:val="single" w:color="000000" w:sz="4" w:space="0"/>
              <w:bottom w:val="single" w:color="000000" w:sz="4" w:space="0"/>
              <w:right w:val="single" w:color="000000" w:sz="4" w:space="0"/>
            </w:tcBorders>
            <w:noWrap w:val="0"/>
            <w:vAlign w:val="center"/>
          </w:tcPr>
          <w:p w14:paraId="17CAE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AD40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3" w:hRule="atLeast"/>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0FAD2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47501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办公椅</w:t>
            </w:r>
          </w:p>
        </w:tc>
        <w:tc>
          <w:tcPr>
            <w:tcW w:w="7529" w:type="dxa"/>
            <w:tcBorders>
              <w:top w:val="single" w:color="000000" w:sz="4" w:space="0"/>
              <w:left w:val="single" w:color="000000" w:sz="4" w:space="0"/>
              <w:bottom w:val="single" w:color="000000" w:sz="4" w:space="0"/>
              <w:right w:val="single" w:color="000000" w:sz="4" w:space="0"/>
            </w:tcBorders>
            <w:noWrap w:val="0"/>
            <w:vAlign w:val="center"/>
          </w:tcPr>
          <w:p w14:paraId="24588A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常规；黑色PP料加纤背框架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高回弹纯绵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黑色PP固定扶手扶手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2.0厚蝴蝶中班底盘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防爆气杆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350mm五星脚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PP/PA万向脚轮</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25012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14471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23999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5" w:hRule="atLeast"/>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12557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13690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茶吧机</w:t>
            </w:r>
          </w:p>
        </w:tc>
        <w:tc>
          <w:tcPr>
            <w:tcW w:w="7529" w:type="dxa"/>
            <w:tcBorders>
              <w:top w:val="single" w:color="000000" w:sz="4" w:space="0"/>
              <w:left w:val="single" w:color="000000" w:sz="4" w:space="0"/>
              <w:bottom w:val="single" w:color="000000" w:sz="4" w:space="0"/>
              <w:right w:val="single" w:color="000000" w:sz="4" w:space="0"/>
            </w:tcBorders>
            <w:noWrap w:val="0"/>
            <w:vAlign w:val="center"/>
          </w:tcPr>
          <w:p w14:paraId="5C94BC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颜色 奶白咖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产品型号 YCR-2366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额定功率(W) 1350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包装信息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饮水机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产品尺寸(mm): 长320x宽332x高1016产品净重(kg): 8.2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包装尺寸(mm): 长415x宽399x高816包装重量(kg): 9.85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1.高原模式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2.五档调温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3.家居融合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4.100℃真沸腾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5.55℃保温</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022DC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758D9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B56A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2" w:hRule="atLeast"/>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73EE0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26A12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多层书架</w:t>
            </w:r>
          </w:p>
        </w:tc>
        <w:tc>
          <w:tcPr>
            <w:tcW w:w="7529" w:type="dxa"/>
            <w:tcBorders>
              <w:top w:val="single" w:color="000000" w:sz="4" w:space="0"/>
              <w:left w:val="single" w:color="000000" w:sz="4" w:space="0"/>
              <w:bottom w:val="single" w:color="000000" w:sz="4" w:space="0"/>
              <w:right w:val="single" w:color="000000" w:sz="4" w:space="0"/>
            </w:tcBorders>
            <w:noWrap w:val="0"/>
            <w:vAlign w:val="center"/>
          </w:tcPr>
          <w:p w14:paraId="44B55A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2000mm高，900mm宽，450mm深，每一组5层，立柱优质冷轧钢1.2厚，隔板优质冷轧钢0.8厚，高温防静电流水线喷涂颜色灰白色，两侧顶底防火板，颜色法国黄橡。</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13BAF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1C280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bl>
    <w:p w14:paraId="48E528F8">
      <w:pPr>
        <w:rPr>
          <w:b/>
          <w:color w:val="auto"/>
          <w:sz w:val="24"/>
        </w:rPr>
      </w:pPr>
    </w:p>
    <w:tbl>
      <w:tblPr>
        <w:tblStyle w:val="44"/>
        <w:tblW w:w="12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4"/>
        <w:gridCol w:w="1418"/>
        <w:gridCol w:w="7918"/>
        <w:gridCol w:w="1339"/>
        <w:gridCol w:w="1341"/>
      </w:tblGrid>
      <w:tr w14:paraId="57442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2720" w:type="dxa"/>
            <w:gridSpan w:val="5"/>
            <w:tcBorders>
              <w:top w:val="single" w:color="000000" w:sz="4" w:space="0"/>
              <w:left w:val="single" w:color="000000" w:sz="4" w:space="0"/>
              <w:bottom w:val="single" w:color="000000" w:sz="4" w:space="0"/>
              <w:right w:val="nil"/>
            </w:tcBorders>
            <w:noWrap w:val="0"/>
            <w:vAlign w:val="center"/>
          </w:tcPr>
          <w:p w14:paraId="24499FD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保卫室 （2间）</w:t>
            </w:r>
          </w:p>
        </w:tc>
      </w:tr>
      <w:tr w14:paraId="07429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704" w:type="dxa"/>
            <w:tcBorders>
              <w:top w:val="single" w:color="000000" w:sz="4" w:space="0"/>
              <w:left w:val="single" w:color="000000" w:sz="4" w:space="0"/>
              <w:bottom w:val="single" w:color="000000" w:sz="4" w:space="0"/>
              <w:right w:val="nil"/>
            </w:tcBorders>
            <w:noWrap w:val="0"/>
            <w:vAlign w:val="center"/>
          </w:tcPr>
          <w:p w14:paraId="798B591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418" w:type="dxa"/>
            <w:tcBorders>
              <w:top w:val="single" w:color="000000" w:sz="4" w:space="0"/>
              <w:left w:val="nil"/>
              <w:bottom w:val="single" w:color="000000" w:sz="4" w:space="0"/>
              <w:right w:val="nil"/>
            </w:tcBorders>
            <w:noWrap w:val="0"/>
            <w:vAlign w:val="center"/>
          </w:tcPr>
          <w:p w14:paraId="1A5CAA5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7918" w:type="dxa"/>
            <w:tcBorders>
              <w:top w:val="single" w:color="000000" w:sz="4" w:space="0"/>
              <w:left w:val="nil"/>
              <w:bottom w:val="single" w:color="000000" w:sz="4" w:space="0"/>
              <w:right w:val="nil"/>
            </w:tcBorders>
            <w:noWrap w:val="0"/>
            <w:vAlign w:val="center"/>
          </w:tcPr>
          <w:p w14:paraId="5FF2B2D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c>
          <w:tcPr>
            <w:tcW w:w="1339" w:type="dxa"/>
            <w:tcBorders>
              <w:top w:val="single" w:color="000000" w:sz="4" w:space="0"/>
              <w:left w:val="nil"/>
              <w:bottom w:val="single" w:color="000000" w:sz="4" w:space="0"/>
              <w:right w:val="nil"/>
            </w:tcBorders>
            <w:noWrap w:val="0"/>
            <w:vAlign w:val="center"/>
          </w:tcPr>
          <w:p w14:paraId="1AFD0A9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341" w:type="dxa"/>
            <w:tcBorders>
              <w:top w:val="single" w:color="000000" w:sz="4" w:space="0"/>
              <w:left w:val="nil"/>
              <w:bottom w:val="single" w:color="000000" w:sz="4" w:space="0"/>
              <w:right w:val="nil"/>
            </w:tcBorders>
            <w:noWrap w:val="0"/>
            <w:vAlign w:val="center"/>
          </w:tcPr>
          <w:p w14:paraId="0670FA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14:paraId="58D2A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2" w:hRule="atLeast"/>
        </w:trPr>
        <w:tc>
          <w:tcPr>
            <w:tcW w:w="704" w:type="dxa"/>
            <w:tcBorders>
              <w:top w:val="single" w:color="000000" w:sz="4" w:space="0"/>
              <w:left w:val="single" w:color="000000" w:sz="4" w:space="0"/>
              <w:bottom w:val="single" w:color="000000" w:sz="4" w:space="0"/>
              <w:right w:val="single" w:color="000000" w:sz="4" w:space="0"/>
            </w:tcBorders>
            <w:noWrap w:val="0"/>
            <w:vAlign w:val="center"/>
          </w:tcPr>
          <w:p w14:paraId="13245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6418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防爆器材柜</w:t>
            </w:r>
          </w:p>
        </w:tc>
        <w:tc>
          <w:tcPr>
            <w:tcW w:w="7918" w:type="dxa"/>
            <w:tcBorders>
              <w:top w:val="single" w:color="000000" w:sz="4" w:space="0"/>
              <w:left w:val="single" w:color="000000" w:sz="4" w:space="0"/>
              <w:bottom w:val="single" w:color="000000" w:sz="4" w:space="0"/>
              <w:right w:val="single" w:color="000000" w:sz="4" w:space="0"/>
            </w:tcBorders>
            <w:noWrap w:val="0"/>
            <w:vAlign w:val="center"/>
          </w:tcPr>
          <w:p w14:paraId="20A506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1800mm高*900mm宽*450mm深优质冷轧钢0.6mm厚.高温防静电流水线喷涂颜色公安蓝</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5253F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8B22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ED38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2" w:hRule="atLeast"/>
        </w:trPr>
        <w:tc>
          <w:tcPr>
            <w:tcW w:w="704" w:type="dxa"/>
            <w:tcBorders>
              <w:top w:val="single" w:color="000000" w:sz="4" w:space="0"/>
              <w:left w:val="single" w:color="000000" w:sz="4" w:space="0"/>
              <w:bottom w:val="single" w:color="000000" w:sz="4" w:space="0"/>
              <w:right w:val="single" w:color="000000" w:sz="4" w:space="0"/>
            </w:tcBorders>
            <w:noWrap w:val="0"/>
            <w:vAlign w:val="center"/>
          </w:tcPr>
          <w:p w14:paraId="79546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CB76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方形烤火炉</w:t>
            </w:r>
          </w:p>
        </w:tc>
        <w:tc>
          <w:tcPr>
            <w:tcW w:w="7918" w:type="dxa"/>
            <w:tcBorders>
              <w:top w:val="single" w:color="000000" w:sz="4" w:space="0"/>
              <w:left w:val="single" w:color="000000" w:sz="4" w:space="0"/>
              <w:bottom w:val="single" w:color="000000" w:sz="4" w:space="0"/>
              <w:right w:val="single" w:color="000000" w:sz="4" w:space="0"/>
            </w:tcBorders>
            <w:noWrap w:val="0"/>
            <w:vAlign w:val="center"/>
          </w:tcPr>
          <w:p w14:paraId="4FACA7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面板:优等玉石岩板             产品尺寸:800*800mm     额定功率:2400W         立柱大小:90mm          立柱颜色:黑色             功能特点:陶炉、语音声控铝片发热体、置物架、带收线盒、带遥控。</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4A0DD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EFAE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7517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6" w:hRule="atLeast"/>
        </w:trPr>
        <w:tc>
          <w:tcPr>
            <w:tcW w:w="704" w:type="dxa"/>
            <w:tcBorders>
              <w:top w:val="single" w:color="000000" w:sz="4" w:space="0"/>
              <w:left w:val="single" w:color="000000" w:sz="4" w:space="0"/>
              <w:bottom w:val="single" w:color="000000" w:sz="4" w:space="0"/>
              <w:right w:val="single" w:color="000000" w:sz="4" w:space="0"/>
            </w:tcBorders>
            <w:noWrap w:val="0"/>
            <w:vAlign w:val="center"/>
          </w:tcPr>
          <w:p w14:paraId="2FC32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808A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茶吧机</w:t>
            </w:r>
          </w:p>
        </w:tc>
        <w:tc>
          <w:tcPr>
            <w:tcW w:w="7918" w:type="dxa"/>
            <w:tcBorders>
              <w:top w:val="single" w:color="000000" w:sz="4" w:space="0"/>
              <w:left w:val="single" w:color="000000" w:sz="4" w:space="0"/>
              <w:bottom w:val="single" w:color="000000" w:sz="4" w:space="0"/>
              <w:right w:val="single" w:color="000000" w:sz="4" w:space="0"/>
            </w:tcBorders>
            <w:noWrap w:val="0"/>
            <w:vAlign w:val="center"/>
          </w:tcPr>
          <w:p w14:paraId="493D02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颜色 奶白咖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产品型号 YCR-2366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额定功率(W) 1350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包装信息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饮水机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产品尺寸(mm): 长320x宽332x高1016产品净重(kg): 8.2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包装尺寸(mm): 长415x宽399x高816包装重量(kg): 9.85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1.高原模式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2.五档调温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3.家居融合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4.100℃真沸腾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5.55℃保温</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189EE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BF1A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4E62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2" w:hRule="atLeast"/>
        </w:trPr>
        <w:tc>
          <w:tcPr>
            <w:tcW w:w="704" w:type="dxa"/>
            <w:tcBorders>
              <w:top w:val="single" w:color="000000" w:sz="4" w:space="0"/>
              <w:left w:val="single" w:color="000000" w:sz="4" w:space="0"/>
              <w:bottom w:val="single" w:color="000000" w:sz="4" w:space="0"/>
              <w:right w:val="single" w:color="000000" w:sz="4" w:space="0"/>
            </w:tcBorders>
            <w:noWrap w:val="0"/>
            <w:vAlign w:val="center"/>
          </w:tcPr>
          <w:p w14:paraId="6F20A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33C9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椅子</w:t>
            </w:r>
          </w:p>
        </w:tc>
        <w:tc>
          <w:tcPr>
            <w:tcW w:w="7918" w:type="dxa"/>
            <w:tcBorders>
              <w:top w:val="single" w:color="000000" w:sz="4" w:space="0"/>
              <w:left w:val="single" w:color="000000" w:sz="4" w:space="0"/>
              <w:bottom w:val="single" w:color="000000" w:sz="4" w:space="0"/>
              <w:right w:val="single" w:color="000000" w:sz="4" w:space="0"/>
            </w:tcBorders>
            <w:noWrap w:val="0"/>
            <w:vAlign w:val="center"/>
          </w:tcPr>
          <w:p w14:paraId="13E190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常规；优质西皮或饰面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18mm厚单层连体弯板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40密度高弹力海绵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1.8厚电镀扁管扶手连体架，配扪皮扶手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22977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262D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75E69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2" w:hRule="atLeast"/>
        </w:trPr>
        <w:tc>
          <w:tcPr>
            <w:tcW w:w="704" w:type="dxa"/>
            <w:tcBorders>
              <w:top w:val="single" w:color="000000" w:sz="4" w:space="0"/>
              <w:left w:val="single" w:color="000000" w:sz="4" w:space="0"/>
              <w:bottom w:val="single" w:color="000000" w:sz="4" w:space="0"/>
              <w:right w:val="single" w:color="000000" w:sz="4" w:space="0"/>
            </w:tcBorders>
            <w:noWrap w:val="0"/>
            <w:vAlign w:val="center"/>
          </w:tcPr>
          <w:p w14:paraId="72331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A277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两层床</w:t>
            </w:r>
          </w:p>
        </w:tc>
        <w:tc>
          <w:tcPr>
            <w:tcW w:w="7918" w:type="dxa"/>
            <w:tcBorders>
              <w:top w:val="single" w:color="000000" w:sz="4" w:space="0"/>
              <w:left w:val="single" w:color="000000" w:sz="4" w:space="0"/>
              <w:bottom w:val="single" w:color="000000" w:sz="4" w:space="0"/>
              <w:right w:val="single" w:color="000000" w:sz="4" w:space="0"/>
            </w:tcBorders>
            <w:noWrap w:val="0"/>
            <w:vAlign w:val="center"/>
          </w:tcPr>
          <w:p w14:paraId="1099A3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上下铺铁床1750mm高*900mm宽*1980mm长；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立柱40*40镀锌方管壁厚1.2厚，床铺30*50镀锌方管壁厚1.2厚，其余辅材25*25镀锌方管壁厚0.8厚.床板1公分2厚两面光条木板.高温防静电流水线喷涂颜色灰白色</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5BE5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8FDA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14:paraId="3A2B5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3" w:hRule="atLeast"/>
        </w:trPr>
        <w:tc>
          <w:tcPr>
            <w:tcW w:w="704" w:type="dxa"/>
            <w:tcBorders>
              <w:top w:val="single" w:color="000000" w:sz="4" w:space="0"/>
              <w:left w:val="single" w:color="000000" w:sz="4" w:space="0"/>
              <w:bottom w:val="single" w:color="000000" w:sz="4" w:space="0"/>
              <w:right w:val="single" w:color="000000" w:sz="4" w:space="0"/>
            </w:tcBorders>
            <w:noWrap w:val="0"/>
            <w:vAlign w:val="center"/>
          </w:tcPr>
          <w:p w14:paraId="3C289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62E5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正三匹柜式空调</w:t>
            </w:r>
          </w:p>
        </w:tc>
        <w:tc>
          <w:tcPr>
            <w:tcW w:w="7918" w:type="dxa"/>
            <w:tcBorders>
              <w:top w:val="single" w:color="000000" w:sz="4" w:space="0"/>
              <w:left w:val="single" w:color="000000" w:sz="4" w:space="0"/>
              <w:bottom w:val="single" w:color="000000" w:sz="4" w:space="0"/>
              <w:right w:val="single" w:color="000000" w:sz="4" w:space="0"/>
            </w:tcBorders>
            <w:noWrap w:val="0"/>
            <w:vAlign w:val="center"/>
          </w:tcPr>
          <w:p w14:paraId="4AD30D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KFR-72LW/BDN8Y-PA401(3)A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颜色 白色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能效信息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控制方式 遥控式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能力名称 制冷量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能力数值 7290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能力单位 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能效等级 三级(2019版)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电源电压 220V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电源频率 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变频/定频 变频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内机规格信息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包装尺寸(mm) 长510*宽315*高1750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包装体积(m3) 0.464820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机身尺寸(mm) 长510*宽315*高1750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机身体积(m3) 0.281138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净重(Kg) 36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毛重 (Kg) 44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包装数量 1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堆码层数极限 9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装修规格 纸箱包装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外机规格信息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包装尺寸(mm) 长890*宽342*高673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包装体积(m3) 0.33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机身尺寸(mm) 长890*宽342*高673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机身体积(m3) 0.204848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净重(Kg) 40</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30BFD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5F13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5944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9" w:hRule="atLeast"/>
        </w:trPr>
        <w:tc>
          <w:tcPr>
            <w:tcW w:w="704" w:type="dxa"/>
            <w:tcBorders>
              <w:top w:val="single" w:color="000000" w:sz="4" w:space="0"/>
              <w:left w:val="single" w:color="000000" w:sz="4" w:space="0"/>
              <w:bottom w:val="single" w:color="000000" w:sz="4" w:space="0"/>
              <w:right w:val="single" w:color="000000" w:sz="4" w:space="0"/>
            </w:tcBorders>
            <w:noWrap w:val="0"/>
            <w:vAlign w:val="center"/>
          </w:tcPr>
          <w:p w14:paraId="078ED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6544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1.5匹挂式空调</w:t>
            </w:r>
          </w:p>
        </w:tc>
        <w:tc>
          <w:tcPr>
            <w:tcW w:w="7918" w:type="dxa"/>
            <w:tcBorders>
              <w:top w:val="single" w:color="000000" w:sz="4" w:space="0"/>
              <w:left w:val="single" w:color="000000" w:sz="4" w:space="0"/>
              <w:bottom w:val="single" w:color="000000" w:sz="4" w:space="0"/>
              <w:right w:val="single" w:color="000000" w:sz="4" w:space="0"/>
            </w:tcBorders>
            <w:noWrap w:val="0"/>
            <w:vAlign w:val="center"/>
          </w:tcPr>
          <w:p w14:paraId="60D1DA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KFR-35GW/G3-3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颜色 极地白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能效信息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控制方式 遥控式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能力名称 制冷量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能力数值 3510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能力单位 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能效等级 三级(2019版)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电源电压 220V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电源频率 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变频/定频 变频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内机规格信息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包装尺寸(mm) 长845*宽207*高301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包装体积(m3) 0.094535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机身尺寸(mm) 长845*宽207*高301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机身体积(m3) 0.052649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净重 (Kg) 9.5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毛重 (Kg) 12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包装数量 1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堆码层数极限 12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装修规格 纸箱包装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外机规格信息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包装尺寸(mm) 长765*宽303*高555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包装体积(m3) 0.209684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机身尺寸(mm) 长765*宽303*高555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机身体积(m3) 0.128646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净重(Kg) 23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毛重(Kg) 27</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524E3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6867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bl>
    <w:p w14:paraId="26F2C33E">
      <w:pPr>
        <w:rPr>
          <w:b/>
          <w:color w:val="auto"/>
          <w:sz w:val="24"/>
        </w:rPr>
      </w:pPr>
    </w:p>
    <w:p w14:paraId="2748381F">
      <w:pPr>
        <w:rPr>
          <w:b/>
          <w:color w:val="auto"/>
          <w:sz w:val="24"/>
        </w:rPr>
      </w:pPr>
    </w:p>
    <w:tbl>
      <w:tblPr>
        <w:tblStyle w:val="44"/>
        <w:tblW w:w="12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3"/>
        <w:gridCol w:w="1405"/>
        <w:gridCol w:w="7589"/>
        <w:gridCol w:w="1405"/>
        <w:gridCol w:w="1408"/>
      </w:tblGrid>
      <w:tr w14:paraId="66A93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12620" w:type="dxa"/>
            <w:gridSpan w:val="5"/>
            <w:tcBorders>
              <w:top w:val="single" w:color="000000" w:sz="4" w:space="0"/>
              <w:left w:val="single" w:color="000000" w:sz="4" w:space="0"/>
              <w:bottom w:val="single" w:color="000000" w:sz="4" w:space="0"/>
              <w:right w:val="nil"/>
            </w:tcBorders>
            <w:noWrap w:val="0"/>
            <w:vAlign w:val="center"/>
          </w:tcPr>
          <w:p w14:paraId="56970D7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医务室 </w:t>
            </w:r>
          </w:p>
        </w:tc>
      </w:tr>
      <w:tr w14:paraId="643E2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813" w:type="dxa"/>
            <w:tcBorders>
              <w:top w:val="single" w:color="000000" w:sz="4" w:space="0"/>
              <w:left w:val="single" w:color="000000" w:sz="4" w:space="0"/>
              <w:bottom w:val="single" w:color="000000" w:sz="4" w:space="0"/>
              <w:right w:val="nil"/>
            </w:tcBorders>
            <w:noWrap w:val="0"/>
            <w:vAlign w:val="center"/>
          </w:tcPr>
          <w:p w14:paraId="32C2AAF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405" w:type="dxa"/>
            <w:tcBorders>
              <w:top w:val="single" w:color="000000" w:sz="4" w:space="0"/>
              <w:left w:val="nil"/>
              <w:bottom w:val="single" w:color="000000" w:sz="4" w:space="0"/>
              <w:right w:val="nil"/>
            </w:tcBorders>
            <w:noWrap w:val="0"/>
            <w:vAlign w:val="center"/>
          </w:tcPr>
          <w:p w14:paraId="25C7FD0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7589" w:type="dxa"/>
            <w:tcBorders>
              <w:top w:val="single" w:color="000000" w:sz="4" w:space="0"/>
              <w:left w:val="nil"/>
              <w:bottom w:val="single" w:color="000000" w:sz="4" w:space="0"/>
              <w:right w:val="nil"/>
            </w:tcBorders>
            <w:noWrap w:val="0"/>
            <w:vAlign w:val="center"/>
          </w:tcPr>
          <w:p w14:paraId="3C48C4E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c>
          <w:tcPr>
            <w:tcW w:w="1405" w:type="dxa"/>
            <w:tcBorders>
              <w:top w:val="single" w:color="000000" w:sz="4" w:space="0"/>
              <w:left w:val="nil"/>
              <w:bottom w:val="single" w:color="000000" w:sz="4" w:space="0"/>
              <w:right w:val="nil"/>
            </w:tcBorders>
            <w:noWrap w:val="0"/>
            <w:vAlign w:val="center"/>
          </w:tcPr>
          <w:p w14:paraId="30C978D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408" w:type="dxa"/>
            <w:tcBorders>
              <w:top w:val="single" w:color="000000" w:sz="4" w:space="0"/>
              <w:left w:val="nil"/>
              <w:bottom w:val="single" w:color="000000" w:sz="4" w:space="0"/>
              <w:right w:val="nil"/>
            </w:tcBorders>
            <w:noWrap w:val="0"/>
            <w:vAlign w:val="center"/>
          </w:tcPr>
          <w:p w14:paraId="6DBC49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14:paraId="5B8A7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1" w:hRule="atLeast"/>
        </w:trPr>
        <w:tc>
          <w:tcPr>
            <w:tcW w:w="813" w:type="dxa"/>
            <w:tcBorders>
              <w:top w:val="single" w:color="000000" w:sz="4" w:space="0"/>
              <w:left w:val="single" w:color="000000" w:sz="4" w:space="0"/>
              <w:bottom w:val="single" w:color="000000" w:sz="4" w:space="0"/>
              <w:right w:val="single" w:color="000000" w:sz="4" w:space="0"/>
            </w:tcBorders>
            <w:noWrap/>
            <w:vAlign w:val="center"/>
          </w:tcPr>
          <w:p w14:paraId="267A1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425D1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办公桌</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201147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桌面尺寸‌：常见规格为1400mm×700mm×760mm（长×宽×高），符合《木家具通用技术条件》标准。 ‌1</w:t>
            </w:r>
          </w:p>
          <w:p w14:paraId="28E372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‌承重能力‌：桌面材质采用18mm实木多层板搭配0.6mm防火板，可承受150kg重量。 ‌12</w:t>
            </w:r>
          </w:p>
          <w:p w14:paraId="73C95D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材质与工艺</w:t>
            </w:r>
          </w:p>
          <w:p w14:paraId="2A1AE3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14:paraId="3067B7E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‌表面处理‌：采用AAA级胡桃木木皮（厚度≥0.6mm），表面经防虫防腐处理，油漆采用E1级环保标准。 ‌1</w:t>
            </w:r>
          </w:p>
          <w:p w14:paraId="1ECD5C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‌五金配件‌：五金件执行GB/T3324-2008标准，支架采用实木四脚结构，符合力学与人体工学原理。 ‌</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488AD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5AA07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E633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3" w:hRule="atLeast"/>
        </w:trPr>
        <w:tc>
          <w:tcPr>
            <w:tcW w:w="813" w:type="dxa"/>
            <w:tcBorders>
              <w:top w:val="single" w:color="000000" w:sz="4" w:space="0"/>
              <w:left w:val="single" w:color="000000" w:sz="4" w:space="0"/>
              <w:bottom w:val="single" w:color="000000" w:sz="4" w:space="0"/>
              <w:right w:val="single" w:color="000000" w:sz="4" w:space="0"/>
            </w:tcBorders>
            <w:noWrap/>
            <w:vAlign w:val="center"/>
          </w:tcPr>
          <w:p w14:paraId="7A716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18665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办公椅</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5ADBC1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常规；头枕可上下调节全新料加纤背框，扪华宇透气网布；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全新料加纤固定扶手；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45高密度纯绵坐垫，扪华宇透气网布；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2.0mm中班蝴蝶底盘，可锁定可倾仰逍遥；防爆65#气杆.330mmPP加纤八爪脚，静压1000KG;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50mm尼龙脚轮。</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3A639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120EA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34510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0" w:hRule="atLeast"/>
        </w:trPr>
        <w:tc>
          <w:tcPr>
            <w:tcW w:w="813" w:type="dxa"/>
            <w:tcBorders>
              <w:top w:val="single" w:color="000000" w:sz="4" w:space="0"/>
              <w:left w:val="single" w:color="000000" w:sz="4" w:space="0"/>
              <w:bottom w:val="single" w:color="000000" w:sz="4" w:space="0"/>
              <w:right w:val="single" w:color="000000" w:sz="4" w:space="0"/>
            </w:tcBorders>
            <w:noWrap/>
            <w:vAlign w:val="center"/>
          </w:tcPr>
          <w:p w14:paraId="4A278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274D5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方形烤火炉</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596342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面板:优等玉石岩板             产品尺寸:800*800mm     额定功率:2400W         立柱大小:90mm          立柱颜色:黑色             功能特点:陶炉、语音声控铝片发热体、置物架、带收线盒、带遥控。</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3B68F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1F826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1C86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0" w:hRule="atLeast"/>
        </w:trPr>
        <w:tc>
          <w:tcPr>
            <w:tcW w:w="813" w:type="dxa"/>
            <w:tcBorders>
              <w:top w:val="single" w:color="000000" w:sz="4" w:space="0"/>
              <w:left w:val="single" w:color="000000" w:sz="4" w:space="0"/>
              <w:bottom w:val="single" w:color="000000" w:sz="4" w:space="0"/>
              <w:right w:val="single" w:color="000000" w:sz="4" w:space="0"/>
            </w:tcBorders>
            <w:noWrap/>
            <w:vAlign w:val="center"/>
          </w:tcPr>
          <w:p w14:paraId="65D0A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22ED3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椅子</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49756A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常规；全新料加纤背框，扪华宇透气网布；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全新料加纤固定扶手；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45高密度纯绵坐垫，扪华宇透气网布；2.0mm厚度的A3钢材喷涂/电镀弓形架。</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4CC24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3CDDF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11117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0" w:hRule="atLeast"/>
        </w:trPr>
        <w:tc>
          <w:tcPr>
            <w:tcW w:w="813" w:type="dxa"/>
            <w:tcBorders>
              <w:top w:val="single" w:color="000000" w:sz="4" w:space="0"/>
              <w:left w:val="single" w:color="000000" w:sz="4" w:space="0"/>
              <w:bottom w:val="single" w:color="000000" w:sz="4" w:space="0"/>
              <w:right w:val="single" w:color="000000" w:sz="4" w:space="0"/>
            </w:tcBorders>
            <w:noWrap/>
            <w:vAlign w:val="center"/>
          </w:tcPr>
          <w:p w14:paraId="25814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064AA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药品柜</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57C94E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1800mm高*850mm宽*390mm深优质冷轧钢0.6厚.高温防静电流水线喷涂颜色灰白色</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41E0C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1C9CD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FC23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7" w:hRule="atLeast"/>
        </w:trPr>
        <w:tc>
          <w:tcPr>
            <w:tcW w:w="813" w:type="dxa"/>
            <w:tcBorders>
              <w:top w:val="single" w:color="000000" w:sz="4" w:space="0"/>
              <w:left w:val="single" w:color="000000" w:sz="4" w:space="0"/>
              <w:bottom w:val="single" w:color="000000" w:sz="4" w:space="0"/>
              <w:right w:val="single" w:color="000000" w:sz="4" w:space="0"/>
            </w:tcBorders>
            <w:noWrap/>
            <w:vAlign w:val="center"/>
          </w:tcPr>
          <w:p w14:paraId="40BDC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61FB3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茶吧机</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232255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颜色 奶白咖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产品型号 YCR-2366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额定功率(W) 1350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包装信息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饮水机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产品尺寸(mm): 长320x宽332x高1016产品净重(kg): 8.2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包装尺寸(mm): 长415x宽399x高816包装重量(kg): 9.85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1.高原模式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2.五档调温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3.家居融合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4.100℃真沸腾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5.55℃保温</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72C27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34E45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851D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0" w:hRule="atLeast"/>
        </w:trPr>
        <w:tc>
          <w:tcPr>
            <w:tcW w:w="813" w:type="dxa"/>
            <w:tcBorders>
              <w:top w:val="single" w:color="000000" w:sz="4" w:space="0"/>
              <w:left w:val="single" w:color="000000" w:sz="4" w:space="0"/>
              <w:bottom w:val="single" w:color="000000" w:sz="4" w:space="0"/>
              <w:right w:val="single" w:color="000000" w:sz="4" w:space="0"/>
            </w:tcBorders>
            <w:noWrap/>
            <w:vAlign w:val="center"/>
          </w:tcPr>
          <w:p w14:paraId="2C012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3168E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两层床</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3AE886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上下铺铁床1750mm高*900mm宽*1980mm长；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立柱40mm*40mm镀锌方管壁厚1.2mm厚，床铺30mm*50mm镀锌方管壁厚1.2mm厚，其余辅材25mm*25mm镀锌方管壁厚0.8mm厚.床板1公分2mm厚两面光条木板.高温防静电流水线喷涂颜色</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0E19D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3729C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14:paraId="5D5B8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5" w:hRule="atLeast"/>
        </w:trPr>
        <w:tc>
          <w:tcPr>
            <w:tcW w:w="813" w:type="dxa"/>
            <w:tcBorders>
              <w:top w:val="single" w:color="000000" w:sz="4" w:space="0"/>
              <w:left w:val="single" w:color="000000" w:sz="4" w:space="0"/>
              <w:bottom w:val="single" w:color="000000" w:sz="4" w:space="0"/>
              <w:right w:val="single" w:color="000000" w:sz="4" w:space="0"/>
            </w:tcBorders>
            <w:noWrap/>
            <w:vAlign w:val="center"/>
          </w:tcPr>
          <w:p w14:paraId="2CF3F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420C4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1.5匹挂式空调</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441F72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KFR-35GW/G3-3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颜色 极地白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能效信息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控制方式 遥控式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能力名称 制冷量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能力数值 3510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能力单位 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能效等级 三级(2019版)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电源电压 220V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电源频率 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变频/定频 变频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内机规格信息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包装尺寸(mm) 长845*宽207*高301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包装体积(m3) 0.094535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机身尺寸(mm) 长845*宽207*高301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机身体积(m3) 0.052649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净重 (Kg) 9.5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毛重 (Kg) 12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包装数量 1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堆码层数极限 12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装修规格 纸箱包装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外机规格信息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包装尺寸(mm) 长765*宽303*高555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包装体积(m3) 0.209684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机身尺寸(mm) 长765*宽303*高555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机身体积(m3) 0.128646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净重(Kg) 23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毛重(Kg) 27</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4FBFC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54F2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bl>
    <w:p w14:paraId="19F90AD8">
      <w:pPr>
        <w:rPr>
          <w:b/>
          <w:color w:val="auto"/>
          <w:sz w:val="24"/>
        </w:rPr>
      </w:pPr>
    </w:p>
    <w:p w14:paraId="1117F4DE">
      <w:pPr>
        <w:rPr>
          <w:b/>
          <w:color w:val="auto"/>
          <w:sz w:val="24"/>
        </w:rPr>
      </w:pPr>
    </w:p>
    <w:tbl>
      <w:tblPr>
        <w:tblStyle w:val="44"/>
        <w:tblW w:w="12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46"/>
        <w:gridCol w:w="3253"/>
        <w:gridCol w:w="5328"/>
        <w:gridCol w:w="1346"/>
        <w:gridCol w:w="1347"/>
      </w:tblGrid>
      <w:tr w14:paraId="63D2E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12620" w:type="dxa"/>
            <w:gridSpan w:val="5"/>
            <w:tcBorders>
              <w:top w:val="single" w:color="auto" w:sz="4" w:space="0"/>
              <w:left w:val="single" w:color="auto" w:sz="4" w:space="0"/>
              <w:bottom w:val="single" w:color="auto" w:sz="4" w:space="0"/>
              <w:right w:val="single" w:color="auto" w:sz="4" w:space="0"/>
            </w:tcBorders>
            <w:noWrap/>
            <w:vAlign w:val="center"/>
          </w:tcPr>
          <w:p w14:paraId="1D65E393">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体育器材配置清单</w:t>
            </w:r>
          </w:p>
        </w:tc>
      </w:tr>
      <w:tr w14:paraId="198B3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12620" w:type="dxa"/>
            <w:gridSpan w:val="5"/>
            <w:tcBorders>
              <w:top w:val="single" w:color="auto" w:sz="4" w:space="0"/>
              <w:left w:val="single" w:color="auto" w:sz="4" w:space="0"/>
              <w:bottom w:val="single" w:color="auto" w:sz="4" w:space="0"/>
              <w:right w:val="single" w:color="auto" w:sz="4" w:space="0"/>
            </w:tcBorders>
            <w:noWrap w:val="0"/>
            <w:vAlign w:val="center"/>
          </w:tcPr>
          <w:p w14:paraId="30C9A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乒乓球桌、篮球架</w:t>
            </w:r>
          </w:p>
        </w:tc>
      </w:tr>
      <w:tr w14:paraId="4A90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1346" w:type="dxa"/>
            <w:tcBorders>
              <w:top w:val="single" w:color="auto" w:sz="4" w:space="0"/>
              <w:left w:val="single" w:color="000000" w:sz="4" w:space="0"/>
              <w:bottom w:val="single" w:color="000000" w:sz="4" w:space="0"/>
              <w:right w:val="single" w:color="000000" w:sz="4" w:space="0"/>
            </w:tcBorders>
            <w:noWrap w:val="0"/>
            <w:vAlign w:val="center"/>
          </w:tcPr>
          <w:p w14:paraId="78A43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53" w:type="dxa"/>
            <w:tcBorders>
              <w:top w:val="single" w:color="auto" w:sz="4" w:space="0"/>
              <w:left w:val="single" w:color="000000" w:sz="4" w:space="0"/>
              <w:bottom w:val="single" w:color="000000" w:sz="4" w:space="0"/>
              <w:right w:val="single" w:color="000000" w:sz="4" w:space="0"/>
            </w:tcBorders>
            <w:noWrap w:val="0"/>
            <w:vAlign w:val="center"/>
          </w:tcPr>
          <w:p w14:paraId="4D3FD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乒乓球桌</w:t>
            </w:r>
          </w:p>
        </w:tc>
        <w:tc>
          <w:tcPr>
            <w:tcW w:w="5328" w:type="dxa"/>
            <w:tcBorders>
              <w:top w:val="single" w:color="auto" w:sz="4" w:space="0"/>
              <w:left w:val="single" w:color="000000" w:sz="4" w:space="0"/>
              <w:bottom w:val="single" w:color="000000" w:sz="4" w:space="0"/>
              <w:right w:val="single" w:color="000000" w:sz="4" w:space="0"/>
            </w:tcBorders>
            <w:noWrap w:val="0"/>
            <w:vAlign w:val="top"/>
          </w:tcPr>
          <w:p w14:paraId="2A2958F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尺寸：2740*1520*760，桌面材质为高分子材料，钢管脚(室内)</w:t>
            </w:r>
          </w:p>
        </w:tc>
        <w:tc>
          <w:tcPr>
            <w:tcW w:w="1346" w:type="dxa"/>
            <w:tcBorders>
              <w:top w:val="single" w:color="auto" w:sz="4" w:space="0"/>
              <w:left w:val="single" w:color="000000" w:sz="4" w:space="0"/>
              <w:bottom w:val="single" w:color="000000" w:sz="4" w:space="0"/>
              <w:right w:val="single" w:color="000000" w:sz="4" w:space="0"/>
            </w:tcBorders>
            <w:noWrap w:val="0"/>
            <w:vAlign w:val="center"/>
          </w:tcPr>
          <w:p w14:paraId="48644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347" w:type="dxa"/>
            <w:tcBorders>
              <w:top w:val="single" w:color="auto" w:sz="4" w:space="0"/>
              <w:left w:val="single" w:color="000000" w:sz="4" w:space="0"/>
              <w:bottom w:val="single" w:color="000000" w:sz="4" w:space="0"/>
              <w:right w:val="single" w:color="000000" w:sz="4" w:space="0"/>
            </w:tcBorders>
            <w:noWrap w:val="0"/>
            <w:vAlign w:val="center"/>
          </w:tcPr>
          <w:p w14:paraId="05402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57F53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5" w:hRule="atLeast"/>
        </w:trPr>
        <w:tc>
          <w:tcPr>
            <w:tcW w:w="1346" w:type="dxa"/>
            <w:tcBorders>
              <w:top w:val="single" w:color="000000" w:sz="4" w:space="0"/>
              <w:left w:val="single" w:color="000000" w:sz="4" w:space="0"/>
              <w:bottom w:val="single" w:color="000000" w:sz="4" w:space="0"/>
              <w:right w:val="single" w:color="000000" w:sz="4" w:space="0"/>
            </w:tcBorders>
            <w:noWrap w:val="0"/>
            <w:vAlign w:val="center"/>
          </w:tcPr>
          <w:p w14:paraId="68B72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14:paraId="14A63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成人篮球架</w:t>
            </w:r>
          </w:p>
        </w:tc>
        <w:tc>
          <w:tcPr>
            <w:tcW w:w="5328" w:type="dxa"/>
            <w:tcBorders>
              <w:top w:val="single" w:color="000000" w:sz="4" w:space="0"/>
              <w:left w:val="single" w:color="000000" w:sz="4" w:space="0"/>
              <w:bottom w:val="single" w:color="000000" w:sz="4" w:space="0"/>
              <w:right w:val="single" w:color="000000" w:sz="4" w:space="0"/>
            </w:tcBorders>
            <w:noWrap w:val="0"/>
            <w:vAlign w:val="top"/>
          </w:tcPr>
          <w:p w14:paraId="441BEB2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室外用，；篮圈距地面的高度3050±8mm；篮圈用实心钢材制成，圈条直径为20 mm。篮板面距篮圈内沿最近点距离为150±2 mm，篮板采用钢化玻璃材质，尺寸1800×1050㎜，厚度10mm。铝合金包边,篮板下部有EVA护条。 篮网用网绳结成，它的结构要能够使球穿过时受到一定的阻力，网长不短于40cm，不长于45cm。，主立柱为150×150mm大圆角方管，厚度为3mm，横臂长度为1850㎜，厚度为2.75mm，五支点；箱体尺寸采用1800×1000mm×300mm，厚度为2.5mm，水泥块配重，每付配重不低于600kg，静电粉末喷塑工艺。箱体，立柱，横臂，篮球板等连接处应采用铸钢件连接，不得采用钢板焊接件。篮球架其它铁管或铁板厚度为2.5mm。产品售后保修3年；管材经过酸洗防锈处理，表面采用防菌塑喷，表面无漏喷、脱漆及明显划痕；无漏焊、虚焊、包渣、裂纹；各部位边角均为圆角，确保学生安全.</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14:paraId="34449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14:paraId="4E743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bl>
    <w:p w14:paraId="233F11A4">
      <w:pPr>
        <w:rPr>
          <w:b/>
          <w:color w:val="auto"/>
          <w:sz w:val="24"/>
        </w:rPr>
      </w:pPr>
    </w:p>
    <w:p w14:paraId="090CC186">
      <w:pPr>
        <w:rPr>
          <w:b/>
          <w:color w:val="auto"/>
          <w:sz w:val="24"/>
        </w:rPr>
      </w:pPr>
    </w:p>
    <w:tbl>
      <w:tblPr>
        <w:tblStyle w:val="44"/>
        <w:tblW w:w="12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0"/>
        <w:gridCol w:w="1556"/>
        <w:gridCol w:w="7120"/>
        <w:gridCol w:w="1495"/>
        <w:gridCol w:w="1319"/>
      </w:tblGrid>
      <w:tr w14:paraId="74FA3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2640" w:type="dxa"/>
            <w:gridSpan w:val="5"/>
            <w:tcBorders>
              <w:top w:val="nil"/>
              <w:left w:val="nil"/>
              <w:bottom w:val="single" w:color="FFFFFF" w:sz="4" w:space="0"/>
              <w:right w:val="nil"/>
            </w:tcBorders>
            <w:noWrap w:val="0"/>
            <w:vAlign w:val="center"/>
          </w:tcPr>
          <w:p w14:paraId="7993B36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网络设备</w:t>
            </w:r>
          </w:p>
        </w:tc>
      </w:tr>
      <w:tr w14:paraId="1AECA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150" w:type="dxa"/>
            <w:tcBorders>
              <w:top w:val="single" w:color="000000" w:sz="4" w:space="0"/>
              <w:left w:val="single" w:color="000000" w:sz="4" w:space="0"/>
              <w:bottom w:val="single" w:color="000000" w:sz="4" w:space="0"/>
              <w:right w:val="single" w:color="000000" w:sz="4" w:space="0"/>
            </w:tcBorders>
            <w:noWrap w:val="0"/>
            <w:vAlign w:val="center"/>
          </w:tcPr>
          <w:p w14:paraId="331207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302A8B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7120" w:type="dxa"/>
            <w:tcBorders>
              <w:top w:val="single" w:color="000000" w:sz="4" w:space="0"/>
              <w:left w:val="single" w:color="000000" w:sz="4" w:space="0"/>
              <w:bottom w:val="single" w:color="000000" w:sz="4" w:space="0"/>
              <w:right w:val="single" w:color="000000" w:sz="4" w:space="0"/>
            </w:tcBorders>
            <w:noWrap w:val="0"/>
            <w:vAlign w:val="center"/>
          </w:tcPr>
          <w:p w14:paraId="430FE1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产品描述</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21B090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总数量</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08ADAE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0F6B6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5" w:hRule="atLeast"/>
        </w:trPr>
        <w:tc>
          <w:tcPr>
            <w:tcW w:w="1150" w:type="dxa"/>
            <w:tcBorders>
              <w:top w:val="nil"/>
              <w:left w:val="single" w:color="000000" w:sz="4" w:space="0"/>
              <w:bottom w:val="single" w:color="000000" w:sz="4" w:space="0"/>
              <w:right w:val="single" w:color="000000" w:sz="4" w:space="0"/>
            </w:tcBorders>
            <w:noWrap w:val="0"/>
            <w:vAlign w:val="center"/>
          </w:tcPr>
          <w:p w14:paraId="38E7F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6" w:type="dxa"/>
            <w:tcBorders>
              <w:top w:val="nil"/>
              <w:left w:val="single" w:color="000000" w:sz="4" w:space="0"/>
              <w:bottom w:val="single" w:color="000000" w:sz="4" w:space="0"/>
              <w:right w:val="single" w:color="000000" w:sz="4" w:space="0"/>
            </w:tcBorders>
            <w:noWrap w:val="0"/>
            <w:vAlign w:val="center"/>
          </w:tcPr>
          <w:p w14:paraId="18692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出口路由</w:t>
            </w:r>
          </w:p>
        </w:tc>
        <w:tc>
          <w:tcPr>
            <w:tcW w:w="7120" w:type="dxa"/>
            <w:tcBorders>
              <w:top w:val="single" w:color="000000" w:sz="4" w:space="0"/>
              <w:left w:val="single" w:color="000000" w:sz="4" w:space="0"/>
              <w:bottom w:val="single" w:color="000000" w:sz="4" w:space="0"/>
              <w:right w:val="single" w:color="000000" w:sz="4" w:space="0"/>
            </w:tcBorders>
            <w:noWrap w:val="0"/>
            <w:vAlign w:val="center"/>
          </w:tcPr>
          <w:p w14:paraId="2027828D">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1、金属外壳；要求设备配置固化10/100/1000M电接口≥8个、固化千兆SFP光口≥2个，含1T硬盘</w:t>
            </w:r>
          </w:p>
          <w:p w14:paraId="463F2B84">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2、支持基本IPv6，设备支持带宽≥2.5GB；</w:t>
            </w:r>
          </w:p>
          <w:p w14:paraId="3A32236E">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3、网关模式部署，支持并实配最大可管理AP数量≥128个，最大带机人数≥1000人；旁挂模式部署，支持并实配最大可管理AP数量≥256个，最大带机人数≥1500人</w:t>
            </w:r>
          </w:p>
          <w:p w14:paraId="3DB62642">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4、AP和AC之间支持L2/L3层网络拓扑，支持AP逃生</w:t>
            </w:r>
          </w:p>
          <w:p w14:paraId="14F0E838">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5、QoS支持基于AP的带宽限速，支持基于WLAN的带宽限速，支持无线终端的Qos控制（实现终端带宽限速），支持接口带宽和用户带宽限制。</w:t>
            </w:r>
          </w:p>
          <w:p w14:paraId="22EEB8B6">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支持用户管理，支持基于SSID的二层隔离，支持基于AP用户数限制和基于SSID用户数限制，支持基于接入用户数的射频间负载均衡和用户弱信号下线，可查看用户协商速率、认证结果、在线时间、wifi协商模式和禁止用户接入；支持多SSID，支持隐藏SSID；</w:t>
            </w:r>
          </w:p>
          <w:p w14:paraId="69FC85F2">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7、射频管理，支持手动设置发射功率、自动设置工作信道和雷达规避</w:t>
            </w:r>
          </w:p>
          <w:p w14:paraId="5495FB34">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8、设备管理，设备支持零配置开局，支持配置向导；支持云管平台管理，可实现设备远程管理、设备远程升级，设备告警通知等功能，支持微信小程序、APP管理。</w:t>
            </w:r>
          </w:p>
          <w:p w14:paraId="5ADD59EA">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9、支持应用/URL 识别与控制，支持ACL 访问控制，支持针对内容过滤，如关键字、邮件、文件类型等，支持应用审计、入侵防御检测（单包攻击、FlOOD攻击、URPF攻击等常规攻击手段检测）、IPv4/IPV6攻击黑名单；支持接口流量过滤，WAN口默认禁ping。（提供产品官网功能介绍截图和链接证证明或提供产品功能界面截图）</w:t>
            </w:r>
          </w:p>
          <w:p w14:paraId="579B95D0">
            <w:pPr>
              <w:keepNext w:val="0"/>
              <w:keepLines w:val="0"/>
              <w:widowControl/>
              <w:suppressLineNumbers w:val="0"/>
              <w:jc w:val="left"/>
              <w:textAlignment w:val="center"/>
              <w:rPr>
                <w:rFonts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10、提供原厂边缘路由器产品的入网许可证。</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40254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3E654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1736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7" w:hRule="atLeast"/>
        </w:trPr>
        <w:tc>
          <w:tcPr>
            <w:tcW w:w="1150" w:type="dxa"/>
            <w:tcBorders>
              <w:top w:val="nil"/>
              <w:left w:val="single" w:color="000000" w:sz="4" w:space="0"/>
              <w:bottom w:val="single" w:color="000000" w:sz="4" w:space="0"/>
              <w:right w:val="single" w:color="000000" w:sz="4" w:space="0"/>
            </w:tcBorders>
            <w:noWrap w:val="0"/>
            <w:vAlign w:val="center"/>
          </w:tcPr>
          <w:p w14:paraId="1FAED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56" w:type="dxa"/>
            <w:tcBorders>
              <w:top w:val="nil"/>
              <w:left w:val="single" w:color="000000" w:sz="4" w:space="0"/>
              <w:bottom w:val="single" w:color="000000" w:sz="4" w:space="0"/>
              <w:right w:val="single" w:color="000000" w:sz="4" w:space="0"/>
            </w:tcBorders>
            <w:noWrap w:val="0"/>
            <w:vAlign w:val="center"/>
          </w:tcPr>
          <w:p w14:paraId="21F87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防火墙</w:t>
            </w:r>
          </w:p>
        </w:tc>
        <w:tc>
          <w:tcPr>
            <w:tcW w:w="7120" w:type="dxa"/>
            <w:tcBorders>
              <w:top w:val="single" w:color="000000" w:sz="4" w:space="0"/>
              <w:left w:val="single" w:color="000000" w:sz="4" w:space="0"/>
              <w:bottom w:val="single" w:color="000000" w:sz="4" w:space="0"/>
              <w:right w:val="single" w:color="000000" w:sz="4" w:space="0"/>
            </w:tcBorders>
            <w:noWrap w:val="0"/>
            <w:vAlign w:val="center"/>
          </w:tcPr>
          <w:p w14:paraId="18AE8851">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固化10/100/1000M光接口≥2个，固化10/100/1000/10000M光接口≥2个，支持1个console口和1个USB口，支持2个拓展插槽，支持硬盘拓展，模块化电源，标准1U机架式设备。</w:t>
            </w:r>
          </w:p>
          <w:p w14:paraId="7003BF3E">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2、防火墙吞吐量≥3G（最大可扩展到10G），每秒新建连接数≥14万,并发连接速率≥400万；支持IPsec VPN和SSL VPN，最大IPSec VPN隧道数≥10000路，最大SSL VPN用户接入数≥3000路</w:t>
            </w:r>
          </w:p>
          <w:p w14:paraId="36B00460">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3、设备支持透明、路由、混合、旁路、虚拟线路五种工作模式，支持旁路模式</w:t>
            </w:r>
          </w:p>
          <w:p w14:paraId="0D4F6546">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4、支持防暴力破解功能，支持DDNS服务</w:t>
            </w:r>
          </w:p>
          <w:p w14:paraId="7D88E07D">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5、支持双因子认证，包括动态口令、硬件特征码认证手段</w:t>
            </w:r>
          </w:p>
          <w:p w14:paraId="668A8D6E">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6、内置IPS检测引擎，支持命令执行、目录遍历、缓冲溢出、安全绕过、信息泄露等10余种特征类别，特征库数量不少于11000条</w:t>
            </w:r>
          </w:p>
          <w:p w14:paraId="2F018DCF">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7、预定义20种文件类型，如.vb、.cpl、.pif、.xlsx、.wps等，支持自定义扫描文件类型，支持常见的压缩格式文件扫描，如.tar、.rar、.zip等；</w:t>
            </w:r>
          </w:p>
          <w:p w14:paraId="4A2E4CE6">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8、内置不少于5000种应用特征，基于覆盖平台、流行度、风险等维度内置不少于20种应用分类</w:t>
            </w:r>
          </w:p>
          <w:p w14:paraId="1FA60198">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支持自定义IPS特征，可通过IP、UDP、TCP、ICMP、HTTP、FTP、POP3、SMTP等协议自定义入侵攻击特征；可拓展协议字段，设置数据包中的匹配内容；支持选择源目的端口、数据长度；包含、等于、不等于、大于、小于等多种匹配条件，支持设置“与”和“或”的匹配顺序；（提供产品功能截图证明）</w:t>
            </w:r>
          </w:p>
          <w:p w14:paraId="49943F17">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10、支持IPv4/6网络下telnet、ssh、ftp、imap、pop3、smtp、mysql、postgresql、mssql、rlogim、vnc等常见协议的弱密码检测功能</w:t>
            </w:r>
          </w:p>
          <w:p w14:paraId="577F782F">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11、支持病毒防护沙箱联动功能，能够将灰文件信息同步云端进行分析，并且返回分析结果；（提供产品功能截图证明材料）</w:t>
            </w:r>
          </w:p>
          <w:p w14:paraId="6711042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12、提供公安部计算机信息系统安全专用产品销售许可证与万兆的中国国家信息安全产品认证证书。</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0E9BF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026D3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A0D4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150" w:type="dxa"/>
            <w:tcBorders>
              <w:top w:val="nil"/>
              <w:left w:val="single" w:color="000000" w:sz="4" w:space="0"/>
              <w:bottom w:val="single" w:color="000000" w:sz="4" w:space="0"/>
              <w:right w:val="single" w:color="000000" w:sz="4" w:space="0"/>
            </w:tcBorders>
            <w:noWrap w:val="0"/>
            <w:vAlign w:val="center"/>
          </w:tcPr>
          <w:p w14:paraId="7535A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56" w:type="dxa"/>
            <w:tcBorders>
              <w:top w:val="nil"/>
              <w:left w:val="single" w:color="000000" w:sz="4" w:space="0"/>
              <w:bottom w:val="nil"/>
              <w:right w:val="single" w:color="000000" w:sz="4" w:space="0"/>
            </w:tcBorders>
            <w:noWrap w:val="0"/>
            <w:vAlign w:val="center"/>
          </w:tcPr>
          <w:p w14:paraId="01857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上网行为管理</w:t>
            </w:r>
          </w:p>
        </w:tc>
        <w:tc>
          <w:tcPr>
            <w:tcW w:w="7120" w:type="dxa"/>
            <w:tcBorders>
              <w:top w:val="single" w:color="000000" w:sz="4" w:space="0"/>
              <w:left w:val="single" w:color="000000" w:sz="4" w:space="0"/>
              <w:bottom w:val="single" w:color="000000" w:sz="4" w:space="0"/>
              <w:right w:val="single" w:color="000000" w:sz="4" w:space="0"/>
            </w:tcBorders>
            <w:noWrap w:val="0"/>
            <w:vAlign w:val="center"/>
          </w:tcPr>
          <w:p w14:paraId="7CE97A1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1、设备支持8个千兆电+2个千兆光口</w:t>
            </w:r>
          </w:p>
          <w:p w14:paraId="223C00D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2、IAC最大吞吐量≥2.4Gbps，每秒新建连接数≥2.2万,并发连接速率≥240万；支持IPsec VPN，实配IPSec VPN隧道数≥16路。</w:t>
            </w:r>
          </w:p>
          <w:p w14:paraId="79FDDEB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3、支持NAT66，NAT64，NAT46，支持ARP攻击防护</w:t>
            </w:r>
          </w:p>
          <w:p w14:paraId="2550FE1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4、支持内置电信、联通、移动、教育网ISP地址段信息，支持基于ISP地址表动态选路</w:t>
            </w:r>
          </w:p>
          <w:p w14:paraId="62F8F3C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5、应用特征不少于7000个；支持应用特征库在线升级，支持移动互联网特征库</w:t>
            </w:r>
          </w:p>
          <w:p w14:paraId="2FB58B6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 xml:space="preserve">6、支持防网络共享行为，针对私接路由器和非法无线热点行为进行识别和阻断，支持时间戳、UA识别、应用特征、 Flash Cookie 、微信长连接的检测方式；（提供产品功能界面截图证明）； </w:t>
            </w:r>
          </w:p>
          <w:p w14:paraId="76AA053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7、内置IPS特征库，支持8000+条预定于入侵攻击特征</w:t>
            </w:r>
          </w:p>
          <w:p w14:paraId="41379E3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8、系统支持防病毒功能，支持zip、gz、bz等压缩文件的病毒查杀，最大解压层数的设置范围：5-20；病毒库不低于400万。</w:t>
            </w:r>
          </w:p>
          <w:p w14:paraId="345D52D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 xml:space="preserve">9、支持PING、TCP、DNS方式进行接口、域名、IP地址连通性和时延探测，对整体网络提供清晰的整体网络质量评级，支持以列表形式展示的名单。（提供产品功能界面截图证明） </w:t>
            </w:r>
          </w:p>
          <w:p w14:paraId="5ECA2AF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10、提供公安部计算机信息系统安全专用产品销售许可证。</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3EC5F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64A3D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1E36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3" w:hRule="atLeast"/>
        </w:trPr>
        <w:tc>
          <w:tcPr>
            <w:tcW w:w="1150" w:type="dxa"/>
            <w:tcBorders>
              <w:top w:val="single" w:color="000000" w:sz="4" w:space="0"/>
              <w:left w:val="single" w:color="000000" w:sz="4" w:space="0"/>
              <w:bottom w:val="nil"/>
              <w:right w:val="single" w:color="000000" w:sz="4" w:space="0"/>
            </w:tcBorders>
            <w:noWrap w:val="0"/>
            <w:vAlign w:val="center"/>
          </w:tcPr>
          <w:p w14:paraId="0810A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56" w:type="dxa"/>
            <w:tcBorders>
              <w:top w:val="single" w:color="000000" w:sz="4" w:space="0"/>
              <w:left w:val="single" w:color="000000" w:sz="4" w:space="0"/>
              <w:bottom w:val="nil"/>
              <w:right w:val="single" w:color="000000" w:sz="4" w:space="0"/>
            </w:tcBorders>
            <w:noWrap w:val="0"/>
            <w:vAlign w:val="center"/>
          </w:tcPr>
          <w:p w14:paraId="47701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核心交换机</w:t>
            </w:r>
          </w:p>
        </w:tc>
        <w:tc>
          <w:tcPr>
            <w:tcW w:w="7120" w:type="dxa"/>
            <w:tcBorders>
              <w:top w:val="single" w:color="000000" w:sz="4" w:space="0"/>
              <w:left w:val="single" w:color="000000" w:sz="4" w:space="0"/>
              <w:bottom w:val="nil"/>
              <w:right w:val="single" w:color="000000" w:sz="4" w:space="0"/>
            </w:tcBorders>
            <w:noWrap w:val="0"/>
            <w:vAlign w:val="center"/>
          </w:tcPr>
          <w:p w14:paraId="2148941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独立交换网板，业务槽位≥6个，交换槽位≥0-2个，独立主控槽位≥2个。电源槽位数≥4个，支持M+N冗余电源；配置双主控、双电源、双风扇， 8万兆光，48千兆光、48千兆电。</w:t>
            </w:r>
          </w:p>
          <w:p w14:paraId="306FF33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2、交换容量≥87.2Tbps，包转发率≥58700 Mpps；</w:t>
            </w:r>
          </w:p>
          <w:p w14:paraId="555904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3、支持静态路由、RIP、ISIS、RIPng和BGP、OSPF、OSPFv3、BGP4+等动态路由协议；</w:t>
            </w:r>
          </w:p>
          <w:p w14:paraId="04F4D74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4、支持BFD for VRRP/Static/RIP/OSPF/ISIS等。支持MPLS基本功能MPLS L3 VPN。支持PIM-SM、PIM-DM等三层组播协议。持手工隧道、支持ISATAP、支持6to4隧道，支持IPV4/IPV6双栈功能；</w:t>
            </w:r>
          </w:p>
          <w:p w14:paraId="2055635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5、支持CPU 保护功能，如ICMP Flood拦截、SYN Flood攻击拦截等，CPU根据不同协议进行限速保护；</w:t>
            </w:r>
          </w:p>
          <w:p w14:paraId="537BE6B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6、设备支持OpenFlow 1.3，Netconf 功能等功能</w:t>
            </w:r>
          </w:p>
          <w:p w14:paraId="5365F31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7、为设备支持SDN功能，支持SDN控制器的统一管理；</w:t>
            </w:r>
          </w:p>
          <w:p w14:paraId="4006712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 xml:space="preserve">8、支持二层TRILL、三层TRILL；VXLAN二层网关、三层网关等相管功能并出厂实配； </w:t>
            </w:r>
          </w:p>
          <w:p w14:paraId="69D1FA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9、支持SHELL、SNMP V1/V2/V3、Telnet、Rlogin、FTP、TFTP、EEP等管理方式。</w:t>
            </w:r>
          </w:p>
          <w:p w14:paraId="37B504A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10、支持高密接口卡，单槽位可提供的业务接口个数≥52个，支持≥32万兆光口高密度万兆板卡或≥8个40G上行业务板卡</w:t>
            </w:r>
          </w:p>
          <w:p w14:paraId="4F93C1A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11、支持手机APP管理，可通过手机APP实现开局部署、监控设备关键性能指标（内存利用率、CPU利用率、端口协商速率、上联口速率等）、整网拓扑可视化、防环路/防私接/VALN配置等配置下发、端口管理等功能；</w:t>
            </w:r>
          </w:p>
          <w:p w14:paraId="5300B80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12、提供工信部要求的电信设备进网许可证；</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0DC9B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798B3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BC27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150" w:type="dxa"/>
            <w:tcBorders>
              <w:top w:val="single" w:color="000000" w:sz="4" w:space="0"/>
              <w:left w:val="single" w:color="000000" w:sz="4" w:space="0"/>
              <w:bottom w:val="nil"/>
              <w:right w:val="single" w:color="000000" w:sz="4" w:space="0"/>
            </w:tcBorders>
            <w:noWrap w:val="0"/>
            <w:vAlign w:val="center"/>
          </w:tcPr>
          <w:p w14:paraId="3894B5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56" w:type="dxa"/>
            <w:tcBorders>
              <w:top w:val="single" w:color="000000" w:sz="4" w:space="0"/>
              <w:left w:val="single" w:color="000000" w:sz="4" w:space="0"/>
              <w:bottom w:val="nil"/>
              <w:right w:val="single" w:color="000000" w:sz="4" w:space="0"/>
            </w:tcBorders>
            <w:noWrap w:val="0"/>
            <w:vAlign w:val="center"/>
          </w:tcPr>
          <w:p w14:paraId="014011C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24口光汇聚交换机</w:t>
            </w:r>
          </w:p>
        </w:tc>
        <w:tc>
          <w:tcPr>
            <w:tcW w:w="7120" w:type="dxa"/>
            <w:tcBorders>
              <w:top w:val="single" w:color="000000" w:sz="4" w:space="0"/>
              <w:left w:val="single" w:color="000000" w:sz="4" w:space="0"/>
              <w:bottom w:val="single" w:color="000000" w:sz="4" w:space="0"/>
              <w:right w:val="single" w:color="000000" w:sz="4" w:space="0"/>
            </w:tcBorders>
            <w:noWrap w:val="0"/>
            <w:vAlign w:val="center"/>
          </w:tcPr>
          <w:p w14:paraId="7D1F397F">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≥8个，SFP+万兆光口≥4个，冗余双交流电源输入</w:t>
            </w:r>
          </w:p>
          <w:p w14:paraId="3F210A05">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2、交换容量≥792Gbps，包转发率≥384Mpps；</w:t>
            </w:r>
          </w:p>
          <w:p w14:paraId="1B7B1AEC">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3、支持静态路由、RIP、ISIS、RIPng和BGP、BGP4+、OSPF、OSPFv3等动态路由协议；</w:t>
            </w:r>
          </w:p>
          <w:p w14:paraId="376557CA">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4、支持BFD for VRRP/Static/RIP/OSPF/ISIS等。支持IGMP、IGMP Snooping；支持PIM-SM、PIM-DM等三层组播协议。持手工隧道、支持ISATAP、支持6to4隧道，支持IPV4/IPV6双栈功能；</w:t>
            </w:r>
          </w:p>
          <w:p w14:paraId="34918ED0">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5、支持SDN功能，支持Netconf协议，支持SDN控制器的统一管理；</w:t>
            </w:r>
          </w:p>
          <w:p w14:paraId="06B0DF71">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6、支持环网G.8032协议，实现ms级业务倒换，支持二层VXLAN网关，支持ZTP,可实现零配置，零IP开局；</w:t>
            </w:r>
          </w:p>
          <w:p w14:paraId="43CE001D">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7、支持Console口登录管理、HTTP、Telnet（VTY）远程管理、WEB管理、SSH管理、SNMP V1/V2/V3、RMON 1/2/3/9、SYSLOG、DDMI、广播风暴显示；</w:t>
            </w:r>
          </w:p>
          <w:p w14:paraId="1FDAC526">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8、支持远程运维平台管理，设备可通过运维平台实现远程访问设备WEB管理界面。同时为保证远程访问设备WEB的安全性，要求远程访问隧道基于HTTPS，以上功能要求提供功能截图；</w:t>
            </w:r>
          </w:p>
          <w:p w14:paraId="20ADABA6">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9、支持手机APP管理，可通过手机APP实现开局部署、监控设备关键性能指标（内存利用率、CPU利用率、端口协商速率、上联口速率等）、整网拓扑可视化、防环路/防私接/VALN配置等配置下发、端口管理等功能；</w:t>
            </w:r>
          </w:p>
          <w:p w14:paraId="25DC95E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10、工信部要求的电信设备进网许可证，提供CQC证书；</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1CC04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6D6F8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B0BE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150" w:type="dxa"/>
            <w:tcBorders>
              <w:top w:val="single" w:color="000000" w:sz="4" w:space="0"/>
              <w:left w:val="single" w:color="000000" w:sz="4" w:space="0"/>
              <w:bottom w:val="nil"/>
              <w:right w:val="single" w:color="000000" w:sz="4" w:space="0"/>
            </w:tcBorders>
            <w:noWrap w:val="0"/>
            <w:vAlign w:val="center"/>
          </w:tcPr>
          <w:p w14:paraId="5C2D87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56" w:type="dxa"/>
            <w:tcBorders>
              <w:top w:val="single" w:color="000000" w:sz="4" w:space="0"/>
              <w:left w:val="single" w:color="000000" w:sz="4" w:space="0"/>
              <w:bottom w:val="nil"/>
              <w:right w:val="single" w:color="000000" w:sz="4" w:space="0"/>
            </w:tcBorders>
            <w:noWrap w:val="0"/>
            <w:vAlign w:val="center"/>
          </w:tcPr>
          <w:p w14:paraId="38EA68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24口光汇聚交换机</w:t>
            </w:r>
          </w:p>
        </w:tc>
        <w:tc>
          <w:tcPr>
            <w:tcW w:w="7120" w:type="dxa"/>
            <w:tcBorders>
              <w:top w:val="single" w:color="000000" w:sz="4" w:space="0"/>
              <w:left w:val="single" w:color="000000" w:sz="4" w:space="0"/>
              <w:bottom w:val="single" w:color="000000" w:sz="4" w:space="0"/>
              <w:right w:val="single" w:color="000000" w:sz="4" w:space="0"/>
            </w:tcBorders>
            <w:noWrap w:val="0"/>
            <w:vAlign w:val="center"/>
          </w:tcPr>
          <w:p w14:paraId="5FDFB6E6">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≥8个，SFP+万兆光口≥4个，冗余双交流电源输入</w:t>
            </w:r>
          </w:p>
          <w:p w14:paraId="08D991E8">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2、交换容量≥792Gbps，包转发率≥384Mpps；</w:t>
            </w:r>
          </w:p>
          <w:p w14:paraId="11AB732B">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3、支持静态路由、RIP、ISIS、RIPng和BGP、BGP4+、OSPF、OSPFv3等动态路由协议；</w:t>
            </w:r>
          </w:p>
          <w:p w14:paraId="0C6A25E6">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4、支持BFD for VRRP/Static/RIP/OSPF/ISIS等。支持IGMP、IGMP Snooping；支持PIM-SM、PIM-DM等三层组播协议。持手工隧道、支持ISATAP、支持6to4隧道，支持IPV4/IPV6双栈功能；</w:t>
            </w:r>
          </w:p>
          <w:p w14:paraId="0DF052A3">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5、支持SDN功能，支持Netconf协议，支持SDN控制器的统一管理；</w:t>
            </w:r>
          </w:p>
          <w:p w14:paraId="6F8C5E50">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6、支持环网G.8032协议，实现ms级业务倒换，支持二层VXLAN网关，支持ZTP,可实现零配置，零IP开局；</w:t>
            </w:r>
          </w:p>
          <w:p w14:paraId="6648D188">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7、支持Console口登录管理、HTTP、Telnet（VTY）远程管理、WEB管理、SSH管理、SNMP V1/V2/V3、RMON 1/2/3/9、SYSLOG、DDMI、广播风暴显示；</w:t>
            </w:r>
          </w:p>
          <w:p w14:paraId="28B1F70B">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8、支持远程运维平台管理，设备可通过运维平台实现远程访问设备WEB管理界面。同时为保证远程访问设备WEB的安全性，要求远程访问隧道基于HTTPS，以上功能要求提供功能截图；</w:t>
            </w:r>
          </w:p>
          <w:p w14:paraId="4413FC29">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9、支持手机APP管理，可通过手机APP实现开局部署、监控设备关键性能指标（内存利用率、CPU利用率、端口协商速率、上联口速率等）、整网拓扑可视化、防环路/防私接/VALN配置等配置下发、端口管理等功能；</w:t>
            </w:r>
          </w:p>
          <w:p w14:paraId="55868AE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10、工信部要求的电信设备进网许可证，提供CQC证书；</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3F05088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4A9EF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DD7C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1" w:hRule="atLeast"/>
        </w:trPr>
        <w:tc>
          <w:tcPr>
            <w:tcW w:w="1150" w:type="dxa"/>
            <w:tcBorders>
              <w:top w:val="single" w:color="000000" w:sz="4" w:space="0"/>
              <w:left w:val="single" w:color="000000" w:sz="4" w:space="0"/>
              <w:bottom w:val="single" w:color="000000" w:sz="4" w:space="0"/>
              <w:right w:val="single" w:color="000000" w:sz="4" w:space="0"/>
            </w:tcBorders>
            <w:noWrap w:val="0"/>
            <w:vAlign w:val="center"/>
          </w:tcPr>
          <w:p w14:paraId="5E1A9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547D6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24口光汇聚交换机</w:t>
            </w:r>
          </w:p>
        </w:tc>
        <w:tc>
          <w:tcPr>
            <w:tcW w:w="7120" w:type="dxa"/>
            <w:tcBorders>
              <w:top w:val="single" w:color="000000" w:sz="4" w:space="0"/>
              <w:left w:val="single" w:color="000000" w:sz="4" w:space="0"/>
              <w:bottom w:val="single" w:color="000000" w:sz="4" w:space="0"/>
              <w:right w:val="single" w:color="000000" w:sz="4" w:space="0"/>
            </w:tcBorders>
            <w:noWrap w:val="0"/>
            <w:vAlign w:val="center"/>
          </w:tcPr>
          <w:p w14:paraId="087B1A0D">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1、设备千兆SFP光口≥24个，独立千兆电口≥8个，SFP+万兆光口≥4个，冗余双交流电源输入</w:t>
            </w:r>
          </w:p>
          <w:p w14:paraId="114B8B92">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2、交换容量≥792Gbps，包转发率≥384Mpps；</w:t>
            </w:r>
          </w:p>
          <w:p w14:paraId="3C9B10F8">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3、支持静态路由、RIP、ISIS、RIPng和BGP、BGP4+、OSPF、OSPFv3等动态路由协议；</w:t>
            </w:r>
          </w:p>
          <w:p w14:paraId="1E60F5AA">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4、支持BFD for VRRP/Static/RIP/OSPF/ISIS等。支持IGMP、IGMP Snooping；支持PIM-SM、PIM-DM等三层组播协议。持手工隧道、支持ISATAP、支持6to4隧道，支持IPV4/IPV6双栈功能；</w:t>
            </w:r>
          </w:p>
          <w:p w14:paraId="389E08CF">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5、支持SDN功能，支持Netconf协议，支持SDN控制器的统一管理；</w:t>
            </w:r>
          </w:p>
          <w:p w14:paraId="2EBD517E">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6、支持环网G.8032协议，实现ms级业务倒换，支持二层VXLAN网关，支持ZTP,可实现零配置，零IP开局；</w:t>
            </w:r>
          </w:p>
          <w:p w14:paraId="2D1ED814">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7、支持Console口登录管理、HTTP、Telnet（VTY）远程管理、WEB管理、SSH管理、SNMP V1/V2/V3、RMON 1/2/3/9、SYSLOG、DDMI、广播风暴显示；</w:t>
            </w:r>
          </w:p>
          <w:p w14:paraId="3F1F69F8">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8、支持远程运维平台管理，设备可通过运维平台实现远程访问设备WEB管理界面。同时为保证远程访问设备WEB的安全性，要求远程访问隧道基于HTTPS，以上功能要求提供功能截图；</w:t>
            </w:r>
          </w:p>
          <w:p w14:paraId="469E29A1">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9、支持手机APP管理，可通过手机APP实现开局部署、监控设备关键性能指标（内存利用率、CPU利用率、端口协商速率、上联口速率等）、整网拓扑可视化、防环路/防私接/VALN配置等配置下发、端口管理等功能；</w:t>
            </w:r>
          </w:p>
          <w:p w14:paraId="69586AE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10、工信部要求的电信设备进网许可证，提供CQC证书；</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7C8B1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799A4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3CEA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7" w:hRule="atLeast"/>
        </w:trPr>
        <w:tc>
          <w:tcPr>
            <w:tcW w:w="1150" w:type="dxa"/>
            <w:tcBorders>
              <w:top w:val="single" w:color="000000" w:sz="4" w:space="0"/>
              <w:left w:val="single" w:color="000000" w:sz="4" w:space="0"/>
              <w:bottom w:val="single" w:color="000000" w:sz="4" w:space="0"/>
              <w:right w:val="single" w:color="000000" w:sz="4" w:space="0"/>
            </w:tcBorders>
            <w:noWrap w:val="0"/>
            <w:vAlign w:val="center"/>
          </w:tcPr>
          <w:p w14:paraId="2402B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56" w:type="dxa"/>
            <w:tcBorders>
              <w:top w:val="nil"/>
              <w:left w:val="single" w:color="000000" w:sz="4" w:space="0"/>
              <w:bottom w:val="single" w:color="000000" w:sz="4" w:space="0"/>
              <w:right w:val="single" w:color="000000" w:sz="4" w:space="0"/>
            </w:tcBorders>
            <w:noWrap w:val="0"/>
            <w:vAlign w:val="center"/>
          </w:tcPr>
          <w:p w14:paraId="6D29C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办公室室内8口交换机</w:t>
            </w:r>
          </w:p>
        </w:tc>
        <w:tc>
          <w:tcPr>
            <w:tcW w:w="7120" w:type="dxa"/>
            <w:tcBorders>
              <w:top w:val="single" w:color="000000" w:sz="4" w:space="0"/>
              <w:left w:val="single" w:color="000000" w:sz="4" w:space="0"/>
              <w:bottom w:val="single" w:color="000000" w:sz="4" w:space="0"/>
              <w:right w:val="single" w:color="000000" w:sz="4" w:space="0"/>
            </w:tcBorders>
            <w:noWrap w:val="0"/>
            <w:vAlign w:val="center"/>
          </w:tcPr>
          <w:p w14:paraId="13AF834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1、千兆电口≥8个，千兆SFP光口≥2个，可上机架设备</w:t>
            </w:r>
          </w:p>
          <w:p w14:paraId="791D91A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2、交换容量≥256Gbps，包转发率≥48Mpps；</w:t>
            </w:r>
          </w:p>
          <w:p w14:paraId="0C543A2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3、支持MAC绑定，支持端口聚合，端口镜像，ACL，风暴抑制，支持用户访问控制；</w:t>
            </w:r>
          </w:p>
          <w:p w14:paraId="0736132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4、支持默认路由、静态三层路由协议</w:t>
            </w:r>
          </w:p>
          <w:p w14:paraId="6164C59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5、支持STP/RSTP/MSTP等生成树协议，支持EEE端口节能功能，无数据转发时自动关闭端口功能，降低能耗</w:t>
            </w:r>
          </w:p>
          <w:p w14:paraId="22D39A0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6、支持端口安全功能，支持将终端MAC地址、IP地址、VLAN ID 以及PORT号等多个元素灵活绑定，杜绝非法用户接入网络</w:t>
            </w:r>
          </w:p>
          <w:p w14:paraId="3D654F0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7、 支持标准、扩展ACL；支持端口隔离技术；支持dynamic arp 检测，支持dhcp snooping，支持ip source guard；</w:t>
            </w:r>
          </w:p>
          <w:p w14:paraId="342C7DF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8、支持SNMP、TELNET、CONSOLE、SSH和WEB管理等方式管理。</w:t>
            </w:r>
          </w:p>
          <w:p w14:paraId="68301E4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9、支持远程运维平台管理，可通过微信小程序或WEB端，对设备进行远程管理及运维；支持通过云平台实现：远程命令下发、远程升级、重启、远程访问设备WEB、远程Telnet、远程VLAN划分、端口安全等功能；</w:t>
            </w:r>
          </w:p>
          <w:p w14:paraId="51DF601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10、支持手机APP管理，可通过手机APP实现开局部署、监控设备关键性能指标（内存利用率、CPU利用率、端口协商速率、上联口速率等）、整网拓扑可视化、防环路/防私接/VALN配置等配置下发、端口管理等功能；</w:t>
            </w:r>
          </w:p>
          <w:p w14:paraId="705D3CA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11、提供工信部要求的电信设备进网许可证，提供CQC证书；</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700AD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74CFE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230C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7" w:hRule="atLeast"/>
        </w:trPr>
        <w:tc>
          <w:tcPr>
            <w:tcW w:w="1150" w:type="dxa"/>
            <w:tcBorders>
              <w:top w:val="single" w:color="000000" w:sz="4" w:space="0"/>
              <w:left w:val="single" w:color="000000" w:sz="4" w:space="0"/>
              <w:bottom w:val="single" w:color="auto" w:sz="4" w:space="0"/>
              <w:right w:val="single" w:color="000000" w:sz="4" w:space="0"/>
            </w:tcBorders>
            <w:noWrap w:val="0"/>
            <w:vAlign w:val="center"/>
          </w:tcPr>
          <w:p w14:paraId="2DAE2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56" w:type="dxa"/>
            <w:tcBorders>
              <w:top w:val="nil"/>
              <w:left w:val="single" w:color="000000" w:sz="4" w:space="0"/>
              <w:bottom w:val="single" w:color="auto" w:sz="4" w:space="0"/>
              <w:right w:val="single" w:color="000000" w:sz="4" w:space="0"/>
            </w:tcBorders>
            <w:noWrap w:val="0"/>
            <w:vAlign w:val="center"/>
          </w:tcPr>
          <w:p w14:paraId="76356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办公室室内16口交换机</w:t>
            </w:r>
          </w:p>
        </w:tc>
        <w:tc>
          <w:tcPr>
            <w:tcW w:w="7120" w:type="dxa"/>
            <w:tcBorders>
              <w:top w:val="single" w:color="000000" w:sz="4" w:space="0"/>
              <w:left w:val="single" w:color="000000" w:sz="4" w:space="0"/>
              <w:bottom w:val="single" w:color="000000" w:sz="4" w:space="0"/>
              <w:right w:val="single" w:color="000000" w:sz="4" w:space="0"/>
            </w:tcBorders>
            <w:noWrap w:val="0"/>
            <w:vAlign w:val="center"/>
          </w:tcPr>
          <w:p w14:paraId="229C534A">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1、设备千兆电口≥16个，千兆SFP光口≥2个</w:t>
            </w:r>
          </w:p>
          <w:p w14:paraId="1AC4DBD1">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2、交换容量≥336Gbps，包转发率≥72Mpps；</w:t>
            </w:r>
          </w:p>
          <w:p w14:paraId="1C157E11">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3、支持MAC绑定，支持端口聚合，端口镜像，ACL，风暴抑制，支持用户访问控制；</w:t>
            </w:r>
          </w:p>
          <w:p w14:paraId="257B78DD">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4、支持默认路由、静态三层路由协议</w:t>
            </w:r>
          </w:p>
          <w:p w14:paraId="0E95F869">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5、支持STP/RSTP/MSTP等生成树协议，支持EEE端口节能功能，无数据转发时自动关闭端口功能，降低能耗</w:t>
            </w:r>
          </w:p>
          <w:p w14:paraId="4CBBF416">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6、支持端口安全功能，支持将终端MAC地址、IP地址、VLAN ID 以及PORT号等多个元素灵活绑定，杜绝非法用户接入网络</w:t>
            </w:r>
          </w:p>
          <w:p w14:paraId="10B57E5A">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 支持标准、扩展ACL；支持端口隔离技术；支持dynamic arp 检测，支持dhcp snooping，支持ip source guard；</w:t>
            </w:r>
          </w:p>
          <w:p w14:paraId="4C617802">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8、支持SNMP、TELNET、CONSOLE、SSH和WEB管理等方式管理。</w:t>
            </w:r>
          </w:p>
          <w:p w14:paraId="052D5132">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9、支持远程运维平台管理，可通过微信小程序或WEB端，对设备进行远程管理及运维；支持通过云平台实现：远程命令下发、远程升级、重启、远程访问设备WEB、远程Telnet、远程VLAN划分、端口安全等功能；</w:t>
            </w:r>
          </w:p>
          <w:p w14:paraId="09B92F6D">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10、支持手机APP管理，可通过手机APP实现开局部署、监控设备关键性能指标（内存利用率、CPU利用率、端口协商速率、上联口速率等）、整网拓扑可视化、防环路/防私接/VALN配置等配置下发、端口管理等功能；</w:t>
            </w:r>
          </w:p>
          <w:p w14:paraId="3333E23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11、提供工信部要求的电信设备进网许可证，提供CQC证书；</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71395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469F1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253A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2" w:hRule="atLeast"/>
        </w:trPr>
        <w:tc>
          <w:tcPr>
            <w:tcW w:w="1150" w:type="dxa"/>
            <w:tcBorders>
              <w:top w:val="single" w:color="auto" w:sz="4" w:space="0"/>
              <w:left w:val="single" w:color="auto" w:sz="4" w:space="0"/>
              <w:bottom w:val="single" w:color="auto" w:sz="4" w:space="0"/>
              <w:right w:val="single" w:color="000000" w:sz="4" w:space="0"/>
            </w:tcBorders>
            <w:noWrap w:val="0"/>
            <w:vAlign w:val="center"/>
          </w:tcPr>
          <w:p w14:paraId="4626E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56" w:type="dxa"/>
            <w:tcBorders>
              <w:top w:val="single" w:color="auto" w:sz="4" w:space="0"/>
              <w:left w:val="single" w:color="000000" w:sz="4" w:space="0"/>
              <w:bottom w:val="single" w:color="auto" w:sz="4" w:space="0"/>
              <w:right w:val="single" w:color="auto" w:sz="4" w:space="0"/>
            </w:tcBorders>
            <w:noWrap w:val="0"/>
            <w:vAlign w:val="center"/>
          </w:tcPr>
          <w:p w14:paraId="43CF2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24口接入交换机</w:t>
            </w:r>
          </w:p>
        </w:tc>
        <w:tc>
          <w:tcPr>
            <w:tcW w:w="7120" w:type="dxa"/>
            <w:tcBorders>
              <w:top w:val="single" w:color="000000" w:sz="4" w:space="0"/>
              <w:left w:val="single" w:color="auto" w:sz="4" w:space="0"/>
              <w:bottom w:val="single" w:color="000000" w:sz="4" w:space="0"/>
              <w:right w:val="single" w:color="000000" w:sz="4" w:space="0"/>
            </w:tcBorders>
            <w:noWrap w:val="0"/>
            <w:vAlign w:val="center"/>
          </w:tcPr>
          <w:p w14:paraId="547EB270">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≥8个，SFP+万兆光口≥4个，冗余双交流电源输入</w:t>
            </w:r>
          </w:p>
          <w:p w14:paraId="0D40C7CE">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2、交换容量≥792Gbps，包转发率≥384Mpps；</w:t>
            </w:r>
          </w:p>
          <w:p w14:paraId="13657221">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3、支持静态路由、RIP、ISIS、RIPng和BGP、BGP4+、OSPF、OSPFv3等动态路由协议；</w:t>
            </w:r>
          </w:p>
          <w:p w14:paraId="6E83B6D3">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4、支持BFD for VRRP/Static/RIP/OSPF/ISIS等。支持IGMP、IGMP Snooping；支持PIM-SM、PIM-DM等三层组播协议。持手工隧道、支持ISATAP、支持6to4隧道，支持IPV4/IPV6双栈功能；</w:t>
            </w:r>
          </w:p>
          <w:p w14:paraId="3F879567">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5、支持SDN功能，支持Netconf协议，支持SDN控制器的统一管理；</w:t>
            </w:r>
          </w:p>
          <w:p w14:paraId="4E2F8A5E">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6、支持环网G.8032协议，实现ms级业务倒换，支持二层VXLAN网关，支持ZTP,可实现零配置，零IP开局；</w:t>
            </w:r>
          </w:p>
          <w:p w14:paraId="743D0769">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7、支持Console口登录管理、HTTP、Telnet（VTY）远程管理、WEB管理、SSH管理、SNMP V1/V2/V3、RMON 1/2/3/9、SYSLOG、DDMI、广播风暴显示；</w:t>
            </w:r>
          </w:p>
          <w:p w14:paraId="4609820B">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8、支持远程运维平台管理，设备可通过运维平台实现远程访问设备WEB管理界面。同时为保证远程访问设备WEB的安全性，要求远程访问隧道基于HTTPS，以上功能要求提供功能截图；</w:t>
            </w:r>
          </w:p>
          <w:p w14:paraId="1C8ADA89">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9、支持手机APP管理，可通过手机APP实现开局部署、监控设备关键性能指标（内存利用率、CPU利用率、端口协商速率、上联口速率等）、整网拓扑可视化、防环路/防私接/VALN配置等配置下发、端口管理等功能；</w:t>
            </w:r>
          </w:p>
          <w:p w14:paraId="0321E6B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10、工信部要求的电信设备进网许可证，提供CQC证书；</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6614C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00477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1E2F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2" w:hRule="atLeast"/>
        </w:trPr>
        <w:tc>
          <w:tcPr>
            <w:tcW w:w="1150" w:type="dxa"/>
            <w:tcBorders>
              <w:top w:val="single" w:color="auto" w:sz="4" w:space="0"/>
              <w:left w:val="single" w:color="000000" w:sz="4" w:space="0"/>
              <w:bottom w:val="single" w:color="000000" w:sz="4" w:space="0"/>
              <w:right w:val="single" w:color="000000" w:sz="4" w:space="0"/>
            </w:tcBorders>
            <w:noWrap w:val="0"/>
            <w:vAlign w:val="center"/>
          </w:tcPr>
          <w:p w14:paraId="381E5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56" w:type="dxa"/>
            <w:tcBorders>
              <w:top w:val="single" w:color="auto" w:sz="4" w:space="0"/>
              <w:left w:val="single" w:color="000000" w:sz="4" w:space="0"/>
              <w:bottom w:val="single" w:color="000000" w:sz="4" w:space="0"/>
              <w:right w:val="single" w:color="000000" w:sz="4" w:space="0"/>
            </w:tcBorders>
            <w:noWrap w:val="0"/>
            <w:vAlign w:val="center"/>
          </w:tcPr>
          <w:p w14:paraId="34FBC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24口poe交换机</w:t>
            </w:r>
          </w:p>
        </w:tc>
        <w:tc>
          <w:tcPr>
            <w:tcW w:w="7120" w:type="dxa"/>
            <w:tcBorders>
              <w:top w:val="single" w:color="000000" w:sz="4" w:space="0"/>
              <w:left w:val="single" w:color="000000" w:sz="4" w:space="0"/>
              <w:bottom w:val="single" w:color="000000" w:sz="4" w:space="0"/>
              <w:right w:val="single" w:color="000000" w:sz="4" w:space="0"/>
            </w:tcBorders>
            <w:noWrap w:val="0"/>
            <w:vAlign w:val="center"/>
          </w:tcPr>
          <w:p w14:paraId="49C60029">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≥8个，SFP+万兆光口≥4个，冗余双交流电源输入</w:t>
            </w:r>
          </w:p>
          <w:p w14:paraId="003EE8FE">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2、交换容量≥792Gbps，包转发率≥384Mpps；</w:t>
            </w:r>
          </w:p>
          <w:p w14:paraId="132137CC">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3、支持静态路由、RIP、ISIS、RIPng和BGP、BGP4+、OSPF、OSPFv3等动态路由协议；</w:t>
            </w:r>
          </w:p>
          <w:p w14:paraId="6C8E33D9">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4、支持BFD for VRRP/Static/RIP/OSPF/ISIS等。支持IGMP、IGMP Snooping；支持PIM-SM、PIM-DM等三层组播协议。持手工隧道、支持ISATAP、支持6to4隧道，支持IPV4/IPV6双栈功能；</w:t>
            </w:r>
          </w:p>
          <w:p w14:paraId="2F1AB1A6">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5、支持SDN功能，支持Netconf协议，支持SDN控制器的统一管理；</w:t>
            </w:r>
          </w:p>
          <w:p w14:paraId="20DC536F">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6、支持环网G.8032协议，实现ms级业务倒换，支持二层VXLAN网关，支持ZTP,可实现零配置，零IP开局；</w:t>
            </w:r>
          </w:p>
          <w:p w14:paraId="10896A6D">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7、支持Console口登录管理、HTTP、Telnet（VTY）远程管理、WEB管理、SSH管理、SNMP V1/V2/V3、RMON 1/2/3/9、SYSLOG、DDMI、广播风暴显示；</w:t>
            </w:r>
          </w:p>
          <w:p w14:paraId="56A11648">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8、支持远程运维平台管理，设备可通过运维平台实现远程访问设备WEB管理界面。同时为保证远程访问设备WEB的安全性，要求远程访问隧道基于HTTPS，以上功能要求提供功能截图；</w:t>
            </w:r>
          </w:p>
          <w:p w14:paraId="5062351D">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9、支持手机APP管理，可通过手机APP实现开局部署、监控设备关键性能指标（内存利用率、CPU利用率、端口协商速率、上联口速率等）、整网拓扑可视化、防环路/防私接/VALN配置等配置下发、端口管理等功能；</w:t>
            </w:r>
          </w:p>
          <w:p w14:paraId="1FFC57B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10、工信部要求的电信设备进网许可证，提供CQC证书；</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260C8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72006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0093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150" w:type="dxa"/>
            <w:tcBorders>
              <w:top w:val="single" w:color="000000" w:sz="4" w:space="0"/>
              <w:left w:val="single" w:color="000000" w:sz="4" w:space="0"/>
              <w:bottom w:val="single" w:color="000000" w:sz="4" w:space="0"/>
              <w:right w:val="single" w:color="000000" w:sz="4" w:space="0"/>
            </w:tcBorders>
            <w:noWrap w:val="0"/>
            <w:vAlign w:val="center"/>
          </w:tcPr>
          <w:p w14:paraId="34505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500F2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接入侧光模块</w:t>
            </w:r>
          </w:p>
        </w:tc>
        <w:tc>
          <w:tcPr>
            <w:tcW w:w="7120" w:type="dxa"/>
            <w:tcBorders>
              <w:top w:val="single" w:color="000000" w:sz="4" w:space="0"/>
              <w:left w:val="single" w:color="000000" w:sz="4" w:space="0"/>
              <w:bottom w:val="single" w:color="000000" w:sz="4" w:space="0"/>
              <w:right w:val="single" w:color="000000" w:sz="4" w:space="0"/>
            </w:tcBorders>
            <w:noWrap w:val="0"/>
            <w:vAlign w:val="center"/>
          </w:tcPr>
          <w:p w14:paraId="673AF74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1、光模块的工作波长，应满足在1271nm~1571nm范围内。</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2、≥8种不同波长模块</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1C681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2B68F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2566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150" w:type="dxa"/>
            <w:tcBorders>
              <w:top w:val="single" w:color="000000" w:sz="4" w:space="0"/>
              <w:left w:val="single" w:color="000000" w:sz="4" w:space="0"/>
              <w:bottom w:val="single" w:color="000000" w:sz="4" w:space="0"/>
              <w:right w:val="single" w:color="000000" w:sz="4" w:space="0"/>
            </w:tcBorders>
            <w:noWrap w:val="0"/>
            <w:vAlign w:val="center"/>
          </w:tcPr>
          <w:p w14:paraId="228F9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56" w:type="dxa"/>
            <w:tcBorders>
              <w:top w:val="nil"/>
              <w:left w:val="single" w:color="000000" w:sz="4" w:space="0"/>
              <w:bottom w:val="single" w:color="000000" w:sz="4" w:space="0"/>
              <w:right w:val="single" w:color="000000" w:sz="4" w:space="0"/>
            </w:tcBorders>
            <w:noWrap w:val="0"/>
            <w:vAlign w:val="center"/>
          </w:tcPr>
          <w:p w14:paraId="09E99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万兆光模块</w:t>
            </w:r>
          </w:p>
        </w:tc>
        <w:tc>
          <w:tcPr>
            <w:tcW w:w="7120" w:type="dxa"/>
            <w:tcBorders>
              <w:top w:val="single" w:color="000000" w:sz="4" w:space="0"/>
              <w:left w:val="single" w:color="000000" w:sz="4" w:space="0"/>
              <w:bottom w:val="single" w:color="000000" w:sz="4" w:space="0"/>
              <w:right w:val="single" w:color="000000" w:sz="4" w:space="0"/>
            </w:tcBorders>
            <w:noWrap w:val="0"/>
            <w:vAlign w:val="center"/>
          </w:tcPr>
          <w:p w14:paraId="3147C00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万兆单模光模块，单模，1310nm，LC，传输10Km</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7837D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6081B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4A79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150" w:type="dxa"/>
            <w:tcBorders>
              <w:top w:val="single" w:color="000000" w:sz="4" w:space="0"/>
              <w:left w:val="single" w:color="000000" w:sz="4" w:space="0"/>
              <w:bottom w:val="single" w:color="auto" w:sz="4" w:space="0"/>
              <w:right w:val="single" w:color="000000" w:sz="4" w:space="0"/>
            </w:tcBorders>
            <w:noWrap w:val="0"/>
            <w:vAlign w:val="center"/>
          </w:tcPr>
          <w:p w14:paraId="49933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56" w:type="dxa"/>
            <w:tcBorders>
              <w:top w:val="nil"/>
              <w:left w:val="single" w:color="000000" w:sz="4" w:space="0"/>
              <w:bottom w:val="single" w:color="auto" w:sz="4" w:space="0"/>
              <w:right w:val="single" w:color="000000" w:sz="4" w:space="0"/>
            </w:tcBorders>
            <w:noWrap w:val="0"/>
            <w:vAlign w:val="center"/>
          </w:tcPr>
          <w:p w14:paraId="68849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千兆光模块</w:t>
            </w:r>
          </w:p>
        </w:tc>
        <w:tc>
          <w:tcPr>
            <w:tcW w:w="7120" w:type="dxa"/>
            <w:tcBorders>
              <w:top w:val="single" w:color="000000" w:sz="4" w:space="0"/>
              <w:left w:val="single" w:color="000000" w:sz="4" w:space="0"/>
              <w:bottom w:val="single" w:color="000000" w:sz="4" w:space="0"/>
              <w:right w:val="single" w:color="000000" w:sz="4" w:space="0"/>
            </w:tcBorders>
            <w:noWrap w:val="0"/>
            <w:vAlign w:val="center"/>
          </w:tcPr>
          <w:p w14:paraId="7C0564C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千兆单模光模块，单模，1310nm，LC，传输20Km</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112D9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55764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5E79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8" w:hRule="atLeast"/>
        </w:trPr>
        <w:tc>
          <w:tcPr>
            <w:tcW w:w="1150" w:type="dxa"/>
            <w:tcBorders>
              <w:top w:val="single" w:color="auto" w:sz="4" w:space="0"/>
              <w:left w:val="single" w:color="auto" w:sz="4" w:space="0"/>
              <w:bottom w:val="single" w:color="auto" w:sz="4" w:space="0"/>
              <w:right w:val="single" w:color="000000" w:sz="4" w:space="0"/>
            </w:tcBorders>
            <w:noWrap w:val="0"/>
            <w:vAlign w:val="center"/>
          </w:tcPr>
          <w:p w14:paraId="50806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56" w:type="dxa"/>
            <w:tcBorders>
              <w:top w:val="single" w:color="auto" w:sz="4" w:space="0"/>
              <w:left w:val="single" w:color="000000" w:sz="4" w:space="0"/>
              <w:bottom w:val="single" w:color="auto" w:sz="4" w:space="0"/>
              <w:right w:val="single" w:color="auto" w:sz="4" w:space="0"/>
            </w:tcBorders>
            <w:noWrap w:val="0"/>
            <w:vAlign w:val="center"/>
          </w:tcPr>
          <w:p w14:paraId="6AB1C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室外AP</w:t>
            </w:r>
          </w:p>
        </w:tc>
        <w:tc>
          <w:tcPr>
            <w:tcW w:w="7120" w:type="dxa"/>
            <w:tcBorders>
              <w:top w:val="single" w:color="000000" w:sz="4" w:space="0"/>
              <w:left w:val="single" w:color="auto" w:sz="4" w:space="0"/>
              <w:bottom w:val="single" w:color="000000" w:sz="4" w:space="0"/>
              <w:right w:val="single" w:color="000000" w:sz="4" w:space="0"/>
            </w:tcBorders>
            <w:noWrap w:val="0"/>
            <w:vAlign w:val="center"/>
          </w:tcPr>
          <w:p w14:paraId="3D49FACB">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1、室外型无线接入设备，要求支持≥2个10/100/1000Base-T以太网口,≥1个千兆光口，支持802.3at PoE供电；设备支持802.11a/b/g/n/ac/ax标准，整机≥1775Mbps。</w:t>
            </w:r>
          </w:p>
          <w:p w14:paraId="314E1183">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2、支持基于终端数或流量的智能负载均衡，支持基于SSID的用户数限制，支持基于射频卡的用户数限制，支持弱信号下线和禁止接入。</w:t>
            </w:r>
          </w:p>
          <w:p w14:paraId="5130DAD0">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3、支持多种安全功能，支持用户二层隔离（同AP同SSID），支持基于AP、SSID、终端QoS带宽控制策略，支持基于全局和SSID的黑名单，支持AP逃生。</w:t>
            </w:r>
          </w:p>
          <w:p w14:paraId="418DADA3">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4、设备要求支持桥模式，支持静态IP地址或DHCP获取，支持802.1Q的VLAN，支持VLAN透传，能同时透传tag和untag报文，支持IPv6基本协议。</w:t>
            </w:r>
          </w:p>
          <w:p w14:paraId="59FA6209">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5、支持Web管理，AP设备应支持软件版本升级功能，可通过本地和远程进行。</w:t>
            </w:r>
          </w:p>
          <w:p w14:paraId="3BFF8441">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6、要求采用防水、防尘、防潮、防雷、阻燃设计，满足IP68防护等级要求，支持宽温工作环境，设备可以在-40℃～70℃的温度区间和0%～100%的湿度区间正常工作（提供产品官网功能介绍截图和链接证明）。</w:t>
            </w:r>
          </w:p>
          <w:p w14:paraId="3C9A4D21">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7、AP支持云管平台管理，可通过云管平台进行设备重启、升级等操作。</w:t>
            </w:r>
          </w:p>
          <w:p w14:paraId="770B552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8、提供与型号一致的SRRC报告、无线电核准证书。</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4DDAD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56A16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BF48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1" w:hRule="atLeast"/>
        </w:trPr>
        <w:tc>
          <w:tcPr>
            <w:tcW w:w="1150" w:type="dxa"/>
            <w:tcBorders>
              <w:top w:val="single" w:color="auto" w:sz="4" w:space="0"/>
              <w:left w:val="single" w:color="000000" w:sz="4" w:space="0"/>
              <w:bottom w:val="nil"/>
              <w:right w:val="single" w:color="000000" w:sz="4" w:space="0"/>
            </w:tcBorders>
            <w:noWrap w:val="0"/>
            <w:vAlign w:val="center"/>
          </w:tcPr>
          <w:p w14:paraId="468D3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56" w:type="dxa"/>
            <w:tcBorders>
              <w:top w:val="single" w:color="auto" w:sz="4" w:space="0"/>
              <w:left w:val="single" w:color="000000" w:sz="4" w:space="0"/>
              <w:bottom w:val="single" w:color="000000" w:sz="4" w:space="0"/>
              <w:right w:val="single" w:color="000000" w:sz="4" w:space="0"/>
            </w:tcBorders>
            <w:noWrap w:val="0"/>
            <w:vAlign w:val="center"/>
          </w:tcPr>
          <w:p w14:paraId="23D89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无线控制器</w:t>
            </w:r>
          </w:p>
        </w:tc>
        <w:tc>
          <w:tcPr>
            <w:tcW w:w="7120" w:type="dxa"/>
            <w:tcBorders>
              <w:top w:val="single" w:color="000000" w:sz="4" w:space="0"/>
              <w:left w:val="single" w:color="000000" w:sz="4" w:space="0"/>
              <w:bottom w:val="single" w:color="000000" w:sz="4" w:space="0"/>
              <w:right w:val="single" w:color="000000" w:sz="4" w:space="0"/>
            </w:tcBorders>
            <w:noWrap w:val="0"/>
            <w:vAlign w:val="center"/>
          </w:tcPr>
          <w:p w14:paraId="076EF8F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r>
              <w:rPr>
                <w:rFonts w:ascii="Arial" w:hAnsi="Arial" w:eastAsia="微软雅黑" w:cs="Arial"/>
                <w:i w:val="0"/>
                <w:iCs w:val="0"/>
                <w:color w:val="000000"/>
                <w:kern w:val="0"/>
                <w:sz w:val="16"/>
                <w:szCs w:val="16"/>
                <w:u w:val="none"/>
                <w:lang w:val="en-US" w:eastAsia="zh-CN" w:bidi="ar"/>
              </w:rPr>
              <w:t xml:space="preserve"> </w:t>
            </w:r>
            <w:r>
              <w:rPr>
                <w:rFonts w:hint="eastAsia" w:ascii="微软雅黑" w:hAnsi="微软雅黑" w:eastAsia="微软雅黑" w:cs="微软雅黑"/>
                <w:i w:val="0"/>
                <w:iCs w:val="0"/>
                <w:color w:val="000000"/>
                <w:kern w:val="0"/>
                <w:sz w:val="16"/>
                <w:szCs w:val="16"/>
                <w:u w:val="none"/>
                <w:lang w:val="en-US" w:eastAsia="zh-CN" w:bidi="ar"/>
              </w:rPr>
              <w:t>802.11转发性能≥10G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w:t>
            </w:r>
            <w:r>
              <w:rPr>
                <w:rFonts w:ascii="Arial" w:hAnsi="Arial" w:eastAsia="微软雅黑" w:cs="Arial"/>
                <w:i w:val="0"/>
                <w:iCs w:val="0"/>
                <w:color w:val="000000"/>
                <w:kern w:val="0"/>
                <w:sz w:val="16"/>
                <w:szCs w:val="16"/>
                <w:u w:val="none"/>
                <w:lang w:val="en-US" w:eastAsia="zh-CN" w:bidi="ar"/>
              </w:rPr>
              <w:t xml:space="preserve"> </w:t>
            </w:r>
            <w:r>
              <w:rPr>
                <w:rFonts w:hint="eastAsia" w:ascii="微软雅黑" w:hAnsi="微软雅黑" w:eastAsia="微软雅黑" w:cs="微软雅黑"/>
                <w:i w:val="0"/>
                <w:iCs w:val="0"/>
                <w:color w:val="000000"/>
                <w:kern w:val="0"/>
                <w:sz w:val="16"/>
                <w:szCs w:val="16"/>
                <w:u w:val="none"/>
                <w:lang w:val="en-US" w:eastAsia="zh-CN" w:bidi="ar"/>
              </w:rPr>
              <w:t>本次管理AP数≥96个，最大可支持管理512个AP。</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w:t>
            </w:r>
            <w:r>
              <w:rPr>
                <w:rFonts w:ascii="Arial" w:hAnsi="Arial" w:eastAsia="微软雅黑" w:cs="Arial"/>
                <w:i w:val="0"/>
                <w:iCs w:val="0"/>
                <w:color w:val="000000"/>
                <w:kern w:val="0"/>
                <w:sz w:val="16"/>
                <w:szCs w:val="16"/>
                <w:u w:val="none"/>
                <w:lang w:val="en-US" w:eastAsia="zh-CN" w:bidi="ar"/>
              </w:rPr>
              <w:t xml:space="preserve"> </w:t>
            </w:r>
            <w:r>
              <w:rPr>
                <w:rFonts w:hint="eastAsia" w:ascii="微软雅黑" w:hAnsi="微软雅黑" w:eastAsia="微软雅黑" w:cs="微软雅黑"/>
                <w:i w:val="0"/>
                <w:iCs w:val="0"/>
                <w:color w:val="000000"/>
                <w:kern w:val="0"/>
                <w:sz w:val="16"/>
                <w:szCs w:val="16"/>
                <w:u w:val="none"/>
                <w:lang w:val="en-US" w:eastAsia="zh-CN" w:bidi="ar"/>
              </w:rPr>
              <w:t>千兆电口数≥10；千兆光口数≥2个，万兆光口数≥2个。</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w:t>
            </w:r>
            <w:r>
              <w:rPr>
                <w:rFonts w:ascii="Arial" w:hAnsi="Arial" w:eastAsia="微软雅黑" w:cs="Arial"/>
                <w:i w:val="0"/>
                <w:iCs w:val="0"/>
                <w:color w:val="000000"/>
                <w:kern w:val="0"/>
                <w:sz w:val="16"/>
                <w:szCs w:val="16"/>
                <w:u w:val="none"/>
                <w:lang w:val="en-US" w:eastAsia="zh-CN" w:bidi="ar"/>
              </w:rPr>
              <w:t xml:space="preserve"> </w:t>
            </w:r>
            <w:r>
              <w:rPr>
                <w:rFonts w:hint="eastAsia" w:ascii="微软雅黑" w:hAnsi="微软雅黑" w:eastAsia="微软雅黑" w:cs="微软雅黑"/>
                <w:i w:val="0"/>
                <w:iCs w:val="0"/>
                <w:color w:val="000000"/>
                <w:kern w:val="0"/>
                <w:sz w:val="16"/>
                <w:szCs w:val="16"/>
                <w:u w:val="none"/>
                <w:lang w:val="en-US" w:eastAsia="zh-CN" w:bidi="ar"/>
              </w:rPr>
              <w:t>支持本地认证功能，无需通过外置Portal服务器和Radius服务器认证。</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w:t>
            </w:r>
            <w:r>
              <w:rPr>
                <w:rFonts w:ascii="Arial" w:hAnsi="Arial" w:eastAsia="微软雅黑" w:cs="Arial"/>
                <w:i w:val="0"/>
                <w:iCs w:val="0"/>
                <w:color w:val="000000"/>
                <w:kern w:val="0"/>
                <w:sz w:val="16"/>
                <w:szCs w:val="16"/>
                <w:u w:val="none"/>
                <w:lang w:val="en-US" w:eastAsia="zh-CN" w:bidi="ar"/>
              </w:rPr>
              <w:t xml:space="preserve"> </w:t>
            </w:r>
            <w:r>
              <w:rPr>
                <w:rFonts w:hint="eastAsia" w:ascii="微软雅黑" w:hAnsi="微软雅黑" w:eastAsia="微软雅黑" w:cs="微软雅黑"/>
                <w:i w:val="0"/>
                <w:iCs w:val="0"/>
                <w:color w:val="000000"/>
                <w:kern w:val="0"/>
                <w:sz w:val="16"/>
                <w:szCs w:val="16"/>
                <w:u w:val="none"/>
                <w:lang w:val="en-US" w:eastAsia="zh-CN" w:bidi="ar"/>
              </w:rPr>
              <w:t>支持访客通过二维码授权的方式接入无线网络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7、</w:t>
            </w:r>
            <w:r>
              <w:rPr>
                <w:rFonts w:ascii="Arial" w:hAnsi="Arial" w:eastAsia="微软雅黑" w:cs="Arial"/>
                <w:i w:val="0"/>
                <w:iCs w:val="0"/>
                <w:color w:val="000000"/>
                <w:kern w:val="0"/>
                <w:sz w:val="16"/>
                <w:szCs w:val="16"/>
                <w:u w:val="none"/>
                <w:lang w:val="en-US" w:eastAsia="zh-CN" w:bidi="ar"/>
              </w:rPr>
              <w:t xml:space="preserve"> </w:t>
            </w:r>
            <w:r>
              <w:rPr>
                <w:rFonts w:hint="eastAsia" w:ascii="微软雅黑" w:hAnsi="微软雅黑" w:eastAsia="微软雅黑" w:cs="微软雅黑"/>
                <w:i w:val="0"/>
                <w:iCs w:val="0"/>
                <w:color w:val="000000"/>
                <w:kern w:val="0"/>
                <w:sz w:val="16"/>
                <w:szCs w:val="16"/>
                <w:u w:val="none"/>
                <w:lang w:val="en-US" w:eastAsia="zh-CN" w:bidi="ar"/>
              </w:rPr>
              <w:t>对墙面AP可支持的容量翻倍。</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53846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60421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C4DC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1150" w:type="dxa"/>
            <w:tcBorders>
              <w:top w:val="single" w:color="000000" w:sz="4" w:space="0"/>
              <w:left w:val="single" w:color="000000" w:sz="4" w:space="0"/>
              <w:bottom w:val="single" w:color="000000" w:sz="4" w:space="0"/>
              <w:right w:val="single" w:color="000000" w:sz="4" w:space="0"/>
            </w:tcBorders>
            <w:noWrap w:val="0"/>
            <w:vAlign w:val="center"/>
          </w:tcPr>
          <w:p w14:paraId="3C9BB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56" w:type="dxa"/>
            <w:tcBorders>
              <w:top w:val="nil"/>
              <w:left w:val="single" w:color="000000" w:sz="4" w:space="0"/>
              <w:bottom w:val="single" w:color="000000" w:sz="4" w:space="0"/>
              <w:right w:val="single" w:color="000000" w:sz="4" w:space="0"/>
            </w:tcBorders>
            <w:noWrap w:val="0"/>
            <w:vAlign w:val="center"/>
          </w:tcPr>
          <w:p w14:paraId="15863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运维管理平台</w:t>
            </w:r>
          </w:p>
        </w:tc>
        <w:tc>
          <w:tcPr>
            <w:tcW w:w="7120" w:type="dxa"/>
            <w:tcBorders>
              <w:top w:val="single" w:color="000000" w:sz="4" w:space="0"/>
              <w:left w:val="single" w:color="000000" w:sz="4" w:space="0"/>
              <w:bottom w:val="single" w:color="000000" w:sz="4" w:space="0"/>
              <w:right w:val="single" w:color="000000" w:sz="4" w:space="0"/>
            </w:tcBorders>
            <w:noWrap w:val="0"/>
            <w:vAlign w:val="center"/>
          </w:tcPr>
          <w:p w14:paraId="0938D97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迈普智能运营中心(Maipu IOC、迈普智能运营中心、轻量化园区运维管理软件)</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70DC8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13D1D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3A4E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150" w:type="dxa"/>
            <w:tcBorders>
              <w:top w:val="single" w:color="000000" w:sz="4" w:space="0"/>
              <w:left w:val="single" w:color="000000" w:sz="4" w:space="0"/>
              <w:bottom w:val="single" w:color="auto" w:sz="4" w:space="0"/>
              <w:right w:val="single" w:color="000000" w:sz="4" w:space="0"/>
            </w:tcBorders>
            <w:noWrap w:val="0"/>
            <w:vAlign w:val="center"/>
          </w:tcPr>
          <w:p w14:paraId="1D002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1556" w:type="dxa"/>
            <w:tcBorders>
              <w:top w:val="single" w:color="000000" w:sz="4" w:space="0"/>
              <w:left w:val="single" w:color="000000" w:sz="4" w:space="0"/>
              <w:bottom w:val="single" w:color="auto" w:sz="4" w:space="0"/>
              <w:right w:val="single" w:color="000000" w:sz="4" w:space="0"/>
            </w:tcBorders>
            <w:noWrap w:val="0"/>
            <w:vAlign w:val="center"/>
          </w:tcPr>
          <w:p w14:paraId="33570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w:t>
            </w:r>
          </w:p>
        </w:tc>
        <w:tc>
          <w:tcPr>
            <w:tcW w:w="7120" w:type="dxa"/>
            <w:tcBorders>
              <w:top w:val="single" w:color="000000" w:sz="4" w:space="0"/>
              <w:left w:val="single" w:color="000000" w:sz="4" w:space="0"/>
              <w:bottom w:val="single" w:color="auto" w:sz="4" w:space="0"/>
              <w:right w:val="single" w:color="000000" w:sz="4" w:space="0"/>
            </w:tcBorders>
            <w:noWrap w:val="0"/>
            <w:vAlign w:val="center"/>
          </w:tcPr>
          <w:p w14:paraId="58F86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4芯</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14:paraId="7B1D6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032D6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7E238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150" w:type="dxa"/>
            <w:tcBorders>
              <w:top w:val="single" w:color="auto" w:sz="4" w:space="0"/>
              <w:left w:val="single" w:color="auto" w:sz="4" w:space="0"/>
              <w:bottom w:val="single" w:color="auto" w:sz="4" w:space="0"/>
              <w:right w:val="single" w:color="000000" w:sz="4" w:space="0"/>
            </w:tcBorders>
            <w:noWrap w:val="0"/>
            <w:vAlign w:val="center"/>
          </w:tcPr>
          <w:p w14:paraId="52ECE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 </w:t>
            </w:r>
          </w:p>
        </w:tc>
        <w:tc>
          <w:tcPr>
            <w:tcW w:w="1556" w:type="dxa"/>
            <w:tcBorders>
              <w:top w:val="single" w:color="auto" w:sz="4" w:space="0"/>
              <w:left w:val="single" w:color="000000" w:sz="4" w:space="0"/>
              <w:bottom w:val="single" w:color="auto" w:sz="4" w:space="0"/>
              <w:right w:val="single" w:color="000000" w:sz="4" w:space="0"/>
            </w:tcBorders>
            <w:noWrap w:val="0"/>
            <w:vAlign w:val="center"/>
          </w:tcPr>
          <w:p w14:paraId="6F10B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w:t>
            </w:r>
          </w:p>
        </w:tc>
        <w:tc>
          <w:tcPr>
            <w:tcW w:w="7120" w:type="dxa"/>
            <w:tcBorders>
              <w:top w:val="single" w:color="auto" w:sz="4" w:space="0"/>
              <w:left w:val="single" w:color="000000" w:sz="4" w:space="0"/>
              <w:bottom w:val="single" w:color="auto" w:sz="4" w:space="0"/>
              <w:right w:val="single" w:color="auto" w:sz="4" w:space="0"/>
            </w:tcBorders>
            <w:noWrap w:val="0"/>
            <w:vAlign w:val="center"/>
          </w:tcPr>
          <w:p w14:paraId="44EAB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8芯</w:t>
            </w:r>
          </w:p>
        </w:tc>
        <w:tc>
          <w:tcPr>
            <w:tcW w:w="1495" w:type="dxa"/>
            <w:tcBorders>
              <w:top w:val="single" w:color="000000" w:sz="4" w:space="0"/>
              <w:left w:val="single" w:color="auto" w:sz="4" w:space="0"/>
              <w:bottom w:val="single" w:color="000000" w:sz="4" w:space="0"/>
              <w:right w:val="single" w:color="000000" w:sz="4" w:space="0"/>
            </w:tcBorders>
            <w:noWrap w:val="0"/>
            <w:vAlign w:val="center"/>
          </w:tcPr>
          <w:p w14:paraId="08257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34082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2B916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150" w:type="dxa"/>
            <w:tcBorders>
              <w:top w:val="single" w:color="auto" w:sz="4" w:space="0"/>
              <w:left w:val="single" w:color="auto" w:sz="4" w:space="0"/>
              <w:bottom w:val="single" w:color="auto" w:sz="4" w:space="0"/>
              <w:right w:val="single" w:color="000000" w:sz="4" w:space="0"/>
            </w:tcBorders>
            <w:noWrap w:val="0"/>
            <w:vAlign w:val="center"/>
          </w:tcPr>
          <w:p w14:paraId="7AE5E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 </w:t>
            </w:r>
          </w:p>
        </w:tc>
        <w:tc>
          <w:tcPr>
            <w:tcW w:w="1556" w:type="dxa"/>
            <w:tcBorders>
              <w:top w:val="single" w:color="auto" w:sz="4" w:space="0"/>
              <w:left w:val="single" w:color="000000" w:sz="4" w:space="0"/>
              <w:bottom w:val="single" w:color="auto" w:sz="4" w:space="0"/>
              <w:right w:val="single" w:color="000000" w:sz="4" w:space="0"/>
            </w:tcBorders>
            <w:noWrap w:val="0"/>
            <w:vAlign w:val="center"/>
          </w:tcPr>
          <w:p w14:paraId="41EB9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w:t>
            </w:r>
          </w:p>
        </w:tc>
        <w:tc>
          <w:tcPr>
            <w:tcW w:w="7120" w:type="dxa"/>
            <w:tcBorders>
              <w:top w:val="single" w:color="auto" w:sz="4" w:space="0"/>
              <w:left w:val="single" w:color="000000" w:sz="4" w:space="0"/>
              <w:bottom w:val="single" w:color="auto" w:sz="4" w:space="0"/>
              <w:right w:val="single" w:color="auto" w:sz="4" w:space="0"/>
            </w:tcBorders>
            <w:noWrap w:val="0"/>
            <w:vAlign w:val="center"/>
          </w:tcPr>
          <w:p w14:paraId="600D1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6类网线</w:t>
            </w:r>
          </w:p>
        </w:tc>
        <w:tc>
          <w:tcPr>
            <w:tcW w:w="1495" w:type="dxa"/>
            <w:tcBorders>
              <w:top w:val="single" w:color="000000" w:sz="4" w:space="0"/>
              <w:left w:val="single" w:color="auto" w:sz="4" w:space="0"/>
              <w:bottom w:val="single" w:color="000000" w:sz="4" w:space="0"/>
              <w:right w:val="single" w:color="000000" w:sz="4" w:space="0"/>
            </w:tcBorders>
            <w:noWrap w:val="0"/>
            <w:vAlign w:val="center"/>
          </w:tcPr>
          <w:p w14:paraId="4A9BE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67B7F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70ED4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150" w:type="dxa"/>
            <w:tcBorders>
              <w:top w:val="single" w:color="auto" w:sz="4" w:space="0"/>
              <w:left w:val="single" w:color="auto" w:sz="4" w:space="0"/>
              <w:bottom w:val="single" w:color="auto" w:sz="4" w:space="0"/>
              <w:right w:val="single" w:color="000000" w:sz="4" w:space="0"/>
            </w:tcBorders>
            <w:noWrap w:val="0"/>
            <w:vAlign w:val="center"/>
          </w:tcPr>
          <w:p w14:paraId="47D5C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 </w:t>
            </w:r>
          </w:p>
        </w:tc>
        <w:tc>
          <w:tcPr>
            <w:tcW w:w="1556" w:type="dxa"/>
            <w:tcBorders>
              <w:top w:val="single" w:color="auto" w:sz="4" w:space="0"/>
              <w:left w:val="single" w:color="000000" w:sz="4" w:space="0"/>
              <w:bottom w:val="single" w:color="auto" w:sz="4" w:space="0"/>
              <w:right w:val="nil"/>
            </w:tcBorders>
            <w:noWrap w:val="0"/>
            <w:vAlign w:val="center"/>
          </w:tcPr>
          <w:p w14:paraId="4C84E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管材</w:t>
            </w:r>
          </w:p>
        </w:tc>
        <w:tc>
          <w:tcPr>
            <w:tcW w:w="7120" w:type="dxa"/>
            <w:tcBorders>
              <w:top w:val="single" w:color="auto" w:sz="4" w:space="0"/>
              <w:left w:val="nil"/>
              <w:bottom w:val="single" w:color="auto" w:sz="4" w:space="0"/>
              <w:right w:val="single" w:color="auto" w:sz="4" w:space="0"/>
            </w:tcBorders>
            <w:noWrap w:val="0"/>
            <w:vAlign w:val="center"/>
          </w:tcPr>
          <w:p w14:paraId="2E9ED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PVC2.5</w:t>
            </w:r>
          </w:p>
        </w:tc>
        <w:tc>
          <w:tcPr>
            <w:tcW w:w="1495" w:type="dxa"/>
            <w:tcBorders>
              <w:top w:val="single" w:color="000000" w:sz="4" w:space="0"/>
              <w:left w:val="single" w:color="auto" w:sz="4" w:space="0"/>
              <w:bottom w:val="single" w:color="000000" w:sz="4" w:space="0"/>
              <w:right w:val="single" w:color="000000" w:sz="4" w:space="0"/>
            </w:tcBorders>
            <w:noWrap w:val="0"/>
            <w:vAlign w:val="center"/>
          </w:tcPr>
          <w:p w14:paraId="197C3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10FCC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382CD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150" w:type="dxa"/>
            <w:tcBorders>
              <w:top w:val="single" w:color="auto" w:sz="4" w:space="0"/>
              <w:left w:val="single" w:color="auto" w:sz="4" w:space="0"/>
              <w:bottom w:val="single" w:color="auto" w:sz="4" w:space="0"/>
              <w:right w:val="single" w:color="000000" w:sz="4" w:space="0"/>
            </w:tcBorders>
            <w:noWrap w:val="0"/>
            <w:vAlign w:val="center"/>
          </w:tcPr>
          <w:p w14:paraId="463AF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 </w:t>
            </w:r>
          </w:p>
        </w:tc>
        <w:tc>
          <w:tcPr>
            <w:tcW w:w="1556" w:type="dxa"/>
            <w:tcBorders>
              <w:top w:val="single" w:color="auto" w:sz="4" w:space="0"/>
              <w:left w:val="single" w:color="000000" w:sz="4" w:space="0"/>
              <w:bottom w:val="single" w:color="auto" w:sz="4" w:space="0"/>
              <w:right w:val="single" w:color="000000" w:sz="4" w:space="0"/>
            </w:tcBorders>
            <w:noWrap w:val="0"/>
            <w:vAlign w:val="center"/>
          </w:tcPr>
          <w:p w14:paraId="759CB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7120" w:type="dxa"/>
            <w:tcBorders>
              <w:top w:val="single" w:color="auto" w:sz="4" w:space="0"/>
              <w:left w:val="single" w:color="000000" w:sz="4" w:space="0"/>
              <w:bottom w:val="single" w:color="auto" w:sz="4" w:space="0"/>
              <w:right w:val="single" w:color="auto" w:sz="4" w:space="0"/>
            </w:tcBorders>
            <w:noWrap w:val="0"/>
            <w:vAlign w:val="center"/>
          </w:tcPr>
          <w:p w14:paraId="0C687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光纤条线及熔纤</w:t>
            </w:r>
          </w:p>
        </w:tc>
        <w:tc>
          <w:tcPr>
            <w:tcW w:w="1495" w:type="dxa"/>
            <w:tcBorders>
              <w:top w:val="single" w:color="000000" w:sz="4" w:space="0"/>
              <w:left w:val="single" w:color="auto" w:sz="4" w:space="0"/>
              <w:bottom w:val="single" w:color="000000" w:sz="4" w:space="0"/>
              <w:right w:val="single" w:color="000000" w:sz="4" w:space="0"/>
            </w:tcBorders>
            <w:noWrap w:val="0"/>
            <w:vAlign w:val="center"/>
          </w:tcPr>
          <w:p w14:paraId="48ED3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741D6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14:paraId="14D83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150" w:type="dxa"/>
            <w:tcBorders>
              <w:top w:val="single" w:color="auto" w:sz="4" w:space="0"/>
              <w:left w:val="single" w:color="auto" w:sz="4" w:space="0"/>
              <w:bottom w:val="single" w:color="auto" w:sz="4" w:space="0"/>
              <w:right w:val="single" w:color="000000" w:sz="4" w:space="0"/>
            </w:tcBorders>
            <w:noWrap w:val="0"/>
            <w:vAlign w:val="center"/>
          </w:tcPr>
          <w:p w14:paraId="21027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 </w:t>
            </w:r>
          </w:p>
        </w:tc>
        <w:tc>
          <w:tcPr>
            <w:tcW w:w="1556" w:type="dxa"/>
            <w:tcBorders>
              <w:top w:val="single" w:color="auto" w:sz="4" w:space="0"/>
              <w:left w:val="single" w:color="000000" w:sz="4" w:space="0"/>
              <w:bottom w:val="single" w:color="auto" w:sz="4" w:space="0"/>
              <w:right w:val="single" w:color="000000" w:sz="4" w:space="0"/>
            </w:tcBorders>
            <w:noWrap w:val="0"/>
            <w:vAlign w:val="center"/>
          </w:tcPr>
          <w:p w14:paraId="344DE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7120" w:type="dxa"/>
            <w:tcBorders>
              <w:top w:val="single" w:color="auto" w:sz="4" w:space="0"/>
              <w:left w:val="single" w:color="000000" w:sz="4" w:space="0"/>
              <w:bottom w:val="single" w:color="auto" w:sz="4" w:space="0"/>
              <w:right w:val="single" w:color="auto" w:sz="4" w:space="0"/>
            </w:tcBorders>
            <w:noWrap w:val="0"/>
            <w:vAlign w:val="center"/>
          </w:tcPr>
          <w:p w14:paraId="15B98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4U</w:t>
            </w:r>
          </w:p>
        </w:tc>
        <w:tc>
          <w:tcPr>
            <w:tcW w:w="1495" w:type="dxa"/>
            <w:tcBorders>
              <w:top w:val="single" w:color="000000" w:sz="4" w:space="0"/>
              <w:left w:val="single" w:color="auto" w:sz="4" w:space="0"/>
              <w:bottom w:val="single" w:color="000000" w:sz="4" w:space="0"/>
              <w:right w:val="single" w:color="000000" w:sz="4" w:space="0"/>
            </w:tcBorders>
            <w:noWrap w:val="0"/>
            <w:vAlign w:val="center"/>
          </w:tcPr>
          <w:p w14:paraId="58977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693B8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bl>
    <w:p w14:paraId="5A3E331B">
      <w:pPr>
        <w:rPr>
          <w:b/>
          <w:color w:val="auto"/>
          <w:sz w:val="24"/>
        </w:rPr>
      </w:pPr>
    </w:p>
    <w:p w14:paraId="64199887">
      <w:pPr>
        <w:rPr>
          <w:b/>
          <w:color w:val="auto"/>
          <w:sz w:val="24"/>
        </w:rPr>
      </w:pPr>
    </w:p>
    <w:p w14:paraId="075347E6">
      <w:pPr>
        <w:rPr>
          <w:b/>
          <w:color w:val="auto"/>
          <w:sz w:val="24"/>
        </w:rPr>
      </w:pPr>
    </w:p>
    <w:p w14:paraId="1DDAA2E2">
      <w:pPr>
        <w:rPr>
          <w:b/>
          <w:color w:val="auto"/>
          <w:sz w:val="24"/>
        </w:rPr>
      </w:pPr>
    </w:p>
    <w:p w14:paraId="03FEBF63">
      <w:pPr>
        <w:rPr>
          <w:b/>
          <w:color w:val="auto"/>
          <w:sz w:val="24"/>
        </w:rPr>
      </w:pPr>
    </w:p>
    <w:tbl>
      <w:tblPr>
        <w:tblStyle w:val="44"/>
        <w:tblW w:w="12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45"/>
        <w:gridCol w:w="1418"/>
        <w:gridCol w:w="7862"/>
        <w:gridCol w:w="513"/>
        <w:gridCol w:w="641"/>
        <w:gridCol w:w="521"/>
      </w:tblGrid>
      <w:tr w14:paraId="0672D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2600" w:type="dxa"/>
            <w:gridSpan w:val="6"/>
            <w:tcBorders>
              <w:top w:val="nil"/>
              <w:left w:val="nil"/>
              <w:bottom w:val="nil"/>
              <w:right w:val="nil"/>
            </w:tcBorders>
            <w:shd w:val="clear" w:color="auto" w:fill="FFFFFF"/>
            <w:noWrap w:val="0"/>
            <w:vAlign w:val="center"/>
          </w:tcPr>
          <w:p w14:paraId="1FF5B33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校园数字化监控系统</w:t>
            </w:r>
          </w:p>
        </w:tc>
      </w:tr>
      <w:tr w14:paraId="1670B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CC7F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6625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7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C8D1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A02E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2D97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CBCB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5A425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F6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一、前端设备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B992">
            <w:pPr>
              <w:rPr>
                <w:rFonts w:hint="eastAsia" w:ascii="宋体" w:hAnsi="宋体" w:eastAsia="宋体" w:cs="宋体"/>
                <w:i w:val="0"/>
                <w:iCs w:val="0"/>
                <w:color w:val="000000"/>
                <w:sz w:val="22"/>
                <w:szCs w:val="22"/>
                <w:u w:val="none"/>
              </w:rPr>
            </w:pPr>
          </w:p>
        </w:tc>
        <w:tc>
          <w:tcPr>
            <w:tcW w:w="7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39DB">
            <w:pPr>
              <w:rPr>
                <w:rFonts w:hint="eastAsia" w:ascii="宋体" w:hAnsi="宋体" w:eastAsia="宋体" w:cs="宋体"/>
                <w:i w:val="0"/>
                <w:iCs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C3D7">
            <w:pPr>
              <w:rPr>
                <w:rFonts w:hint="eastAsia" w:ascii="宋体" w:hAnsi="宋体" w:eastAsia="宋体" w:cs="宋体"/>
                <w:i w:val="0"/>
                <w:iCs w:val="0"/>
                <w:color w:val="000000"/>
                <w:sz w:val="22"/>
                <w:szCs w:val="22"/>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0F6A1E">
            <w:pPr>
              <w:jc w:val="center"/>
              <w:rPr>
                <w:rFonts w:hint="eastAsia" w:ascii="宋体" w:hAnsi="宋体" w:eastAsia="宋体" w:cs="宋体"/>
                <w:i w:val="0"/>
                <w:iCs w:val="0"/>
                <w:color w:val="000000"/>
                <w:sz w:val="22"/>
                <w:szCs w:val="22"/>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0249BC">
            <w:pPr>
              <w:jc w:val="center"/>
              <w:rPr>
                <w:rFonts w:hint="eastAsia" w:ascii="宋体" w:hAnsi="宋体" w:eastAsia="宋体" w:cs="宋体"/>
                <w:i w:val="0"/>
                <w:iCs w:val="0"/>
                <w:color w:val="000000"/>
                <w:sz w:val="22"/>
                <w:szCs w:val="22"/>
                <w:u w:val="none"/>
              </w:rPr>
            </w:pPr>
          </w:p>
        </w:tc>
      </w:tr>
      <w:tr w14:paraId="2432C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6"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55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63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400万高清枪型摄像机</w:t>
            </w:r>
          </w:p>
        </w:tc>
        <w:tc>
          <w:tcPr>
            <w:tcW w:w="7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662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400万双光筒型网络摄像机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像素:400万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光圈:F1.6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变焦方式:定焦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焦距:4.0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补光模式:红外补光，暖光补光，智能双光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补光距离:红外补光50m，暖光补光20m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水平视场角:91.2°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最高帧率:2560*1440@20fps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内置Mic:1个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运动检测:支持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人形检测:支持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电源:DC12V±25%;POE(IEEE802.3af)</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防水防尘:IP67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外壳材质:塑胶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外形尺寸:170mm*86mm*93mm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重量:0.29kg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U-Code（高级模式）:支持</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F5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A74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F8F8C9">
            <w:pPr>
              <w:jc w:val="center"/>
              <w:rPr>
                <w:rFonts w:hint="eastAsia" w:ascii="宋体" w:hAnsi="宋体" w:eastAsia="宋体" w:cs="宋体"/>
                <w:i w:val="0"/>
                <w:iCs w:val="0"/>
                <w:color w:val="000000"/>
                <w:sz w:val="22"/>
                <w:szCs w:val="22"/>
                <w:u w:val="none"/>
              </w:rPr>
            </w:pPr>
          </w:p>
        </w:tc>
      </w:tr>
      <w:tr w14:paraId="6A12E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3"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02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3C1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400万高清半球摄像机</w:t>
            </w:r>
          </w:p>
        </w:tc>
        <w:tc>
          <w:tcPr>
            <w:tcW w:w="7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DAFC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400万双光海螺型网络摄像机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像素:400万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光圈:F1.6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焦距:4.0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补光模式:红外补光，暖光补光，智能双光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补光距离:红外补光50m，暖光补光20m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水平视场角:91.2°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内置Mic:1个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运动检测:支持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人形检测:支持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网口:RJ45 10M/100M自适应以太网电口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电源接口:5.5 mm圆孔接口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防水防尘:不支持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外壳材质:塑胶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外形尺寸:Φ117.8mmX100.1mm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重量:0.29kg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U-Code（高级模式）:支持</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20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E25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C69E3">
            <w:pPr>
              <w:jc w:val="center"/>
              <w:rPr>
                <w:rFonts w:hint="eastAsia" w:ascii="宋体" w:hAnsi="宋体" w:eastAsia="宋体" w:cs="宋体"/>
                <w:i w:val="0"/>
                <w:iCs w:val="0"/>
                <w:color w:val="000000"/>
                <w:sz w:val="22"/>
                <w:szCs w:val="22"/>
                <w:u w:val="none"/>
              </w:rPr>
            </w:pPr>
          </w:p>
        </w:tc>
      </w:tr>
      <w:tr w14:paraId="6ECF6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4"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2F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66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200万高清电梯半球摄像机</w:t>
            </w:r>
          </w:p>
        </w:tc>
        <w:tc>
          <w:tcPr>
            <w:tcW w:w="7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622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支持入梯检测，识别电瓶车/自行车入梯并联动声光报警，有效过滤婴儿车、轮椅、小拖车等非机动车；可联动梯控，自带常开常闭两种报警开关信号，极大提高适用性；500万/300万图像格式，享高清画质； 支持Tof遮挡检测，有效检测故意遮挡行为并做出告警；智能双光、红外补光、全彩补光三种补光模式可选；支持声音联动报警，内置4条语音报警信息，支持3条自定义导入；支持双向语音对讲，内置高品质mic、speaker，音画同录，告别无声监控； 支持音频尾线1入1出，告警尾线1入1出；120dB光学宽动态，满足高反差场景监控需求；支持MicroSD卡，最大支持512GB；三码流套餐能力，满足不同带宽及帧率的实时流、存储流需求；支持超级265编码算法，编码压缩效率更高；支持PoE供电(可选)</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B9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54A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3BA751">
            <w:pPr>
              <w:jc w:val="center"/>
              <w:rPr>
                <w:rFonts w:hint="eastAsia" w:ascii="宋体" w:hAnsi="宋体" w:eastAsia="宋体" w:cs="宋体"/>
                <w:i w:val="0"/>
                <w:iCs w:val="0"/>
                <w:color w:val="000000"/>
                <w:sz w:val="22"/>
                <w:szCs w:val="22"/>
                <w:u w:val="none"/>
              </w:rPr>
            </w:pPr>
          </w:p>
        </w:tc>
      </w:tr>
      <w:tr w14:paraId="34C3D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06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56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无线网桥</w:t>
            </w:r>
          </w:p>
        </w:tc>
        <w:tc>
          <w:tcPr>
            <w:tcW w:w="7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8142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2.4G 1公里室外百兆网桥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无线速率：11n 300，发射功率：17.0±2dB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整机功率：3W，工作频段：2.4GHz，</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AC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9E8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F13F3C">
            <w:pPr>
              <w:jc w:val="center"/>
              <w:rPr>
                <w:rFonts w:hint="eastAsia" w:ascii="宋体" w:hAnsi="宋体" w:eastAsia="宋体" w:cs="宋体"/>
                <w:i w:val="0"/>
                <w:iCs w:val="0"/>
                <w:color w:val="000000"/>
                <w:sz w:val="22"/>
                <w:szCs w:val="22"/>
                <w:u w:val="none"/>
              </w:rPr>
            </w:pPr>
          </w:p>
        </w:tc>
      </w:tr>
      <w:tr w14:paraId="20431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6"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B8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DF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400万高清球型摄像机</w:t>
            </w:r>
          </w:p>
        </w:tc>
        <w:tc>
          <w:tcPr>
            <w:tcW w:w="7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4D86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200万+400万超星光全彩智能双摄球型网络摄像机；全景：4MM，0.0005lux（F1.0，AGC ON，彩色，2688*1520@30fps，特写：5~100MM，0.002lux（F1.7，AGC ON，彩色），1920*1080@30fps；全景：白光补光30m；特写：红外补光100米；1个10M/100M自适应网口；内置扬声器支持声光警戒，光学宽动态：120dB；周界布防：全景相机支持越界检测、进入区域、离开区域、区域入侵4种布防模式，可对机动车、非机动车、行人目标分类检测布防；支持主从联动技术，全景相机周界功能可联动特写摄像机跟踪被监控目标；支持单IP双通道技术，可同时预览全景和特写双通道实况画面，提供全景视野监控的同时又能看清局部细节的效果；全景摄像机镜头角度上下可调，便于安装维护；供电方式：DC12V（±25%)；工作温湿度：-40℃~65℃，≤95%RH；防护等级：IP66；</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A8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C80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 </w:t>
            </w:r>
          </w:p>
        </w:tc>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2BF02C">
            <w:pPr>
              <w:jc w:val="center"/>
              <w:rPr>
                <w:rFonts w:hint="eastAsia" w:ascii="宋体" w:hAnsi="宋体" w:eastAsia="宋体" w:cs="宋体"/>
                <w:i w:val="0"/>
                <w:iCs w:val="0"/>
                <w:color w:val="000000"/>
                <w:sz w:val="22"/>
                <w:szCs w:val="22"/>
                <w:u w:val="none"/>
              </w:rPr>
            </w:pPr>
          </w:p>
        </w:tc>
      </w:tr>
      <w:tr w14:paraId="4B975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5C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DC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摄像机电源</w:t>
            </w:r>
          </w:p>
        </w:tc>
        <w:tc>
          <w:tcPr>
            <w:tcW w:w="7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3BF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12V/2A圆头、两端带线式，国标</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C4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A6F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414 </w:t>
            </w:r>
          </w:p>
        </w:tc>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35A73D">
            <w:pPr>
              <w:jc w:val="center"/>
              <w:rPr>
                <w:rFonts w:hint="eastAsia" w:ascii="宋体" w:hAnsi="宋体" w:eastAsia="宋体" w:cs="宋体"/>
                <w:i w:val="0"/>
                <w:iCs w:val="0"/>
                <w:color w:val="000000"/>
                <w:sz w:val="22"/>
                <w:szCs w:val="22"/>
                <w:u w:val="none"/>
              </w:rPr>
            </w:pPr>
          </w:p>
        </w:tc>
      </w:tr>
      <w:tr w14:paraId="7D721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7"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31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0E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枪机支架</w:t>
            </w:r>
          </w:p>
        </w:tc>
        <w:tc>
          <w:tcPr>
            <w:tcW w:w="7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976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塑胶新材质坚固耐，最大承重量2Kg，使用环境温度-20~55℃；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底座葫芦口孔位，方便施工安装；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底座藏线设计，可将IPC尾部网线和电源线收入，并有导水口设计，美观防水；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适用于分销全系列筒机</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9C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070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137 </w:t>
            </w:r>
          </w:p>
        </w:tc>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D3DDC">
            <w:pPr>
              <w:jc w:val="center"/>
              <w:rPr>
                <w:rFonts w:hint="eastAsia" w:ascii="宋体" w:hAnsi="宋体" w:eastAsia="宋体" w:cs="宋体"/>
                <w:i w:val="0"/>
                <w:iCs w:val="0"/>
                <w:color w:val="000000"/>
                <w:sz w:val="22"/>
                <w:szCs w:val="22"/>
                <w:u w:val="none"/>
              </w:rPr>
            </w:pPr>
          </w:p>
        </w:tc>
      </w:tr>
      <w:tr w14:paraId="6D4D5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BC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E75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球机支架</w:t>
            </w:r>
          </w:p>
        </w:tc>
        <w:tc>
          <w:tcPr>
            <w:tcW w:w="7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9A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球机壁装支架</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B1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C09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 </w:t>
            </w:r>
          </w:p>
        </w:tc>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51783A">
            <w:pPr>
              <w:jc w:val="center"/>
              <w:rPr>
                <w:rFonts w:hint="eastAsia" w:ascii="宋体" w:hAnsi="宋体" w:eastAsia="宋体" w:cs="宋体"/>
                <w:i w:val="0"/>
                <w:iCs w:val="0"/>
                <w:color w:val="000000"/>
                <w:sz w:val="22"/>
                <w:szCs w:val="22"/>
                <w:u w:val="none"/>
              </w:rPr>
            </w:pPr>
          </w:p>
        </w:tc>
      </w:tr>
      <w:tr w14:paraId="2C001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798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二、周界声光警戒摄像机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84D4">
            <w:pPr>
              <w:rPr>
                <w:rFonts w:hint="eastAsia" w:ascii="宋体" w:hAnsi="宋体" w:eastAsia="宋体" w:cs="宋体"/>
                <w:i w:val="0"/>
                <w:iCs w:val="0"/>
                <w:color w:val="000000"/>
                <w:sz w:val="22"/>
                <w:szCs w:val="22"/>
                <w:u w:val="none"/>
              </w:rPr>
            </w:pPr>
          </w:p>
        </w:tc>
        <w:tc>
          <w:tcPr>
            <w:tcW w:w="7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4BAC">
            <w:pPr>
              <w:rPr>
                <w:rFonts w:hint="eastAsia" w:ascii="宋体" w:hAnsi="宋体" w:eastAsia="宋体" w:cs="宋体"/>
                <w:i w:val="0"/>
                <w:iCs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19D6">
            <w:pPr>
              <w:rPr>
                <w:rFonts w:hint="eastAsia" w:ascii="宋体" w:hAnsi="宋体" w:eastAsia="宋体" w:cs="宋体"/>
                <w:i w:val="0"/>
                <w:iCs w:val="0"/>
                <w:color w:val="000000"/>
                <w:sz w:val="22"/>
                <w:szCs w:val="22"/>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EF5203">
            <w:pPr>
              <w:jc w:val="center"/>
              <w:rPr>
                <w:rFonts w:hint="eastAsia" w:ascii="宋体" w:hAnsi="宋体" w:eastAsia="宋体" w:cs="宋体"/>
                <w:b/>
                <w:bCs/>
                <w:i w:val="0"/>
                <w:iCs w:val="0"/>
                <w:color w:val="000000"/>
                <w:sz w:val="22"/>
                <w:szCs w:val="22"/>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7DD4C1">
            <w:pPr>
              <w:jc w:val="center"/>
              <w:rPr>
                <w:rFonts w:hint="eastAsia" w:ascii="宋体" w:hAnsi="宋体" w:eastAsia="宋体" w:cs="宋体"/>
                <w:i w:val="0"/>
                <w:iCs w:val="0"/>
                <w:color w:val="000000"/>
                <w:sz w:val="22"/>
                <w:szCs w:val="22"/>
                <w:u w:val="none"/>
              </w:rPr>
            </w:pPr>
          </w:p>
        </w:tc>
      </w:tr>
      <w:tr w14:paraId="484B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4"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88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7FD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400万声光警戒红外定焦枪型网络摄像机</w:t>
            </w:r>
          </w:p>
        </w:tc>
        <w:tc>
          <w:tcPr>
            <w:tcW w:w="7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F5B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500万像素1/2.7"智能型双光警戒筒型网络摄像机；5MP(2880×1620)@30FPS默认25FPS；最低照度0.003Lux；4.0mm定焦；三码流，最大码流20路；内置Mic、内置Speaker支持双向语音对讲； 10M/100M自适应网口；光学宽动态范围：120dB；四颗红外/暖光双光补光，红外补光：60米，白光补光20米；支持深度智能周界检测；支持机动车抓拍，非机动车抓拍，行人抓拍，定时抓拍，隔时抓拍，事件抓拍；支持人脸检测，支持人脸优选；支持走廊模式；供电方式：DC12V(±25%)、POE；工作温湿度：-30℃~60℃，≤95%RH；功耗：11W MAX；防护等级：IP67；</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14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70A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 </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836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围墙防护</w:t>
            </w:r>
          </w:p>
        </w:tc>
      </w:tr>
      <w:tr w14:paraId="5FA30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CF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14B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摄像机电源</w:t>
            </w:r>
          </w:p>
        </w:tc>
        <w:tc>
          <w:tcPr>
            <w:tcW w:w="7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E28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12V/2A圆头、两端带线式，国标</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D1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1F1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 </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11F3FE">
            <w:pPr>
              <w:jc w:val="center"/>
              <w:rPr>
                <w:rFonts w:hint="eastAsia" w:ascii="宋体" w:hAnsi="宋体" w:eastAsia="宋体" w:cs="宋体"/>
                <w:i w:val="0"/>
                <w:iCs w:val="0"/>
                <w:color w:val="000000"/>
                <w:sz w:val="22"/>
                <w:szCs w:val="22"/>
                <w:u w:val="none"/>
              </w:rPr>
            </w:pPr>
          </w:p>
        </w:tc>
      </w:tr>
      <w:tr w14:paraId="554AE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B1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91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枪机支架</w:t>
            </w:r>
          </w:p>
        </w:tc>
        <w:tc>
          <w:tcPr>
            <w:tcW w:w="7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A47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塑胶新材质坚固耐，最大承重量2Kg，使用环境温度-20~55℃；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底座葫芦口孔位，方便施工安装；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底座藏线设计，可将IPC尾部网线和电源线收入，并有导水口设计，美观防水；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适用于分销全系列筒机</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1A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16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 </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2E299F">
            <w:pPr>
              <w:jc w:val="center"/>
              <w:rPr>
                <w:rFonts w:hint="eastAsia" w:ascii="宋体" w:hAnsi="宋体" w:eastAsia="宋体" w:cs="宋体"/>
                <w:i w:val="0"/>
                <w:iCs w:val="0"/>
                <w:color w:val="000000"/>
                <w:sz w:val="22"/>
                <w:szCs w:val="22"/>
                <w:u w:val="none"/>
              </w:rPr>
            </w:pPr>
          </w:p>
        </w:tc>
      </w:tr>
      <w:tr w14:paraId="094EB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4"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08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22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热成像周界</w:t>
            </w:r>
          </w:p>
        </w:tc>
        <w:tc>
          <w:tcPr>
            <w:tcW w:w="7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491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热成像双光谱筒型网络摄像机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像素:400万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传感器靶面:1/2.9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原始分辨率-热成像:256*192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像元尺寸-热成像:12μm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光圈—热成像:F1.0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焦距-热成像:3.2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测温精度:±8℃或±8%(取大值)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测温范围:-20℃~150℃，100℃~550℃，两档可选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视场角-热成像:58.0°*42.5°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焦距:4.0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水平视场角:74.9°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垂直视场角:44.4°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补光模式:红外补光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补光距离:40m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周界布防:支持双通道周界布防，包括越界检测、区域入侵、进入区域、离开区域； 可见光通道支持机动车、非机动车、行人目标分类检测抓拍及布防 热成像通道支持机动车、行人目标分类检测抓拍及布防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烟雾检测:可见光支持烟火检测，可识别环境中的烟雾，实现单独或者辅助热成像火点进行告警，提高准确性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吸烟报警:仅热成像通道支持： 支持检测出环境中吸烟行为，并支持联动报警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火点检测:仅热成像通道支持： 支持检测环境中多个火点，并支持联动报警；  支持多火点检测区域屏蔽功能，支持同时检测10个火点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火点检测距离:13m（目标尺寸0.1m×0.1m）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温度检测:仅热成像通道支持： 支持规则测温，支持以点、线、多边形来设置测温规则，最多支持同时设置12个规则； 支持联动声光告警，告警支持上报平台，告警图片可叠加温度信息； 支持在规则画面中实时显示最高温、最低温和平均温</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3C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45E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 </w:t>
            </w:r>
          </w:p>
        </w:tc>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6C7F78">
            <w:pPr>
              <w:jc w:val="center"/>
              <w:rPr>
                <w:rFonts w:hint="eastAsia" w:ascii="宋体" w:hAnsi="宋体" w:eastAsia="宋体" w:cs="宋体"/>
                <w:i w:val="0"/>
                <w:iCs w:val="0"/>
                <w:color w:val="000000"/>
                <w:sz w:val="22"/>
                <w:szCs w:val="22"/>
                <w:u w:val="none"/>
              </w:rPr>
            </w:pPr>
          </w:p>
        </w:tc>
      </w:tr>
      <w:tr w14:paraId="0BB03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0FA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01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抱箍支架</w:t>
            </w:r>
          </w:p>
        </w:tc>
        <w:tc>
          <w:tcPr>
            <w:tcW w:w="7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DE9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 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 不锈钢</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65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1A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 </w:t>
            </w:r>
          </w:p>
        </w:tc>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37BB35">
            <w:pPr>
              <w:jc w:val="center"/>
              <w:rPr>
                <w:rFonts w:hint="eastAsia" w:ascii="宋体" w:hAnsi="宋体" w:eastAsia="宋体" w:cs="宋体"/>
                <w:i w:val="0"/>
                <w:iCs w:val="0"/>
                <w:color w:val="000000"/>
                <w:sz w:val="22"/>
                <w:szCs w:val="22"/>
                <w:u w:val="none"/>
              </w:rPr>
            </w:pPr>
          </w:p>
        </w:tc>
      </w:tr>
      <w:tr w14:paraId="22D9C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4"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EC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三、制高点监控</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44C6">
            <w:pPr>
              <w:rPr>
                <w:rFonts w:hint="eastAsia" w:ascii="宋体" w:hAnsi="宋体" w:eastAsia="宋体" w:cs="宋体"/>
                <w:i w:val="0"/>
                <w:iCs w:val="0"/>
                <w:color w:val="000000"/>
                <w:sz w:val="22"/>
                <w:szCs w:val="22"/>
                <w:u w:val="none"/>
              </w:rPr>
            </w:pPr>
          </w:p>
        </w:tc>
        <w:tc>
          <w:tcPr>
            <w:tcW w:w="7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5C2B">
            <w:pPr>
              <w:rPr>
                <w:rFonts w:hint="eastAsia" w:ascii="宋体" w:hAnsi="宋体" w:eastAsia="宋体" w:cs="宋体"/>
                <w:i w:val="0"/>
                <w:iCs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DE6C">
            <w:pPr>
              <w:rPr>
                <w:rFonts w:hint="eastAsia" w:ascii="宋体" w:hAnsi="宋体" w:eastAsia="宋体" w:cs="宋体"/>
                <w:i w:val="0"/>
                <w:iCs w:val="0"/>
                <w:color w:val="000000"/>
                <w:sz w:val="22"/>
                <w:szCs w:val="22"/>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F4D89A">
            <w:pPr>
              <w:jc w:val="center"/>
              <w:rPr>
                <w:rFonts w:hint="eastAsia" w:ascii="宋体" w:hAnsi="宋体" w:eastAsia="宋体" w:cs="宋体"/>
                <w:b/>
                <w:bCs/>
                <w:i w:val="0"/>
                <w:iCs w:val="0"/>
                <w:color w:val="000000"/>
                <w:sz w:val="22"/>
                <w:szCs w:val="22"/>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02A9C4">
            <w:pPr>
              <w:jc w:val="center"/>
              <w:rPr>
                <w:rFonts w:hint="eastAsia" w:ascii="宋体" w:hAnsi="宋体" w:eastAsia="宋体" w:cs="宋体"/>
                <w:i w:val="0"/>
                <w:iCs w:val="0"/>
                <w:color w:val="000000"/>
                <w:sz w:val="22"/>
                <w:szCs w:val="22"/>
                <w:u w:val="none"/>
              </w:rPr>
            </w:pPr>
          </w:p>
        </w:tc>
      </w:tr>
      <w:tr w14:paraId="5A35A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0"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69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EE6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制高点全景摄像机</w:t>
            </w:r>
          </w:p>
        </w:tc>
        <w:tc>
          <w:tcPr>
            <w:tcW w:w="7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0A6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"1600万星光级四目球联动网络摄像机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超星光:支持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传感器靶面-全景:1/1.8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最高像素-全景:1600万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传感器靶面-细节:1/1.8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最高像素-细节:400万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焦距-全景:2.8mm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变焦方式-全景:定焦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光圈-全景:F1.0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水平视场角-全景:180°±5°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垂直视场角-全景:90°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补光模式-全景:红外补光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补光距离-全景:50m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焦距-细节:6.0 mm ~ 240.0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变焦方式-细节:电动变焦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倍率-细节:40X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最低照度-全景:0.0005lux（F1.0，AGC ON，彩色）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0.0003lux（F1.0，AGC ON，黑白）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光圈-细节:F1.2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补光模式-细节:红外补光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补光距离-细节:250m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水平视场角-细节:59.47°(W)~2.20°(T)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垂直视场角-细节:35.62°(W)~1.24°(T)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最低照度-细节:0.0003lux（F1.2，AGC ON，彩色）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0.0001lux（F1.2，AGC ON，黑白）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降噪:3D降噪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增益:自动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背光补偿:支持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最高帧率:全景30帧，细节60帧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视频参数:全景通道：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主码流：4800*2688、4096*2304、3840*2160、2688*1520、2560*1440、1920*1080、1920*832、1280*720、1280*560、1024*452、640*360、720*576、720*316、704*288、352*288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辅码流：2688*1520、1920*1080、1920*832、1280*720、1280*560、1024*452、640*360、720*576、704*288、352*288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第三流：1280*720、1280*560、1024*452、720*576、720*316、640*360、704*288、352*288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细节通道：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主码流：2688*1520、2560*1440、1920*1080、1280*720、720*576、640*360、704*288、352*288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辅码流：1920*1080、1280*720、720*576、640*360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第三流：720*576、640*360、704*288、352*288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内置Mic:不支持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内置扬声器:不支持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GPS/北斗:不支持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人数统计:仅细节路支持：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人流量统计：支持总人数、进入人数、离开人数统计，支持滞留人数三级报警，支持人数统计清零；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人员密度检测：支持人员密度三级报警；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WiFiSniffer:不支持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目标属性-目标检测:性别;年龄段;戴眼镜;戴口罩;帽子款式;帽子颜色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混行检测:仅细节路支持：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支持机动车、非机动车、行人、目标检测抓拍及布防；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支持机动车、非机动车、行人、目标属性提取；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机动车属性：车牌号码、车辆类型、车身颜色、车辆品牌、行驶方向、行驶速度、车牌颜色、车牌种类；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非机动车属性：性别、年龄段、上衣颜色、上衣款式、行驶方向、行驶速度、驾驶类型、车牌号码、车牌颜色、车牌种类；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行人属性：性别、年龄段、戴口罩、上衣颜色、下衣颜色、上衣款式、下衣款式、上衣纹理、携包、身姿、鞋子、发型、移动方向；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目标属性：性别、年龄段、戴眼镜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人体属性-目标检测:性别;年龄段;戴口罩;上衣颜色;下衣颜色;上衣款式;下衣款式;上衣纹理;携包;身姿;鞋子;发型;移动方向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自动跟踪:仅细节路支持：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支持对画面中的机动车、非机动车、行人目标进行分类跟踪，达到预设跟踪时间后自动返回初始位置；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机动车属性-混行检测:车辆类型;车身颜色;车辆品牌;行驶方向;车牌颜色;车牌号码;车牌种类;行驶速度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目标检测:仅细节路支持：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支持效果优先、速度优先、周期优选三种目标抓拍优选模式，支持目标角度过滤；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支持目标、人体抓拍及关联，支持目标、人体属性提取；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目标属性：性别、年龄段、戴眼镜、戴口罩、帽子款式、帽子颜色；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人体属性：性别、年龄段、戴口罩、上衣颜色、下衣颜色、上衣款式、下衣款式、上衣纹理、携包、身姿、鞋子、发型、移动方向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非机动车属性-混行检测:性别;年龄段;上衣颜色;上衣款式;驾驶类型;车牌号码;车牌颜色;车牌种类;行驶方向;行驶速度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周界布防:支持越界检测、区域入侵、进入区域、离开区域；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支持机动车、非机动车、行人目标分类检测抓拍及布防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人体属性-混行检测:性别;年龄段;戴口罩;上衣颜色;下衣颜色;上衣款式;下衣款式;上衣纹理;携包;身姿;鞋子;发型;移动方向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目标属性-混行检测:性别;年龄段;戴眼镜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4E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5BF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CCF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学生宿舍</w:t>
            </w:r>
          </w:p>
        </w:tc>
      </w:tr>
      <w:tr w14:paraId="2E5B2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1"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8D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28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支架</w:t>
            </w:r>
          </w:p>
        </w:tc>
        <w:tc>
          <w:tcPr>
            <w:tcW w:w="7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95E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四目联动相机壁装支架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使用环境:室内、室外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尺寸:312.7mmx140.9mmx297.0mm(12.3” x 5.5”x 11.7”)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重量:1436.0g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材质:铝合金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调节范围:垂直-45°~60°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使用范围:多目球联动网络摄像机</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AF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9E2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8AED81">
            <w:pPr>
              <w:jc w:val="center"/>
              <w:rPr>
                <w:rFonts w:hint="eastAsia" w:ascii="宋体" w:hAnsi="宋体" w:eastAsia="宋体" w:cs="宋体"/>
                <w:i w:val="0"/>
                <w:iCs w:val="0"/>
                <w:color w:val="000000"/>
                <w:sz w:val="22"/>
                <w:szCs w:val="22"/>
                <w:u w:val="none"/>
              </w:rPr>
            </w:pPr>
          </w:p>
        </w:tc>
      </w:tr>
      <w:tr w14:paraId="4DAF6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B4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一、厨房前端设备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A1A1">
            <w:pPr>
              <w:rPr>
                <w:rFonts w:hint="eastAsia" w:ascii="宋体" w:hAnsi="宋体" w:eastAsia="宋体" w:cs="宋体"/>
                <w:i w:val="0"/>
                <w:iCs w:val="0"/>
                <w:color w:val="000000"/>
                <w:sz w:val="22"/>
                <w:szCs w:val="22"/>
                <w:u w:val="none"/>
              </w:rPr>
            </w:pPr>
          </w:p>
        </w:tc>
        <w:tc>
          <w:tcPr>
            <w:tcW w:w="7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82CE">
            <w:pPr>
              <w:rPr>
                <w:rFonts w:hint="eastAsia" w:ascii="宋体" w:hAnsi="宋体" w:eastAsia="宋体" w:cs="宋体"/>
                <w:i w:val="0"/>
                <w:iCs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7466">
            <w:pPr>
              <w:rPr>
                <w:rFonts w:hint="eastAsia" w:ascii="宋体" w:hAnsi="宋体" w:eastAsia="宋体" w:cs="宋体"/>
                <w:i w:val="0"/>
                <w:iCs w:val="0"/>
                <w:color w:val="000000"/>
                <w:sz w:val="22"/>
                <w:szCs w:val="22"/>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24D472">
            <w:pPr>
              <w:jc w:val="center"/>
              <w:rPr>
                <w:rFonts w:hint="eastAsia" w:ascii="宋体" w:hAnsi="宋体" w:eastAsia="宋体" w:cs="宋体"/>
                <w:i w:val="0"/>
                <w:iCs w:val="0"/>
                <w:color w:val="000000"/>
                <w:sz w:val="22"/>
                <w:szCs w:val="22"/>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0F716">
            <w:pPr>
              <w:jc w:val="center"/>
              <w:rPr>
                <w:rFonts w:hint="eastAsia" w:ascii="宋体" w:hAnsi="宋体" w:eastAsia="宋体" w:cs="宋体"/>
                <w:i w:val="0"/>
                <w:iCs w:val="0"/>
                <w:color w:val="000000"/>
                <w:sz w:val="22"/>
                <w:szCs w:val="22"/>
                <w:u w:val="none"/>
              </w:rPr>
            </w:pPr>
          </w:p>
        </w:tc>
      </w:tr>
      <w:tr w14:paraId="06921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6"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83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55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400万高清红外枪型摄像机</w:t>
            </w:r>
          </w:p>
        </w:tc>
        <w:tc>
          <w:tcPr>
            <w:tcW w:w="7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2AE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400万双光筒型网络摄像机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像素:400万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光圈:F1.6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变焦方式:定焦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焦距:4.0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补光模式:红外补光，暖光补光，智能双光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补光距离:红外补光50m，暖光补光20m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水平视场角:91.2°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最高帧率:2560*1440@20fps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内置Mic:1个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运动检测:支持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人形检测:支持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电源:DC12V±25%;POE(IEEE802.3af)</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防水防尘:IP67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外壳材质:塑胶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外形尺寸:170mm*86mm*93mm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重量:0.29kg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U-Code（高级模式）:支持</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49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455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 </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6C0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明厨亮灶及餐厅 </w:t>
            </w:r>
          </w:p>
        </w:tc>
      </w:tr>
      <w:tr w14:paraId="352E9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0"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BB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83F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400万高清红外半球摄像机</w:t>
            </w:r>
          </w:p>
        </w:tc>
        <w:tc>
          <w:tcPr>
            <w:tcW w:w="7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BEF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400万双光海螺型网络摄像机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像素:400万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光圈:F1.6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焦距:4.0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补光模式:红外补光，暖光补光，智能双光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补光距离:红外补光50m，暖光补光20m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水平视场角:91.2°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内置Mic:1个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运动检测:支持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人形检测:支持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网口:RJ45 10M/100M自适应以太网电口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电源接口:5.5 mm圆孔接口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防水防尘:不支持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外壳材质:塑胶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外形尺寸:Φ117.8mmX100.1mm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重量:0.29kg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U-Code（高级模式）:支持</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15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233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00E925">
            <w:pPr>
              <w:jc w:val="center"/>
              <w:rPr>
                <w:rFonts w:hint="eastAsia" w:ascii="宋体" w:hAnsi="宋体" w:eastAsia="宋体" w:cs="宋体"/>
                <w:i w:val="0"/>
                <w:iCs w:val="0"/>
                <w:color w:val="000000"/>
                <w:sz w:val="22"/>
                <w:szCs w:val="22"/>
                <w:u w:val="none"/>
              </w:rPr>
            </w:pPr>
          </w:p>
        </w:tc>
      </w:tr>
      <w:tr w14:paraId="1013B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7"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91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85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400万防油污摄像机</w:t>
            </w:r>
          </w:p>
        </w:tc>
        <w:tc>
          <w:tcPr>
            <w:tcW w:w="7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69C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500万像素1/2.7"星光级防爆半球网络摄像机；5MP(2880×1620)@30FPS默认25FPS；0.003Lux (F1.6，AGC ON，彩色)，0lux(开启红外)；2.8mm定焦；三码流，最大码流20路；内置Mic；10M/100M自适应网口，告警1入1出，音频1入1出；光学宽动态范围：120dB；一颗红外灯补光30米；支持深度智能周界检测，越界检测，区域入侵，进入区域，离开区域下可对机动车、非机动车、行人进行分类检测布防；支持机动车抓拍，非机动车抓拍，行人抓拍，定时抓拍，隔时抓拍，事件抓拍；支持人脸检测，可同时实现8张人脸并发检测，支持人脸优选；支持走廊模式；供电方式：DC12V(±25%)、POE；工作温湿度：-30℃~60℃，≤95%RH；功耗：5.5W MAX；防护等级：IP67；</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B7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70E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D414B0">
            <w:pPr>
              <w:jc w:val="center"/>
              <w:rPr>
                <w:rFonts w:hint="eastAsia" w:ascii="宋体" w:hAnsi="宋体" w:eastAsia="宋体" w:cs="宋体"/>
                <w:i w:val="0"/>
                <w:iCs w:val="0"/>
                <w:color w:val="000000"/>
                <w:sz w:val="22"/>
                <w:szCs w:val="22"/>
                <w:u w:val="none"/>
              </w:rPr>
            </w:pPr>
          </w:p>
        </w:tc>
      </w:tr>
      <w:tr w14:paraId="0AF17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A4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1F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摄像机电源</w:t>
            </w:r>
          </w:p>
        </w:tc>
        <w:tc>
          <w:tcPr>
            <w:tcW w:w="7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778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12V/2A圆头、两端带线式，国标</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F72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A0D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 </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084E5D">
            <w:pPr>
              <w:jc w:val="center"/>
              <w:rPr>
                <w:rFonts w:hint="eastAsia" w:ascii="宋体" w:hAnsi="宋体" w:eastAsia="宋体" w:cs="宋体"/>
                <w:i w:val="0"/>
                <w:iCs w:val="0"/>
                <w:color w:val="000000"/>
                <w:sz w:val="22"/>
                <w:szCs w:val="22"/>
                <w:u w:val="none"/>
              </w:rPr>
            </w:pPr>
          </w:p>
        </w:tc>
      </w:tr>
      <w:tr w14:paraId="34D54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5E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C1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枪机支架</w:t>
            </w:r>
          </w:p>
        </w:tc>
        <w:tc>
          <w:tcPr>
            <w:tcW w:w="7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82D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塑胶新材质坚固耐，最大承重量2Kg，使用环境温度-20~55℃；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底座葫芦口孔位，方便施工安装；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底座藏线设计，可将IPC尾部网线和电源线收入，并有导水口设计，美观防水；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适用于分销全系列筒机</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FB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A9C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 </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5ED0A2">
            <w:pPr>
              <w:jc w:val="center"/>
              <w:rPr>
                <w:rFonts w:hint="eastAsia" w:ascii="宋体" w:hAnsi="宋体" w:eastAsia="宋体" w:cs="宋体"/>
                <w:i w:val="0"/>
                <w:iCs w:val="0"/>
                <w:color w:val="000000"/>
                <w:sz w:val="22"/>
                <w:szCs w:val="22"/>
                <w:u w:val="none"/>
              </w:rPr>
            </w:pPr>
          </w:p>
        </w:tc>
      </w:tr>
      <w:tr w14:paraId="1485D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EB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四、中心管理</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254B">
            <w:pPr>
              <w:rPr>
                <w:rFonts w:hint="eastAsia" w:ascii="宋体" w:hAnsi="宋体" w:eastAsia="宋体" w:cs="宋体"/>
                <w:i w:val="0"/>
                <w:iCs w:val="0"/>
                <w:color w:val="000000"/>
                <w:sz w:val="22"/>
                <w:szCs w:val="22"/>
                <w:u w:val="none"/>
              </w:rPr>
            </w:pPr>
          </w:p>
        </w:tc>
        <w:tc>
          <w:tcPr>
            <w:tcW w:w="7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AC38">
            <w:pPr>
              <w:rPr>
                <w:rFonts w:hint="eastAsia" w:ascii="宋体" w:hAnsi="宋体" w:eastAsia="宋体" w:cs="宋体"/>
                <w:i w:val="0"/>
                <w:iCs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9A7E">
            <w:pPr>
              <w:rPr>
                <w:rFonts w:hint="eastAsia" w:ascii="宋体" w:hAnsi="宋体" w:eastAsia="宋体" w:cs="宋体"/>
                <w:i w:val="0"/>
                <w:iCs w:val="0"/>
                <w:color w:val="000000"/>
                <w:sz w:val="22"/>
                <w:szCs w:val="22"/>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708A49">
            <w:pPr>
              <w:jc w:val="center"/>
              <w:rPr>
                <w:rFonts w:hint="eastAsia" w:ascii="宋体" w:hAnsi="宋体" w:eastAsia="宋体" w:cs="宋体"/>
                <w:b/>
                <w:bCs/>
                <w:i w:val="0"/>
                <w:iCs w:val="0"/>
                <w:color w:val="000000"/>
                <w:sz w:val="22"/>
                <w:szCs w:val="22"/>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BD02C0">
            <w:pPr>
              <w:jc w:val="center"/>
              <w:rPr>
                <w:rFonts w:hint="eastAsia" w:ascii="宋体" w:hAnsi="宋体" w:eastAsia="宋体" w:cs="宋体"/>
                <w:i w:val="0"/>
                <w:iCs w:val="0"/>
                <w:color w:val="000000"/>
                <w:sz w:val="22"/>
                <w:szCs w:val="22"/>
                <w:u w:val="none"/>
              </w:rPr>
            </w:pPr>
          </w:p>
        </w:tc>
      </w:tr>
      <w:tr w14:paraId="496EF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0"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FB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CB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解码服务器</w:t>
            </w:r>
          </w:p>
        </w:tc>
        <w:tc>
          <w:tcPr>
            <w:tcW w:w="7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B9C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嵌入式Linux操作系统，支持7×24小时稳定运行;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具备4路HDMi输入口;具备6路HDMI输出口，可接6块大屏，整机支持解码8*1200W@20Hz，8*4K/32*1080P/72*720P@30Hz；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支持开窗、漫游、画中画功能，单输出通道最大36窗；支持组播；支持虚拟LED；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支持小间距LED显示；支持大屏开关机功能；支持解码宇视、海康、大华等多个品牌厂商的码流；</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B4E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EA3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113DFC">
            <w:pPr>
              <w:jc w:val="center"/>
              <w:rPr>
                <w:rFonts w:hint="eastAsia" w:ascii="宋体" w:hAnsi="宋体" w:eastAsia="宋体" w:cs="宋体"/>
                <w:i w:val="0"/>
                <w:iCs w:val="0"/>
                <w:color w:val="000000"/>
                <w:sz w:val="22"/>
                <w:szCs w:val="22"/>
                <w:u w:val="none"/>
              </w:rPr>
            </w:pPr>
          </w:p>
        </w:tc>
      </w:tr>
      <w:tr w14:paraId="0E3CB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36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8D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输入板</w:t>
            </w:r>
          </w:p>
        </w:tc>
        <w:tc>
          <w:tcPr>
            <w:tcW w:w="7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290BA">
            <w:pPr>
              <w:rPr>
                <w:rFonts w:hint="eastAsia" w:ascii="宋体" w:hAnsi="宋体" w:eastAsia="宋体" w:cs="宋体"/>
                <w:i w:val="0"/>
                <w:iCs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6F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9BB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D23112">
            <w:pPr>
              <w:jc w:val="center"/>
              <w:rPr>
                <w:rFonts w:hint="eastAsia" w:ascii="宋体" w:hAnsi="宋体" w:eastAsia="宋体" w:cs="宋体"/>
                <w:i w:val="0"/>
                <w:iCs w:val="0"/>
                <w:color w:val="000000"/>
                <w:sz w:val="22"/>
                <w:szCs w:val="22"/>
                <w:u w:val="none"/>
              </w:rPr>
            </w:pPr>
          </w:p>
        </w:tc>
      </w:tr>
      <w:tr w14:paraId="068CB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33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88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解码输出板</w:t>
            </w:r>
          </w:p>
        </w:tc>
        <w:tc>
          <w:tcPr>
            <w:tcW w:w="7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02721">
            <w:pPr>
              <w:rPr>
                <w:rFonts w:hint="eastAsia" w:ascii="宋体" w:hAnsi="宋体" w:eastAsia="宋体" w:cs="宋体"/>
                <w:i w:val="0"/>
                <w:iCs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F6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06C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E98C4">
            <w:pPr>
              <w:jc w:val="center"/>
              <w:rPr>
                <w:rFonts w:hint="eastAsia" w:ascii="宋体" w:hAnsi="宋体" w:eastAsia="宋体" w:cs="宋体"/>
                <w:i w:val="0"/>
                <w:iCs w:val="0"/>
                <w:color w:val="000000"/>
                <w:sz w:val="22"/>
                <w:szCs w:val="22"/>
                <w:u w:val="none"/>
              </w:rPr>
            </w:pPr>
          </w:p>
        </w:tc>
      </w:tr>
      <w:tr w14:paraId="62F4A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1D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A9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线缆</w:t>
            </w:r>
          </w:p>
        </w:tc>
        <w:tc>
          <w:tcPr>
            <w:tcW w:w="7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BA1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桢田15米HDMI高清线 4K/30Hz</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3D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CF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109397">
            <w:pPr>
              <w:jc w:val="center"/>
              <w:rPr>
                <w:rFonts w:hint="eastAsia" w:ascii="宋体" w:hAnsi="宋体" w:eastAsia="宋体" w:cs="宋体"/>
                <w:i w:val="0"/>
                <w:iCs w:val="0"/>
                <w:color w:val="000000"/>
                <w:sz w:val="22"/>
                <w:szCs w:val="22"/>
                <w:u w:val="none"/>
              </w:rPr>
            </w:pPr>
          </w:p>
        </w:tc>
      </w:tr>
      <w:tr w14:paraId="72FA3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17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五、布线施工</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4F7DF">
            <w:pPr>
              <w:rPr>
                <w:rFonts w:hint="eastAsia" w:ascii="宋体" w:hAnsi="宋体" w:eastAsia="宋体" w:cs="宋体"/>
                <w:i w:val="0"/>
                <w:iCs w:val="0"/>
                <w:color w:val="000000"/>
                <w:sz w:val="22"/>
                <w:szCs w:val="22"/>
                <w:u w:val="none"/>
              </w:rPr>
            </w:pPr>
          </w:p>
        </w:tc>
        <w:tc>
          <w:tcPr>
            <w:tcW w:w="7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10DF">
            <w:pPr>
              <w:rPr>
                <w:rFonts w:hint="eastAsia" w:ascii="宋体" w:hAnsi="宋体" w:eastAsia="宋体" w:cs="宋体"/>
                <w:i w:val="0"/>
                <w:iCs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F8C6">
            <w:pPr>
              <w:rPr>
                <w:rFonts w:hint="eastAsia" w:ascii="宋体" w:hAnsi="宋体" w:eastAsia="宋体" w:cs="宋体"/>
                <w:i w:val="0"/>
                <w:iCs w:val="0"/>
                <w:color w:val="000000"/>
                <w:sz w:val="22"/>
                <w:szCs w:val="22"/>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B04F3">
            <w:pPr>
              <w:jc w:val="center"/>
              <w:rPr>
                <w:rFonts w:hint="eastAsia" w:ascii="宋体" w:hAnsi="宋体" w:eastAsia="宋体" w:cs="宋体"/>
                <w:b/>
                <w:bCs/>
                <w:i w:val="0"/>
                <w:iCs w:val="0"/>
                <w:color w:val="000000"/>
                <w:sz w:val="22"/>
                <w:szCs w:val="22"/>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BC4FA9">
            <w:pPr>
              <w:jc w:val="center"/>
              <w:rPr>
                <w:rFonts w:hint="eastAsia" w:ascii="宋体" w:hAnsi="宋体" w:eastAsia="宋体" w:cs="宋体"/>
                <w:b/>
                <w:bCs/>
                <w:i w:val="0"/>
                <w:iCs w:val="0"/>
                <w:color w:val="000000"/>
                <w:sz w:val="22"/>
                <w:szCs w:val="22"/>
                <w:u w:val="none"/>
              </w:rPr>
            </w:pPr>
          </w:p>
        </w:tc>
      </w:tr>
      <w:tr w14:paraId="31A69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7"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FB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49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w:t>
            </w:r>
          </w:p>
        </w:tc>
        <w:tc>
          <w:tcPr>
            <w:tcW w:w="7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954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超五类非屏蔽网线(8*0.47)305米■灰色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2*4*0.47mm，4对高密度无氧铜导体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陶氏进口PE绝缘，环保材料，阻燃外被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足米足芯</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50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A6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 </w:t>
            </w:r>
          </w:p>
        </w:tc>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33F83E">
            <w:pPr>
              <w:jc w:val="center"/>
              <w:rPr>
                <w:rFonts w:hint="eastAsia" w:ascii="宋体" w:hAnsi="宋体" w:eastAsia="宋体" w:cs="宋体"/>
                <w:i w:val="0"/>
                <w:iCs w:val="0"/>
                <w:color w:val="000000"/>
                <w:sz w:val="22"/>
                <w:szCs w:val="22"/>
                <w:u w:val="none"/>
              </w:rPr>
            </w:pPr>
          </w:p>
        </w:tc>
      </w:tr>
      <w:tr w14:paraId="7E0CC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F7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BB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7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5B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RVV2*1.0mm  200米/卷</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38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D86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 </w:t>
            </w:r>
          </w:p>
        </w:tc>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ED07C6">
            <w:pPr>
              <w:jc w:val="center"/>
              <w:rPr>
                <w:rFonts w:hint="eastAsia" w:ascii="宋体" w:hAnsi="宋体" w:eastAsia="宋体" w:cs="宋体"/>
                <w:i w:val="0"/>
                <w:iCs w:val="0"/>
                <w:color w:val="000000"/>
                <w:sz w:val="22"/>
                <w:szCs w:val="22"/>
                <w:u w:val="none"/>
              </w:rPr>
            </w:pPr>
          </w:p>
        </w:tc>
      </w:tr>
      <w:tr w14:paraId="09409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0C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FF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管材</w:t>
            </w:r>
          </w:p>
        </w:tc>
        <w:tc>
          <w:tcPr>
            <w:tcW w:w="7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2C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PVC2.0</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E6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AEA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38B283">
            <w:pPr>
              <w:jc w:val="center"/>
              <w:rPr>
                <w:rFonts w:hint="eastAsia" w:ascii="宋体" w:hAnsi="宋体" w:eastAsia="宋体" w:cs="宋体"/>
                <w:i w:val="0"/>
                <w:iCs w:val="0"/>
                <w:color w:val="000000"/>
                <w:sz w:val="22"/>
                <w:szCs w:val="22"/>
                <w:u w:val="none"/>
              </w:rPr>
            </w:pPr>
          </w:p>
        </w:tc>
      </w:tr>
      <w:tr w14:paraId="75727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04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9E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7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81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电胶布、美工刀、膨胀螺丝等</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32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D89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EAD2F9">
            <w:pPr>
              <w:jc w:val="center"/>
              <w:rPr>
                <w:rFonts w:hint="eastAsia" w:ascii="宋体" w:hAnsi="宋体" w:eastAsia="宋体" w:cs="宋体"/>
                <w:i w:val="0"/>
                <w:iCs w:val="0"/>
                <w:color w:val="000000"/>
                <w:sz w:val="22"/>
                <w:szCs w:val="22"/>
                <w:u w:val="none"/>
              </w:rPr>
            </w:pPr>
          </w:p>
        </w:tc>
      </w:tr>
    </w:tbl>
    <w:p w14:paraId="744C44D7">
      <w:pPr>
        <w:rPr>
          <w:b/>
          <w:color w:val="auto"/>
          <w:sz w:val="24"/>
        </w:rPr>
      </w:pPr>
    </w:p>
    <w:p w14:paraId="249CF2F3">
      <w:pPr>
        <w:rPr>
          <w:rFonts w:hint="default" w:eastAsia="宋体"/>
          <w:b/>
          <w:color w:val="auto"/>
          <w:sz w:val="24"/>
          <w:lang w:val="en-US" w:eastAsia="zh-CN"/>
        </w:rPr>
      </w:pPr>
      <w:r>
        <w:rPr>
          <w:rFonts w:hint="eastAsia"/>
          <w:b/>
          <w:color w:val="auto"/>
          <w:sz w:val="24"/>
          <w:lang w:val="en-US" w:eastAsia="zh-CN"/>
        </w:rPr>
        <w:t>二、商务要求</w:t>
      </w:r>
    </w:p>
    <w:tbl>
      <w:tblPr>
        <w:tblStyle w:val="4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20"/>
        <w:gridCol w:w="10924"/>
      </w:tblGrid>
      <w:tr w14:paraId="30C349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5" w:hRule="atLeast"/>
        </w:trPr>
        <w:tc>
          <w:tcPr>
            <w:tcW w:w="1820" w:type="dxa"/>
            <w:noWrap w:val="0"/>
            <w:vAlign w:val="center"/>
          </w:tcPr>
          <w:p w14:paraId="51658116">
            <w:pPr>
              <w:jc w:val="center"/>
              <w:rPr>
                <w:rFonts w:hint="eastAsia" w:ascii="宋体" w:hAnsi="宋体" w:cs="宋体"/>
                <w:color w:val="auto"/>
                <w:sz w:val="24"/>
                <w:szCs w:val="24"/>
              </w:rPr>
            </w:pPr>
            <w:r>
              <w:rPr>
                <w:rFonts w:hint="eastAsia" w:ascii="宋体" w:hAnsi="宋体" w:cs="宋体"/>
                <w:color w:val="auto"/>
                <w:sz w:val="24"/>
                <w:szCs w:val="24"/>
              </w:rPr>
              <w:t>标的提供的时间</w:t>
            </w:r>
          </w:p>
        </w:tc>
        <w:tc>
          <w:tcPr>
            <w:tcW w:w="10924" w:type="dxa"/>
            <w:noWrap w:val="0"/>
            <w:vAlign w:val="center"/>
          </w:tcPr>
          <w:p w14:paraId="222F5DCB">
            <w:pPr>
              <w:rPr>
                <w:rFonts w:hint="eastAsia" w:ascii="宋体" w:hAnsi="宋体" w:cs="宋体"/>
                <w:color w:val="auto"/>
                <w:sz w:val="24"/>
                <w:szCs w:val="24"/>
              </w:rPr>
            </w:pPr>
            <w:r>
              <w:rPr>
                <w:rFonts w:hint="eastAsia" w:ascii="宋体" w:hAnsi="宋体" w:eastAsia="宋体" w:cs="宋体"/>
                <w:color w:val="auto"/>
                <w:sz w:val="24"/>
                <w:szCs w:val="24"/>
              </w:rPr>
              <w:t>合同签订后</w:t>
            </w:r>
            <w:r>
              <w:rPr>
                <w:rFonts w:hint="eastAsia" w:ascii="宋体" w:hAnsi="宋体" w:cs="宋体"/>
                <w:color w:val="auto"/>
                <w:sz w:val="24"/>
                <w:szCs w:val="24"/>
                <w:lang w:val="en-US" w:eastAsia="zh-CN"/>
              </w:rPr>
              <w:t>30</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天</w:t>
            </w:r>
            <w:r>
              <w:rPr>
                <w:rFonts w:hint="eastAsia" w:ascii="宋体" w:hAnsi="宋体" w:eastAsia="宋体" w:cs="宋体"/>
                <w:color w:val="auto"/>
                <w:sz w:val="24"/>
                <w:szCs w:val="24"/>
              </w:rPr>
              <w:t>内完成供货、</w:t>
            </w:r>
            <w:r>
              <w:rPr>
                <w:rFonts w:hint="eastAsia" w:ascii="宋体" w:hAnsi="宋体" w:cs="宋体"/>
                <w:color w:val="auto"/>
                <w:sz w:val="24"/>
                <w:szCs w:val="24"/>
              </w:rPr>
              <w:t>安装、调试、交付使用。</w:t>
            </w:r>
          </w:p>
        </w:tc>
      </w:tr>
      <w:tr w14:paraId="23E389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2" w:hRule="atLeast"/>
        </w:trPr>
        <w:tc>
          <w:tcPr>
            <w:tcW w:w="1820" w:type="dxa"/>
            <w:noWrap w:val="0"/>
            <w:vAlign w:val="center"/>
          </w:tcPr>
          <w:p w14:paraId="36A6B4D6">
            <w:pPr>
              <w:jc w:val="center"/>
              <w:rPr>
                <w:rFonts w:hint="eastAsia" w:ascii="宋体" w:hAnsi="宋体" w:cs="宋体"/>
                <w:color w:val="auto"/>
                <w:sz w:val="24"/>
                <w:szCs w:val="24"/>
              </w:rPr>
            </w:pPr>
            <w:r>
              <w:rPr>
                <w:rFonts w:hint="eastAsia" w:ascii="宋体" w:hAnsi="宋体" w:cs="宋体"/>
                <w:color w:val="auto"/>
                <w:sz w:val="24"/>
                <w:szCs w:val="24"/>
              </w:rPr>
              <w:t>标的提供的地点</w:t>
            </w:r>
          </w:p>
        </w:tc>
        <w:tc>
          <w:tcPr>
            <w:tcW w:w="10924" w:type="dxa"/>
            <w:noWrap w:val="0"/>
            <w:vAlign w:val="center"/>
          </w:tcPr>
          <w:p w14:paraId="4AB77378">
            <w:pPr>
              <w:rPr>
                <w:rFonts w:hint="eastAsia" w:ascii="宋体" w:hAnsi="宋体" w:cs="宋体"/>
                <w:color w:val="auto"/>
                <w:sz w:val="24"/>
                <w:szCs w:val="24"/>
              </w:rPr>
            </w:pPr>
            <w:r>
              <w:rPr>
                <w:rFonts w:hint="eastAsia" w:ascii="宋体" w:hAnsi="宋体" w:eastAsia="宋体" w:cs="宋体"/>
                <w:color w:val="auto"/>
                <w:sz w:val="24"/>
                <w:szCs w:val="24"/>
              </w:rPr>
              <w:t>采购人指定地点</w:t>
            </w:r>
          </w:p>
        </w:tc>
      </w:tr>
      <w:tr w14:paraId="13A10A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2" w:hRule="atLeast"/>
        </w:trPr>
        <w:tc>
          <w:tcPr>
            <w:tcW w:w="1820" w:type="dxa"/>
            <w:noWrap w:val="0"/>
            <w:vAlign w:val="center"/>
          </w:tcPr>
          <w:p w14:paraId="3D9CBFBC">
            <w:pPr>
              <w:jc w:val="center"/>
              <w:rPr>
                <w:rFonts w:hint="eastAsia" w:ascii="宋体" w:hAnsi="宋体" w:cs="宋体"/>
                <w:color w:val="auto"/>
                <w:sz w:val="24"/>
                <w:szCs w:val="24"/>
              </w:rPr>
            </w:pPr>
            <w:r>
              <w:rPr>
                <w:rFonts w:hint="eastAsia" w:ascii="宋体" w:hAnsi="宋体" w:cs="宋体"/>
                <w:color w:val="auto"/>
                <w:sz w:val="24"/>
                <w:szCs w:val="24"/>
              </w:rPr>
              <w:t>投标有效期</w:t>
            </w:r>
          </w:p>
        </w:tc>
        <w:tc>
          <w:tcPr>
            <w:tcW w:w="10924" w:type="dxa"/>
            <w:noWrap w:val="0"/>
            <w:vAlign w:val="center"/>
          </w:tcPr>
          <w:p w14:paraId="4DFE0532">
            <w:pPr>
              <w:rPr>
                <w:rFonts w:hint="eastAsia" w:ascii="宋体" w:hAnsi="宋体" w:cs="宋体"/>
                <w:color w:val="auto"/>
                <w:sz w:val="24"/>
                <w:szCs w:val="24"/>
              </w:rPr>
            </w:pPr>
            <w:r>
              <w:rPr>
                <w:rFonts w:hint="eastAsia" w:ascii="宋体" w:hAnsi="宋体" w:cs="宋体"/>
                <w:color w:val="auto"/>
                <w:sz w:val="24"/>
                <w:szCs w:val="24"/>
              </w:rPr>
              <w:t>从提交投标（响应）文件的截止之日起90日历天</w:t>
            </w:r>
          </w:p>
        </w:tc>
      </w:tr>
      <w:tr w14:paraId="40F04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20" w:type="dxa"/>
            <w:noWrap w:val="0"/>
            <w:vAlign w:val="center"/>
          </w:tcPr>
          <w:p w14:paraId="7884E580">
            <w:pPr>
              <w:jc w:val="center"/>
              <w:rPr>
                <w:rFonts w:hint="eastAsia" w:ascii="宋体" w:hAnsi="宋体" w:cs="宋体"/>
                <w:color w:val="auto"/>
                <w:sz w:val="24"/>
                <w:szCs w:val="24"/>
              </w:rPr>
            </w:pPr>
            <w:r>
              <w:rPr>
                <w:rFonts w:hint="eastAsia" w:ascii="宋体" w:hAnsi="宋体" w:cs="宋体"/>
                <w:color w:val="auto"/>
                <w:sz w:val="24"/>
                <w:szCs w:val="24"/>
              </w:rPr>
              <w:t>付款方式</w:t>
            </w:r>
          </w:p>
        </w:tc>
        <w:tc>
          <w:tcPr>
            <w:tcW w:w="10924" w:type="dxa"/>
            <w:noWrap w:val="0"/>
            <w:vAlign w:val="center"/>
          </w:tcPr>
          <w:p w14:paraId="57DF06DA">
            <w:pPr>
              <w:rPr>
                <w:rFonts w:hint="eastAsia" w:ascii="宋体" w:hAnsi="宋体" w:cs="宋体"/>
                <w:color w:val="auto"/>
                <w:sz w:val="24"/>
                <w:szCs w:val="24"/>
              </w:rPr>
            </w:pPr>
            <w:r>
              <w:rPr>
                <w:rFonts w:hint="eastAsia" w:ascii="宋体" w:hAnsi="宋体"/>
                <w:b/>
                <w:color w:val="auto"/>
                <w:sz w:val="24"/>
                <w:szCs w:val="24"/>
              </w:rPr>
              <w:t>具体以签订合同为准</w:t>
            </w:r>
          </w:p>
        </w:tc>
      </w:tr>
      <w:tr w14:paraId="27826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2" w:hRule="atLeast"/>
        </w:trPr>
        <w:tc>
          <w:tcPr>
            <w:tcW w:w="1820" w:type="dxa"/>
            <w:noWrap w:val="0"/>
            <w:vAlign w:val="center"/>
          </w:tcPr>
          <w:p w14:paraId="2BD55BA9">
            <w:pPr>
              <w:jc w:val="center"/>
              <w:rPr>
                <w:rFonts w:hint="eastAsia" w:ascii="宋体" w:hAnsi="宋体" w:cs="宋体"/>
                <w:color w:val="auto"/>
                <w:sz w:val="24"/>
                <w:szCs w:val="24"/>
              </w:rPr>
            </w:pPr>
            <w:r>
              <w:rPr>
                <w:rFonts w:hint="eastAsia" w:ascii="宋体" w:hAnsi="宋体" w:cs="宋体"/>
                <w:color w:val="auto"/>
                <w:sz w:val="24"/>
                <w:szCs w:val="24"/>
              </w:rPr>
              <w:t>验收要求</w:t>
            </w:r>
          </w:p>
        </w:tc>
        <w:tc>
          <w:tcPr>
            <w:tcW w:w="10924" w:type="dxa"/>
            <w:noWrap w:val="0"/>
            <w:vAlign w:val="center"/>
          </w:tcPr>
          <w:p w14:paraId="7545C6FE">
            <w:pPr>
              <w:rPr>
                <w:rFonts w:hint="eastAsia" w:ascii="宋体" w:hAnsi="宋体" w:cs="宋体"/>
                <w:color w:val="auto"/>
                <w:sz w:val="24"/>
                <w:szCs w:val="24"/>
              </w:rPr>
            </w:pPr>
            <w:r>
              <w:rPr>
                <w:rFonts w:hint="eastAsia" w:ascii="宋体" w:hAnsi="宋体" w:cs="宋体"/>
                <w:color w:val="auto"/>
                <w:sz w:val="24"/>
                <w:szCs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tc>
      </w:tr>
      <w:tr w14:paraId="35B77B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20" w:type="dxa"/>
            <w:noWrap w:val="0"/>
            <w:vAlign w:val="center"/>
          </w:tcPr>
          <w:p w14:paraId="6DB6599F">
            <w:pPr>
              <w:jc w:val="center"/>
              <w:rPr>
                <w:rFonts w:hint="eastAsia" w:ascii="宋体" w:hAnsi="宋体" w:cs="宋体"/>
                <w:color w:val="auto"/>
                <w:sz w:val="24"/>
                <w:szCs w:val="24"/>
              </w:rPr>
            </w:pPr>
            <w:r>
              <w:rPr>
                <w:rFonts w:hint="eastAsia" w:ascii="宋体" w:hAnsi="宋体" w:cs="宋体"/>
                <w:color w:val="auto"/>
                <w:sz w:val="24"/>
                <w:szCs w:val="24"/>
              </w:rPr>
              <w:t>投标保证金</w:t>
            </w:r>
          </w:p>
        </w:tc>
        <w:tc>
          <w:tcPr>
            <w:tcW w:w="10924" w:type="dxa"/>
            <w:noWrap w:val="0"/>
            <w:vAlign w:val="center"/>
          </w:tcPr>
          <w:p w14:paraId="153CBE9A">
            <w:pPr>
              <w:rPr>
                <w:rFonts w:hint="eastAsia" w:ascii="宋体" w:hAnsi="宋体" w:cs="宋体"/>
                <w:color w:val="auto"/>
                <w:sz w:val="24"/>
                <w:szCs w:val="24"/>
              </w:rPr>
            </w:pPr>
            <w:r>
              <w:rPr>
                <w:rFonts w:hint="eastAsia" w:ascii="宋体" w:hAnsi="宋体" w:cs="宋体"/>
                <w:color w:val="auto"/>
                <w:sz w:val="24"/>
                <w:szCs w:val="24"/>
              </w:rPr>
              <w:t>收取比例：</w:t>
            </w:r>
            <w:r>
              <w:rPr>
                <w:rFonts w:hint="eastAsia" w:ascii="宋体" w:hAnsi="宋体" w:cs="宋体"/>
                <w:color w:val="auto"/>
                <w:sz w:val="24"/>
                <w:szCs w:val="24"/>
                <w:lang w:val="en-US" w:eastAsia="zh-CN"/>
              </w:rPr>
              <w:t>0.2</w:t>
            </w:r>
            <w:r>
              <w:rPr>
                <w:rFonts w:hint="eastAsia" w:ascii="宋体" w:hAnsi="宋体" w:cs="宋体"/>
                <w:color w:val="auto"/>
                <w:sz w:val="24"/>
                <w:szCs w:val="24"/>
              </w:rPr>
              <w:t>%</w:t>
            </w:r>
          </w:p>
        </w:tc>
      </w:tr>
      <w:tr w14:paraId="01DAA0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20" w:type="dxa"/>
            <w:noWrap w:val="0"/>
            <w:vAlign w:val="center"/>
          </w:tcPr>
          <w:p w14:paraId="0D14BA93">
            <w:pPr>
              <w:jc w:val="center"/>
              <w:rPr>
                <w:rFonts w:hint="eastAsia" w:ascii="宋体" w:hAnsi="宋体" w:cs="宋体"/>
                <w:color w:val="auto"/>
                <w:sz w:val="24"/>
                <w:szCs w:val="24"/>
              </w:rPr>
            </w:pPr>
            <w:r>
              <w:rPr>
                <w:rFonts w:hint="eastAsia" w:ascii="宋体" w:hAnsi="宋体" w:cs="宋体"/>
                <w:color w:val="auto"/>
                <w:sz w:val="24"/>
                <w:szCs w:val="24"/>
              </w:rPr>
              <w:t>其他</w:t>
            </w:r>
          </w:p>
        </w:tc>
        <w:tc>
          <w:tcPr>
            <w:tcW w:w="10924" w:type="dxa"/>
            <w:noWrap w:val="0"/>
            <w:vAlign w:val="center"/>
          </w:tcPr>
          <w:p w14:paraId="738AC3B8">
            <w:pPr>
              <w:rPr>
                <w:rFonts w:hint="eastAsia" w:ascii="宋体" w:hAnsi="宋体" w:cs="宋体"/>
                <w:color w:val="auto"/>
                <w:sz w:val="24"/>
                <w:szCs w:val="24"/>
              </w:rPr>
            </w:pPr>
            <w:r>
              <w:rPr>
                <w:rFonts w:hint="eastAsia" w:ascii="宋体" w:hAnsi="宋体" w:cs="宋体"/>
                <w:color w:val="auto"/>
                <w:sz w:val="24"/>
                <w:szCs w:val="24"/>
              </w:rPr>
              <w:t xml:space="preserve">其他：（一）伴随服务要求 1、产品安装调试 中标人负责全部产品的安装调试工作，负责保证整个安装工 作的质量和技术指标符合技术要求。 </w:t>
            </w:r>
            <w:r>
              <w:rPr>
                <w:rFonts w:hint="default" w:ascii="宋体" w:hAnsi="宋体" w:cs="宋体"/>
                <w:color w:val="auto"/>
                <w:sz w:val="24"/>
                <w:szCs w:val="24"/>
              </w:rPr>
              <w:t>2</w:t>
            </w:r>
            <w:r>
              <w:rPr>
                <w:rFonts w:hint="eastAsia" w:ascii="宋体" w:hAnsi="宋体" w:cs="宋体"/>
                <w:color w:val="auto"/>
                <w:sz w:val="24"/>
                <w:szCs w:val="24"/>
              </w:rPr>
              <w:t xml:space="preserve">、培训中标人应派技术人员对采购人单位使用人员进行培训，使其熟练掌握所 有系统、软件的应用和维护。培训工作的完成需经采购人的认可方可结束。 （二）售后服务要求 </w:t>
            </w:r>
            <w:r>
              <w:rPr>
                <w:rFonts w:hint="default" w:ascii="宋体" w:hAnsi="宋体" w:cs="宋体"/>
                <w:color w:val="auto"/>
                <w:sz w:val="24"/>
                <w:szCs w:val="24"/>
              </w:rPr>
              <w:t>1</w:t>
            </w:r>
            <w:r>
              <w:rPr>
                <w:rFonts w:hint="eastAsia" w:ascii="宋体" w:hAnsi="宋体" w:cs="宋体"/>
                <w:color w:val="auto"/>
                <w:sz w:val="24"/>
                <w:szCs w:val="24"/>
              </w:rPr>
              <w:t xml:space="preserve">、根据中标人向采购人所提供的软件的种类及其应用范围，以及采购人的需 求，中标人向采购人提供全方位的、有效的、及时的技术支持和服务。 </w:t>
            </w:r>
            <w:r>
              <w:rPr>
                <w:rFonts w:hint="default" w:ascii="宋体" w:hAnsi="宋体" w:cs="宋体"/>
                <w:color w:val="auto"/>
                <w:sz w:val="24"/>
                <w:szCs w:val="24"/>
              </w:rPr>
              <w:t>2</w:t>
            </w:r>
            <w:r>
              <w:rPr>
                <w:rFonts w:hint="eastAsia" w:ascii="宋体" w:hAnsi="宋体" w:cs="宋体"/>
                <w:color w:val="auto"/>
                <w:sz w:val="24"/>
                <w:szCs w:val="24"/>
              </w:rPr>
              <w:t xml:space="preserve">、方案制定阶段的技术支持（如有）：中标人负责提供项目实施技术方案、软 件测试方案、软件日常管理维护技术方案、人员培训方案等。 </w:t>
            </w:r>
            <w:r>
              <w:rPr>
                <w:rFonts w:hint="default" w:ascii="宋体" w:hAnsi="宋体" w:cs="宋体"/>
                <w:color w:val="auto"/>
                <w:sz w:val="24"/>
                <w:szCs w:val="24"/>
              </w:rPr>
              <w:t>3</w:t>
            </w:r>
            <w:r>
              <w:rPr>
                <w:rFonts w:hint="eastAsia" w:ascii="宋体" w:hAnsi="宋体" w:cs="宋体"/>
                <w:color w:val="auto"/>
                <w:sz w:val="24"/>
                <w:szCs w:val="24"/>
              </w:rPr>
              <w:t>、软件实施阶段的技术支持（如有）：中标人负责所提供的软件在采购人校园 网中的安装、测试。安装测试所需的工具软件、补丁包等均由中标人负责。</w:t>
            </w:r>
            <w:r>
              <w:rPr>
                <w:rFonts w:hint="default" w:ascii="宋体" w:hAnsi="宋体" w:cs="宋体"/>
                <w:color w:val="auto"/>
                <w:sz w:val="24"/>
                <w:szCs w:val="24"/>
              </w:rPr>
              <w:t>261 4</w:t>
            </w:r>
            <w:r>
              <w:rPr>
                <w:rFonts w:hint="eastAsia" w:ascii="宋体" w:hAnsi="宋体" w:cs="宋体"/>
                <w:color w:val="auto"/>
                <w:sz w:val="24"/>
                <w:szCs w:val="24"/>
              </w:rPr>
              <w:t>、质保期按国家相关规定执行；中标人在售后服务期结束后应以优惠的价格继 续对采购人给予技术服务。 （三）团队人员要求 为确保项目有效实施，投标人应投入充足的项目团队人员，包括项目经理、 技术（服务）人员等，人员应经验丰富、技术实力强。 （四）产品合法性及知识产权要求 投标人所提供的技术资料应当完整且合法取得，不会因为采购人的使用而 被责令停止、追偿或要求赔偿损失。如出现此情况，一切经济和法律责任由投 标人自行承担。</w:t>
            </w:r>
          </w:p>
        </w:tc>
      </w:tr>
    </w:tbl>
    <w:p w14:paraId="210574D4">
      <w:pPr>
        <w:pStyle w:val="22"/>
        <w:ind w:left="0" w:leftChars="0" w:right="1470"/>
        <w:jc w:val="left"/>
        <w:rPr>
          <w:rFonts w:hint="eastAsia" w:ascii="宋体" w:hAnsi="宋体" w:cs="宋体"/>
          <w:b/>
          <w:bCs/>
          <w:color w:val="auto"/>
          <w:sz w:val="24"/>
          <w:szCs w:val="24"/>
        </w:rPr>
        <w:sectPr>
          <w:pgSz w:w="16840" w:h="11907" w:orient="landscape"/>
          <w:pgMar w:top="1587" w:right="2098" w:bottom="1474" w:left="1984" w:header="851" w:footer="992" w:gutter="0"/>
          <w:cols w:space="720" w:num="1"/>
        </w:sectPr>
      </w:pPr>
    </w:p>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14:paraId="612AF79E">
      <w:pPr>
        <w:pStyle w:val="183"/>
        <w:tabs>
          <w:tab w:val="left" w:pos="420"/>
        </w:tabs>
        <w:spacing w:line="700" w:lineRule="exact"/>
        <w:ind w:firstLine="0" w:firstLineChars="0"/>
        <w:jc w:val="center"/>
        <w:rPr>
          <w:rFonts w:hint="eastAsia" w:ascii="方正小标宋简体" w:hAnsi="方正小标宋简体" w:eastAsia="方正小标宋简体" w:cs="方正小标宋简体"/>
          <w:bCs/>
          <w:color w:val="auto"/>
          <w:sz w:val="44"/>
          <w:szCs w:val="44"/>
        </w:rPr>
      </w:pPr>
      <w:bookmarkStart w:id="124" w:name="_Toc403491566"/>
      <w:r>
        <w:rPr>
          <w:rFonts w:hint="eastAsia" w:ascii="方正小标宋简体" w:hAnsi="方正小标宋简体" w:eastAsia="方正小标宋简体" w:cs="方正小标宋简体"/>
          <w:bCs/>
          <w:color w:val="auto"/>
          <w:sz w:val="44"/>
          <w:szCs w:val="44"/>
        </w:rPr>
        <w:t>第</w:t>
      </w:r>
      <w:r>
        <w:rPr>
          <w:rFonts w:hint="eastAsia" w:ascii="方正小标宋简体" w:hAnsi="方正小标宋简体" w:eastAsia="方正小标宋简体" w:cs="方正小标宋简体"/>
          <w:bCs/>
          <w:color w:val="auto"/>
          <w:sz w:val="44"/>
          <w:szCs w:val="44"/>
          <w:lang w:eastAsia="zh-CN"/>
        </w:rPr>
        <w:t>四</w:t>
      </w:r>
      <w:r>
        <w:rPr>
          <w:rFonts w:hint="eastAsia" w:ascii="方正小标宋简体" w:hAnsi="方正小标宋简体" w:eastAsia="方正小标宋简体" w:cs="方正小标宋简体"/>
          <w:bCs/>
          <w:color w:val="auto"/>
          <w:sz w:val="44"/>
          <w:szCs w:val="44"/>
        </w:rPr>
        <w:t>章 合同格式</w:t>
      </w:r>
      <w:bookmarkEnd w:id="124"/>
    </w:p>
    <w:p w14:paraId="327D3CEE">
      <w:pPr>
        <w:rPr>
          <w:rFonts w:ascii="宋体" w:hAnsi="宋体"/>
          <w:color w:val="auto"/>
        </w:rPr>
      </w:pPr>
      <w:bookmarkStart w:id="125" w:name="EB96da972056de4385935c5eeed9aedf73"/>
    </w:p>
    <w:p w14:paraId="58A6BA12">
      <w:pPr>
        <w:rPr>
          <w:rFonts w:ascii="宋体" w:hAnsi="宋体" w:cs="宋体"/>
          <w:color w:val="auto"/>
          <w:sz w:val="24"/>
          <w:szCs w:val="24"/>
          <w:u w:val="single"/>
        </w:rPr>
      </w:pPr>
      <w:r>
        <w:rPr>
          <w:rFonts w:hint="eastAsia" w:ascii="宋体" w:hAnsi="宋体" w:cs="宋体"/>
          <w:b/>
          <w:bCs/>
          <w:color w:val="auto"/>
          <w:sz w:val="24"/>
          <w:szCs w:val="24"/>
        </w:rPr>
        <w:t xml:space="preserve">          </w:t>
      </w:r>
      <w:r>
        <w:rPr>
          <w:rFonts w:hint="eastAsia" w:ascii="宋体" w:hAnsi="宋体" w:cs="宋体"/>
          <w:color w:val="auto"/>
          <w:sz w:val="24"/>
          <w:szCs w:val="24"/>
        </w:rPr>
        <w:t xml:space="preserve">                                 合同号：</w:t>
      </w:r>
      <w:r>
        <w:rPr>
          <w:rFonts w:hint="eastAsia" w:ascii="宋体" w:hAnsi="宋体" w:cs="宋体"/>
          <w:color w:val="auto"/>
          <w:sz w:val="24"/>
          <w:szCs w:val="24"/>
          <w:u w:val="single"/>
        </w:rPr>
        <w:t xml:space="preserve">              </w:t>
      </w:r>
    </w:p>
    <w:p w14:paraId="44674EC7">
      <w:pPr>
        <w:pStyle w:val="161"/>
        <w:spacing w:line="400" w:lineRule="exact"/>
        <w:ind w:firstLine="420"/>
        <w:rPr>
          <w:rFonts w:hint="eastAsia"/>
          <w:color w:val="auto"/>
        </w:rPr>
      </w:pPr>
    </w:p>
    <w:p w14:paraId="4F56F1E9">
      <w:pPr>
        <w:spacing w:line="400" w:lineRule="exact"/>
        <w:rPr>
          <w:rFonts w:hint="eastAsia" w:ascii="宋体" w:hAnsi="宋体" w:cs="宋体"/>
          <w:color w:val="auto"/>
          <w:sz w:val="24"/>
          <w:szCs w:val="24"/>
        </w:rPr>
      </w:pPr>
      <w:r>
        <w:rPr>
          <w:rFonts w:hint="eastAsia" w:ascii="宋体" w:hAnsi="宋体" w:cs="宋体"/>
          <w:color w:val="auto"/>
          <w:sz w:val="24"/>
          <w:szCs w:val="24"/>
        </w:rPr>
        <w:t>甲方（采购人）：</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签定地点：</w:t>
      </w:r>
      <w:r>
        <w:rPr>
          <w:rFonts w:hint="eastAsia" w:ascii="宋体" w:hAnsi="宋体" w:cs="宋体"/>
          <w:color w:val="auto"/>
          <w:sz w:val="24"/>
          <w:szCs w:val="24"/>
          <w:u w:val="single"/>
        </w:rPr>
        <w:t xml:space="preserve">                   </w:t>
      </w:r>
    </w:p>
    <w:p w14:paraId="77A86663">
      <w:pPr>
        <w:spacing w:line="400" w:lineRule="exact"/>
        <w:rPr>
          <w:rFonts w:hint="eastAsia" w:ascii="宋体" w:hAnsi="宋体" w:cs="宋体"/>
          <w:color w:val="auto"/>
          <w:sz w:val="24"/>
          <w:szCs w:val="24"/>
        </w:rPr>
      </w:pPr>
      <w:r>
        <w:rPr>
          <w:rFonts w:hint="eastAsia" w:ascii="宋体" w:hAnsi="宋体" w:cs="宋体"/>
          <w:color w:val="auto"/>
          <w:sz w:val="24"/>
          <w:szCs w:val="24"/>
        </w:rPr>
        <w:t>乙方（中标人）：</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签定日期：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7E6682C7">
      <w:pPr>
        <w:spacing w:line="400" w:lineRule="exact"/>
        <w:ind w:firstLine="480" w:firstLineChars="200"/>
        <w:rPr>
          <w:rFonts w:hint="eastAsia" w:ascii="宋体" w:hAnsi="宋体" w:cs="宋体"/>
          <w:color w:val="auto"/>
          <w:sz w:val="24"/>
          <w:szCs w:val="24"/>
        </w:rPr>
      </w:pPr>
    </w:p>
    <w:p w14:paraId="3A4CD149">
      <w:pPr>
        <w:spacing w:line="440" w:lineRule="exact"/>
        <w:rPr>
          <w:rFonts w:hint="eastAsia" w:ascii="仿宋_GB2312" w:hAnsi="仿宋_GB2312" w:eastAsia="仿宋_GB2312" w:cs="仿宋_GB2312"/>
          <w:color w:val="auto"/>
          <w:sz w:val="24"/>
          <w:szCs w:val="24"/>
        </w:rPr>
      </w:pPr>
      <w:r>
        <w:rPr>
          <w:rFonts w:hint="eastAsia" w:ascii="宋体" w:hAnsi="宋体" w:cs="宋体"/>
          <w:color w:val="auto"/>
          <w:sz w:val="24"/>
          <w:szCs w:val="24"/>
        </w:rPr>
        <w:t xml:space="preserve">    根据甲方委托</w:t>
      </w:r>
      <w:r>
        <w:rPr>
          <w:rFonts w:hint="eastAsia" w:ascii="宋体" w:hAnsi="宋体" w:cs="宋体"/>
          <w:color w:val="auto"/>
          <w:sz w:val="24"/>
          <w:szCs w:val="24"/>
          <w:u w:val="single"/>
        </w:rPr>
        <w:t xml:space="preserve">(招标代理机构)                   </w:t>
      </w:r>
      <w:r>
        <w:rPr>
          <w:rFonts w:hint="eastAsia" w:ascii="宋体" w:hAnsi="宋体" w:cs="宋体"/>
          <w:color w:val="auto"/>
          <w:sz w:val="24"/>
          <w:szCs w:val="24"/>
        </w:rPr>
        <w:t>对</w:t>
      </w:r>
      <w:r>
        <w:rPr>
          <w:rFonts w:hint="eastAsia" w:ascii="宋体" w:hAnsi="宋体" w:cs="宋体"/>
          <w:color w:val="auto"/>
          <w:sz w:val="24"/>
          <w:szCs w:val="24"/>
          <w:u w:val="single"/>
        </w:rPr>
        <w:t xml:space="preserve">                  </w:t>
      </w:r>
      <w:r>
        <w:rPr>
          <w:rFonts w:hint="eastAsia" w:ascii="宋体" w:hAnsi="宋体" w:cs="宋体"/>
          <w:color w:val="auto"/>
          <w:sz w:val="24"/>
          <w:szCs w:val="24"/>
        </w:rPr>
        <w:t>进行招标采购（招标编号：</w:t>
      </w:r>
      <w:r>
        <w:rPr>
          <w:rFonts w:hint="eastAsia" w:ascii="宋体" w:hAnsi="宋体" w:cs="宋体"/>
          <w:color w:val="auto"/>
          <w:sz w:val="24"/>
          <w:szCs w:val="24"/>
          <w:u w:val="single"/>
        </w:rPr>
        <w:t xml:space="preserve">          </w:t>
      </w:r>
      <w:r>
        <w:rPr>
          <w:rFonts w:hint="eastAsia" w:ascii="宋体" w:hAnsi="宋体" w:cs="宋体"/>
          <w:color w:val="auto"/>
          <w:sz w:val="24"/>
          <w:szCs w:val="24"/>
        </w:rPr>
        <w:t>）的招标结果，乙方为中标人，现依照招标文件、（中标人）投标文件及有关法律、法规、规章规定的内容，双方达成如下协议：</w:t>
      </w:r>
    </w:p>
    <w:p w14:paraId="6E7CD0AD">
      <w:pPr>
        <w:spacing w:line="440" w:lineRule="exact"/>
        <w:ind w:firstLine="560" w:firstLineChars="200"/>
        <w:rPr>
          <w:rFonts w:hint="eastAsia" w:ascii="仿宋_GB2312" w:hAnsi="仿宋_GB2312" w:eastAsia="仿宋_GB2312" w:cs="仿宋_GB2312"/>
          <w:color w:val="auto"/>
          <w:sz w:val="24"/>
          <w:szCs w:val="24"/>
        </w:rPr>
      </w:pPr>
      <w:r>
        <w:rPr>
          <w:rFonts w:hint="eastAsia" w:ascii="黑体" w:hAnsi="黑体" w:eastAsia="黑体" w:cs="黑体"/>
          <w:color w:val="auto"/>
          <w:sz w:val="28"/>
          <w:szCs w:val="28"/>
        </w:rPr>
        <w:t>一、合同标的和合同价格</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271"/>
        <w:gridCol w:w="1606"/>
        <w:gridCol w:w="1752"/>
        <w:gridCol w:w="2336"/>
      </w:tblGrid>
      <w:tr w14:paraId="3EE9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jc w:val="center"/>
        </w:trPr>
        <w:tc>
          <w:tcPr>
            <w:tcW w:w="1777" w:type="dxa"/>
            <w:tcBorders>
              <w:top w:val="single" w:color="auto" w:sz="4" w:space="0"/>
              <w:left w:val="single" w:color="auto" w:sz="4" w:space="0"/>
              <w:bottom w:val="single" w:color="auto" w:sz="4" w:space="0"/>
              <w:right w:val="single" w:color="auto" w:sz="4" w:space="0"/>
            </w:tcBorders>
            <w:noWrap w:val="0"/>
            <w:vAlign w:val="center"/>
          </w:tcPr>
          <w:p w14:paraId="5A819303">
            <w:pPr>
              <w:spacing w:line="440" w:lineRule="exact"/>
              <w:jc w:val="center"/>
              <w:rPr>
                <w:rFonts w:hint="eastAsia" w:ascii="黑体" w:hAnsi="黑体" w:eastAsia="黑体" w:cs="黑体"/>
                <w:color w:val="auto"/>
                <w:sz w:val="24"/>
                <w:szCs w:val="24"/>
              </w:rPr>
            </w:pPr>
            <w:r>
              <w:rPr>
                <w:rFonts w:hint="eastAsia" w:ascii="黑体" w:hAnsi="黑体" w:eastAsia="黑体" w:cs="黑体"/>
                <w:color w:val="auto"/>
                <w:sz w:val="24"/>
                <w:szCs w:val="24"/>
              </w:rPr>
              <w:t>货物名称</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2C58AAE4">
            <w:pPr>
              <w:spacing w:line="440" w:lineRule="exact"/>
              <w:jc w:val="center"/>
              <w:rPr>
                <w:rFonts w:hint="eastAsia" w:ascii="黑体" w:hAnsi="黑体" w:eastAsia="黑体" w:cs="黑体"/>
                <w:color w:val="auto"/>
                <w:sz w:val="24"/>
                <w:szCs w:val="24"/>
              </w:rPr>
            </w:pPr>
            <w:r>
              <w:rPr>
                <w:rFonts w:hint="eastAsia" w:ascii="黑体" w:hAnsi="黑体" w:eastAsia="黑体" w:cs="黑体"/>
                <w:color w:val="auto"/>
                <w:sz w:val="24"/>
                <w:szCs w:val="24"/>
              </w:rPr>
              <w:t>数 量</w:t>
            </w:r>
          </w:p>
        </w:tc>
        <w:tc>
          <w:tcPr>
            <w:tcW w:w="1606" w:type="dxa"/>
            <w:tcBorders>
              <w:top w:val="single" w:color="auto" w:sz="4" w:space="0"/>
              <w:left w:val="single" w:color="auto" w:sz="4" w:space="0"/>
              <w:bottom w:val="single" w:color="auto" w:sz="4" w:space="0"/>
              <w:right w:val="single" w:color="auto" w:sz="4" w:space="0"/>
            </w:tcBorders>
            <w:noWrap w:val="0"/>
            <w:vAlign w:val="center"/>
          </w:tcPr>
          <w:p w14:paraId="17073B48">
            <w:pPr>
              <w:spacing w:line="440" w:lineRule="exact"/>
              <w:jc w:val="center"/>
              <w:rPr>
                <w:rFonts w:hint="eastAsia" w:ascii="黑体" w:hAnsi="黑体" w:eastAsia="黑体" w:cs="黑体"/>
                <w:color w:val="auto"/>
                <w:sz w:val="24"/>
                <w:szCs w:val="24"/>
              </w:rPr>
            </w:pPr>
            <w:r>
              <w:rPr>
                <w:rFonts w:hint="eastAsia" w:ascii="黑体" w:hAnsi="黑体" w:eastAsia="黑体" w:cs="黑体"/>
                <w:color w:val="auto"/>
                <w:sz w:val="24"/>
                <w:szCs w:val="24"/>
              </w:rPr>
              <w:t>单 价</w:t>
            </w:r>
          </w:p>
        </w:tc>
        <w:tc>
          <w:tcPr>
            <w:tcW w:w="1752" w:type="dxa"/>
            <w:tcBorders>
              <w:top w:val="single" w:color="auto" w:sz="4" w:space="0"/>
              <w:left w:val="single" w:color="auto" w:sz="4" w:space="0"/>
              <w:bottom w:val="single" w:color="auto" w:sz="4" w:space="0"/>
              <w:right w:val="single" w:color="auto" w:sz="4" w:space="0"/>
            </w:tcBorders>
            <w:noWrap w:val="0"/>
            <w:vAlign w:val="center"/>
          </w:tcPr>
          <w:p w14:paraId="0BCFE6FE">
            <w:pPr>
              <w:spacing w:line="440" w:lineRule="exact"/>
              <w:jc w:val="center"/>
              <w:rPr>
                <w:rFonts w:hint="eastAsia" w:ascii="黑体" w:hAnsi="黑体" w:eastAsia="黑体" w:cs="黑体"/>
                <w:color w:val="auto"/>
                <w:sz w:val="24"/>
                <w:szCs w:val="24"/>
              </w:rPr>
            </w:pPr>
            <w:r>
              <w:rPr>
                <w:rFonts w:hint="eastAsia" w:ascii="黑体" w:hAnsi="黑体" w:eastAsia="黑体" w:cs="黑体"/>
                <w:color w:val="auto"/>
                <w:sz w:val="24"/>
                <w:szCs w:val="24"/>
              </w:rPr>
              <w:t>总 价</w:t>
            </w:r>
          </w:p>
        </w:tc>
        <w:tc>
          <w:tcPr>
            <w:tcW w:w="2336" w:type="dxa"/>
            <w:tcBorders>
              <w:top w:val="single" w:color="auto" w:sz="4" w:space="0"/>
              <w:left w:val="single" w:color="auto" w:sz="4" w:space="0"/>
              <w:bottom w:val="single" w:color="auto" w:sz="4" w:space="0"/>
              <w:right w:val="single" w:color="auto" w:sz="4" w:space="0"/>
            </w:tcBorders>
            <w:noWrap w:val="0"/>
            <w:vAlign w:val="center"/>
          </w:tcPr>
          <w:p w14:paraId="1920FF54">
            <w:pPr>
              <w:spacing w:line="440" w:lineRule="exact"/>
              <w:jc w:val="center"/>
              <w:rPr>
                <w:rFonts w:hint="eastAsia" w:ascii="黑体" w:hAnsi="黑体" w:eastAsia="黑体" w:cs="黑体"/>
                <w:color w:val="auto"/>
                <w:sz w:val="24"/>
                <w:szCs w:val="24"/>
              </w:rPr>
            </w:pPr>
            <w:r>
              <w:rPr>
                <w:rFonts w:hint="eastAsia" w:ascii="黑体" w:hAnsi="黑体" w:eastAsia="黑体" w:cs="黑体"/>
                <w:color w:val="auto"/>
                <w:sz w:val="24"/>
                <w:szCs w:val="24"/>
              </w:rPr>
              <w:t>服务期</w:t>
            </w:r>
          </w:p>
        </w:tc>
      </w:tr>
      <w:tr w14:paraId="0340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777" w:type="dxa"/>
            <w:tcBorders>
              <w:top w:val="single" w:color="auto" w:sz="4" w:space="0"/>
              <w:left w:val="single" w:color="auto" w:sz="4" w:space="0"/>
              <w:bottom w:val="single" w:color="auto" w:sz="4" w:space="0"/>
              <w:right w:val="single" w:color="auto" w:sz="4" w:space="0"/>
            </w:tcBorders>
            <w:noWrap w:val="0"/>
            <w:vAlign w:val="center"/>
          </w:tcPr>
          <w:p w14:paraId="4630CDB8">
            <w:pPr>
              <w:spacing w:line="440" w:lineRule="exact"/>
              <w:rPr>
                <w:rFonts w:hint="eastAsia" w:ascii="仿宋_GB2312" w:hAnsi="仿宋_GB2312" w:eastAsia="仿宋_GB2312" w:cs="仿宋_GB2312"/>
                <w:color w:val="auto"/>
                <w:sz w:val="24"/>
                <w:szCs w:val="24"/>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14:paraId="0B61F250">
            <w:pPr>
              <w:spacing w:line="440" w:lineRule="exact"/>
              <w:jc w:val="center"/>
              <w:rPr>
                <w:rFonts w:hint="eastAsia" w:ascii="仿宋_GB2312" w:hAnsi="仿宋_GB2312" w:eastAsia="仿宋_GB2312" w:cs="仿宋_GB2312"/>
                <w:color w:val="auto"/>
                <w:sz w:val="24"/>
                <w:szCs w:val="24"/>
              </w:rPr>
            </w:pPr>
          </w:p>
        </w:tc>
        <w:tc>
          <w:tcPr>
            <w:tcW w:w="1606" w:type="dxa"/>
            <w:tcBorders>
              <w:top w:val="single" w:color="auto" w:sz="4" w:space="0"/>
              <w:left w:val="single" w:color="auto" w:sz="4" w:space="0"/>
              <w:bottom w:val="single" w:color="auto" w:sz="4" w:space="0"/>
              <w:right w:val="single" w:color="auto" w:sz="4" w:space="0"/>
            </w:tcBorders>
            <w:noWrap w:val="0"/>
            <w:vAlign w:val="center"/>
          </w:tcPr>
          <w:p w14:paraId="3CC7A6D3">
            <w:pPr>
              <w:spacing w:line="440" w:lineRule="exact"/>
              <w:jc w:val="center"/>
              <w:rPr>
                <w:rFonts w:hint="eastAsia" w:ascii="仿宋_GB2312" w:hAnsi="仿宋_GB2312" w:eastAsia="仿宋_GB2312" w:cs="仿宋_GB2312"/>
                <w:color w:val="auto"/>
                <w:sz w:val="24"/>
                <w:szCs w:val="24"/>
              </w:rPr>
            </w:pPr>
          </w:p>
        </w:tc>
        <w:tc>
          <w:tcPr>
            <w:tcW w:w="1752" w:type="dxa"/>
            <w:tcBorders>
              <w:top w:val="single" w:color="auto" w:sz="4" w:space="0"/>
              <w:left w:val="single" w:color="auto" w:sz="4" w:space="0"/>
              <w:bottom w:val="single" w:color="auto" w:sz="4" w:space="0"/>
              <w:right w:val="single" w:color="auto" w:sz="4" w:space="0"/>
            </w:tcBorders>
            <w:noWrap w:val="0"/>
            <w:vAlign w:val="center"/>
          </w:tcPr>
          <w:p w14:paraId="4463665F">
            <w:pPr>
              <w:spacing w:line="440" w:lineRule="exact"/>
              <w:jc w:val="center"/>
              <w:rPr>
                <w:rFonts w:hint="eastAsia" w:ascii="仿宋_GB2312" w:hAnsi="仿宋_GB2312" w:eastAsia="仿宋_GB2312" w:cs="仿宋_GB2312"/>
                <w:color w:val="auto"/>
                <w:sz w:val="24"/>
                <w:szCs w:val="24"/>
              </w:rPr>
            </w:pPr>
          </w:p>
        </w:tc>
        <w:tc>
          <w:tcPr>
            <w:tcW w:w="2336" w:type="dxa"/>
            <w:tcBorders>
              <w:top w:val="single" w:color="auto" w:sz="4" w:space="0"/>
              <w:left w:val="single" w:color="auto" w:sz="4" w:space="0"/>
              <w:bottom w:val="single" w:color="auto" w:sz="4" w:space="0"/>
              <w:right w:val="single" w:color="auto" w:sz="4" w:space="0"/>
            </w:tcBorders>
            <w:noWrap w:val="0"/>
            <w:vAlign w:val="center"/>
          </w:tcPr>
          <w:p w14:paraId="762C2207">
            <w:pPr>
              <w:spacing w:line="440" w:lineRule="exact"/>
              <w:jc w:val="center"/>
              <w:rPr>
                <w:rFonts w:hint="eastAsia" w:ascii="仿宋_GB2312" w:hAnsi="仿宋_GB2312" w:eastAsia="仿宋_GB2312" w:cs="仿宋_GB2312"/>
                <w:color w:val="auto"/>
                <w:sz w:val="24"/>
                <w:szCs w:val="24"/>
              </w:rPr>
            </w:pPr>
          </w:p>
        </w:tc>
      </w:tr>
      <w:tr w14:paraId="7285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777" w:type="dxa"/>
            <w:tcBorders>
              <w:top w:val="single" w:color="auto" w:sz="4" w:space="0"/>
              <w:left w:val="single" w:color="auto" w:sz="4" w:space="0"/>
              <w:bottom w:val="single" w:color="auto" w:sz="4" w:space="0"/>
              <w:right w:val="single" w:color="auto" w:sz="4" w:space="0"/>
            </w:tcBorders>
            <w:noWrap w:val="0"/>
            <w:vAlign w:val="center"/>
          </w:tcPr>
          <w:p w14:paraId="1E070A4E">
            <w:pPr>
              <w:spacing w:line="440" w:lineRule="exact"/>
              <w:rPr>
                <w:rFonts w:hint="eastAsia" w:ascii="仿宋_GB2312" w:hAnsi="仿宋_GB2312" w:eastAsia="仿宋_GB2312" w:cs="仿宋_GB2312"/>
                <w:color w:val="auto"/>
                <w:sz w:val="24"/>
                <w:szCs w:val="24"/>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14:paraId="41532AA5">
            <w:pPr>
              <w:spacing w:line="440" w:lineRule="exact"/>
              <w:jc w:val="center"/>
              <w:rPr>
                <w:rFonts w:hint="eastAsia" w:ascii="仿宋_GB2312" w:hAnsi="仿宋_GB2312" w:eastAsia="仿宋_GB2312" w:cs="仿宋_GB2312"/>
                <w:color w:val="auto"/>
                <w:sz w:val="24"/>
                <w:szCs w:val="24"/>
              </w:rPr>
            </w:pPr>
          </w:p>
        </w:tc>
        <w:tc>
          <w:tcPr>
            <w:tcW w:w="1606" w:type="dxa"/>
            <w:tcBorders>
              <w:top w:val="single" w:color="auto" w:sz="4" w:space="0"/>
              <w:left w:val="single" w:color="auto" w:sz="4" w:space="0"/>
              <w:bottom w:val="single" w:color="auto" w:sz="4" w:space="0"/>
              <w:right w:val="single" w:color="auto" w:sz="4" w:space="0"/>
            </w:tcBorders>
            <w:noWrap w:val="0"/>
            <w:vAlign w:val="center"/>
          </w:tcPr>
          <w:p w14:paraId="6EC99403">
            <w:pPr>
              <w:spacing w:line="440" w:lineRule="exact"/>
              <w:jc w:val="center"/>
              <w:rPr>
                <w:rFonts w:hint="eastAsia" w:ascii="仿宋_GB2312" w:hAnsi="仿宋_GB2312" w:eastAsia="仿宋_GB2312" w:cs="仿宋_GB2312"/>
                <w:color w:val="auto"/>
                <w:sz w:val="24"/>
                <w:szCs w:val="24"/>
              </w:rPr>
            </w:pPr>
          </w:p>
        </w:tc>
        <w:tc>
          <w:tcPr>
            <w:tcW w:w="1752" w:type="dxa"/>
            <w:tcBorders>
              <w:top w:val="single" w:color="auto" w:sz="4" w:space="0"/>
              <w:left w:val="single" w:color="auto" w:sz="4" w:space="0"/>
              <w:bottom w:val="single" w:color="auto" w:sz="4" w:space="0"/>
              <w:right w:val="single" w:color="auto" w:sz="4" w:space="0"/>
            </w:tcBorders>
            <w:noWrap w:val="0"/>
            <w:vAlign w:val="center"/>
          </w:tcPr>
          <w:p w14:paraId="3233D03D">
            <w:pPr>
              <w:spacing w:line="440" w:lineRule="exact"/>
              <w:jc w:val="center"/>
              <w:rPr>
                <w:rFonts w:hint="eastAsia" w:ascii="仿宋_GB2312" w:hAnsi="仿宋_GB2312" w:eastAsia="仿宋_GB2312" w:cs="仿宋_GB2312"/>
                <w:color w:val="auto"/>
                <w:sz w:val="24"/>
                <w:szCs w:val="24"/>
              </w:rPr>
            </w:pPr>
          </w:p>
        </w:tc>
        <w:tc>
          <w:tcPr>
            <w:tcW w:w="2336" w:type="dxa"/>
            <w:tcBorders>
              <w:top w:val="single" w:color="auto" w:sz="4" w:space="0"/>
              <w:left w:val="single" w:color="auto" w:sz="4" w:space="0"/>
              <w:bottom w:val="single" w:color="auto" w:sz="4" w:space="0"/>
              <w:right w:val="single" w:color="auto" w:sz="4" w:space="0"/>
            </w:tcBorders>
            <w:noWrap w:val="0"/>
            <w:vAlign w:val="center"/>
          </w:tcPr>
          <w:p w14:paraId="7FEED2BF">
            <w:pPr>
              <w:spacing w:line="440" w:lineRule="exact"/>
              <w:jc w:val="center"/>
              <w:rPr>
                <w:rFonts w:hint="eastAsia" w:ascii="仿宋_GB2312" w:hAnsi="仿宋_GB2312" w:eastAsia="仿宋_GB2312" w:cs="仿宋_GB2312"/>
                <w:color w:val="auto"/>
                <w:sz w:val="24"/>
                <w:szCs w:val="24"/>
              </w:rPr>
            </w:pPr>
          </w:p>
        </w:tc>
      </w:tr>
      <w:tr w14:paraId="3D9C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777" w:type="dxa"/>
            <w:tcBorders>
              <w:top w:val="single" w:color="auto" w:sz="4" w:space="0"/>
              <w:left w:val="single" w:color="auto" w:sz="4" w:space="0"/>
              <w:bottom w:val="single" w:color="auto" w:sz="4" w:space="0"/>
              <w:right w:val="single" w:color="auto" w:sz="4" w:space="0"/>
            </w:tcBorders>
            <w:noWrap w:val="0"/>
            <w:vAlign w:val="center"/>
          </w:tcPr>
          <w:p w14:paraId="7F78358A">
            <w:pPr>
              <w:spacing w:line="440" w:lineRule="exact"/>
              <w:rPr>
                <w:rFonts w:hint="eastAsia" w:ascii="仿宋_GB2312" w:hAnsi="仿宋_GB2312" w:eastAsia="仿宋_GB2312" w:cs="仿宋_GB2312"/>
                <w:color w:val="auto"/>
                <w:sz w:val="24"/>
                <w:szCs w:val="24"/>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14:paraId="01F3F2A6">
            <w:pPr>
              <w:spacing w:line="440" w:lineRule="exact"/>
              <w:jc w:val="center"/>
              <w:rPr>
                <w:rFonts w:hint="eastAsia" w:ascii="仿宋_GB2312" w:hAnsi="仿宋_GB2312" w:eastAsia="仿宋_GB2312" w:cs="仿宋_GB2312"/>
                <w:color w:val="auto"/>
                <w:sz w:val="24"/>
                <w:szCs w:val="24"/>
              </w:rPr>
            </w:pPr>
          </w:p>
        </w:tc>
        <w:tc>
          <w:tcPr>
            <w:tcW w:w="1606" w:type="dxa"/>
            <w:tcBorders>
              <w:top w:val="single" w:color="auto" w:sz="4" w:space="0"/>
              <w:left w:val="single" w:color="auto" w:sz="4" w:space="0"/>
              <w:bottom w:val="single" w:color="auto" w:sz="4" w:space="0"/>
              <w:right w:val="single" w:color="auto" w:sz="4" w:space="0"/>
            </w:tcBorders>
            <w:noWrap w:val="0"/>
            <w:vAlign w:val="center"/>
          </w:tcPr>
          <w:p w14:paraId="106F0186">
            <w:pPr>
              <w:spacing w:line="440" w:lineRule="exact"/>
              <w:jc w:val="center"/>
              <w:rPr>
                <w:rFonts w:hint="eastAsia" w:ascii="仿宋_GB2312" w:hAnsi="仿宋_GB2312" w:eastAsia="仿宋_GB2312" w:cs="仿宋_GB2312"/>
                <w:color w:val="auto"/>
                <w:sz w:val="24"/>
                <w:szCs w:val="24"/>
              </w:rPr>
            </w:pPr>
          </w:p>
        </w:tc>
        <w:tc>
          <w:tcPr>
            <w:tcW w:w="1752" w:type="dxa"/>
            <w:tcBorders>
              <w:top w:val="single" w:color="auto" w:sz="4" w:space="0"/>
              <w:left w:val="single" w:color="auto" w:sz="4" w:space="0"/>
              <w:bottom w:val="single" w:color="auto" w:sz="4" w:space="0"/>
              <w:right w:val="single" w:color="auto" w:sz="4" w:space="0"/>
            </w:tcBorders>
            <w:noWrap w:val="0"/>
            <w:vAlign w:val="center"/>
          </w:tcPr>
          <w:p w14:paraId="53686F3D">
            <w:pPr>
              <w:spacing w:line="440" w:lineRule="exact"/>
              <w:jc w:val="center"/>
              <w:rPr>
                <w:rFonts w:hint="eastAsia" w:ascii="仿宋_GB2312" w:hAnsi="仿宋_GB2312" w:eastAsia="仿宋_GB2312" w:cs="仿宋_GB2312"/>
                <w:color w:val="auto"/>
                <w:sz w:val="24"/>
                <w:szCs w:val="24"/>
              </w:rPr>
            </w:pPr>
          </w:p>
        </w:tc>
        <w:tc>
          <w:tcPr>
            <w:tcW w:w="2336" w:type="dxa"/>
            <w:tcBorders>
              <w:top w:val="single" w:color="auto" w:sz="4" w:space="0"/>
              <w:left w:val="single" w:color="auto" w:sz="4" w:space="0"/>
              <w:bottom w:val="single" w:color="auto" w:sz="4" w:space="0"/>
              <w:right w:val="single" w:color="auto" w:sz="4" w:space="0"/>
            </w:tcBorders>
            <w:noWrap w:val="0"/>
            <w:vAlign w:val="center"/>
          </w:tcPr>
          <w:p w14:paraId="6074F1E5">
            <w:pPr>
              <w:spacing w:line="440" w:lineRule="exact"/>
              <w:jc w:val="center"/>
              <w:rPr>
                <w:rFonts w:hint="eastAsia" w:ascii="仿宋_GB2312" w:hAnsi="仿宋_GB2312" w:eastAsia="仿宋_GB2312" w:cs="仿宋_GB2312"/>
                <w:color w:val="auto"/>
                <w:sz w:val="24"/>
                <w:szCs w:val="24"/>
              </w:rPr>
            </w:pPr>
          </w:p>
        </w:tc>
      </w:tr>
      <w:tr w14:paraId="172E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777" w:type="dxa"/>
            <w:tcBorders>
              <w:top w:val="single" w:color="auto" w:sz="4" w:space="0"/>
              <w:left w:val="single" w:color="auto" w:sz="4" w:space="0"/>
              <w:bottom w:val="single" w:color="auto" w:sz="4" w:space="0"/>
              <w:right w:val="single" w:color="auto" w:sz="4" w:space="0"/>
            </w:tcBorders>
            <w:noWrap w:val="0"/>
            <w:vAlign w:val="center"/>
          </w:tcPr>
          <w:p w14:paraId="52FD82C9">
            <w:pPr>
              <w:spacing w:line="440" w:lineRule="exact"/>
              <w:rPr>
                <w:rFonts w:hint="eastAsia" w:ascii="仿宋_GB2312" w:hAnsi="仿宋_GB2312" w:eastAsia="仿宋_GB2312" w:cs="仿宋_GB2312"/>
                <w:color w:val="auto"/>
                <w:sz w:val="24"/>
                <w:szCs w:val="24"/>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14:paraId="2230A269">
            <w:pPr>
              <w:spacing w:line="440" w:lineRule="exact"/>
              <w:jc w:val="center"/>
              <w:rPr>
                <w:rFonts w:hint="eastAsia" w:ascii="仿宋_GB2312" w:hAnsi="仿宋_GB2312" w:eastAsia="仿宋_GB2312" w:cs="仿宋_GB2312"/>
                <w:color w:val="auto"/>
                <w:sz w:val="24"/>
                <w:szCs w:val="24"/>
              </w:rPr>
            </w:pPr>
          </w:p>
        </w:tc>
        <w:tc>
          <w:tcPr>
            <w:tcW w:w="1606" w:type="dxa"/>
            <w:tcBorders>
              <w:top w:val="single" w:color="auto" w:sz="4" w:space="0"/>
              <w:left w:val="single" w:color="auto" w:sz="4" w:space="0"/>
              <w:bottom w:val="single" w:color="auto" w:sz="4" w:space="0"/>
              <w:right w:val="single" w:color="auto" w:sz="4" w:space="0"/>
            </w:tcBorders>
            <w:noWrap w:val="0"/>
            <w:vAlign w:val="center"/>
          </w:tcPr>
          <w:p w14:paraId="35DC615A">
            <w:pPr>
              <w:spacing w:line="440" w:lineRule="exact"/>
              <w:jc w:val="center"/>
              <w:rPr>
                <w:rFonts w:hint="eastAsia" w:ascii="仿宋_GB2312" w:hAnsi="仿宋_GB2312" w:eastAsia="仿宋_GB2312" w:cs="仿宋_GB2312"/>
                <w:color w:val="auto"/>
                <w:sz w:val="24"/>
                <w:szCs w:val="24"/>
              </w:rPr>
            </w:pPr>
          </w:p>
        </w:tc>
        <w:tc>
          <w:tcPr>
            <w:tcW w:w="1752" w:type="dxa"/>
            <w:tcBorders>
              <w:top w:val="single" w:color="auto" w:sz="4" w:space="0"/>
              <w:left w:val="single" w:color="auto" w:sz="4" w:space="0"/>
              <w:bottom w:val="single" w:color="auto" w:sz="4" w:space="0"/>
              <w:right w:val="single" w:color="auto" w:sz="4" w:space="0"/>
            </w:tcBorders>
            <w:noWrap w:val="0"/>
            <w:vAlign w:val="center"/>
          </w:tcPr>
          <w:p w14:paraId="102650D2">
            <w:pPr>
              <w:spacing w:line="440" w:lineRule="exact"/>
              <w:jc w:val="center"/>
              <w:rPr>
                <w:rFonts w:hint="eastAsia" w:ascii="仿宋_GB2312" w:hAnsi="仿宋_GB2312" w:eastAsia="仿宋_GB2312" w:cs="仿宋_GB2312"/>
                <w:color w:val="auto"/>
                <w:sz w:val="24"/>
                <w:szCs w:val="24"/>
              </w:rPr>
            </w:pPr>
          </w:p>
        </w:tc>
        <w:tc>
          <w:tcPr>
            <w:tcW w:w="2336" w:type="dxa"/>
            <w:tcBorders>
              <w:top w:val="single" w:color="auto" w:sz="4" w:space="0"/>
              <w:left w:val="single" w:color="auto" w:sz="4" w:space="0"/>
              <w:bottom w:val="single" w:color="auto" w:sz="4" w:space="0"/>
              <w:right w:val="single" w:color="auto" w:sz="4" w:space="0"/>
            </w:tcBorders>
            <w:noWrap w:val="0"/>
            <w:vAlign w:val="center"/>
          </w:tcPr>
          <w:p w14:paraId="79A1DDC9">
            <w:pPr>
              <w:spacing w:line="440" w:lineRule="exact"/>
              <w:jc w:val="center"/>
              <w:rPr>
                <w:rFonts w:hint="eastAsia" w:ascii="仿宋_GB2312" w:hAnsi="仿宋_GB2312" w:eastAsia="仿宋_GB2312" w:cs="仿宋_GB2312"/>
                <w:color w:val="auto"/>
                <w:sz w:val="24"/>
                <w:szCs w:val="24"/>
              </w:rPr>
            </w:pPr>
          </w:p>
        </w:tc>
      </w:tr>
    </w:tbl>
    <w:p w14:paraId="66A94A20">
      <w:pPr>
        <w:spacing w:line="44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二、服务方式和服务地点</w:t>
      </w:r>
    </w:p>
    <w:p w14:paraId="4AAA9834">
      <w:pPr>
        <w:spacing w:line="440" w:lineRule="exact"/>
        <w:ind w:firstLine="480" w:firstLineChars="200"/>
        <w:rPr>
          <w:rFonts w:hint="eastAsia" w:ascii="宋体" w:hAnsi="宋体" w:cs="宋体"/>
          <w:color w:val="auto"/>
          <w:sz w:val="24"/>
          <w:szCs w:val="24"/>
          <w:u w:val="single"/>
        </w:rPr>
      </w:pPr>
      <w:r>
        <w:rPr>
          <w:rFonts w:hint="eastAsia" w:ascii="宋体" w:hAnsi="宋体" w:cs="宋体"/>
          <w:color w:val="auto"/>
          <w:sz w:val="24"/>
          <w:szCs w:val="24"/>
        </w:rPr>
        <w:t xml:space="preserve">（一）服务方式： </w:t>
      </w:r>
      <w:r>
        <w:rPr>
          <w:rFonts w:hint="eastAsia" w:ascii="宋体" w:hAnsi="宋体" w:cs="宋体"/>
          <w:color w:val="auto"/>
          <w:sz w:val="24"/>
          <w:szCs w:val="24"/>
          <w:u w:val="single"/>
        </w:rPr>
        <w:t xml:space="preserve">                   </w:t>
      </w:r>
    </w:p>
    <w:p w14:paraId="37920EC7">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（二）服务地点：</w:t>
      </w:r>
      <w:r>
        <w:rPr>
          <w:rFonts w:hint="eastAsia" w:ascii="宋体" w:hAnsi="宋体" w:cs="宋体"/>
          <w:color w:val="auto"/>
          <w:sz w:val="24"/>
          <w:szCs w:val="24"/>
          <w:u w:val="single"/>
        </w:rPr>
        <w:t xml:space="preserve">                    </w:t>
      </w:r>
    </w:p>
    <w:p w14:paraId="4109E67C">
      <w:pPr>
        <w:spacing w:line="44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三、供货清单</w:t>
      </w:r>
    </w:p>
    <w:p w14:paraId="1895F45B">
      <w:pPr>
        <w:spacing w:line="44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包括产品主机、随机备品备件、专用工具的名称及数量。（采购人对包装及运输有特别要求的，应作具体约定。）</w:t>
      </w:r>
    </w:p>
    <w:p w14:paraId="72837C63">
      <w:pPr>
        <w:spacing w:line="44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四、付款方式与条件</w:t>
      </w:r>
    </w:p>
    <w:p w14:paraId="130C5038">
      <w:pPr>
        <w:spacing w:line="440" w:lineRule="exact"/>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（一）货物交货付款</w:t>
      </w:r>
    </w:p>
    <w:p w14:paraId="7DA4A053">
      <w:pPr>
        <w:spacing w:line="440" w:lineRule="exact"/>
        <w:rPr>
          <w:rFonts w:hint="eastAsia" w:ascii="宋体" w:hAnsi="宋体" w:cs="宋体"/>
          <w:color w:val="auto"/>
          <w:sz w:val="24"/>
          <w:szCs w:val="24"/>
        </w:rPr>
      </w:pPr>
      <w:r>
        <w:rPr>
          <w:rFonts w:hint="eastAsia" w:ascii="宋体" w:hAnsi="宋体" w:cs="宋体"/>
          <w:color w:val="auto"/>
          <w:sz w:val="24"/>
          <w:szCs w:val="24"/>
        </w:rPr>
        <w:t xml:space="preserve">    全部货物</w:t>
      </w:r>
      <w:r>
        <w:rPr>
          <w:rFonts w:hint="eastAsia" w:ascii="宋体" w:hAnsi="宋体" w:cs="宋体"/>
          <w:color w:val="auto"/>
          <w:sz w:val="24"/>
          <w:szCs w:val="24"/>
          <w:lang w:eastAsia="zh-CN"/>
        </w:rPr>
        <w:t>到甲方指定地点后付合同总价的</w:t>
      </w:r>
      <w:r>
        <w:rPr>
          <w:rFonts w:hint="eastAsia" w:ascii="宋体" w:hAnsi="宋体" w:cs="宋体"/>
          <w:color w:val="auto"/>
          <w:sz w:val="24"/>
          <w:szCs w:val="24"/>
          <w:lang w:val="en-US" w:eastAsia="zh-CN"/>
        </w:rPr>
        <w:t>50%，</w:t>
      </w:r>
      <w:r>
        <w:rPr>
          <w:rFonts w:hint="eastAsia" w:ascii="宋体" w:hAnsi="宋体" w:cs="宋体"/>
          <w:color w:val="auto"/>
          <w:sz w:val="24"/>
          <w:szCs w:val="24"/>
        </w:rPr>
        <w:t>交货并经验收合格后，甲方凭收讫货物的验收凭证和货物验收合格文件等材料以</w:t>
      </w:r>
      <w:r>
        <w:rPr>
          <w:rFonts w:hint="eastAsia" w:ascii="宋体" w:hAnsi="宋体" w:cs="宋体"/>
          <w:color w:val="auto"/>
          <w:sz w:val="24"/>
          <w:szCs w:val="24"/>
          <w:u w:val="single"/>
        </w:rPr>
        <w:t xml:space="preserve">     </w:t>
      </w:r>
      <w:r>
        <w:rPr>
          <w:rFonts w:hint="eastAsia" w:ascii="宋体" w:hAnsi="宋体" w:cs="宋体"/>
          <w:color w:val="auto"/>
          <w:sz w:val="24"/>
          <w:szCs w:val="24"/>
        </w:rPr>
        <w:t>方式向乙方一次性支付</w:t>
      </w:r>
      <w:r>
        <w:rPr>
          <w:rFonts w:hint="eastAsia" w:ascii="宋体" w:hAnsi="宋体" w:cs="宋体"/>
          <w:color w:val="auto"/>
          <w:sz w:val="24"/>
          <w:szCs w:val="24"/>
          <w:lang w:eastAsia="zh-CN"/>
        </w:rPr>
        <w:t>货物总价的</w:t>
      </w:r>
      <w:r>
        <w:rPr>
          <w:rFonts w:hint="eastAsia" w:ascii="宋体" w:hAnsi="宋体" w:cs="宋体"/>
          <w:color w:val="auto"/>
          <w:sz w:val="24"/>
          <w:szCs w:val="24"/>
          <w:lang w:val="en-US" w:eastAsia="zh-CN"/>
        </w:rPr>
        <w:t xml:space="preserve"> </w:t>
      </w:r>
      <w:r>
        <w:rPr>
          <w:rFonts w:hint="eastAsia" w:ascii="宋体" w:hAnsi="宋体" w:cs="宋体"/>
          <w:color w:val="auto"/>
          <w:sz w:val="24"/>
          <w:szCs w:val="24"/>
          <w:u w:val="single"/>
          <w:lang w:val="en-US" w:eastAsia="zh-CN"/>
        </w:rPr>
        <w:t>48</w:t>
      </w:r>
      <w:r>
        <w:rPr>
          <w:rFonts w:hint="eastAsia" w:ascii="宋体" w:hAnsi="宋体" w:cs="宋体"/>
          <w:color w:val="auto"/>
          <w:sz w:val="24"/>
          <w:szCs w:val="24"/>
          <w:u w:val="single"/>
        </w:rPr>
        <w:t xml:space="preserve"> %</w:t>
      </w:r>
      <w:r>
        <w:rPr>
          <w:rFonts w:hint="eastAsia" w:ascii="宋体" w:hAnsi="宋体" w:cs="宋体"/>
          <w:color w:val="auto"/>
          <w:sz w:val="24"/>
          <w:szCs w:val="24"/>
        </w:rPr>
        <w:t>的货物价款。（若乙方有支付履约保证金的，可在支付货款时予以扣除。）</w:t>
      </w:r>
    </w:p>
    <w:p w14:paraId="60F97E34">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现场交货条件下，乙方要求付款应提交下列单证和文件。</w:t>
      </w:r>
    </w:p>
    <w:p w14:paraId="5428F8ED">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1.金额为有关合同货物价格</w:t>
      </w:r>
      <w:r>
        <w:rPr>
          <w:rFonts w:hint="eastAsia" w:ascii="宋体" w:hAnsi="宋体" w:cs="宋体"/>
          <w:color w:val="auto"/>
          <w:sz w:val="24"/>
          <w:szCs w:val="24"/>
          <w:u w:val="single"/>
        </w:rPr>
        <w:t xml:space="preserve">      %</w:t>
      </w:r>
      <w:r>
        <w:rPr>
          <w:rFonts w:hint="eastAsia" w:ascii="宋体" w:hAnsi="宋体" w:cs="宋体"/>
          <w:color w:val="auto"/>
          <w:sz w:val="24"/>
          <w:szCs w:val="24"/>
        </w:rPr>
        <w:t>的正式发票。</w:t>
      </w:r>
    </w:p>
    <w:p w14:paraId="2C15F2E7">
      <w:pPr>
        <w:spacing w:line="440" w:lineRule="exact"/>
        <w:rPr>
          <w:rFonts w:hint="eastAsia" w:ascii="宋体" w:hAnsi="宋体" w:cs="宋体"/>
          <w:color w:val="auto"/>
          <w:sz w:val="24"/>
          <w:szCs w:val="24"/>
        </w:rPr>
      </w:pPr>
      <w:r>
        <w:rPr>
          <w:rFonts w:hint="eastAsia" w:ascii="宋体" w:hAnsi="宋体" w:cs="宋体"/>
          <w:color w:val="auto"/>
          <w:sz w:val="24"/>
          <w:szCs w:val="24"/>
        </w:rPr>
        <w:t xml:space="preserve">    2.制造厂家出具的货物质量合格证书。</w:t>
      </w:r>
    </w:p>
    <w:p w14:paraId="7828E272">
      <w:pPr>
        <w:spacing w:line="440" w:lineRule="exact"/>
        <w:rPr>
          <w:rFonts w:hint="eastAsia" w:ascii="宋体" w:hAnsi="宋体" w:cs="宋体"/>
          <w:color w:val="auto"/>
          <w:sz w:val="24"/>
          <w:szCs w:val="24"/>
        </w:rPr>
      </w:pPr>
      <w:r>
        <w:rPr>
          <w:rFonts w:hint="eastAsia" w:ascii="宋体" w:hAnsi="宋体" w:cs="宋体"/>
          <w:color w:val="auto"/>
          <w:sz w:val="24"/>
          <w:szCs w:val="24"/>
        </w:rPr>
        <w:t xml:space="preserve">    3.甲方已收讫货物的验收凭证。</w:t>
      </w:r>
    </w:p>
    <w:p w14:paraId="451D19A7">
      <w:pPr>
        <w:spacing w:line="440" w:lineRule="exact"/>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1.质量要求和技术标准</w:t>
      </w:r>
    </w:p>
    <w:p w14:paraId="5038DE1B">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质量条款可细分为产品质量、包装质量、技术资料质量等内容。</w:t>
      </w:r>
    </w:p>
    <w:p w14:paraId="284653EE">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（质量要求和技术标准应按招标文件要求填列。）</w:t>
      </w:r>
    </w:p>
    <w:p w14:paraId="0D8F0C1B">
      <w:pPr>
        <w:spacing w:line="440" w:lineRule="exact"/>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2.安装调试、技术服务、人员培训及技术资料</w:t>
      </w:r>
    </w:p>
    <w:p w14:paraId="5236F417">
      <w:pPr>
        <w:spacing w:line="440" w:lineRule="exact"/>
        <w:rPr>
          <w:rFonts w:hint="eastAsia" w:ascii="宋体" w:hAnsi="宋体" w:cs="宋体"/>
          <w:color w:val="auto"/>
          <w:sz w:val="24"/>
          <w:szCs w:val="24"/>
        </w:rPr>
      </w:pPr>
      <w:r>
        <w:rPr>
          <w:rFonts w:hint="eastAsia" w:ascii="宋体" w:hAnsi="宋体" w:cs="宋体"/>
          <w:color w:val="auto"/>
          <w:sz w:val="24"/>
          <w:szCs w:val="24"/>
        </w:rPr>
        <w:t xml:space="preserve">  （ 安装调试、技术服务、人员培训及技术资料应按招标文件要求填列。）</w:t>
      </w:r>
    </w:p>
    <w:p w14:paraId="1F100786">
      <w:pPr>
        <w:spacing w:line="440" w:lineRule="exact"/>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3.验收</w:t>
      </w:r>
    </w:p>
    <w:p w14:paraId="21A10169">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（货物验收标准和方法应按招标文件要求填列。）验收结果经双方确认后，双方代表必须按规定的验收交接单上的项目对照本合同填好验收结果并签名盖章。</w:t>
      </w:r>
    </w:p>
    <w:p w14:paraId="50B5C75B">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验收可细分为到货时的外在质量的验收，投产前的质量验收，大型设备可能还存在更多的验收步骤和验收方式，采购人可在招标文件中细化规定。</w:t>
      </w:r>
    </w:p>
    <w:p w14:paraId="3275D3D5">
      <w:pPr>
        <w:spacing w:line="440" w:lineRule="exact"/>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（三）质量保证</w:t>
      </w:r>
    </w:p>
    <w:p w14:paraId="0DC8F319">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各合同包货物质保期要求均为货物经最终验收合格后 </w:t>
      </w:r>
      <w:r>
        <w:rPr>
          <w:rFonts w:hint="eastAsia" w:ascii="宋体" w:hAnsi="宋体" w:cs="宋体"/>
          <w:color w:val="auto"/>
          <w:sz w:val="24"/>
          <w:szCs w:val="24"/>
          <w:u w:val="single"/>
        </w:rPr>
        <w:t xml:space="preserve">    </w:t>
      </w:r>
      <w:r>
        <w:rPr>
          <w:rFonts w:hint="eastAsia" w:ascii="宋体" w:hAnsi="宋体" w:cs="宋体"/>
          <w:color w:val="auto"/>
          <w:sz w:val="24"/>
          <w:szCs w:val="24"/>
        </w:rPr>
        <w:t>个月，在质量保证期内设备运行发生故障时，乙方在接到甲方故障通知后</w:t>
      </w:r>
      <w:r>
        <w:rPr>
          <w:rFonts w:hint="eastAsia" w:ascii="宋体" w:hAnsi="宋体" w:cs="宋体"/>
          <w:color w:val="auto"/>
          <w:sz w:val="24"/>
          <w:szCs w:val="24"/>
          <w:u w:val="single"/>
        </w:rPr>
        <w:t xml:space="preserve">   </w:t>
      </w:r>
      <w:r>
        <w:rPr>
          <w:rFonts w:hint="eastAsia" w:ascii="宋体" w:hAnsi="宋体" w:cs="宋体"/>
          <w:color w:val="auto"/>
          <w:sz w:val="24"/>
          <w:szCs w:val="24"/>
        </w:rPr>
        <w:t>小时内应委派专业技术人员到现场免费提供咨询、维修和更换零部件等服务，并及时填写维修报告（包括故障原因、处理情况及甲方意见等）报甲方备案，若</w:t>
      </w:r>
      <w:r>
        <w:rPr>
          <w:rFonts w:hint="eastAsia" w:ascii="宋体" w:hAnsi="宋体" w:cs="宋体"/>
          <w:color w:val="auto"/>
          <w:sz w:val="24"/>
          <w:szCs w:val="24"/>
          <w:u w:val="single"/>
        </w:rPr>
        <w:t xml:space="preserve">    </w:t>
      </w:r>
      <w:r>
        <w:rPr>
          <w:rFonts w:hint="eastAsia" w:ascii="宋体" w:hAnsi="宋体" w:cs="宋体"/>
          <w:color w:val="auto"/>
          <w:sz w:val="24"/>
          <w:szCs w:val="24"/>
        </w:rPr>
        <w:t>小时内无法排除故障，则应先提供同档次备用机供甲方使用。其中发生一切费用由乙方承担。质量保证期内乙方有责任对设备进行不定期的巡查检修。投标人视自身能力在投标文件中提供更优、更合理的维修服务承诺。</w:t>
      </w:r>
    </w:p>
    <w:p w14:paraId="287B7AAB">
      <w:pPr>
        <w:spacing w:line="440" w:lineRule="exact"/>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（四）知识产权：</w:t>
      </w:r>
    </w:p>
    <w:p w14:paraId="26F758B0">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14:paraId="32893C8F">
      <w:pPr>
        <w:spacing w:line="440" w:lineRule="exact"/>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（五）违约责任</w:t>
      </w:r>
    </w:p>
    <w:p w14:paraId="4E3D7F42">
      <w:pPr>
        <w:spacing w:line="440" w:lineRule="exact"/>
        <w:ind w:firstLine="240" w:firstLineChars="100"/>
        <w:rPr>
          <w:rFonts w:hint="eastAsia" w:ascii="宋体" w:hAnsi="宋体" w:cs="宋体"/>
          <w:color w:val="auto"/>
          <w:sz w:val="24"/>
          <w:szCs w:val="24"/>
          <w:u w:val="single"/>
        </w:rPr>
      </w:pPr>
      <w:r>
        <w:rPr>
          <w:rFonts w:hint="eastAsia" w:ascii="宋体" w:hAnsi="宋体" w:cs="宋体"/>
          <w:color w:val="auto"/>
          <w:sz w:val="24"/>
          <w:szCs w:val="24"/>
        </w:rPr>
        <w:t>未按期交货的违约责任：</w:t>
      </w:r>
      <w:r>
        <w:rPr>
          <w:rFonts w:hint="eastAsia" w:ascii="宋体" w:hAnsi="宋体" w:cs="宋体"/>
          <w:color w:val="auto"/>
          <w:sz w:val="24"/>
          <w:szCs w:val="24"/>
          <w:u w:val="single"/>
        </w:rPr>
        <w:t xml:space="preserve">                                     </w:t>
      </w:r>
    </w:p>
    <w:p w14:paraId="2B5301D4">
      <w:pPr>
        <w:spacing w:line="440" w:lineRule="exact"/>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（六）违约终止合同</w:t>
      </w:r>
    </w:p>
    <w:p w14:paraId="16D1CB42">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14:paraId="548A7F26">
      <w:pPr>
        <w:spacing w:line="440" w:lineRule="exact"/>
        <w:rPr>
          <w:rFonts w:hint="eastAsia" w:ascii="宋体" w:hAnsi="宋体" w:cs="宋体"/>
          <w:color w:val="auto"/>
          <w:sz w:val="24"/>
          <w:szCs w:val="24"/>
        </w:rPr>
      </w:pPr>
      <w:r>
        <w:rPr>
          <w:rFonts w:hint="eastAsia" w:ascii="宋体" w:hAnsi="宋体" w:cs="宋体"/>
          <w:color w:val="auto"/>
          <w:sz w:val="24"/>
          <w:szCs w:val="24"/>
        </w:rPr>
        <w:t xml:space="preserve">    2.如果乙方未能在合同规定的期限内或双方另行确定的延期交货时间内交付合同约定的货物。</w:t>
      </w:r>
    </w:p>
    <w:p w14:paraId="1664E35A">
      <w:pPr>
        <w:spacing w:line="440" w:lineRule="exact"/>
        <w:rPr>
          <w:rFonts w:hint="eastAsia" w:ascii="宋体" w:hAnsi="宋体" w:cs="宋体"/>
          <w:color w:val="auto"/>
          <w:sz w:val="24"/>
          <w:szCs w:val="24"/>
        </w:rPr>
      </w:pPr>
      <w:r>
        <w:rPr>
          <w:rFonts w:hint="eastAsia" w:ascii="宋体" w:hAnsi="宋体" w:cs="宋体"/>
          <w:color w:val="auto"/>
          <w:sz w:val="24"/>
          <w:szCs w:val="24"/>
        </w:rPr>
        <w:t xml:space="preserve">    3.乙方未能履行合同项下的任何其他义务。</w:t>
      </w:r>
    </w:p>
    <w:p w14:paraId="66E83C3B">
      <w:pPr>
        <w:spacing w:line="440" w:lineRule="exact"/>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（七）不可抗力</w:t>
      </w:r>
    </w:p>
    <w:p w14:paraId="497D161E">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303C70D4">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14:paraId="090B438E">
      <w:pPr>
        <w:spacing w:line="440" w:lineRule="exact"/>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（八）合同纠纷处理方式</w:t>
      </w:r>
    </w:p>
    <w:p w14:paraId="43F0FDEE">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因本合同或与本合同有关的一切事项发生争议，由双方友好协商解决。协商不成的，任何一方均可选择以下任一方式解决：</w:t>
      </w:r>
    </w:p>
    <w:p w14:paraId="286036EF">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）向</w:t>
      </w:r>
      <w:r>
        <w:rPr>
          <w:rFonts w:hint="eastAsia" w:ascii="宋体" w:hAnsi="宋体" w:cs="宋体"/>
          <w:color w:val="auto"/>
          <w:sz w:val="24"/>
          <w:szCs w:val="24"/>
          <w:u w:val="single"/>
        </w:rPr>
        <w:t>（甲方所在地）</w:t>
      </w:r>
      <w:r>
        <w:rPr>
          <w:rFonts w:hint="eastAsia" w:ascii="宋体" w:hAnsi="宋体" w:cs="宋体"/>
          <w:color w:val="auto"/>
          <w:sz w:val="24"/>
          <w:szCs w:val="24"/>
        </w:rPr>
        <w:t>仲裁委员会申请仲裁；</w:t>
      </w:r>
    </w:p>
    <w:p w14:paraId="1C1C8779">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）向有管辖权的人民法院提起诉讼。</w:t>
      </w:r>
    </w:p>
    <w:p w14:paraId="7FAF5E63">
      <w:pPr>
        <w:spacing w:line="440" w:lineRule="exact"/>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（九）其他约定</w:t>
      </w:r>
    </w:p>
    <w:p w14:paraId="62DA1F67">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1.本采购项目的招标文件、中标人的投标文件以及相关的澄清确认函（如果有的话）均为本合同不可分割的一部分，与本合同具有同等法律效力。</w:t>
      </w:r>
    </w:p>
    <w:p w14:paraId="34CF65FC">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2.本合同未尽事宜，双方另行补充。</w:t>
      </w:r>
    </w:p>
    <w:p w14:paraId="556D2430">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3.本合同一式三份，经双方授权代表签字并加盖公章后生效。甲方、乙方各执一份，送招标代理机构各备案一份，具有同等效力。</w:t>
      </w:r>
    </w:p>
    <w:p w14:paraId="0F334432">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4.甲方应当自合同签订之日起2个工作日内，将合同在贵州省政府采购网上公告，但合同中涉及国家秘密、商业秘密的内容除外。</w:t>
      </w:r>
    </w:p>
    <w:p w14:paraId="2FE363E9">
      <w:pPr>
        <w:pStyle w:val="161"/>
        <w:ind w:firstLine="0" w:firstLineChars="0"/>
        <w:rPr>
          <w:rFonts w:hint="eastAsia" w:ascii="宋体" w:hAnsi="宋体" w:cs="宋体"/>
          <w:color w:val="auto"/>
          <w:sz w:val="24"/>
          <w:szCs w:val="24"/>
        </w:rPr>
      </w:pPr>
    </w:p>
    <w:tbl>
      <w:tblPr>
        <w:tblStyle w:val="44"/>
        <w:tblpPr w:leftFromText="180" w:rightFromText="180" w:vertAnchor="text" w:horzAnchor="page" w:tblpX="1908" w:tblpY="437"/>
        <w:tblOverlap w:val="never"/>
        <w:tblW w:w="0" w:type="auto"/>
        <w:tblInd w:w="0" w:type="dxa"/>
        <w:tblLayout w:type="fixed"/>
        <w:tblCellMar>
          <w:top w:w="0" w:type="dxa"/>
          <w:left w:w="108" w:type="dxa"/>
          <w:bottom w:w="0" w:type="dxa"/>
          <w:right w:w="108" w:type="dxa"/>
        </w:tblCellMar>
      </w:tblPr>
      <w:tblGrid>
        <w:gridCol w:w="1390"/>
        <w:gridCol w:w="2872"/>
        <w:gridCol w:w="1375"/>
        <w:gridCol w:w="3138"/>
      </w:tblGrid>
      <w:tr w14:paraId="648E9314">
        <w:tblPrEx>
          <w:tblCellMar>
            <w:top w:w="0" w:type="dxa"/>
            <w:left w:w="108" w:type="dxa"/>
            <w:bottom w:w="0" w:type="dxa"/>
            <w:right w:w="108" w:type="dxa"/>
          </w:tblCellMar>
        </w:tblPrEx>
        <w:trPr>
          <w:trHeight w:val="567" w:hRule="atLeast"/>
        </w:trPr>
        <w:tc>
          <w:tcPr>
            <w:tcW w:w="1390" w:type="dxa"/>
            <w:noWrap w:val="0"/>
            <w:vAlign w:val="top"/>
          </w:tcPr>
          <w:p w14:paraId="313F4745">
            <w:pPr>
              <w:pStyle w:val="81"/>
              <w:spacing w:line="360" w:lineRule="auto"/>
              <w:jc w:val="center"/>
              <w:rPr>
                <w:rFonts w:hint="eastAsia" w:ascii="宋体" w:hAnsi="宋体" w:cs="宋体"/>
                <w:b/>
                <w:color w:val="auto"/>
                <w:sz w:val="24"/>
              </w:rPr>
            </w:pPr>
            <w:r>
              <w:rPr>
                <w:rFonts w:hint="eastAsia" w:ascii="宋体" w:hAnsi="宋体" w:cs="宋体"/>
                <w:b/>
                <w:color w:val="auto"/>
                <w:sz w:val="24"/>
              </w:rPr>
              <w:t>甲    方：</w:t>
            </w:r>
          </w:p>
        </w:tc>
        <w:tc>
          <w:tcPr>
            <w:tcW w:w="2872" w:type="dxa"/>
            <w:noWrap w:val="0"/>
            <w:vAlign w:val="top"/>
          </w:tcPr>
          <w:p w14:paraId="54A5FBA5">
            <w:pPr>
              <w:pStyle w:val="81"/>
              <w:spacing w:line="360" w:lineRule="auto"/>
              <w:jc w:val="right"/>
              <w:rPr>
                <w:rFonts w:hint="eastAsia" w:ascii="宋体" w:hAnsi="宋体" w:cs="宋体"/>
                <w:color w:val="auto"/>
                <w:sz w:val="24"/>
              </w:rPr>
            </w:pPr>
            <w:r>
              <w:rPr>
                <w:rFonts w:hint="eastAsia" w:ascii="宋体" w:hAnsi="宋体" w:cs="宋体"/>
                <w:color w:val="auto"/>
                <w:sz w:val="24"/>
              </w:rPr>
              <w:t>（盖章）</w:t>
            </w:r>
          </w:p>
        </w:tc>
        <w:tc>
          <w:tcPr>
            <w:tcW w:w="1375" w:type="dxa"/>
            <w:noWrap w:val="0"/>
            <w:vAlign w:val="top"/>
          </w:tcPr>
          <w:p w14:paraId="7BC79ED2">
            <w:pPr>
              <w:pStyle w:val="81"/>
              <w:spacing w:line="360" w:lineRule="auto"/>
              <w:jc w:val="center"/>
              <w:rPr>
                <w:rFonts w:hint="eastAsia" w:ascii="宋体" w:hAnsi="宋体" w:cs="宋体"/>
                <w:b/>
                <w:color w:val="auto"/>
                <w:sz w:val="24"/>
              </w:rPr>
            </w:pPr>
            <w:r>
              <w:rPr>
                <w:rFonts w:hint="eastAsia" w:ascii="宋体" w:hAnsi="宋体" w:cs="宋体"/>
                <w:b/>
                <w:color w:val="auto"/>
                <w:sz w:val="24"/>
              </w:rPr>
              <w:t>乙    方：</w:t>
            </w:r>
          </w:p>
        </w:tc>
        <w:tc>
          <w:tcPr>
            <w:tcW w:w="3138" w:type="dxa"/>
            <w:noWrap w:val="0"/>
            <w:vAlign w:val="top"/>
          </w:tcPr>
          <w:p w14:paraId="0E2B68D8">
            <w:pPr>
              <w:pStyle w:val="81"/>
              <w:spacing w:line="360" w:lineRule="auto"/>
              <w:jc w:val="right"/>
              <w:rPr>
                <w:rFonts w:hint="eastAsia" w:ascii="宋体" w:hAnsi="宋体" w:cs="宋体"/>
                <w:color w:val="auto"/>
                <w:sz w:val="24"/>
              </w:rPr>
            </w:pPr>
            <w:r>
              <w:rPr>
                <w:rFonts w:hint="eastAsia" w:ascii="宋体" w:hAnsi="宋体" w:cs="宋体"/>
                <w:color w:val="auto"/>
                <w:sz w:val="24"/>
              </w:rPr>
              <w:t>（盖章）</w:t>
            </w:r>
          </w:p>
        </w:tc>
      </w:tr>
      <w:tr w14:paraId="5FA01A6F">
        <w:tblPrEx>
          <w:tblCellMar>
            <w:top w:w="0" w:type="dxa"/>
            <w:left w:w="108" w:type="dxa"/>
            <w:bottom w:w="0" w:type="dxa"/>
            <w:right w:w="108" w:type="dxa"/>
          </w:tblCellMar>
        </w:tblPrEx>
        <w:trPr>
          <w:trHeight w:val="567" w:hRule="atLeast"/>
        </w:trPr>
        <w:tc>
          <w:tcPr>
            <w:tcW w:w="1390" w:type="dxa"/>
            <w:noWrap w:val="0"/>
            <w:vAlign w:val="top"/>
          </w:tcPr>
          <w:p w14:paraId="2F1A2A92">
            <w:pPr>
              <w:pStyle w:val="81"/>
              <w:spacing w:line="360" w:lineRule="auto"/>
              <w:rPr>
                <w:rFonts w:hint="eastAsia" w:ascii="宋体" w:hAnsi="宋体" w:cs="宋体"/>
                <w:b/>
                <w:color w:val="auto"/>
                <w:sz w:val="24"/>
              </w:rPr>
            </w:pPr>
            <w:r>
              <w:rPr>
                <w:rFonts w:hint="eastAsia" w:ascii="宋体" w:hAnsi="宋体" w:cs="宋体"/>
                <w:b/>
                <w:color w:val="auto"/>
                <w:sz w:val="24"/>
              </w:rPr>
              <w:t>签约代表：</w:t>
            </w:r>
          </w:p>
        </w:tc>
        <w:tc>
          <w:tcPr>
            <w:tcW w:w="2872" w:type="dxa"/>
            <w:noWrap w:val="0"/>
            <w:vAlign w:val="top"/>
          </w:tcPr>
          <w:p w14:paraId="71FC88A5">
            <w:pPr>
              <w:pStyle w:val="81"/>
              <w:spacing w:line="360" w:lineRule="auto"/>
              <w:rPr>
                <w:rFonts w:hint="eastAsia" w:ascii="宋体" w:hAnsi="宋体" w:cs="宋体"/>
                <w:color w:val="auto"/>
                <w:sz w:val="24"/>
              </w:rPr>
            </w:pPr>
          </w:p>
        </w:tc>
        <w:tc>
          <w:tcPr>
            <w:tcW w:w="1375" w:type="dxa"/>
            <w:noWrap w:val="0"/>
            <w:vAlign w:val="top"/>
          </w:tcPr>
          <w:p w14:paraId="3737F4D6">
            <w:pPr>
              <w:pStyle w:val="81"/>
              <w:spacing w:line="360" w:lineRule="auto"/>
              <w:rPr>
                <w:rFonts w:hint="eastAsia" w:ascii="宋体" w:hAnsi="宋体" w:cs="宋体"/>
                <w:b/>
                <w:color w:val="auto"/>
                <w:sz w:val="24"/>
              </w:rPr>
            </w:pPr>
            <w:r>
              <w:rPr>
                <w:rFonts w:hint="eastAsia" w:ascii="宋体" w:hAnsi="宋体" w:cs="宋体"/>
                <w:b/>
                <w:color w:val="auto"/>
                <w:sz w:val="24"/>
              </w:rPr>
              <w:t>签约代表：</w:t>
            </w:r>
          </w:p>
        </w:tc>
        <w:tc>
          <w:tcPr>
            <w:tcW w:w="3138" w:type="dxa"/>
            <w:noWrap w:val="0"/>
            <w:vAlign w:val="top"/>
          </w:tcPr>
          <w:p w14:paraId="3EC7D3C4">
            <w:pPr>
              <w:pStyle w:val="81"/>
              <w:spacing w:line="360" w:lineRule="auto"/>
              <w:rPr>
                <w:rFonts w:hint="eastAsia" w:ascii="宋体" w:hAnsi="宋体" w:cs="宋体"/>
                <w:color w:val="auto"/>
                <w:sz w:val="24"/>
              </w:rPr>
            </w:pPr>
          </w:p>
        </w:tc>
      </w:tr>
      <w:tr w14:paraId="4D5F69DD">
        <w:tblPrEx>
          <w:tblCellMar>
            <w:top w:w="0" w:type="dxa"/>
            <w:left w:w="108" w:type="dxa"/>
            <w:bottom w:w="0" w:type="dxa"/>
            <w:right w:w="108" w:type="dxa"/>
          </w:tblCellMar>
        </w:tblPrEx>
        <w:trPr>
          <w:trHeight w:val="567" w:hRule="atLeast"/>
        </w:trPr>
        <w:tc>
          <w:tcPr>
            <w:tcW w:w="1390" w:type="dxa"/>
            <w:noWrap w:val="0"/>
            <w:vAlign w:val="top"/>
          </w:tcPr>
          <w:p w14:paraId="63CA29AF">
            <w:pPr>
              <w:pStyle w:val="81"/>
              <w:spacing w:line="360" w:lineRule="auto"/>
              <w:rPr>
                <w:rFonts w:hint="eastAsia" w:ascii="宋体" w:hAnsi="宋体" w:cs="宋体"/>
                <w:b/>
                <w:color w:val="auto"/>
                <w:sz w:val="24"/>
              </w:rPr>
            </w:pPr>
            <w:r>
              <w:rPr>
                <w:rFonts w:hint="eastAsia" w:ascii="宋体" w:hAnsi="宋体" w:cs="宋体"/>
                <w:b/>
                <w:color w:val="auto"/>
                <w:sz w:val="24"/>
              </w:rPr>
              <w:t>地    址：</w:t>
            </w:r>
          </w:p>
        </w:tc>
        <w:tc>
          <w:tcPr>
            <w:tcW w:w="2872" w:type="dxa"/>
            <w:noWrap w:val="0"/>
            <w:vAlign w:val="top"/>
          </w:tcPr>
          <w:p w14:paraId="2811E63B">
            <w:pPr>
              <w:pStyle w:val="81"/>
              <w:spacing w:line="360" w:lineRule="auto"/>
              <w:rPr>
                <w:rFonts w:hint="eastAsia" w:ascii="宋体" w:hAnsi="宋体" w:cs="宋体"/>
                <w:color w:val="auto"/>
                <w:sz w:val="24"/>
              </w:rPr>
            </w:pPr>
          </w:p>
        </w:tc>
        <w:tc>
          <w:tcPr>
            <w:tcW w:w="1375" w:type="dxa"/>
            <w:noWrap w:val="0"/>
            <w:vAlign w:val="top"/>
          </w:tcPr>
          <w:p w14:paraId="0CEF1BE9">
            <w:pPr>
              <w:pStyle w:val="81"/>
              <w:spacing w:line="360" w:lineRule="auto"/>
              <w:rPr>
                <w:rFonts w:hint="eastAsia" w:ascii="宋体" w:hAnsi="宋体" w:cs="宋体"/>
                <w:b/>
                <w:color w:val="auto"/>
                <w:sz w:val="24"/>
              </w:rPr>
            </w:pPr>
            <w:r>
              <w:rPr>
                <w:rFonts w:hint="eastAsia" w:ascii="宋体" w:hAnsi="宋体" w:cs="宋体"/>
                <w:b/>
                <w:color w:val="auto"/>
                <w:sz w:val="24"/>
              </w:rPr>
              <w:t>地    址：</w:t>
            </w:r>
          </w:p>
        </w:tc>
        <w:tc>
          <w:tcPr>
            <w:tcW w:w="3138" w:type="dxa"/>
            <w:noWrap w:val="0"/>
            <w:vAlign w:val="top"/>
          </w:tcPr>
          <w:p w14:paraId="33F93A4F">
            <w:pPr>
              <w:pStyle w:val="81"/>
              <w:spacing w:line="360" w:lineRule="auto"/>
              <w:rPr>
                <w:rFonts w:hint="eastAsia" w:ascii="宋体" w:hAnsi="宋体" w:cs="宋体"/>
                <w:color w:val="auto"/>
                <w:sz w:val="24"/>
              </w:rPr>
            </w:pPr>
          </w:p>
        </w:tc>
      </w:tr>
      <w:tr w14:paraId="1423CCE9">
        <w:trPr>
          <w:trHeight w:val="567" w:hRule="atLeast"/>
        </w:trPr>
        <w:tc>
          <w:tcPr>
            <w:tcW w:w="1390" w:type="dxa"/>
            <w:noWrap w:val="0"/>
            <w:vAlign w:val="top"/>
          </w:tcPr>
          <w:p w14:paraId="71B5232F">
            <w:pPr>
              <w:pStyle w:val="81"/>
              <w:spacing w:line="360" w:lineRule="auto"/>
              <w:rPr>
                <w:rFonts w:hint="eastAsia" w:ascii="宋体" w:hAnsi="宋体" w:cs="宋体"/>
                <w:b/>
                <w:color w:val="auto"/>
                <w:sz w:val="24"/>
              </w:rPr>
            </w:pPr>
            <w:r>
              <w:rPr>
                <w:rFonts w:hint="eastAsia" w:ascii="宋体" w:hAnsi="宋体" w:cs="宋体"/>
                <w:b/>
                <w:color w:val="auto"/>
                <w:sz w:val="24"/>
              </w:rPr>
              <w:t>电    话：</w:t>
            </w:r>
          </w:p>
        </w:tc>
        <w:tc>
          <w:tcPr>
            <w:tcW w:w="2872" w:type="dxa"/>
            <w:noWrap w:val="0"/>
            <w:vAlign w:val="top"/>
          </w:tcPr>
          <w:p w14:paraId="1398CA4D">
            <w:pPr>
              <w:pStyle w:val="81"/>
              <w:spacing w:line="360" w:lineRule="auto"/>
              <w:rPr>
                <w:rFonts w:hint="eastAsia" w:ascii="宋体" w:hAnsi="宋体" w:cs="宋体"/>
                <w:color w:val="auto"/>
                <w:sz w:val="24"/>
              </w:rPr>
            </w:pPr>
          </w:p>
        </w:tc>
        <w:tc>
          <w:tcPr>
            <w:tcW w:w="1375" w:type="dxa"/>
            <w:noWrap w:val="0"/>
            <w:vAlign w:val="top"/>
          </w:tcPr>
          <w:p w14:paraId="69F21DEB">
            <w:pPr>
              <w:pStyle w:val="81"/>
              <w:spacing w:line="360" w:lineRule="auto"/>
              <w:rPr>
                <w:rFonts w:hint="eastAsia" w:ascii="宋体" w:hAnsi="宋体" w:cs="宋体"/>
                <w:b/>
                <w:color w:val="auto"/>
                <w:sz w:val="24"/>
              </w:rPr>
            </w:pPr>
            <w:r>
              <w:rPr>
                <w:rFonts w:hint="eastAsia" w:ascii="宋体" w:hAnsi="宋体" w:cs="宋体"/>
                <w:b/>
                <w:color w:val="auto"/>
                <w:sz w:val="24"/>
              </w:rPr>
              <w:t>电    话：</w:t>
            </w:r>
          </w:p>
        </w:tc>
        <w:tc>
          <w:tcPr>
            <w:tcW w:w="3138" w:type="dxa"/>
            <w:noWrap w:val="0"/>
            <w:vAlign w:val="top"/>
          </w:tcPr>
          <w:p w14:paraId="51D99B9D">
            <w:pPr>
              <w:pStyle w:val="81"/>
              <w:spacing w:line="360" w:lineRule="auto"/>
              <w:rPr>
                <w:rFonts w:hint="eastAsia" w:ascii="宋体" w:hAnsi="宋体" w:cs="宋体"/>
                <w:color w:val="auto"/>
                <w:sz w:val="24"/>
              </w:rPr>
            </w:pPr>
          </w:p>
        </w:tc>
      </w:tr>
      <w:tr w14:paraId="15B7E1CB">
        <w:tblPrEx>
          <w:tblCellMar>
            <w:top w:w="0" w:type="dxa"/>
            <w:left w:w="108" w:type="dxa"/>
            <w:bottom w:w="0" w:type="dxa"/>
            <w:right w:w="108" w:type="dxa"/>
          </w:tblCellMar>
        </w:tblPrEx>
        <w:trPr>
          <w:trHeight w:val="567" w:hRule="atLeast"/>
        </w:trPr>
        <w:tc>
          <w:tcPr>
            <w:tcW w:w="1390" w:type="dxa"/>
            <w:noWrap w:val="0"/>
            <w:vAlign w:val="top"/>
          </w:tcPr>
          <w:p w14:paraId="41ACB876">
            <w:pPr>
              <w:pStyle w:val="81"/>
              <w:spacing w:line="360" w:lineRule="auto"/>
              <w:rPr>
                <w:rFonts w:hint="eastAsia" w:ascii="宋体" w:hAnsi="宋体" w:cs="宋体"/>
                <w:b/>
                <w:color w:val="auto"/>
                <w:sz w:val="24"/>
              </w:rPr>
            </w:pPr>
            <w:r>
              <w:rPr>
                <w:rFonts w:hint="eastAsia" w:ascii="宋体" w:hAnsi="宋体" w:cs="宋体"/>
                <w:b/>
                <w:color w:val="auto"/>
                <w:sz w:val="24"/>
              </w:rPr>
              <w:t>传    真：</w:t>
            </w:r>
          </w:p>
        </w:tc>
        <w:tc>
          <w:tcPr>
            <w:tcW w:w="2872" w:type="dxa"/>
            <w:noWrap w:val="0"/>
            <w:vAlign w:val="top"/>
          </w:tcPr>
          <w:p w14:paraId="50198C79">
            <w:pPr>
              <w:pStyle w:val="81"/>
              <w:spacing w:line="360" w:lineRule="auto"/>
              <w:rPr>
                <w:rFonts w:hint="eastAsia" w:ascii="宋体" w:hAnsi="宋体" w:cs="宋体"/>
                <w:color w:val="auto"/>
                <w:sz w:val="24"/>
              </w:rPr>
            </w:pPr>
          </w:p>
        </w:tc>
        <w:tc>
          <w:tcPr>
            <w:tcW w:w="1375" w:type="dxa"/>
            <w:noWrap w:val="0"/>
            <w:vAlign w:val="top"/>
          </w:tcPr>
          <w:p w14:paraId="6B4D7798">
            <w:pPr>
              <w:pStyle w:val="81"/>
              <w:spacing w:line="360" w:lineRule="auto"/>
              <w:rPr>
                <w:rFonts w:hint="eastAsia" w:ascii="宋体" w:hAnsi="宋体" w:cs="宋体"/>
                <w:b/>
                <w:color w:val="auto"/>
                <w:sz w:val="24"/>
              </w:rPr>
            </w:pPr>
            <w:r>
              <w:rPr>
                <w:rFonts w:hint="eastAsia" w:ascii="宋体" w:hAnsi="宋体" w:cs="宋体"/>
                <w:b/>
                <w:color w:val="auto"/>
                <w:sz w:val="24"/>
              </w:rPr>
              <w:t>传    真：</w:t>
            </w:r>
          </w:p>
        </w:tc>
        <w:tc>
          <w:tcPr>
            <w:tcW w:w="3138" w:type="dxa"/>
            <w:noWrap w:val="0"/>
            <w:vAlign w:val="top"/>
          </w:tcPr>
          <w:p w14:paraId="5FFE0950">
            <w:pPr>
              <w:pStyle w:val="81"/>
              <w:spacing w:line="360" w:lineRule="auto"/>
              <w:rPr>
                <w:rFonts w:hint="eastAsia" w:ascii="宋体" w:hAnsi="宋体" w:cs="宋体"/>
                <w:color w:val="auto"/>
                <w:sz w:val="24"/>
              </w:rPr>
            </w:pPr>
          </w:p>
        </w:tc>
      </w:tr>
      <w:tr w14:paraId="4ACD3C16">
        <w:tblPrEx>
          <w:tblCellMar>
            <w:top w:w="0" w:type="dxa"/>
            <w:left w:w="108" w:type="dxa"/>
            <w:bottom w:w="0" w:type="dxa"/>
            <w:right w:w="108" w:type="dxa"/>
          </w:tblCellMar>
        </w:tblPrEx>
        <w:trPr>
          <w:trHeight w:val="567" w:hRule="atLeast"/>
        </w:trPr>
        <w:tc>
          <w:tcPr>
            <w:tcW w:w="1390" w:type="dxa"/>
            <w:noWrap w:val="0"/>
            <w:vAlign w:val="top"/>
          </w:tcPr>
          <w:p w14:paraId="60EA7FF5">
            <w:pPr>
              <w:pStyle w:val="81"/>
              <w:spacing w:line="360" w:lineRule="auto"/>
              <w:rPr>
                <w:rFonts w:hint="eastAsia" w:ascii="宋体" w:hAnsi="宋体" w:cs="宋体"/>
                <w:b/>
                <w:color w:val="auto"/>
                <w:sz w:val="24"/>
              </w:rPr>
            </w:pPr>
            <w:r>
              <w:rPr>
                <w:rFonts w:hint="eastAsia" w:ascii="宋体" w:hAnsi="宋体" w:cs="宋体"/>
                <w:b/>
                <w:color w:val="auto"/>
                <w:sz w:val="24"/>
              </w:rPr>
              <w:t>签约日期：</w:t>
            </w:r>
          </w:p>
        </w:tc>
        <w:tc>
          <w:tcPr>
            <w:tcW w:w="2872" w:type="dxa"/>
            <w:noWrap w:val="0"/>
            <w:vAlign w:val="top"/>
          </w:tcPr>
          <w:p w14:paraId="67717E8C">
            <w:pPr>
              <w:pStyle w:val="81"/>
              <w:spacing w:line="360" w:lineRule="auto"/>
              <w:ind w:firstLine="240" w:firstLineChars="100"/>
              <w:rPr>
                <w:rFonts w:hint="eastAsia" w:ascii="宋体" w:hAnsi="宋体" w:cs="宋体"/>
                <w:color w:val="auto"/>
                <w:sz w:val="24"/>
              </w:rPr>
            </w:pPr>
            <w:r>
              <w:rPr>
                <w:rFonts w:hint="eastAsia" w:ascii="宋体" w:hAnsi="宋体" w:cs="宋体"/>
                <w:color w:val="auto"/>
                <w:sz w:val="24"/>
              </w:rPr>
              <w:t xml:space="preserve">     年    月   日</w:t>
            </w:r>
          </w:p>
        </w:tc>
        <w:tc>
          <w:tcPr>
            <w:tcW w:w="1375" w:type="dxa"/>
            <w:noWrap w:val="0"/>
            <w:vAlign w:val="top"/>
          </w:tcPr>
          <w:p w14:paraId="19AA4AAF">
            <w:pPr>
              <w:pStyle w:val="81"/>
              <w:spacing w:line="360" w:lineRule="auto"/>
              <w:rPr>
                <w:rFonts w:hint="eastAsia" w:ascii="宋体" w:hAnsi="宋体" w:cs="宋体"/>
                <w:b/>
                <w:color w:val="auto"/>
                <w:sz w:val="24"/>
              </w:rPr>
            </w:pPr>
            <w:r>
              <w:rPr>
                <w:rFonts w:hint="eastAsia" w:ascii="宋体" w:hAnsi="宋体" w:cs="宋体"/>
                <w:b/>
                <w:color w:val="auto"/>
                <w:sz w:val="24"/>
              </w:rPr>
              <w:t>签约日期：</w:t>
            </w:r>
          </w:p>
        </w:tc>
        <w:tc>
          <w:tcPr>
            <w:tcW w:w="3138" w:type="dxa"/>
            <w:noWrap w:val="0"/>
            <w:vAlign w:val="top"/>
          </w:tcPr>
          <w:p w14:paraId="55F0649A">
            <w:pPr>
              <w:pStyle w:val="81"/>
              <w:spacing w:line="360" w:lineRule="auto"/>
              <w:ind w:firstLine="240" w:firstLineChars="100"/>
              <w:rPr>
                <w:rFonts w:hint="eastAsia" w:ascii="宋体" w:hAnsi="宋体" w:cs="宋体"/>
                <w:color w:val="auto"/>
                <w:sz w:val="24"/>
              </w:rPr>
            </w:pPr>
            <w:r>
              <w:rPr>
                <w:rFonts w:hint="eastAsia" w:ascii="宋体" w:hAnsi="宋体" w:cs="宋体"/>
                <w:color w:val="auto"/>
                <w:sz w:val="24"/>
              </w:rPr>
              <w:t xml:space="preserve">     年    月    日</w:t>
            </w:r>
          </w:p>
        </w:tc>
      </w:tr>
    </w:tbl>
    <w:p w14:paraId="3510ED2A">
      <w:pPr>
        <w:pStyle w:val="161"/>
        <w:ind w:firstLine="0" w:firstLineChars="0"/>
        <w:rPr>
          <w:rFonts w:hint="eastAsia" w:ascii="宋体" w:hAnsi="宋体" w:cs="宋体"/>
          <w:b/>
          <w:bCs/>
          <w:color w:val="auto"/>
          <w:sz w:val="24"/>
          <w:szCs w:val="24"/>
        </w:rPr>
        <w:sectPr>
          <w:footerReference r:id="rId8" w:type="default"/>
          <w:pgSz w:w="11907" w:h="16840"/>
          <w:pgMar w:top="2098" w:right="1474" w:bottom="1984" w:left="1587" w:header="851" w:footer="992" w:gutter="0"/>
          <w:cols w:space="720" w:num="1"/>
        </w:sectPr>
      </w:pPr>
    </w:p>
    <w:bookmarkEnd w:id="125"/>
    <w:p w14:paraId="13B62D2E">
      <w:pPr>
        <w:pStyle w:val="2"/>
        <w:spacing w:before="200" w:after="200" w:line="700" w:lineRule="exact"/>
        <w:jc w:val="center"/>
        <w:rPr>
          <w:rFonts w:hint="eastAsia" w:ascii="方正小标宋简体" w:hAnsi="方正小标宋简体" w:eastAsia="方正小标宋简体" w:cs="方正小标宋简体"/>
          <w:b w:val="0"/>
          <w:color w:val="auto"/>
        </w:rPr>
      </w:pPr>
      <w:bookmarkStart w:id="126" w:name="_Toc42313166"/>
      <w:bookmarkStart w:id="127" w:name="_Toc98579005"/>
      <w:bookmarkStart w:id="128" w:name="_Toc46308526"/>
      <w:bookmarkStart w:id="129" w:name="_Toc41723930"/>
      <w:bookmarkStart w:id="130" w:name="_Toc98579604"/>
      <w:bookmarkStart w:id="131" w:name="_Toc98579063"/>
      <w:bookmarkStart w:id="132" w:name="_Toc41884700"/>
      <w:bookmarkStart w:id="133" w:name="_Toc98580287"/>
      <w:bookmarkStart w:id="134" w:name="_Toc401575151"/>
      <w:bookmarkStart w:id="135" w:name="_Toc42394511"/>
      <w:bookmarkStart w:id="136" w:name="_Toc101951264"/>
      <w:bookmarkStart w:id="137" w:name="_Toc46308682"/>
      <w:bookmarkStart w:id="138" w:name="_Toc50276194"/>
      <w:bookmarkStart w:id="139" w:name="_Toc98035087"/>
      <w:bookmarkStart w:id="140" w:name="_Toc101843126"/>
      <w:bookmarkStart w:id="141" w:name="_Toc101775126"/>
      <w:bookmarkStart w:id="142" w:name="_Toc403491567"/>
      <w:bookmarkStart w:id="143" w:name="_Toc101771373"/>
      <w:bookmarkStart w:id="144" w:name="_Toc42394667"/>
      <w:bookmarkStart w:id="145" w:name="_Toc50276151"/>
      <w:bookmarkStart w:id="146" w:name="_Toc175644395"/>
      <w:bookmarkStart w:id="147" w:name="_Toc50276205"/>
      <w:bookmarkStart w:id="148" w:name="_Toc98579012"/>
      <w:bookmarkStart w:id="149" w:name="_Toc42394518"/>
      <w:bookmarkStart w:id="150" w:name="_Toc98579070"/>
      <w:bookmarkStart w:id="151" w:name="_Toc50276166"/>
      <w:bookmarkStart w:id="152" w:name="_Toc41884707"/>
      <w:bookmarkStart w:id="153" w:name="_Toc98579611"/>
      <w:bookmarkStart w:id="154" w:name="_Toc42394674"/>
      <w:bookmarkStart w:id="155" w:name="_Toc41723937"/>
      <w:bookmarkStart w:id="156" w:name="_Toc98035090"/>
      <w:bookmarkStart w:id="157" w:name="_Toc42313173"/>
      <w:bookmarkStart w:id="158" w:name="_Toc46308532"/>
      <w:bookmarkStart w:id="159" w:name="_Toc46308688"/>
      <w:bookmarkStart w:id="160" w:name="_Toc98580294"/>
      <w:r>
        <w:rPr>
          <w:rFonts w:hint="eastAsia" w:ascii="方正小标宋简体" w:hAnsi="方正小标宋简体" w:eastAsia="方正小标宋简体" w:cs="方正小标宋简体"/>
          <w:b w:val="0"/>
          <w:color w:val="auto"/>
        </w:rPr>
        <w:t>第</w:t>
      </w:r>
      <w:r>
        <w:rPr>
          <w:rFonts w:hint="eastAsia" w:ascii="方正小标宋简体" w:hAnsi="方正小标宋简体" w:eastAsia="方正小标宋简体" w:cs="方正小标宋简体"/>
          <w:b w:val="0"/>
          <w:color w:val="auto"/>
          <w:lang w:eastAsia="zh-CN"/>
        </w:rPr>
        <w:t>五</w:t>
      </w:r>
      <w:r>
        <w:rPr>
          <w:rFonts w:hint="eastAsia" w:ascii="方正小标宋简体" w:hAnsi="方正小标宋简体" w:eastAsia="方正小标宋简体" w:cs="方正小标宋简体"/>
          <w:b w:val="0"/>
          <w:color w:val="auto"/>
        </w:rPr>
        <w:t>章 开标、评标和定标</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5C8A5640">
      <w:pPr>
        <w:spacing w:line="400" w:lineRule="exact"/>
        <w:ind w:firstLine="560" w:firstLineChars="200"/>
        <w:outlineLvl w:val="1"/>
        <w:rPr>
          <w:rFonts w:hint="eastAsia" w:ascii="黑体" w:hAnsi="黑体" w:eastAsia="黑体" w:cs="黑体"/>
          <w:bCs/>
          <w:color w:val="auto"/>
          <w:sz w:val="28"/>
          <w:szCs w:val="28"/>
        </w:rPr>
      </w:pPr>
      <w:bookmarkStart w:id="161" w:name="_Toc42315183"/>
      <w:bookmarkStart w:id="162" w:name="_Toc42394668"/>
      <w:bookmarkStart w:id="163" w:name="_Toc101843127"/>
      <w:bookmarkStart w:id="164" w:name="_Toc42329464"/>
      <w:bookmarkStart w:id="165" w:name="_Toc42316808"/>
      <w:bookmarkStart w:id="166" w:name="_Toc101951265"/>
      <w:bookmarkStart w:id="167" w:name="_Toc403491568"/>
      <w:bookmarkStart w:id="168" w:name="_Toc401575152"/>
      <w:bookmarkStart w:id="169" w:name="_Toc42315985"/>
      <w:bookmarkStart w:id="170" w:name="_Toc42394512"/>
      <w:bookmarkStart w:id="171" w:name="_Toc101771374"/>
      <w:bookmarkStart w:id="172" w:name="_Toc101775127"/>
      <w:bookmarkStart w:id="173" w:name="_Toc98580289"/>
      <w:bookmarkStart w:id="174" w:name="_Toc98579606"/>
      <w:bookmarkStart w:id="175" w:name="_Toc42394513"/>
      <w:bookmarkStart w:id="176" w:name="_Toc42394669"/>
      <w:bookmarkStart w:id="177" w:name="_Toc50276153"/>
      <w:bookmarkStart w:id="178" w:name="_Toc98579065"/>
      <w:bookmarkStart w:id="179" w:name="_Toc98579007"/>
      <w:bookmarkStart w:id="180" w:name="_Toc42313167"/>
      <w:bookmarkStart w:id="181" w:name="_Toc41884701"/>
      <w:bookmarkStart w:id="182" w:name="_Toc41723931"/>
      <w:r>
        <w:rPr>
          <w:rFonts w:hint="eastAsia" w:ascii="黑体" w:hAnsi="黑体" w:eastAsia="黑体" w:cs="黑体"/>
          <w:bCs/>
          <w:color w:val="auto"/>
          <w:sz w:val="28"/>
          <w:szCs w:val="28"/>
        </w:rPr>
        <w:t>一、开标</w:t>
      </w:r>
      <w:bookmarkEnd w:id="161"/>
      <w:bookmarkEnd w:id="162"/>
      <w:bookmarkEnd w:id="163"/>
      <w:bookmarkEnd w:id="164"/>
      <w:bookmarkEnd w:id="165"/>
      <w:bookmarkEnd w:id="166"/>
      <w:bookmarkEnd w:id="167"/>
      <w:bookmarkEnd w:id="168"/>
      <w:bookmarkEnd w:id="169"/>
      <w:bookmarkEnd w:id="170"/>
      <w:bookmarkEnd w:id="171"/>
      <w:bookmarkEnd w:id="172"/>
    </w:p>
    <w:p w14:paraId="3BEEA9B1">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14:paraId="152CABD6">
      <w:pPr>
        <w:spacing w:line="400" w:lineRule="exact"/>
        <w:ind w:firstLine="482" w:firstLineChars="200"/>
        <w:rPr>
          <w:rFonts w:hint="eastAsia" w:ascii="宋体" w:hAnsi="宋体" w:cs="宋体"/>
          <w:color w:val="auto"/>
          <w:sz w:val="24"/>
          <w:szCs w:val="24"/>
        </w:rPr>
      </w:pPr>
      <w:r>
        <w:rPr>
          <w:rFonts w:hint="eastAsia" w:ascii="宋体" w:hAnsi="宋体" w:cs="宋体"/>
          <w:b/>
          <w:bCs/>
          <w:color w:val="auto"/>
          <w:sz w:val="24"/>
          <w:szCs w:val="24"/>
        </w:rPr>
        <w:t>采用现场电子开标的：</w:t>
      </w:r>
      <w:r>
        <w:rPr>
          <w:rFonts w:hint="eastAsia" w:ascii="宋体" w:hAnsi="宋体" w:cs="宋体"/>
          <w:color w:val="auto"/>
          <w:sz w:val="24"/>
          <w:szCs w:val="24"/>
        </w:rPr>
        <w:t>投标人的法定代表人或其委托代理人应当按照本招标公告载明的时间和地点前往参加开标，并携带编制本项目（采购包）电子投标文件时加密所用的数字证书、存储有备用电子投标文件的U盘前往开标现场。</w:t>
      </w:r>
    </w:p>
    <w:p w14:paraId="3E700CD1">
      <w:pPr>
        <w:spacing w:line="400" w:lineRule="exact"/>
        <w:ind w:firstLine="482" w:firstLineChars="200"/>
        <w:rPr>
          <w:rFonts w:hint="eastAsia" w:ascii="宋体" w:hAnsi="宋体" w:cs="宋体"/>
          <w:color w:val="auto"/>
          <w:sz w:val="24"/>
          <w:szCs w:val="24"/>
        </w:rPr>
      </w:pPr>
      <w:r>
        <w:rPr>
          <w:rFonts w:hint="eastAsia" w:ascii="宋体" w:hAnsi="宋体" w:cs="宋体"/>
          <w:b/>
          <w:bCs/>
          <w:color w:val="auto"/>
          <w:sz w:val="24"/>
          <w:szCs w:val="24"/>
        </w:rPr>
        <w:t>采用远程电子开标的</w:t>
      </w:r>
      <w:r>
        <w:rPr>
          <w:rFonts w:hint="eastAsia" w:ascii="宋体" w:hAnsi="宋体" w:cs="宋体"/>
          <w:color w:val="auto"/>
          <w:sz w:val="24"/>
          <w:szCs w:val="24"/>
        </w:rPr>
        <w:t>：投标人的法定代表人或其授权代表应当按照本招标公告载明的时间和模式等要求参加开标。在投标截止时间前30分钟，应当登录不见面系统开标大厅进行签到，并且填写授权代表的姓名与手机号码。若因签到时填写的授权代表信息有误而导致的不良后果，由供应商自行承担。</w:t>
      </w:r>
    </w:p>
    <w:p w14:paraId="14E71854">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6F0EB735">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投标处理。解密时间截止后，交易中心电子开标系统自动提取所有投标文件，获取投标保证金交纳情况（如有），投标文件提交及解密情况。 </w:t>
      </w:r>
    </w:p>
    <w:p w14:paraId="7BFCC770">
      <w:pPr>
        <w:spacing w:line="400" w:lineRule="exact"/>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（二）开标异议</w:t>
      </w:r>
    </w:p>
    <w:p w14:paraId="445573EF">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投标人代表对开标过程和开标记录有疑义，以及认为采购人、采购代理机构相关工作人员有需要回避的情形的，应当场提出询问或者回避申请。投标人未参加开标的，视同认可开标结果。</w:t>
      </w:r>
    </w:p>
    <w:p w14:paraId="047347FD">
      <w:pPr>
        <w:spacing w:line="400" w:lineRule="exact"/>
        <w:ind w:firstLine="480" w:firstLineChars="200"/>
        <w:rPr>
          <w:rFonts w:hint="eastAsia" w:ascii="宋体" w:hAnsi="宋体" w:cs="宋体"/>
          <w:b/>
          <w:color w:val="auto"/>
          <w:sz w:val="24"/>
          <w:szCs w:val="24"/>
        </w:rPr>
      </w:pPr>
      <w:r>
        <w:rPr>
          <w:rFonts w:hint="eastAsia" w:ascii="宋体" w:hAnsi="宋体" w:cs="宋体"/>
          <w:color w:val="auto"/>
          <w:sz w:val="24"/>
          <w:szCs w:val="24"/>
        </w:rPr>
        <w:t>（三）投标截止时间后，投标人不足须知约定的有效供应商家数的，不得开标。同时，本次采购活动结束。</w:t>
      </w:r>
      <w:bookmarkStart w:id="183" w:name="_Toc101843128"/>
      <w:bookmarkStart w:id="184" w:name="_Toc101775128"/>
      <w:bookmarkStart w:id="185" w:name="_Toc101951266"/>
      <w:bookmarkStart w:id="186" w:name="_Toc101771375"/>
      <w:bookmarkStart w:id="187" w:name="_Toc403491569"/>
      <w:bookmarkStart w:id="188" w:name="_Toc401575153"/>
    </w:p>
    <w:p w14:paraId="262E596C">
      <w:pPr>
        <w:spacing w:line="40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（四）开标时出现下列情况的，视为投标无效处理：</w:t>
      </w:r>
    </w:p>
    <w:p w14:paraId="175F19D3">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1.经检查数字证书无效的；</w:t>
      </w:r>
    </w:p>
    <w:p w14:paraId="642DB832">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2.因投标人自身原因，未在规定时间内完成电子投标文件解密的；</w:t>
      </w:r>
    </w:p>
    <w:p w14:paraId="62D81376">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3.如需使用备用电子投标文件解密时，在规定的解密时间内无法提供备用电子投标文件或提供的备用电子投标文件与加密的电子投标文件版本不一致（即两份文件不是投标客户端编制同时生成的）。</w:t>
      </w:r>
    </w:p>
    <w:p w14:paraId="1C437A1E">
      <w:pPr>
        <w:spacing w:line="400" w:lineRule="exact"/>
        <w:ind w:firstLine="560" w:firstLineChars="200"/>
        <w:rPr>
          <w:rFonts w:hint="eastAsia" w:ascii="黑体" w:hAnsi="黑体" w:eastAsia="黑体" w:cs="黑体"/>
          <w:bCs/>
          <w:color w:val="auto"/>
          <w:sz w:val="28"/>
          <w:szCs w:val="28"/>
        </w:rPr>
      </w:pPr>
      <w:r>
        <w:rPr>
          <w:rFonts w:hint="eastAsia" w:ascii="黑体" w:hAnsi="黑体" w:eastAsia="黑体" w:cs="黑体"/>
          <w:bCs/>
          <w:color w:val="auto"/>
          <w:sz w:val="28"/>
          <w:szCs w:val="28"/>
        </w:rPr>
        <w:t>二、评标</w:t>
      </w:r>
    </w:p>
    <w:p w14:paraId="5E7E710B">
      <w:pPr>
        <w:spacing w:line="40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（一）评标</w:t>
      </w:r>
      <w:bookmarkEnd w:id="173"/>
      <w:bookmarkEnd w:id="174"/>
      <w:bookmarkEnd w:id="175"/>
      <w:bookmarkEnd w:id="176"/>
      <w:bookmarkEnd w:id="177"/>
      <w:bookmarkEnd w:id="178"/>
      <w:bookmarkEnd w:id="179"/>
      <w:bookmarkEnd w:id="183"/>
      <w:bookmarkEnd w:id="184"/>
      <w:bookmarkEnd w:id="185"/>
      <w:bookmarkEnd w:id="186"/>
      <w:r>
        <w:rPr>
          <w:rFonts w:hint="eastAsia" w:ascii="宋体" w:hAnsi="宋体" w:cs="宋体"/>
          <w:b/>
          <w:color w:val="auto"/>
          <w:sz w:val="24"/>
          <w:szCs w:val="24"/>
        </w:rPr>
        <w:t>委员会</w:t>
      </w:r>
      <w:bookmarkEnd w:id="187"/>
      <w:bookmarkEnd w:id="188"/>
    </w:p>
    <w:p w14:paraId="1F86E7B8">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1.本次招标依法组建评标委员会。评标委员会</w:t>
      </w:r>
      <w:bookmarkStart w:id="189" w:name="EB1d03d29eb84a44949659850b5a6a1fbe"/>
      <w:r>
        <w:rPr>
          <w:rFonts w:hint="eastAsia" w:ascii="宋体" w:hAnsi="宋体" w:cs="宋体"/>
          <w:color w:val="auto"/>
          <w:sz w:val="24"/>
          <w:szCs w:val="24"/>
        </w:rPr>
        <w:t>由采购人的代表和</w:t>
      </w:r>
      <w:bookmarkEnd w:id="189"/>
      <w:r>
        <w:rPr>
          <w:rFonts w:hint="eastAsia" w:ascii="宋体" w:hAnsi="宋体" w:cs="宋体"/>
          <w:color w:val="auto"/>
          <w:sz w:val="24"/>
          <w:szCs w:val="24"/>
        </w:rPr>
        <w:t>从贵州省综合评标专家库随机抽取的专家组成，如采购人不派代表评审，则评标委员会全部由专家组成。评标委员会将本着公平、公正、科学、择优的原则，严格按照法律法规和招标文件设定的程序和规则推荐评审结果，任何单位和个人不得非法干预或者影响评标过程和结果。</w:t>
      </w:r>
    </w:p>
    <w:p w14:paraId="50C3AF96">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2.评标应遵守下列评标纪律：</w:t>
      </w:r>
    </w:p>
    <w:p w14:paraId="5E134D98">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（1）评标情况不得私自外泄，有关信息由采购代理机构中心统一对外发布。</w:t>
      </w:r>
    </w:p>
    <w:p w14:paraId="403DD78E">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（2）对采购代理机构或投标人提供的要求保密的资料，不得摘记翻印和外传。</w:t>
      </w:r>
    </w:p>
    <w:p w14:paraId="04DF3785">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（3）不得收受投标供应商或有关人员的任何礼物，不得串联鼓动其他人袒护某投标人。若与投标人存在利害关系，则应主动声明并回避。</w:t>
      </w:r>
    </w:p>
    <w:p w14:paraId="75B8BD1F">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（4）全体评委应按照招标文件规定进行评标，一切认定事项应查有实据且不得弄虚作假。</w:t>
      </w:r>
    </w:p>
    <w:p w14:paraId="27D71571">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评标委员会各成员应当独立对每个投标人的投标文件进行评价，并对评价意见承担个人责任。评审过程中，不得发表倾向性言论。评标委员会成员对需要共同认定的事项存在争议的，应当按照少数服从多数的原则作出结论。持不同意见的评标委员会成员应当在评标报告上签署不同意见及理由，否则视为同意评标报告。</w:t>
      </w:r>
    </w:p>
    <w:p w14:paraId="7E90BBD9">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※对违反评标纪律的评委，将取消其评委资格，对评标工作造成严重损失者将予以通报批评乃至追究法律责任。</w:t>
      </w:r>
    </w:p>
    <w:p w14:paraId="16C4BFDA">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3.评标委员会判断投标文件的有效性、合格性和响应情况，仅依据投标人所提交一切文件的真实表述，不受与本项目无直接关联的外部信息、传言而影响自身的专业判断。</w:t>
      </w:r>
    </w:p>
    <w:p w14:paraId="2FEB1933">
      <w:pPr>
        <w:pStyle w:val="19"/>
        <w:spacing w:line="400" w:lineRule="exact"/>
        <w:ind w:firstLine="482" w:firstLineChars="20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4.有下列情形之一的，视为投标人串通投标，其投标无效；</w:t>
      </w:r>
    </w:p>
    <w:p w14:paraId="5CD99104">
      <w:pPr>
        <w:pStyle w:val="19"/>
        <w:spacing w:line="400" w:lineRule="exact"/>
        <w:ind w:left="420"/>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cs="宋体"/>
          <w:color w:val="auto"/>
          <w:sz w:val="24"/>
          <w:szCs w:val="24"/>
        </w:rPr>
        <w:t>不同投标人的投标文件由同一单位或者个人编制；</w:t>
      </w:r>
    </w:p>
    <w:p w14:paraId="78A03C63">
      <w:pPr>
        <w:pStyle w:val="19"/>
        <w:spacing w:line="400" w:lineRule="exact"/>
        <w:ind w:left="420"/>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cs="宋体"/>
          <w:color w:val="auto"/>
          <w:sz w:val="24"/>
          <w:szCs w:val="24"/>
        </w:rPr>
        <w:t>不同投标人委托同一单位或者个人办理投标事宜；</w:t>
      </w:r>
    </w:p>
    <w:p w14:paraId="2BA49D26">
      <w:pPr>
        <w:pStyle w:val="19"/>
        <w:spacing w:line="400" w:lineRule="exact"/>
        <w:ind w:left="420"/>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w:t>
      </w:r>
      <w:r>
        <w:rPr>
          <w:rFonts w:hint="eastAsia" w:ascii="宋体" w:hAnsi="宋体" w:cs="宋体"/>
          <w:color w:val="auto"/>
          <w:sz w:val="24"/>
          <w:szCs w:val="24"/>
        </w:rPr>
        <w:t>不同投标人的投标文件载明的项目管理成员或者联系人员为同一人；</w:t>
      </w:r>
    </w:p>
    <w:p w14:paraId="1F144CB2">
      <w:pPr>
        <w:pStyle w:val="19"/>
        <w:spacing w:line="400" w:lineRule="exact"/>
        <w:ind w:left="420"/>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w:t>
      </w:r>
      <w:r>
        <w:rPr>
          <w:rFonts w:hint="eastAsia" w:ascii="宋体" w:hAnsi="宋体" w:cs="宋体"/>
          <w:color w:val="auto"/>
          <w:sz w:val="24"/>
          <w:szCs w:val="24"/>
        </w:rPr>
        <w:t>不同投标人的投标文件异常一致或者投标报价呈规律性差异；</w:t>
      </w:r>
    </w:p>
    <w:p w14:paraId="320DA0A7">
      <w:pPr>
        <w:pStyle w:val="19"/>
        <w:spacing w:line="400" w:lineRule="exact"/>
        <w:ind w:left="420"/>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w:t>
      </w:r>
      <w:r>
        <w:rPr>
          <w:rFonts w:hint="eastAsia" w:ascii="宋体" w:hAnsi="宋体" w:cs="宋体"/>
          <w:color w:val="auto"/>
          <w:sz w:val="24"/>
          <w:szCs w:val="24"/>
        </w:rPr>
        <w:t>不同投标人的投标文件相互混装；</w:t>
      </w:r>
    </w:p>
    <w:p w14:paraId="77EC8342">
      <w:pPr>
        <w:pStyle w:val="19"/>
        <w:spacing w:line="400" w:lineRule="exact"/>
        <w:ind w:left="420"/>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6</w:t>
      </w:r>
      <w:r>
        <w:rPr>
          <w:rFonts w:hint="eastAsia" w:ascii="宋体" w:hAnsi="宋体" w:cs="宋体"/>
          <w:color w:val="auto"/>
          <w:sz w:val="24"/>
          <w:szCs w:val="24"/>
          <w:lang w:eastAsia="zh-CN"/>
        </w:rPr>
        <w:t>）</w:t>
      </w:r>
      <w:r>
        <w:rPr>
          <w:rFonts w:hint="eastAsia" w:ascii="宋体" w:hAnsi="宋体" w:cs="宋体"/>
          <w:color w:val="auto"/>
          <w:sz w:val="24"/>
          <w:szCs w:val="24"/>
        </w:rPr>
        <w:t>不同投标人的投标保证金或购买电子保函支付款为从同一单位或个人的账户转出；</w:t>
      </w:r>
    </w:p>
    <w:p w14:paraId="661147A6">
      <w:pPr>
        <w:pStyle w:val="19"/>
        <w:spacing w:line="400" w:lineRule="exact"/>
        <w:ind w:left="420"/>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7</w:t>
      </w:r>
      <w:r>
        <w:rPr>
          <w:rFonts w:hint="eastAsia" w:ascii="宋体" w:hAnsi="宋体" w:cs="宋体"/>
          <w:color w:val="auto"/>
          <w:sz w:val="24"/>
          <w:szCs w:val="24"/>
          <w:lang w:eastAsia="zh-CN"/>
        </w:rPr>
        <w:t>）</w:t>
      </w:r>
      <w:r>
        <w:rPr>
          <w:rFonts w:hint="eastAsia" w:ascii="宋体" w:hAnsi="宋体" w:cs="宋体"/>
          <w:color w:val="auto"/>
          <w:sz w:val="24"/>
          <w:szCs w:val="24"/>
        </w:rPr>
        <w:t xml:space="preserve"> 不同投标人的电子投标文件制作机器上传计算机的网卡MAC地址硬件信息相同的；</w:t>
      </w:r>
    </w:p>
    <w:p w14:paraId="7C8D5803">
      <w:pPr>
        <w:pStyle w:val="19"/>
        <w:spacing w:line="400" w:lineRule="exact"/>
        <w:ind w:left="420"/>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8</w:t>
      </w:r>
      <w:r>
        <w:rPr>
          <w:rFonts w:hint="eastAsia" w:ascii="宋体" w:hAnsi="宋体" w:cs="宋体"/>
          <w:color w:val="auto"/>
          <w:sz w:val="24"/>
          <w:szCs w:val="24"/>
          <w:lang w:eastAsia="zh-CN"/>
        </w:rPr>
        <w:t>）</w:t>
      </w:r>
      <w:r>
        <w:rPr>
          <w:rFonts w:hint="eastAsia" w:ascii="宋体" w:hAnsi="宋体" w:cs="宋体"/>
          <w:color w:val="auto"/>
          <w:sz w:val="24"/>
          <w:szCs w:val="24"/>
        </w:rPr>
        <w:t>投标人上传的电子投标文件使用该项目其他投标人的数字证书加密的或加盖该项目的其他投标人的电子印章的。</w:t>
      </w:r>
    </w:p>
    <w:p w14:paraId="0186EC0F">
      <w:pPr>
        <w:pStyle w:val="19"/>
        <w:spacing w:line="400" w:lineRule="exact"/>
        <w:ind w:left="420"/>
        <w:rPr>
          <w:rFonts w:hint="eastAsia" w:ascii="宋体" w:hAnsi="宋体" w:cs="宋体"/>
          <w:color w:val="auto"/>
          <w:sz w:val="24"/>
          <w:szCs w:val="24"/>
        </w:rPr>
      </w:pPr>
      <w:r>
        <w:rPr>
          <w:rFonts w:hint="eastAsia" w:ascii="宋体" w:hAnsi="宋体" w:cs="宋体"/>
          <w:color w:val="auto"/>
          <w:sz w:val="24"/>
          <w:szCs w:val="24"/>
        </w:rPr>
        <w:t xml:space="preserve"> 说明：在评标过程中发现投标人有上述情形的，评标委员会应当认定其投标无效。同时，项目评审时被认定为串通投标的投标人不得参加该合同项下的采购活动。</w:t>
      </w:r>
    </w:p>
    <w:p w14:paraId="108A9AD1">
      <w:pPr>
        <w:spacing w:line="400" w:lineRule="exact"/>
        <w:ind w:left="540"/>
        <w:outlineLvl w:val="1"/>
        <w:rPr>
          <w:rFonts w:hint="eastAsia" w:ascii="宋体" w:hAnsi="宋体" w:cs="宋体"/>
          <w:color w:val="auto"/>
          <w:sz w:val="24"/>
          <w:szCs w:val="24"/>
        </w:rPr>
      </w:pPr>
      <w:bookmarkStart w:id="190" w:name="_Toc403491570"/>
      <w:bookmarkStart w:id="191" w:name="_Toc401575154"/>
      <w:r>
        <w:rPr>
          <w:rFonts w:hint="eastAsia" w:ascii="宋体" w:hAnsi="宋体" w:cs="宋体"/>
          <w:b/>
          <w:color w:val="auto"/>
          <w:sz w:val="24"/>
          <w:szCs w:val="24"/>
        </w:rPr>
        <w:t>（二）评标方法</w:t>
      </w:r>
      <w:bookmarkEnd w:id="190"/>
      <w:bookmarkEnd w:id="191"/>
      <w:bookmarkStart w:id="192" w:name="EB7884e410a3964767ae21e9a364dce159"/>
    </w:p>
    <w:bookmarkEnd w:id="192"/>
    <w:tbl>
      <w:tblPr>
        <w:tblStyle w:val="44"/>
        <w:tblW w:w="9623" w:type="dxa"/>
        <w:tblCellSpacing w:w="15" w:type="dxa"/>
        <w:tblInd w:w="-63" w:type="dxa"/>
        <w:tblLayout w:type="fixed"/>
        <w:tblCellMar>
          <w:top w:w="15" w:type="dxa"/>
          <w:left w:w="15" w:type="dxa"/>
          <w:bottom w:w="15" w:type="dxa"/>
          <w:right w:w="15" w:type="dxa"/>
        </w:tblCellMar>
      </w:tblPr>
      <w:tblGrid>
        <w:gridCol w:w="63"/>
        <w:gridCol w:w="2699"/>
        <w:gridCol w:w="1412"/>
        <w:gridCol w:w="5449"/>
      </w:tblGrid>
      <w:tr w14:paraId="702EFFC3">
        <w:tblPrEx>
          <w:tblCellMar>
            <w:top w:w="15" w:type="dxa"/>
            <w:left w:w="15" w:type="dxa"/>
            <w:bottom w:w="15" w:type="dxa"/>
            <w:right w:w="15" w:type="dxa"/>
          </w:tblCellMar>
        </w:tblPrEx>
        <w:trPr>
          <w:gridBefore w:val="1"/>
          <w:wBefore w:w="18" w:type="dxa"/>
          <w:trHeight w:val="3425" w:hRule="atLeast"/>
          <w:tblCellSpacing w:w="15" w:type="dxa"/>
        </w:trPr>
        <w:tc>
          <w:tcPr>
            <w:tcW w:w="9500" w:type="dxa"/>
            <w:gridSpan w:val="3"/>
            <w:noWrap w:val="0"/>
            <w:vAlign w:val="center"/>
          </w:tcPr>
          <w:p w14:paraId="583DD131">
            <w:pPr>
              <w:pStyle w:val="6"/>
              <w:spacing w:after="100" w:afterAutospacing="1" w:line="400" w:lineRule="exact"/>
              <w:ind w:firstLine="480" w:firstLineChars="200"/>
              <w:jc w:val="left"/>
              <w:rPr>
                <w:rFonts w:hint="eastAsia" w:hAnsi="宋体"/>
                <w:color w:val="auto"/>
                <w:sz w:val="24"/>
                <w:szCs w:val="24"/>
              </w:rPr>
            </w:pPr>
            <w:bookmarkStart w:id="193" w:name="_Toc101771376"/>
            <w:bookmarkStart w:id="194" w:name="_Toc101775129"/>
            <w:bookmarkStart w:id="195" w:name="_Toc101843129"/>
            <w:bookmarkStart w:id="196" w:name="_Toc101951267"/>
            <w:r>
              <w:rPr>
                <w:rFonts w:hint="eastAsia" w:hAnsi="宋体"/>
                <w:color w:val="auto"/>
                <w:sz w:val="24"/>
                <w:szCs w:val="24"/>
              </w:rPr>
              <w:t>1.本次评标采用</w:t>
            </w:r>
            <w:r>
              <w:rPr>
                <w:rFonts w:hint="eastAsia" w:hAnsi="宋体"/>
                <w:b/>
                <w:bCs/>
                <w:color w:val="auto"/>
                <w:sz w:val="24"/>
                <w:szCs w:val="24"/>
              </w:rPr>
              <w:t>综合评分法</w:t>
            </w:r>
            <w:r>
              <w:rPr>
                <w:rFonts w:hint="eastAsia" w:hAnsi="宋体"/>
                <w:color w:val="auto"/>
                <w:sz w:val="24"/>
                <w:szCs w:val="24"/>
              </w:rPr>
              <w:t>。综合评分法,是指投标文件满足招标文件全部实质性要求，且按照评审因素的量化指标评审得分最高的投标人为中标候选人的评标方法。（最低报价不是中标的唯一依据。）评标以招标文件规定的条件为依据。评分比重构成如下：</w:t>
            </w:r>
          </w:p>
          <w:tbl>
            <w:tblPr>
              <w:tblStyle w:val="44"/>
              <w:tblW w:w="0" w:type="auto"/>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2217"/>
              <w:gridCol w:w="2220"/>
              <w:gridCol w:w="2217"/>
              <w:gridCol w:w="2150"/>
            </w:tblGrid>
            <w:tr w14:paraId="442E9F5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rPr>
                <w:trHeight w:val="594" w:hRule="atLeast"/>
                <w:jc w:val="center"/>
              </w:trPr>
              <w:tc>
                <w:tcPr>
                  <w:tcW w:w="2217" w:type="dxa"/>
                  <w:tcBorders>
                    <w:top w:val="single" w:color="auto" w:sz="6" w:space="0"/>
                    <w:left w:val="single" w:color="auto" w:sz="6" w:space="0"/>
                    <w:bottom w:val="single" w:color="auto" w:sz="6" w:space="0"/>
                    <w:right w:val="single" w:color="auto" w:sz="6" w:space="0"/>
                  </w:tcBorders>
                  <w:noWrap w:val="0"/>
                  <w:vAlign w:val="center"/>
                </w:tcPr>
                <w:p w14:paraId="2A04B39D">
                  <w:pPr>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评分项目</w:t>
                  </w:r>
                </w:p>
              </w:tc>
              <w:tc>
                <w:tcPr>
                  <w:tcW w:w="2220" w:type="dxa"/>
                  <w:tcBorders>
                    <w:top w:val="single" w:color="auto" w:sz="6" w:space="0"/>
                    <w:left w:val="single" w:color="auto" w:sz="6" w:space="0"/>
                    <w:bottom w:val="single" w:color="auto" w:sz="6" w:space="0"/>
                    <w:right w:val="single" w:color="auto" w:sz="6" w:space="0"/>
                  </w:tcBorders>
                  <w:noWrap w:val="0"/>
                  <w:vAlign w:val="center"/>
                </w:tcPr>
                <w:p w14:paraId="09A03879">
                  <w:pPr>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价格分</w:t>
                  </w:r>
                </w:p>
              </w:tc>
              <w:tc>
                <w:tcPr>
                  <w:tcW w:w="2217" w:type="dxa"/>
                  <w:tcBorders>
                    <w:top w:val="single" w:color="auto" w:sz="6" w:space="0"/>
                    <w:left w:val="single" w:color="auto" w:sz="6" w:space="0"/>
                    <w:bottom w:val="single" w:color="auto" w:sz="6" w:space="0"/>
                    <w:right w:val="single" w:color="auto" w:sz="6" w:space="0"/>
                  </w:tcBorders>
                  <w:noWrap w:val="0"/>
                  <w:vAlign w:val="center"/>
                </w:tcPr>
                <w:p w14:paraId="6DEAE999">
                  <w:pPr>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技术分</w:t>
                  </w:r>
                </w:p>
              </w:tc>
              <w:tc>
                <w:tcPr>
                  <w:tcW w:w="2150" w:type="dxa"/>
                  <w:tcBorders>
                    <w:top w:val="single" w:color="auto" w:sz="6" w:space="0"/>
                    <w:left w:val="single" w:color="auto" w:sz="6" w:space="0"/>
                    <w:bottom w:val="single" w:color="auto" w:sz="6" w:space="0"/>
                    <w:right w:val="single" w:color="auto" w:sz="6" w:space="0"/>
                  </w:tcBorders>
                  <w:noWrap w:val="0"/>
                  <w:vAlign w:val="center"/>
                </w:tcPr>
                <w:p w14:paraId="777C9AB4">
                  <w:pPr>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商务分</w:t>
                  </w:r>
                </w:p>
              </w:tc>
            </w:tr>
            <w:tr w14:paraId="271D2F5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17" w:type="dxa"/>
                  <w:tcBorders>
                    <w:top w:val="single" w:color="auto" w:sz="6" w:space="0"/>
                    <w:left w:val="single" w:color="auto" w:sz="6" w:space="0"/>
                    <w:bottom w:val="single" w:color="auto" w:sz="6" w:space="0"/>
                    <w:right w:val="single" w:color="auto" w:sz="6" w:space="0"/>
                  </w:tcBorders>
                  <w:noWrap w:val="0"/>
                  <w:vAlign w:val="center"/>
                </w:tcPr>
                <w:p w14:paraId="04EDC74E">
                  <w:pPr>
                    <w:spacing w:line="400" w:lineRule="exact"/>
                    <w:jc w:val="center"/>
                    <w:rPr>
                      <w:rFonts w:hint="eastAsia" w:ascii="宋体" w:hAnsi="宋体" w:cs="宋体"/>
                      <w:color w:val="auto"/>
                      <w:sz w:val="24"/>
                      <w:szCs w:val="24"/>
                    </w:rPr>
                  </w:pPr>
                  <w:r>
                    <w:rPr>
                      <w:rFonts w:hint="eastAsia" w:ascii="宋体" w:hAnsi="宋体" w:cs="宋体"/>
                      <w:b/>
                      <w:bCs/>
                      <w:color w:val="auto"/>
                      <w:sz w:val="24"/>
                      <w:szCs w:val="24"/>
                    </w:rPr>
                    <w:t>分值</w:t>
                  </w:r>
                </w:p>
              </w:tc>
              <w:tc>
                <w:tcPr>
                  <w:tcW w:w="2220" w:type="dxa"/>
                  <w:tcBorders>
                    <w:top w:val="single" w:color="auto" w:sz="6" w:space="0"/>
                    <w:left w:val="single" w:color="auto" w:sz="6" w:space="0"/>
                    <w:bottom w:val="single" w:color="auto" w:sz="6" w:space="0"/>
                    <w:right w:val="single" w:color="auto" w:sz="6" w:space="0"/>
                  </w:tcBorders>
                  <w:noWrap w:val="0"/>
                  <w:vAlign w:val="center"/>
                </w:tcPr>
                <w:p w14:paraId="1ECDF53A">
                  <w:pPr>
                    <w:spacing w:line="400" w:lineRule="exact"/>
                    <w:jc w:val="center"/>
                    <w:rPr>
                      <w:rFonts w:ascii="宋体" w:hAnsi="宋体" w:cs="宋体"/>
                      <w:color w:val="auto"/>
                      <w:sz w:val="24"/>
                      <w:szCs w:val="24"/>
                    </w:rPr>
                  </w:pPr>
                  <w:r>
                    <w:rPr>
                      <w:rFonts w:hint="eastAsia" w:ascii="宋体" w:hAnsi="宋体" w:cs="宋体"/>
                      <w:color w:val="auto"/>
                      <w:sz w:val="24"/>
                      <w:szCs w:val="24"/>
                    </w:rPr>
                    <w:t>30</w:t>
                  </w:r>
                </w:p>
              </w:tc>
              <w:tc>
                <w:tcPr>
                  <w:tcW w:w="2217" w:type="dxa"/>
                  <w:tcBorders>
                    <w:top w:val="single" w:color="auto" w:sz="6" w:space="0"/>
                    <w:left w:val="single" w:color="auto" w:sz="6" w:space="0"/>
                    <w:bottom w:val="single" w:color="auto" w:sz="6" w:space="0"/>
                    <w:right w:val="single" w:color="auto" w:sz="6" w:space="0"/>
                  </w:tcBorders>
                  <w:noWrap w:val="0"/>
                  <w:vAlign w:val="center"/>
                </w:tcPr>
                <w:p w14:paraId="103A8FCC">
                  <w:pPr>
                    <w:spacing w:line="40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40</w:t>
                  </w:r>
                </w:p>
              </w:tc>
              <w:tc>
                <w:tcPr>
                  <w:tcW w:w="2150" w:type="dxa"/>
                  <w:tcBorders>
                    <w:top w:val="single" w:color="auto" w:sz="6" w:space="0"/>
                    <w:left w:val="single" w:color="auto" w:sz="6" w:space="0"/>
                    <w:bottom w:val="single" w:color="auto" w:sz="6" w:space="0"/>
                    <w:right w:val="single" w:color="auto" w:sz="6" w:space="0"/>
                  </w:tcBorders>
                  <w:noWrap w:val="0"/>
                  <w:vAlign w:val="center"/>
                </w:tcPr>
                <w:p w14:paraId="320AED62">
                  <w:pPr>
                    <w:spacing w:line="40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30</w:t>
                  </w:r>
                </w:p>
              </w:tc>
            </w:tr>
          </w:tbl>
          <w:p w14:paraId="260B1414">
            <w:pPr>
              <w:spacing w:line="400" w:lineRule="exact"/>
              <w:rPr>
                <w:rFonts w:hint="eastAsia" w:ascii="宋体" w:hAnsi="宋体" w:cs="宋体"/>
                <w:color w:val="auto"/>
                <w:sz w:val="24"/>
                <w:szCs w:val="24"/>
              </w:rPr>
            </w:pPr>
          </w:p>
        </w:tc>
      </w:tr>
      <w:tr w14:paraId="53FA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trPr>
        <w:tc>
          <w:tcPr>
            <w:tcW w:w="9563" w:type="dxa"/>
            <w:gridSpan w:val="4"/>
            <w:noWrap w:val="0"/>
            <w:vAlign w:val="top"/>
          </w:tcPr>
          <w:p w14:paraId="4452AC9F">
            <w:pPr>
              <w:widowControl/>
              <w:jc w:val="center"/>
              <w:rPr>
                <w:rFonts w:hint="eastAsia" w:ascii="宋体" w:hAnsi="宋体" w:cs="宋体"/>
                <w:b/>
                <w:bCs/>
                <w:color w:val="auto"/>
                <w:sz w:val="24"/>
                <w:szCs w:val="24"/>
              </w:rPr>
            </w:pPr>
            <w:r>
              <w:rPr>
                <w:rFonts w:hint="eastAsia" w:ascii="宋体" w:hAnsi="宋体" w:cs="宋体"/>
                <w:b/>
                <w:color w:val="auto"/>
                <w:kern w:val="0"/>
                <w:sz w:val="24"/>
                <w:szCs w:val="24"/>
                <w:lang w:bidi="ar"/>
              </w:rPr>
              <w:t>评分标准</w:t>
            </w:r>
          </w:p>
        </w:tc>
      </w:tr>
      <w:tr w14:paraId="79BE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trPr>
        <w:tc>
          <w:tcPr>
            <w:tcW w:w="2717" w:type="dxa"/>
            <w:gridSpan w:val="2"/>
            <w:noWrap w:val="0"/>
            <w:vAlign w:val="top"/>
          </w:tcPr>
          <w:p w14:paraId="3CE22ECA">
            <w:pPr>
              <w:spacing w:line="400" w:lineRule="exact"/>
              <w:rPr>
                <w:rFonts w:hint="eastAsia" w:ascii="宋体" w:hAnsi="宋体" w:cs="宋体"/>
                <w:color w:val="auto"/>
                <w:sz w:val="24"/>
                <w:szCs w:val="24"/>
              </w:rPr>
            </w:pPr>
            <w:r>
              <w:rPr>
                <w:rFonts w:hint="eastAsia" w:ascii="宋体" w:hAnsi="宋体" w:cs="宋体"/>
                <w:color w:val="auto"/>
                <w:sz w:val="24"/>
                <w:szCs w:val="24"/>
              </w:rPr>
              <w:t>评标因素及项目</w:t>
            </w:r>
          </w:p>
        </w:tc>
        <w:tc>
          <w:tcPr>
            <w:tcW w:w="1382" w:type="dxa"/>
            <w:noWrap w:val="0"/>
            <w:vAlign w:val="top"/>
          </w:tcPr>
          <w:p w14:paraId="24FB4495">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分值</w:t>
            </w:r>
          </w:p>
        </w:tc>
        <w:tc>
          <w:tcPr>
            <w:tcW w:w="5404" w:type="dxa"/>
            <w:noWrap w:val="0"/>
            <w:vAlign w:val="top"/>
          </w:tcPr>
          <w:p w14:paraId="58804779">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评分标准 </w:t>
            </w:r>
          </w:p>
        </w:tc>
      </w:tr>
      <w:tr w14:paraId="6103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trPr>
        <w:tc>
          <w:tcPr>
            <w:tcW w:w="2717" w:type="dxa"/>
            <w:gridSpan w:val="2"/>
            <w:noWrap w:val="0"/>
            <w:vAlign w:val="top"/>
          </w:tcPr>
          <w:p w14:paraId="74BBE5AE">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投标报价（30 分）</w:t>
            </w:r>
          </w:p>
          <w:p w14:paraId="1F1D8FB7">
            <w:pPr>
              <w:spacing w:line="400" w:lineRule="exact"/>
              <w:ind w:firstLine="480" w:firstLineChars="200"/>
              <w:rPr>
                <w:rFonts w:hint="eastAsia" w:ascii="宋体" w:hAnsi="宋体" w:cs="宋体"/>
                <w:color w:val="auto"/>
                <w:sz w:val="24"/>
                <w:szCs w:val="24"/>
              </w:rPr>
            </w:pPr>
          </w:p>
        </w:tc>
        <w:tc>
          <w:tcPr>
            <w:tcW w:w="1382" w:type="dxa"/>
            <w:noWrap w:val="0"/>
            <w:vAlign w:val="top"/>
          </w:tcPr>
          <w:p w14:paraId="4F3D4CED">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30分</w:t>
            </w:r>
          </w:p>
        </w:tc>
        <w:tc>
          <w:tcPr>
            <w:tcW w:w="5404" w:type="dxa"/>
            <w:noWrap w:val="0"/>
            <w:vAlign w:val="top"/>
          </w:tcPr>
          <w:p w14:paraId="409BC46B">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投标报价得分=（评标基准价</w:t>
            </w:r>
            <w:r>
              <w:rPr>
                <w:rFonts w:ascii="宋体" w:hAnsi="宋体" w:cs="宋体"/>
                <w:color w:val="auto"/>
                <w:sz w:val="24"/>
                <w:szCs w:val="24"/>
              </w:rPr>
              <w:t>/</w:t>
            </w:r>
            <w:r>
              <w:rPr>
                <w:rFonts w:hint="eastAsia" w:ascii="宋体" w:hAnsi="宋体" w:cs="宋体"/>
                <w:color w:val="auto"/>
                <w:sz w:val="24"/>
                <w:szCs w:val="24"/>
              </w:rPr>
              <w:t>投标报价）×</w:t>
            </w:r>
            <w:r>
              <w:rPr>
                <w:rFonts w:ascii="宋体" w:hAnsi="宋体" w:cs="宋体"/>
                <w:color w:val="auto"/>
                <w:sz w:val="24"/>
                <w:szCs w:val="24"/>
              </w:rPr>
              <w:t>30%</w:t>
            </w:r>
            <w:r>
              <w:rPr>
                <w:rFonts w:hint="eastAsia" w:ascii="宋体" w:hAnsi="宋体" w:cs="宋体"/>
                <w:color w:val="auto"/>
                <w:sz w:val="24"/>
                <w:szCs w:val="24"/>
              </w:rPr>
              <w:t>×</w:t>
            </w:r>
            <w:r>
              <w:rPr>
                <w:rFonts w:ascii="宋体" w:hAnsi="宋体" w:cs="宋体"/>
                <w:color w:val="auto"/>
                <w:sz w:val="24"/>
                <w:szCs w:val="24"/>
              </w:rPr>
              <w:t xml:space="preserve">100 </w:t>
            </w:r>
          </w:p>
          <w:p w14:paraId="266D26CD">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以本次投标报价的有效最低投标报价为基准价</w:t>
            </w:r>
          </w:p>
        </w:tc>
      </w:tr>
      <w:tr w14:paraId="4A25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CellSpacing w:w="15" w:type="dxa"/>
        </w:trPr>
        <w:tc>
          <w:tcPr>
            <w:tcW w:w="2717" w:type="dxa"/>
            <w:gridSpan w:val="2"/>
            <w:vMerge w:val="restart"/>
            <w:noWrap w:val="0"/>
            <w:vAlign w:val="top"/>
          </w:tcPr>
          <w:p w14:paraId="5F6AB04C">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技术部分（</w:t>
            </w:r>
            <w:r>
              <w:rPr>
                <w:rFonts w:hint="eastAsia" w:ascii="宋体" w:hAnsi="宋体" w:cs="宋体"/>
                <w:color w:val="auto"/>
                <w:sz w:val="24"/>
                <w:szCs w:val="24"/>
                <w:lang w:val="en-US" w:eastAsia="zh-CN"/>
              </w:rPr>
              <w:t>40</w:t>
            </w:r>
            <w:r>
              <w:rPr>
                <w:rFonts w:hint="eastAsia" w:ascii="宋体" w:hAnsi="宋体" w:cs="宋体"/>
                <w:color w:val="auto"/>
                <w:sz w:val="24"/>
                <w:szCs w:val="24"/>
              </w:rPr>
              <w:t>）</w:t>
            </w:r>
          </w:p>
          <w:p w14:paraId="4AD0F9D3">
            <w:pPr>
              <w:spacing w:line="400" w:lineRule="exact"/>
              <w:ind w:firstLine="480" w:firstLineChars="200"/>
              <w:rPr>
                <w:rFonts w:hint="eastAsia" w:ascii="宋体" w:hAnsi="宋体" w:cs="宋体"/>
                <w:color w:val="auto"/>
                <w:sz w:val="24"/>
                <w:szCs w:val="24"/>
              </w:rPr>
            </w:pPr>
          </w:p>
        </w:tc>
        <w:tc>
          <w:tcPr>
            <w:tcW w:w="1382" w:type="dxa"/>
            <w:noWrap w:val="0"/>
            <w:vAlign w:val="top"/>
          </w:tcPr>
          <w:p w14:paraId="4EF4BE39">
            <w:pPr>
              <w:spacing w:line="400" w:lineRule="exact"/>
              <w:rPr>
                <w:rFonts w:hint="default" w:ascii="宋体" w:hAnsi="宋体" w:eastAsia="宋体" w:cs="宋体"/>
                <w:color w:val="auto"/>
                <w:sz w:val="24"/>
                <w:szCs w:val="24"/>
                <w:lang w:val="en-US" w:eastAsia="zh-CN"/>
              </w:rPr>
            </w:pPr>
            <w:r>
              <w:rPr>
                <w:rFonts w:hint="eastAsia" w:ascii="宋体" w:hAnsi="宋体" w:cs="宋体"/>
                <w:color w:val="auto"/>
                <w:sz w:val="24"/>
                <w:szCs w:val="24"/>
              </w:rPr>
              <w:t>产品技术参数指标</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30</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分</w:t>
            </w:r>
          </w:p>
          <w:p w14:paraId="7C53A8A1">
            <w:pPr>
              <w:spacing w:line="400" w:lineRule="exact"/>
              <w:ind w:firstLine="480" w:firstLineChars="200"/>
              <w:rPr>
                <w:rFonts w:hint="eastAsia" w:ascii="宋体" w:hAnsi="宋体" w:cs="宋体"/>
                <w:color w:val="auto"/>
                <w:sz w:val="24"/>
                <w:szCs w:val="24"/>
              </w:rPr>
            </w:pPr>
          </w:p>
        </w:tc>
        <w:tc>
          <w:tcPr>
            <w:tcW w:w="5404" w:type="dxa"/>
            <w:noWrap w:val="0"/>
            <w:vAlign w:val="top"/>
          </w:tcPr>
          <w:p w14:paraId="744D6E2E">
            <w:pPr>
              <w:spacing w:line="40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标“▲”的技术参数不满足或缺漏等（负偏离）招标文件要求的每处扣</w:t>
            </w:r>
            <w:r>
              <w:rPr>
                <w:rFonts w:hint="eastAsia" w:ascii="宋体" w:hAnsi="宋体" w:cs="宋体"/>
                <w:color w:val="auto"/>
                <w:kern w:val="2"/>
                <w:sz w:val="24"/>
                <w:szCs w:val="24"/>
                <w:lang w:val="en-US" w:eastAsia="zh-CN" w:bidi="ar-SA"/>
              </w:rPr>
              <w:t>0.5</w:t>
            </w:r>
            <w:r>
              <w:rPr>
                <w:rFonts w:hint="eastAsia" w:ascii="宋体" w:hAnsi="宋体" w:eastAsia="宋体" w:cs="宋体"/>
                <w:color w:val="auto"/>
                <w:kern w:val="2"/>
                <w:sz w:val="24"/>
                <w:szCs w:val="24"/>
                <w:lang w:val="en-US" w:eastAsia="zh-CN" w:bidi="ar-SA"/>
              </w:rPr>
              <w:t>分，非“▲”的技术参数不满足或缺漏等（负偏离）招标文件要求的每处扣</w:t>
            </w:r>
            <w:r>
              <w:rPr>
                <w:rFonts w:hint="eastAsia" w:ascii="宋体" w:hAnsi="宋体" w:cs="宋体"/>
                <w:color w:val="auto"/>
                <w:kern w:val="2"/>
                <w:sz w:val="24"/>
                <w:szCs w:val="24"/>
                <w:lang w:val="en-US" w:eastAsia="zh-CN" w:bidi="ar-SA"/>
              </w:rPr>
              <w:t>0.1</w:t>
            </w:r>
            <w:r>
              <w:rPr>
                <w:rFonts w:hint="eastAsia" w:ascii="宋体" w:hAnsi="宋体" w:eastAsia="宋体" w:cs="宋体"/>
                <w:color w:val="auto"/>
                <w:kern w:val="2"/>
                <w:sz w:val="24"/>
                <w:szCs w:val="24"/>
                <w:lang w:val="en-US" w:eastAsia="zh-CN" w:bidi="ar-SA"/>
              </w:rPr>
              <w:t>分，扣完为止。</w:t>
            </w:r>
          </w:p>
          <w:p w14:paraId="32A64E9B">
            <w:pPr>
              <w:spacing w:line="400" w:lineRule="exact"/>
              <w:ind w:firstLine="480" w:firstLineChars="200"/>
              <w:rPr>
                <w:rFonts w:hint="eastAsia" w:ascii="宋体" w:hAnsi="宋体" w:cs="宋体"/>
                <w:color w:val="auto"/>
                <w:sz w:val="24"/>
                <w:szCs w:val="24"/>
              </w:rPr>
            </w:pPr>
            <w:r>
              <w:rPr>
                <w:rFonts w:ascii="新宋体" w:hAnsi="新宋体" w:eastAsia="新宋体" w:cs="新宋体"/>
                <w:b w:val="0"/>
                <w:bCs w:val="0"/>
                <w:color w:val="000000"/>
                <w:sz w:val="24"/>
                <w:szCs w:val="24"/>
              </w:rPr>
              <w:t>若中标供应商虚假应标将取消中供应商资格并依 法追究其相关责任。</w:t>
            </w:r>
            <w:r>
              <w:rPr>
                <w:rFonts w:hint="eastAsia" w:ascii="宋体" w:hAnsi="宋体" w:eastAsia="宋体" w:cs="宋体"/>
                <w:color w:val="auto"/>
                <w:kern w:val="2"/>
                <w:sz w:val="24"/>
                <w:szCs w:val="24"/>
                <w:lang w:val="en-US" w:eastAsia="zh-CN" w:bidi="ar-SA"/>
              </w:rPr>
              <w:t xml:space="preserve"> </w:t>
            </w:r>
          </w:p>
        </w:tc>
      </w:tr>
      <w:tr w14:paraId="5DCD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CellSpacing w:w="15" w:type="dxa"/>
        </w:trPr>
        <w:tc>
          <w:tcPr>
            <w:tcW w:w="2717" w:type="dxa"/>
            <w:gridSpan w:val="2"/>
            <w:vMerge w:val="continue"/>
            <w:noWrap w:val="0"/>
            <w:vAlign w:val="top"/>
          </w:tcPr>
          <w:p w14:paraId="428104EC">
            <w:pPr>
              <w:spacing w:line="400" w:lineRule="exact"/>
              <w:ind w:firstLine="480" w:firstLineChars="200"/>
              <w:rPr>
                <w:rFonts w:hint="eastAsia" w:ascii="宋体" w:hAnsi="宋体" w:cs="宋体"/>
                <w:color w:val="auto"/>
                <w:sz w:val="24"/>
                <w:szCs w:val="24"/>
              </w:rPr>
            </w:pPr>
          </w:p>
        </w:tc>
        <w:tc>
          <w:tcPr>
            <w:tcW w:w="1382" w:type="dxa"/>
            <w:noWrap w:val="0"/>
            <w:vAlign w:val="top"/>
          </w:tcPr>
          <w:p w14:paraId="4BBC1592">
            <w:pPr>
              <w:spacing w:line="40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系统综合性（2分）</w:t>
            </w:r>
          </w:p>
        </w:tc>
        <w:tc>
          <w:tcPr>
            <w:tcW w:w="5404" w:type="dxa"/>
            <w:noWrap w:val="0"/>
            <w:vAlign w:val="top"/>
          </w:tcPr>
          <w:p w14:paraId="4A97BFF0">
            <w:pPr>
              <w:spacing w:line="40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投标人需提供一体机制造厂，学生机教师机，精品录播系统商针对此项目的参数确认函及售后服务承诺书并加盖厂商公章， 提供得 2分， 不提供不得分；</w:t>
            </w:r>
          </w:p>
        </w:tc>
      </w:tr>
      <w:tr w14:paraId="1221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CellSpacing w:w="15" w:type="dxa"/>
        </w:trPr>
        <w:tc>
          <w:tcPr>
            <w:tcW w:w="2717" w:type="dxa"/>
            <w:gridSpan w:val="2"/>
            <w:noWrap w:val="0"/>
            <w:vAlign w:val="top"/>
          </w:tcPr>
          <w:p w14:paraId="3E58A1B4">
            <w:pPr>
              <w:spacing w:line="400" w:lineRule="exact"/>
              <w:ind w:firstLine="480" w:firstLineChars="200"/>
              <w:rPr>
                <w:rFonts w:hint="eastAsia" w:ascii="宋体" w:hAnsi="宋体" w:cs="宋体"/>
                <w:color w:val="auto"/>
                <w:sz w:val="24"/>
                <w:szCs w:val="24"/>
              </w:rPr>
            </w:pPr>
          </w:p>
        </w:tc>
        <w:tc>
          <w:tcPr>
            <w:tcW w:w="1382" w:type="dxa"/>
            <w:noWrap w:val="0"/>
            <w:vAlign w:val="top"/>
          </w:tcPr>
          <w:p w14:paraId="3F8E622A">
            <w:pPr>
              <w:spacing w:line="40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项目实施方案（8分）</w:t>
            </w:r>
          </w:p>
        </w:tc>
        <w:tc>
          <w:tcPr>
            <w:tcW w:w="5404" w:type="dxa"/>
            <w:noWrap w:val="0"/>
            <w:vAlign w:val="top"/>
          </w:tcPr>
          <w:p w14:paraId="3BE5DCEB">
            <w:pPr>
              <w:spacing w:line="400" w:lineRule="exact"/>
              <w:ind w:firstLine="480" w:firstLineChars="20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投标人充分理解项目需求，理解项目架构组成。提供的设计方案满足且优于要求，系统架构设计完备、应用功能丰富、质量保证承诺、工作时间进度安排合理进行综合评价分</w:t>
            </w:r>
            <w:r>
              <w:rPr>
                <w:rFonts w:hint="eastAsia" w:ascii="宋体" w:hAnsi="宋体" w:cs="宋体"/>
                <w:color w:val="auto"/>
                <w:kern w:val="2"/>
                <w:sz w:val="24"/>
                <w:szCs w:val="24"/>
                <w:lang w:val="en-US" w:eastAsia="zh-CN" w:bidi="ar-SA"/>
              </w:rPr>
              <w:t>0-8分；</w:t>
            </w:r>
          </w:p>
        </w:tc>
      </w:tr>
      <w:tr w14:paraId="507F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trPr>
        <w:tc>
          <w:tcPr>
            <w:tcW w:w="2717" w:type="dxa"/>
            <w:gridSpan w:val="2"/>
            <w:vMerge w:val="restart"/>
            <w:noWrap w:val="0"/>
            <w:vAlign w:val="top"/>
          </w:tcPr>
          <w:p w14:paraId="4A846A98">
            <w:pPr>
              <w:spacing w:line="400" w:lineRule="exact"/>
              <w:ind w:firstLine="480" w:firstLineChars="200"/>
              <w:rPr>
                <w:rFonts w:hint="eastAsia" w:ascii="宋体" w:hAnsi="宋体" w:cs="宋体"/>
                <w:color w:val="auto"/>
                <w:sz w:val="24"/>
                <w:szCs w:val="24"/>
              </w:rPr>
            </w:pPr>
          </w:p>
          <w:p w14:paraId="73F9888C">
            <w:pPr>
              <w:spacing w:line="400" w:lineRule="exact"/>
              <w:ind w:firstLine="480" w:firstLineChars="200"/>
              <w:rPr>
                <w:rFonts w:hint="eastAsia" w:ascii="宋体" w:hAnsi="宋体" w:cs="宋体"/>
                <w:color w:val="auto"/>
                <w:sz w:val="24"/>
                <w:szCs w:val="24"/>
              </w:rPr>
            </w:pPr>
          </w:p>
          <w:p w14:paraId="1F68D5A6">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商务部分（</w:t>
            </w:r>
            <w:r>
              <w:rPr>
                <w:rFonts w:hint="eastAsia" w:ascii="宋体" w:hAnsi="宋体" w:cs="宋体"/>
                <w:color w:val="auto"/>
                <w:sz w:val="24"/>
                <w:szCs w:val="24"/>
                <w:lang w:val="en-US" w:eastAsia="zh-CN"/>
              </w:rPr>
              <w:t>30</w:t>
            </w:r>
            <w:r>
              <w:rPr>
                <w:rFonts w:hint="eastAsia" w:ascii="宋体" w:hAnsi="宋体" w:cs="宋体"/>
                <w:color w:val="auto"/>
                <w:sz w:val="24"/>
                <w:szCs w:val="24"/>
              </w:rPr>
              <w:t>）</w:t>
            </w:r>
          </w:p>
          <w:p w14:paraId="43D877BF">
            <w:pPr>
              <w:spacing w:line="400" w:lineRule="exact"/>
              <w:ind w:firstLine="480" w:firstLineChars="200"/>
              <w:rPr>
                <w:rFonts w:hint="eastAsia" w:ascii="宋体" w:hAnsi="宋体" w:cs="宋体"/>
                <w:color w:val="auto"/>
                <w:sz w:val="24"/>
                <w:szCs w:val="24"/>
              </w:rPr>
            </w:pPr>
          </w:p>
        </w:tc>
        <w:tc>
          <w:tcPr>
            <w:tcW w:w="1382" w:type="dxa"/>
            <w:noWrap w:val="0"/>
            <w:vAlign w:val="top"/>
          </w:tcPr>
          <w:p w14:paraId="2F553D48">
            <w:pPr>
              <w:spacing w:line="400" w:lineRule="exact"/>
              <w:ind w:firstLine="480" w:firstLineChars="200"/>
              <w:rPr>
                <w:rFonts w:hint="eastAsia" w:ascii="宋体" w:hAnsi="宋体" w:eastAsia="宋体" w:cs="宋体"/>
                <w:color w:val="auto"/>
                <w:kern w:val="2"/>
                <w:sz w:val="24"/>
                <w:szCs w:val="24"/>
                <w:lang w:val="en-US" w:eastAsia="zh-CN" w:bidi="ar-SA"/>
              </w:rPr>
            </w:pPr>
          </w:p>
          <w:p w14:paraId="4D7B390A">
            <w:pPr>
              <w:spacing w:line="40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售后服务方案（5分）</w:t>
            </w:r>
          </w:p>
        </w:tc>
        <w:tc>
          <w:tcPr>
            <w:tcW w:w="5404" w:type="dxa"/>
            <w:noWrap w:val="0"/>
            <w:vAlign w:val="top"/>
          </w:tcPr>
          <w:p w14:paraId="189EAA5F">
            <w:pPr>
              <w:spacing w:line="400" w:lineRule="exac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根据投标供应商制定的项目售后服务计划、售后服务水平及技术支持、培训方案从方案的完整性、合理性、可行性进行对比评审分</w:t>
            </w:r>
            <w:r>
              <w:rPr>
                <w:rFonts w:hint="eastAsia" w:ascii="宋体" w:hAnsi="宋体" w:cs="宋体"/>
                <w:color w:val="auto"/>
                <w:kern w:val="2"/>
                <w:sz w:val="24"/>
                <w:szCs w:val="24"/>
                <w:lang w:val="en-US" w:eastAsia="zh-CN" w:bidi="ar-SA"/>
              </w:rPr>
              <w:t>0-5分，不提供不得分；</w:t>
            </w:r>
          </w:p>
        </w:tc>
      </w:tr>
      <w:tr w14:paraId="2139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trPr>
        <w:tc>
          <w:tcPr>
            <w:tcW w:w="2717" w:type="dxa"/>
            <w:gridSpan w:val="2"/>
            <w:vMerge w:val="continue"/>
            <w:noWrap w:val="0"/>
            <w:vAlign w:val="top"/>
          </w:tcPr>
          <w:p w14:paraId="33BB14CC">
            <w:pPr>
              <w:spacing w:line="400" w:lineRule="exact"/>
              <w:ind w:firstLine="480" w:firstLineChars="200"/>
              <w:rPr>
                <w:rFonts w:hint="eastAsia" w:ascii="宋体" w:hAnsi="宋体" w:cs="宋体"/>
                <w:color w:val="auto"/>
                <w:sz w:val="24"/>
                <w:szCs w:val="24"/>
              </w:rPr>
            </w:pPr>
          </w:p>
        </w:tc>
        <w:tc>
          <w:tcPr>
            <w:tcW w:w="1382" w:type="dxa"/>
            <w:noWrap w:val="0"/>
            <w:vAlign w:val="top"/>
          </w:tcPr>
          <w:p w14:paraId="19EBCF30">
            <w:pPr>
              <w:spacing w:line="40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投标产品厂家资质证明（</w:t>
            </w:r>
            <w:r>
              <w:rPr>
                <w:rFonts w:hint="default" w:ascii="宋体" w:hAnsi="宋体" w:eastAsia="宋体" w:cs="宋体"/>
                <w:color w:val="FF0000"/>
                <w:kern w:val="2"/>
                <w:sz w:val="24"/>
                <w:szCs w:val="24"/>
                <w:lang w:eastAsia="zh-CN" w:bidi="ar-SA"/>
              </w:rPr>
              <w:t>17</w:t>
            </w:r>
            <w:r>
              <w:rPr>
                <w:rFonts w:hint="eastAsia" w:ascii="宋体" w:hAnsi="宋体" w:eastAsia="宋体" w:cs="宋体"/>
                <w:color w:val="auto"/>
                <w:kern w:val="2"/>
                <w:sz w:val="24"/>
                <w:szCs w:val="24"/>
                <w:lang w:val="en-US" w:eastAsia="zh-CN" w:bidi="ar-SA"/>
              </w:rPr>
              <w:t>分）</w:t>
            </w:r>
          </w:p>
        </w:tc>
        <w:tc>
          <w:tcPr>
            <w:tcW w:w="5404" w:type="dxa"/>
            <w:noWrap w:val="0"/>
            <w:vAlign w:val="top"/>
          </w:tcPr>
          <w:p w14:paraId="42BAD621">
            <w:pPr>
              <w:numPr>
                <w:ilvl w:val="0"/>
                <w:numId w:val="9"/>
              </w:numPr>
              <w:spacing w:line="40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投标供应商所投产品智能交互黑板 、 壁挂展台MTBF (平均无故障时间）同时≥80000 小时得 1 分，每增加 10000 小时得 1 分，最多得 得 4 分（提供复印件加盖生产厂家公章）</w:t>
            </w:r>
          </w:p>
          <w:p w14:paraId="7E17EDFF">
            <w:pPr>
              <w:numPr>
                <w:ilvl w:val="0"/>
                <w:numId w:val="0"/>
              </w:numPr>
              <w:spacing w:line="400" w:lineRule="exact"/>
              <w:ind w:firstLine="240" w:firstLineChars="1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2、所投产品智能交互黑板制造商的设计、生产、服务智能制造能力成熟度等级≥叁级得3分，贰级得2分，壹级别得1分，需提供认证证书，不提供得0分。（提供复印件加盖生产厂家公章）</w:t>
            </w:r>
          </w:p>
          <w:p w14:paraId="34D54D33">
            <w:pPr>
              <w:spacing w:line="40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3、为确保教育数据托付管理能力、存储能力及信息安全能力，所投产品智能交互黑板制造商须通过GB/T 37988-2019《信息安全技术 数据安全能力成熟度模型》认证，提供证书得4分，不提供得0分。（提供复印件加盖生产厂家公章</w:t>
            </w:r>
            <w:r>
              <w:rPr>
                <w:rFonts w:hint="default" w:ascii="宋体" w:hAnsi="宋体" w:eastAsia="宋体" w:cs="宋体"/>
                <w:color w:val="auto"/>
                <w:kern w:val="2"/>
                <w:sz w:val="24"/>
                <w:szCs w:val="24"/>
                <w:lang w:eastAsia="zh-CN" w:bidi="ar-SA"/>
              </w:rPr>
              <w:t>）</w:t>
            </w:r>
          </w:p>
          <w:p w14:paraId="4BD2F293">
            <w:pPr>
              <w:spacing w:line="400" w:lineRule="exact"/>
              <w:ind w:firstLine="480" w:firstLineChars="20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eastAsia="zh-CN" w:bidi="ar-SA"/>
              </w:rPr>
              <w:t>4</w:t>
            </w:r>
            <w:r>
              <w:rPr>
                <w:rFonts w:hint="eastAsia" w:ascii="宋体" w:hAnsi="宋体" w:eastAsia="宋体" w:cs="宋体"/>
                <w:color w:val="auto"/>
                <w:kern w:val="2"/>
                <w:sz w:val="24"/>
                <w:szCs w:val="24"/>
                <w:lang w:val="en-US" w:eastAsia="zh-CN" w:bidi="ar-SA"/>
              </w:rPr>
              <w:t>、为提供良好稳定的软件使用体验，投标人或投标人所投计算机和精品录播产品制造商需具有一定的软件能力成熟度，并通过SPCA评估5级及以上认证得3分。提供认证证书复印件及官网查询截图并加盖厂家公章</w:t>
            </w:r>
          </w:p>
          <w:p w14:paraId="63E169FF">
            <w:pPr>
              <w:spacing w:line="400" w:lineRule="exact"/>
              <w:ind w:firstLine="480" w:firstLineChars="20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eastAsia="zh-CN" w:bidi="ar-SA"/>
              </w:rPr>
              <w:t>5</w:t>
            </w:r>
            <w:r>
              <w:rPr>
                <w:rFonts w:hint="eastAsia" w:ascii="宋体" w:hAnsi="宋体" w:eastAsia="宋体" w:cs="宋体"/>
                <w:color w:val="auto"/>
                <w:kern w:val="2"/>
                <w:sz w:val="24"/>
                <w:szCs w:val="24"/>
                <w:lang w:val="en-US" w:eastAsia="zh-CN" w:bidi="ar-SA"/>
              </w:rPr>
              <w:t>、为提供良好稳定的软件使用体验，投标人或投标人所投计算机和精品录播主机产品制造商根据市场需求持续进行软件开发、更新、维护，出具CMMI5级及以上证书的得</w:t>
            </w:r>
            <w:r>
              <w:rPr>
                <w:rFonts w:hint="default" w:ascii="宋体" w:hAnsi="宋体" w:eastAsia="宋体" w:cs="宋体"/>
                <w:color w:val="FF0000"/>
                <w:kern w:val="2"/>
                <w:sz w:val="24"/>
                <w:szCs w:val="24"/>
                <w:lang w:eastAsia="zh-CN" w:bidi="ar-SA"/>
              </w:rPr>
              <w:t>3</w:t>
            </w:r>
            <w:r>
              <w:rPr>
                <w:rFonts w:hint="eastAsia" w:ascii="宋体" w:hAnsi="宋体" w:eastAsia="宋体" w:cs="宋体"/>
                <w:color w:val="auto"/>
                <w:kern w:val="2"/>
                <w:sz w:val="24"/>
                <w:szCs w:val="24"/>
                <w:lang w:val="en-US" w:eastAsia="zh-CN" w:bidi="ar-SA"/>
              </w:rPr>
              <w:t>分。提供认证证书复印件及官网查询截图并加盖厂家公章</w:t>
            </w:r>
          </w:p>
        </w:tc>
      </w:tr>
      <w:tr w14:paraId="1F0C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blCellSpacing w:w="15" w:type="dxa"/>
        </w:trPr>
        <w:tc>
          <w:tcPr>
            <w:tcW w:w="2717" w:type="dxa"/>
            <w:gridSpan w:val="2"/>
            <w:vMerge w:val="continue"/>
            <w:noWrap w:val="0"/>
            <w:vAlign w:val="top"/>
          </w:tcPr>
          <w:p w14:paraId="23E6C165">
            <w:pPr>
              <w:spacing w:line="400" w:lineRule="exact"/>
              <w:ind w:firstLine="480" w:firstLineChars="200"/>
              <w:rPr>
                <w:rFonts w:hint="eastAsia" w:ascii="宋体" w:hAnsi="宋体" w:cs="宋体"/>
                <w:color w:val="auto"/>
                <w:sz w:val="24"/>
                <w:szCs w:val="24"/>
              </w:rPr>
            </w:pPr>
          </w:p>
        </w:tc>
        <w:tc>
          <w:tcPr>
            <w:tcW w:w="1382" w:type="dxa"/>
            <w:noWrap w:val="0"/>
            <w:vAlign w:val="top"/>
          </w:tcPr>
          <w:p w14:paraId="06822A82">
            <w:pPr>
              <w:spacing w:line="40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售后服务能力（5分）</w:t>
            </w:r>
          </w:p>
          <w:p w14:paraId="17EB3BBB">
            <w:pPr>
              <w:spacing w:line="400" w:lineRule="exact"/>
              <w:ind w:firstLine="480" w:firstLineChars="200"/>
              <w:rPr>
                <w:rFonts w:hint="eastAsia" w:ascii="宋体" w:hAnsi="宋体" w:eastAsia="宋体" w:cs="宋体"/>
                <w:color w:val="auto"/>
                <w:kern w:val="2"/>
                <w:sz w:val="24"/>
                <w:szCs w:val="24"/>
                <w:lang w:val="en-US" w:eastAsia="zh-CN" w:bidi="ar-SA"/>
              </w:rPr>
            </w:pPr>
          </w:p>
        </w:tc>
        <w:tc>
          <w:tcPr>
            <w:tcW w:w="5404" w:type="dxa"/>
            <w:noWrap w:val="0"/>
            <w:vAlign w:val="top"/>
          </w:tcPr>
          <w:p w14:paraId="72888AA1">
            <w:pPr>
              <w:spacing w:line="40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为确保产品可获得本地化、体系化、全天候的及时售后服务，所投计算机产品制造商须通过GB/T27922售后服务认证，服务体系等级达到十二星级得5分，达到十星得3分，达到八星得1分，不提供或缺项的得0分。（须提供复印件加盖生产厂家公章）</w:t>
            </w:r>
          </w:p>
        </w:tc>
      </w:tr>
      <w:tr w14:paraId="4797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blCellSpacing w:w="15" w:type="dxa"/>
        </w:trPr>
        <w:tc>
          <w:tcPr>
            <w:tcW w:w="2717" w:type="dxa"/>
            <w:gridSpan w:val="2"/>
            <w:vMerge w:val="continue"/>
            <w:noWrap w:val="0"/>
            <w:vAlign w:val="top"/>
          </w:tcPr>
          <w:p w14:paraId="6390BE35">
            <w:pPr>
              <w:spacing w:line="400" w:lineRule="exact"/>
              <w:ind w:firstLine="480" w:firstLineChars="200"/>
              <w:rPr>
                <w:rFonts w:hint="eastAsia" w:ascii="宋体" w:hAnsi="宋体" w:cs="宋体"/>
                <w:color w:val="auto"/>
                <w:sz w:val="24"/>
                <w:szCs w:val="24"/>
              </w:rPr>
            </w:pPr>
          </w:p>
        </w:tc>
        <w:tc>
          <w:tcPr>
            <w:tcW w:w="1382" w:type="dxa"/>
            <w:noWrap w:val="0"/>
            <w:vAlign w:val="top"/>
          </w:tcPr>
          <w:p w14:paraId="40CA2128">
            <w:pPr>
              <w:spacing w:line="400" w:lineRule="exac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业绩3分</w:t>
            </w:r>
          </w:p>
        </w:tc>
        <w:tc>
          <w:tcPr>
            <w:tcW w:w="5404" w:type="dxa"/>
            <w:noWrap w:val="0"/>
            <w:vAlign w:val="top"/>
          </w:tcPr>
          <w:p w14:paraId="2C2BE741">
            <w:pPr>
              <w:spacing w:line="400" w:lineRule="exact"/>
              <w:ind w:firstLine="480" w:firstLineChars="20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提供近三年类似业绩1个得1分，满分3分（提供合同或中标通知书）</w:t>
            </w:r>
          </w:p>
        </w:tc>
      </w:tr>
    </w:tbl>
    <w:p w14:paraId="275EF3EE">
      <w:pPr>
        <w:spacing w:line="400" w:lineRule="exact"/>
        <w:ind w:left="425"/>
        <w:rPr>
          <w:rFonts w:hint="eastAsia" w:ascii="宋体" w:hAnsi="宋体" w:cs="宋体"/>
          <w:b/>
          <w:bCs/>
          <w:color w:val="auto"/>
          <w:sz w:val="24"/>
          <w:szCs w:val="24"/>
        </w:rPr>
      </w:pPr>
    </w:p>
    <w:p w14:paraId="2DBBC565">
      <w:pPr>
        <w:spacing w:line="400" w:lineRule="exact"/>
        <w:ind w:left="425"/>
        <w:rPr>
          <w:rFonts w:hint="eastAsia" w:ascii="宋体" w:hAnsi="宋体" w:cs="宋体"/>
          <w:b/>
          <w:bCs/>
          <w:color w:val="auto"/>
          <w:sz w:val="24"/>
          <w:szCs w:val="24"/>
        </w:rPr>
      </w:pPr>
      <w:r>
        <w:rPr>
          <w:rFonts w:hint="eastAsia" w:ascii="宋体" w:hAnsi="宋体" w:cs="宋体"/>
          <w:b/>
          <w:bCs/>
          <w:color w:val="auto"/>
          <w:sz w:val="24"/>
          <w:szCs w:val="24"/>
        </w:rPr>
        <w:t>2.价格修正</w:t>
      </w:r>
    </w:p>
    <w:p w14:paraId="0D34EC08">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对报价的计算错误按以下原则修正：</w:t>
      </w:r>
    </w:p>
    <w:p w14:paraId="4C9BD122">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（1）投标文件中开标一览表内容与投标文件中相应内容不一致的，以开标一览表为准；</w:t>
      </w:r>
    </w:p>
    <w:p w14:paraId="05B77785">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（2）大写金额和小写金额不一致的，以大写金额为准；</w:t>
      </w:r>
    </w:p>
    <w:p w14:paraId="2A31B30B">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（3）单价金额小数点或者百分比有明显错位的，以开标一览表的总价为准，并修改单价。</w:t>
      </w:r>
    </w:p>
    <w:p w14:paraId="2235F77F">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（4）总价金额与按单价汇总金额不一致的，以单价金额计算结果为准。但是单价金额计算结果超过预算价的，对其按无效投标处理。</w:t>
      </w:r>
    </w:p>
    <w:p w14:paraId="077E00F3">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（5）若投标客户端上传的电子报价数据与电子投标文件价格不一致的，以电子投标文件为准。</w:t>
      </w:r>
    </w:p>
    <w:p w14:paraId="4DE2DEF5">
      <w:pPr>
        <w:spacing w:line="400" w:lineRule="exact"/>
        <w:ind w:firstLine="480" w:firstLineChars="200"/>
        <w:rPr>
          <w:rFonts w:hint="eastAsia" w:ascii="宋体" w:hAnsi="宋体" w:cs="宋体"/>
          <w:color w:val="auto"/>
          <w:sz w:val="24"/>
          <w:szCs w:val="24"/>
          <w:lang w:val="en-GB"/>
        </w:rPr>
      </w:pPr>
      <w:r>
        <w:rPr>
          <w:rFonts w:hint="eastAsia" w:ascii="宋体" w:hAnsi="宋体" w:cs="宋体"/>
          <w:color w:val="auto"/>
          <w:sz w:val="24"/>
          <w:szCs w:val="24"/>
        </w:rPr>
        <w:t>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14:paraId="603153B2">
      <w:pPr>
        <w:spacing w:line="400" w:lineRule="exact"/>
        <w:ind w:left="425"/>
        <w:rPr>
          <w:rFonts w:hint="eastAsia" w:ascii="宋体" w:hAnsi="宋体" w:cs="宋体"/>
          <w:b/>
          <w:bCs/>
          <w:color w:val="auto"/>
          <w:sz w:val="24"/>
          <w:szCs w:val="24"/>
        </w:rPr>
      </w:pPr>
      <w:r>
        <w:rPr>
          <w:rFonts w:hint="eastAsia" w:ascii="宋体" w:hAnsi="宋体" w:cs="宋体"/>
          <w:b/>
          <w:bCs/>
          <w:color w:val="auto"/>
          <w:sz w:val="24"/>
          <w:szCs w:val="24"/>
        </w:rPr>
        <w:t>3.投标文件的澄清</w:t>
      </w:r>
    </w:p>
    <w:p w14:paraId="44311017">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对于投标文件中含义不明确、同类问题表述不一致或者有明显文字和计算错误的内容，评标委员会可在评审过程中发起在线澄清（远程开标）或线下澄清（现场开标），要求投标人针对价格或内容做出必要的澄清、说明或补正。代理机构可根据开标环节记录的授权代表人联系方式电话告知。</w:t>
      </w:r>
    </w:p>
    <w:p w14:paraId="527199D6">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选择远程开标投标人需登录不见面开标系统的等候大厅，在规定时间内完成澄清（响应），并加盖电子印章。</w:t>
      </w:r>
    </w:p>
    <w:p w14:paraId="7BAABB5F">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若因投标人联系方式错误未接听电话或超时未进行澄清（响应）造成的不利后果由供应商自行承担。投标人的澄清、说明或者补正不得超出投标文件的范围或者改变投标文件的实质性内容。</w:t>
      </w:r>
    </w:p>
    <w:p w14:paraId="56E7918A">
      <w:pPr>
        <w:numPr>
          <w:ilvl w:val="0"/>
          <w:numId w:val="10"/>
        </w:num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评标委员会不接受投标人主动提出的澄清、说明或补正。</w:t>
      </w:r>
    </w:p>
    <w:p w14:paraId="5FC99399">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（3）评标委员会对投标人提交的澄清、说明或补正有疑问的，可以要求投标人进一步澄清、说明或补正。</w:t>
      </w:r>
    </w:p>
    <w:p w14:paraId="03D1C5A6">
      <w:pPr>
        <w:spacing w:line="400" w:lineRule="exact"/>
        <w:ind w:firstLine="482" w:firstLineChars="200"/>
        <w:rPr>
          <w:rFonts w:hint="eastAsia" w:ascii="宋体" w:hAnsi="宋体" w:cs="宋体"/>
          <w:color w:val="auto"/>
          <w:sz w:val="24"/>
          <w:szCs w:val="24"/>
        </w:rPr>
      </w:pPr>
      <w:r>
        <w:rPr>
          <w:rFonts w:hint="eastAsia" w:ascii="宋体" w:hAnsi="宋体" w:cs="宋体"/>
          <w:b/>
          <w:color w:val="auto"/>
          <w:sz w:val="24"/>
          <w:szCs w:val="24"/>
        </w:rPr>
        <w:t>（三）政府采购政策落实</w:t>
      </w:r>
    </w:p>
    <w:p w14:paraId="55154314">
      <w:pPr>
        <w:spacing w:line="400" w:lineRule="exact"/>
        <w:ind w:firstLine="482" w:firstLineChars="200"/>
        <w:rPr>
          <w:rFonts w:hint="eastAsia" w:ascii="宋体" w:hAnsi="宋体" w:cs="宋体"/>
          <w:color w:val="auto"/>
          <w:sz w:val="24"/>
          <w:szCs w:val="24"/>
        </w:rPr>
      </w:pPr>
      <w:r>
        <w:rPr>
          <w:rFonts w:hint="eastAsia" w:ascii="宋体" w:hAnsi="宋体" w:cs="宋体"/>
          <w:b/>
          <w:color w:val="auto"/>
          <w:sz w:val="24"/>
          <w:szCs w:val="24"/>
        </w:rPr>
        <w:t>1.节能、环保要求</w:t>
      </w:r>
    </w:p>
    <w:p w14:paraId="0E39BDAE">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采购的产品属于品目清单范围的，将依据国家确定的认证机构出具的、处于有效期之内的节能产品、环境标志产品认证证书，对获得证书的产品实施政府优先采购或强制采购，具体按照本招标文件相关要求执行。</w:t>
      </w:r>
    </w:p>
    <w:p w14:paraId="632A0E34">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相关认证机构和获证产品信息以市场监管总局组织建立的节能产品、环境标志产品认证结果信息发布平台公布为准。</w:t>
      </w:r>
    </w:p>
    <w:p w14:paraId="64D06EF9">
      <w:pPr>
        <w:spacing w:line="400" w:lineRule="exact"/>
        <w:ind w:firstLine="482" w:firstLineChars="200"/>
        <w:rPr>
          <w:rFonts w:hint="eastAsia" w:ascii="宋体" w:hAnsi="宋体" w:cs="宋体"/>
          <w:color w:val="auto"/>
          <w:sz w:val="24"/>
          <w:szCs w:val="24"/>
        </w:rPr>
      </w:pPr>
      <w:r>
        <w:rPr>
          <w:rFonts w:hint="eastAsia" w:ascii="宋体" w:hAnsi="宋体" w:cs="宋体"/>
          <w:b/>
          <w:color w:val="auto"/>
          <w:sz w:val="24"/>
          <w:szCs w:val="24"/>
        </w:rPr>
        <w:t>2.对小微企业、监狱企业或残疾人福利性单位给予价格扣除</w:t>
      </w:r>
    </w:p>
    <w:p w14:paraId="030C5DC5">
      <w:pPr>
        <w:pStyle w:val="19"/>
        <w:spacing w:line="400" w:lineRule="exact"/>
        <w:ind w:firstLine="480" w:firstLineChars="200"/>
        <w:rPr>
          <w:rFonts w:hint="eastAsia" w:ascii="宋体" w:hAnsi="宋体" w:cs="宋体"/>
          <w:color w:val="auto"/>
          <w:sz w:val="24"/>
          <w:szCs w:val="24"/>
          <w:lang w:eastAsia="zh-CN"/>
        </w:rPr>
      </w:pPr>
      <w:r>
        <w:rPr>
          <w:rFonts w:hint="eastAsia" w:ascii="宋体" w:hAnsi="宋体" w:cs="宋体"/>
          <w:color w:val="auto"/>
          <w:sz w:val="24"/>
          <w:szCs w:val="24"/>
        </w:rPr>
        <w:t>依照《政府采购促进中小企业发展管理办法》、《支持监狱企业发展有关问题的通知》和《财政部 民政部</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中国残疾人联合会关于促进残疾人就业政府采购政策的通知》的规定，凡符合享受《政府采购促进中小企业发展管理办法》规定的中小企业扶持政策的单位，按照</w:t>
      </w:r>
      <w:r>
        <w:rPr>
          <w:rFonts w:hint="eastAsia" w:ascii="宋体" w:hAnsi="宋体" w:cs="宋体"/>
          <w:color w:val="auto"/>
          <w:sz w:val="24"/>
          <w:szCs w:val="24"/>
          <w:lang w:eastAsia="zh-CN"/>
        </w:rPr>
        <w:t>相应</w:t>
      </w:r>
      <w:r>
        <w:rPr>
          <w:rFonts w:hint="eastAsia" w:ascii="宋体" w:hAnsi="宋体" w:cs="宋体"/>
          <w:color w:val="auto"/>
          <w:sz w:val="24"/>
          <w:szCs w:val="24"/>
        </w:rPr>
        <w:t>比例给予价格扣除</w:t>
      </w:r>
      <w:r>
        <w:rPr>
          <w:rFonts w:hint="eastAsia" w:ascii="宋体" w:hAnsi="宋体" w:cs="宋体"/>
          <w:color w:val="auto"/>
          <w:sz w:val="24"/>
          <w:szCs w:val="24"/>
          <w:lang w:eastAsia="zh-CN"/>
        </w:rPr>
        <w:t>。</w:t>
      </w:r>
    </w:p>
    <w:p w14:paraId="4BD12776">
      <w:pPr>
        <w:spacing w:line="400" w:lineRule="exact"/>
        <w:ind w:firstLine="482" w:firstLineChars="200"/>
        <w:outlineLvl w:val="1"/>
        <w:rPr>
          <w:rFonts w:hint="eastAsia" w:ascii="宋体" w:hAnsi="宋体" w:cs="宋体"/>
          <w:b/>
          <w:color w:val="auto"/>
          <w:sz w:val="24"/>
          <w:szCs w:val="24"/>
        </w:rPr>
      </w:pPr>
      <w:bookmarkStart w:id="197" w:name="_Toc401575155"/>
      <w:bookmarkStart w:id="198" w:name="_Toc403491571"/>
      <w:r>
        <w:rPr>
          <w:rFonts w:hint="eastAsia" w:ascii="宋体" w:hAnsi="宋体" w:cs="宋体"/>
          <w:b/>
          <w:color w:val="auto"/>
          <w:sz w:val="24"/>
          <w:szCs w:val="24"/>
        </w:rPr>
        <w:t>（四）评标程序</w:t>
      </w:r>
      <w:bookmarkEnd w:id="193"/>
      <w:bookmarkEnd w:id="194"/>
      <w:bookmarkEnd w:id="195"/>
      <w:bookmarkEnd w:id="196"/>
      <w:bookmarkEnd w:id="197"/>
      <w:bookmarkEnd w:id="198"/>
    </w:p>
    <w:p w14:paraId="3D674A81">
      <w:pPr>
        <w:spacing w:line="400" w:lineRule="exact"/>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资格性审查和符合性审查</w:t>
      </w:r>
    </w:p>
    <w:p w14:paraId="214E37F8">
      <w:pPr>
        <w:spacing w:line="400" w:lineRule="exact"/>
        <w:ind w:firstLine="482" w:firstLineChars="200"/>
        <w:rPr>
          <w:rFonts w:hint="eastAsia" w:ascii="宋体" w:hAnsi="宋体" w:cs="宋体"/>
          <w:color w:val="auto"/>
          <w:sz w:val="24"/>
          <w:szCs w:val="24"/>
        </w:rPr>
      </w:pPr>
      <w:r>
        <w:rPr>
          <w:rFonts w:hint="eastAsia" w:ascii="宋体" w:hAnsi="宋体" w:cs="宋体"/>
          <w:b/>
          <w:bCs/>
          <w:color w:val="auto"/>
          <w:sz w:val="24"/>
          <w:szCs w:val="24"/>
        </w:rPr>
        <w:t>资格性审查。</w:t>
      </w:r>
      <w:r>
        <w:rPr>
          <w:rFonts w:hint="eastAsia" w:ascii="宋体" w:hAnsi="宋体" w:cs="宋体"/>
          <w:color w:val="auto"/>
          <w:sz w:val="24"/>
          <w:szCs w:val="24"/>
        </w:rPr>
        <w:t>公开招标采购项目开标结束后，采购人或采购代理机构应当依法对投标人的资格进行审查，以确定投标人是否具备投标资格。（详见后附表一资格性审查表）</w:t>
      </w:r>
    </w:p>
    <w:p w14:paraId="7692E2B0">
      <w:pPr>
        <w:spacing w:line="400" w:lineRule="exact"/>
        <w:ind w:firstLine="482" w:firstLineChars="200"/>
        <w:rPr>
          <w:rFonts w:hint="eastAsia" w:ascii="宋体" w:hAnsi="宋体" w:cs="宋体"/>
          <w:color w:val="auto"/>
          <w:sz w:val="24"/>
          <w:szCs w:val="24"/>
        </w:rPr>
      </w:pPr>
      <w:r>
        <w:rPr>
          <w:rFonts w:hint="eastAsia" w:ascii="宋体" w:hAnsi="宋体" w:cs="宋体"/>
          <w:b/>
          <w:bCs/>
          <w:color w:val="auto"/>
          <w:sz w:val="24"/>
          <w:szCs w:val="24"/>
        </w:rPr>
        <w:t>符合性审查。</w:t>
      </w:r>
      <w:r>
        <w:rPr>
          <w:rFonts w:hint="eastAsia" w:ascii="宋体" w:hAnsi="宋体" w:cs="宋体"/>
          <w:color w:val="auto"/>
          <w:sz w:val="24"/>
          <w:szCs w:val="24"/>
        </w:rPr>
        <w:t>评标委员会依据招标文件的规定，从投标文件的有效性、完整性和对招标文件的响应程度进行审查，以确定是否对招标文件的实质性要求作出响应。（详见后附表二符合性审查表）</w:t>
      </w:r>
    </w:p>
    <w:p w14:paraId="31EC0CE6">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资格性审查和符合性审查中凡有其中任意一项未通过的，评审结果为未通过，未通过资格性审查、符合性审查的投标人按无效投标处理。</w:t>
      </w:r>
    </w:p>
    <w:p w14:paraId="1D3D6D81">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对各投标人进行符合性审查过程中，对初步被认定为无效投标者，由评标委员会组长将集体意见及时告知投标当事人，并应在评标报告中以书面形式解释其排除的具体原因。</w:t>
      </w:r>
    </w:p>
    <w:p w14:paraId="01D34EC2">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系统抓取并记录到供应商与同项目（采购包）其他投标（响应）供应商电子投标文件上传计算机的网卡MAC地址硬件信息相同（开标现场上传电子投标文件的除外）的情形，评标委员会应认定其投标（响应）无效。</w:t>
      </w:r>
    </w:p>
    <w:p w14:paraId="3E2937F0">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2F2E13">
      <w:pPr>
        <w:spacing w:line="40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（一）资格审查</w:t>
      </w:r>
    </w:p>
    <w:p w14:paraId="5DCFE663">
      <w:pPr>
        <w:tabs>
          <w:tab w:val="left" w:pos="0"/>
        </w:tabs>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1.项目开标结束后，采购人或者代理机构应当依法对投标人的资格进行审查，出现不符合下列情形之一时，作无效投标处理。《资格审查表》如下：</w:t>
      </w:r>
    </w:p>
    <w:tbl>
      <w:tblPr>
        <w:tblStyle w:val="44"/>
        <w:tblW w:w="0" w:type="auto"/>
        <w:tblCellSpacing w:w="15" w:type="dxa"/>
        <w:tblInd w:w="0" w:type="dxa"/>
        <w:tblLayout w:type="fixed"/>
        <w:tblCellMar>
          <w:top w:w="15" w:type="dxa"/>
          <w:left w:w="15" w:type="dxa"/>
          <w:bottom w:w="15" w:type="dxa"/>
          <w:right w:w="15" w:type="dxa"/>
        </w:tblCellMar>
      </w:tblPr>
      <w:tblGrid>
        <w:gridCol w:w="9271"/>
      </w:tblGrid>
      <w:tr w14:paraId="5527956F">
        <w:tblPrEx>
          <w:tblCellMar>
            <w:top w:w="15" w:type="dxa"/>
            <w:left w:w="15" w:type="dxa"/>
            <w:bottom w:w="15" w:type="dxa"/>
            <w:right w:w="15" w:type="dxa"/>
          </w:tblCellMar>
        </w:tblPrEx>
        <w:trPr>
          <w:trHeight w:val="2909" w:hRule="atLeast"/>
          <w:tblCellSpacing w:w="15" w:type="dxa"/>
        </w:trPr>
        <w:tc>
          <w:tcPr>
            <w:tcW w:w="9211" w:type="dxa"/>
            <w:noWrap w:val="0"/>
            <w:vAlign w:val="center"/>
          </w:tcPr>
          <w:tbl>
            <w:tblPr>
              <w:tblStyle w:val="44"/>
              <w:tblW w:w="0" w:type="auto"/>
              <w:jc w:val="center"/>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777"/>
              <w:gridCol w:w="8019"/>
            </w:tblGrid>
            <w:tr w14:paraId="36FBE458">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22" w:hRule="atLeast"/>
                <w:jc w:val="center"/>
              </w:trPr>
              <w:tc>
                <w:tcPr>
                  <w:tcW w:w="777" w:type="dxa"/>
                  <w:noWrap w:val="0"/>
                  <w:vAlign w:val="center"/>
                </w:tcPr>
                <w:p w14:paraId="11233E6F">
                  <w:pPr>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序号</w:t>
                  </w:r>
                </w:p>
              </w:tc>
              <w:tc>
                <w:tcPr>
                  <w:tcW w:w="8019" w:type="dxa"/>
                  <w:noWrap w:val="0"/>
                  <w:vAlign w:val="center"/>
                </w:tcPr>
                <w:p w14:paraId="6330EC0B">
                  <w:pPr>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资格审查内容</w:t>
                  </w:r>
                </w:p>
              </w:tc>
            </w:tr>
            <w:tr w14:paraId="098F6C05">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43" w:hRule="atLeast"/>
                <w:jc w:val="center"/>
              </w:trPr>
              <w:tc>
                <w:tcPr>
                  <w:tcW w:w="777" w:type="dxa"/>
                  <w:noWrap w:val="0"/>
                  <w:vAlign w:val="center"/>
                </w:tcPr>
                <w:p w14:paraId="1A4B9415">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1</w:t>
                  </w:r>
                </w:p>
              </w:tc>
              <w:tc>
                <w:tcPr>
                  <w:tcW w:w="8019" w:type="dxa"/>
                  <w:noWrap w:val="0"/>
                  <w:vAlign w:val="center"/>
                </w:tcPr>
                <w:p w14:paraId="363B5E34">
                  <w:pPr>
                    <w:spacing w:line="400" w:lineRule="exact"/>
                    <w:jc w:val="left"/>
                    <w:rPr>
                      <w:rFonts w:hint="eastAsia" w:ascii="宋体" w:hAnsi="宋体" w:cs="宋体"/>
                      <w:color w:val="auto"/>
                      <w:sz w:val="24"/>
                      <w:szCs w:val="24"/>
                    </w:rPr>
                  </w:pPr>
                  <w:r>
                    <w:rPr>
                      <w:rFonts w:hint="eastAsia" w:ascii="宋体" w:hAnsi="宋体" w:cs="宋体"/>
                      <w:color w:val="auto"/>
                      <w:sz w:val="24"/>
                      <w:szCs w:val="24"/>
                    </w:rPr>
                    <w:t>满足以下所有要求：投标文件提交成功、解密成功、能正常导入电子开标系统，投标保证金完成交纳（如有）</w:t>
                  </w:r>
                </w:p>
              </w:tc>
            </w:tr>
            <w:tr w14:paraId="55551FB9">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8370" w:hRule="atLeast"/>
                <w:jc w:val="center"/>
              </w:trPr>
              <w:tc>
                <w:tcPr>
                  <w:tcW w:w="777" w:type="dxa"/>
                  <w:noWrap w:val="0"/>
                  <w:vAlign w:val="center"/>
                </w:tcPr>
                <w:p w14:paraId="0F2384EB">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2</w:t>
                  </w:r>
                </w:p>
              </w:tc>
              <w:tc>
                <w:tcPr>
                  <w:tcW w:w="8019" w:type="dxa"/>
                  <w:noWrap w:val="0"/>
                  <w:vAlign w:val="center"/>
                </w:tcPr>
                <w:p w14:paraId="2A244061">
                  <w:pPr>
                    <w:spacing w:line="400" w:lineRule="exact"/>
                    <w:jc w:val="left"/>
                    <w:rPr>
                      <w:rFonts w:hint="eastAsia" w:ascii="宋体" w:hAnsi="宋体" w:cs="宋体"/>
                      <w:color w:val="auto"/>
                      <w:sz w:val="24"/>
                      <w:szCs w:val="24"/>
                    </w:rPr>
                  </w:pPr>
                  <w:r>
                    <w:rPr>
                      <w:rFonts w:hint="eastAsia" w:ascii="宋体" w:hAnsi="宋体" w:cs="宋体"/>
                      <w:color w:val="auto"/>
                      <w:sz w:val="24"/>
                      <w:szCs w:val="24"/>
                    </w:rPr>
                    <w:t>符合《政府采购法》第二十二条所规定的条件，根据以下信息进行评审：《投标人资格声明函》及其附件。</w:t>
                  </w:r>
                </w:p>
                <w:p w14:paraId="06B59A7D">
                  <w:pPr>
                    <w:pStyle w:val="169"/>
                    <w:spacing w:line="400" w:lineRule="exact"/>
                    <w:ind w:right="84" w:rightChars="40" w:firstLine="480" w:firstLineChars="200"/>
                    <w:rPr>
                      <w:rFonts w:hint="eastAsia" w:ascii="宋体" w:hAnsi="宋体" w:cs="宋体"/>
                      <w:color w:val="auto"/>
                      <w:sz w:val="24"/>
                      <w:szCs w:val="24"/>
                    </w:rPr>
                  </w:pPr>
                  <w:r>
                    <w:rPr>
                      <w:rFonts w:hint="eastAsia" w:ascii="宋体" w:hAnsi="宋体" w:cs="宋体"/>
                      <w:color w:val="auto"/>
                      <w:sz w:val="24"/>
                      <w:szCs w:val="24"/>
                    </w:rPr>
                    <w:t>（1）具有独立承担民事责任的能力：提供法人或其他组织的营业执照等证明文件，或自然人身份证明；法定代表人身份证或委托代理人持授权委托书及代理人身份证；</w:t>
                  </w:r>
                </w:p>
                <w:p w14:paraId="0B41D4BA">
                  <w:pPr>
                    <w:pStyle w:val="169"/>
                    <w:spacing w:line="400" w:lineRule="exact"/>
                    <w:ind w:right="84" w:rightChars="40" w:firstLine="480" w:firstLineChars="200"/>
                    <w:rPr>
                      <w:rFonts w:hint="eastAsia" w:ascii="宋体" w:hAnsi="宋体" w:cs="宋体"/>
                      <w:color w:val="auto"/>
                      <w:sz w:val="24"/>
                      <w:szCs w:val="24"/>
                    </w:rPr>
                  </w:pPr>
                  <w:r>
                    <w:rPr>
                      <w:rFonts w:hint="eastAsia" w:ascii="宋体" w:hAnsi="宋体" w:cs="宋体"/>
                      <w:color w:val="auto"/>
                      <w:sz w:val="24"/>
                      <w:szCs w:val="24"/>
                    </w:rPr>
                    <w:t>（2）具有良好的商业信誉和健全的财务会计制度：</w:t>
                  </w:r>
                </w:p>
                <w:p w14:paraId="2D1AC27B">
                  <w:pPr>
                    <w:pStyle w:val="169"/>
                    <w:spacing w:line="400" w:lineRule="exact"/>
                    <w:ind w:right="84" w:rightChars="40" w:firstLine="480" w:firstLineChars="200"/>
                    <w:rPr>
                      <w:rFonts w:hint="eastAsia" w:ascii="宋体" w:hAnsi="宋体" w:cs="宋体"/>
                      <w:color w:val="auto"/>
                      <w:sz w:val="24"/>
                      <w:szCs w:val="24"/>
                    </w:rPr>
                  </w:pPr>
                  <w:r>
                    <w:rPr>
                      <w:rFonts w:hint="eastAsia" w:ascii="宋体" w:hAnsi="宋体" w:cs="宋体"/>
                      <w:color w:val="auto"/>
                      <w:sz w:val="24"/>
                      <w:szCs w:val="24"/>
                    </w:rPr>
                    <w:t>具体要求：供应商是法人的，应提供2022年</w:t>
                  </w:r>
                  <w:r>
                    <w:rPr>
                      <w:rFonts w:hint="eastAsia" w:ascii="宋体" w:hAnsi="宋体" w:cs="宋体"/>
                      <w:color w:val="auto"/>
                      <w:sz w:val="24"/>
                      <w:szCs w:val="24"/>
                      <w:lang w:val="en-US" w:eastAsia="zh-CN"/>
                    </w:rPr>
                    <w:t>或2023年</w:t>
                  </w:r>
                  <w:r>
                    <w:rPr>
                      <w:rFonts w:hint="eastAsia" w:ascii="宋体" w:hAnsi="宋体" w:cs="宋体"/>
                      <w:color w:val="auto"/>
                      <w:sz w:val="24"/>
                      <w:szCs w:val="24"/>
                    </w:rPr>
                    <w:t>度经审计的财务报告或基本开户银行出具的资信证明。新成立未满一年、部分其他组织和自然人，没有经审计的财务报告，可以提供银行出具的资信证明。</w:t>
                  </w:r>
                </w:p>
                <w:p w14:paraId="13D1A8B7">
                  <w:pPr>
                    <w:pStyle w:val="169"/>
                    <w:spacing w:line="400" w:lineRule="exact"/>
                    <w:ind w:right="84" w:rightChars="40" w:firstLine="480" w:firstLineChars="200"/>
                    <w:rPr>
                      <w:rFonts w:hint="eastAsia" w:ascii="宋体" w:hAnsi="宋体" w:cs="宋体"/>
                      <w:color w:val="auto"/>
                      <w:sz w:val="24"/>
                      <w:szCs w:val="24"/>
                    </w:rPr>
                  </w:pPr>
                  <w:r>
                    <w:rPr>
                      <w:rFonts w:hint="eastAsia" w:ascii="宋体" w:hAnsi="宋体" w:cs="宋体"/>
                      <w:color w:val="auto"/>
                      <w:sz w:val="24"/>
                      <w:szCs w:val="24"/>
                    </w:rPr>
                    <w:t>（3）具有履行合同所必须的设备和专业技术能力：</w:t>
                  </w:r>
                </w:p>
                <w:p w14:paraId="5BC26BAD">
                  <w:pPr>
                    <w:pStyle w:val="169"/>
                    <w:spacing w:line="400" w:lineRule="exact"/>
                    <w:ind w:right="84" w:rightChars="40" w:firstLine="480" w:firstLineChars="200"/>
                    <w:rPr>
                      <w:rFonts w:hint="eastAsia" w:ascii="宋体" w:hAnsi="宋体" w:cs="宋体"/>
                      <w:color w:val="auto"/>
                      <w:sz w:val="24"/>
                      <w:szCs w:val="24"/>
                    </w:rPr>
                  </w:pPr>
                  <w:r>
                    <w:rPr>
                      <w:rFonts w:hint="eastAsia" w:ascii="宋体" w:hAnsi="宋体" w:cs="宋体"/>
                      <w:color w:val="auto"/>
                      <w:sz w:val="24"/>
                      <w:szCs w:val="24"/>
                    </w:rPr>
                    <w:t xml:space="preserve">具体要求：提供具备履行合同所必需的设备和专业技术能力的证明材料或相关承诺； </w:t>
                  </w:r>
                </w:p>
                <w:p w14:paraId="6B8AEE8B">
                  <w:pPr>
                    <w:pStyle w:val="169"/>
                    <w:spacing w:line="400" w:lineRule="exact"/>
                    <w:ind w:right="84" w:rightChars="40" w:firstLine="480" w:firstLineChars="200"/>
                    <w:rPr>
                      <w:rFonts w:hint="eastAsia" w:ascii="宋体" w:hAnsi="宋体" w:cs="宋体"/>
                      <w:color w:val="auto"/>
                      <w:sz w:val="24"/>
                      <w:szCs w:val="24"/>
                    </w:rPr>
                  </w:pPr>
                  <w:r>
                    <w:rPr>
                      <w:rFonts w:hint="eastAsia" w:ascii="宋体" w:hAnsi="宋体" w:cs="宋体"/>
                      <w:color w:val="auto"/>
                      <w:sz w:val="24"/>
                      <w:szCs w:val="24"/>
                    </w:rPr>
                    <w:t>（4）具有依法缴纳税收和社会保障资金的良好记录：</w:t>
                  </w:r>
                </w:p>
                <w:p w14:paraId="1A73ED51">
                  <w:pPr>
                    <w:pStyle w:val="169"/>
                    <w:spacing w:line="400" w:lineRule="exact"/>
                    <w:ind w:right="84" w:rightChars="40" w:firstLine="480" w:firstLineChars="200"/>
                    <w:rPr>
                      <w:rFonts w:hint="eastAsia" w:ascii="宋体" w:hAnsi="宋体" w:cs="宋体"/>
                      <w:color w:val="auto"/>
                      <w:sz w:val="24"/>
                      <w:szCs w:val="24"/>
                    </w:rPr>
                  </w:pPr>
                  <w:r>
                    <w:rPr>
                      <w:rFonts w:hint="eastAsia" w:ascii="宋体" w:hAnsi="宋体" w:cs="宋体"/>
                      <w:color w:val="auto"/>
                      <w:sz w:val="24"/>
                      <w:szCs w:val="24"/>
                    </w:rPr>
                    <w:t>具体要求：如提供依法缴纳税收和社会保障资金的有效证明材料，近一年任意1个月及以上的证明材料；</w:t>
                  </w:r>
                </w:p>
                <w:p w14:paraId="489160B5">
                  <w:pPr>
                    <w:pStyle w:val="169"/>
                    <w:spacing w:line="400" w:lineRule="exact"/>
                    <w:ind w:right="84" w:rightChars="40" w:firstLine="480" w:firstLineChars="200"/>
                    <w:rPr>
                      <w:rFonts w:hint="eastAsia" w:ascii="宋体" w:hAnsi="宋体" w:cs="宋体"/>
                      <w:color w:val="auto"/>
                      <w:sz w:val="24"/>
                      <w:szCs w:val="24"/>
                    </w:rPr>
                  </w:pPr>
                  <w:r>
                    <w:rPr>
                      <w:rFonts w:hint="eastAsia" w:ascii="宋体" w:hAnsi="宋体" w:cs="宋体"/>
                      <w:color w:val="auto"/>
                      <w:sz w:val="24"/>
                      <w:szCs w:val="24"/>
                    </w:rPr>
                    <w:t>（5）参加政府采购活动近3年内在经营活动中没有重大违法记录的书面声明（模板附后）。</w:t>
                  </w:r>
                </w:p>
                <w:p w14:paraId="1145BFB4">
                  <w:pPr>
                    <w:spacing w:line="400" w:lineRule="exact"/>
                    <w:jc w:val="left"/>
                    <w:rPr>
                      <w:rFonts w:hint="eastAsia" w:ascii="宋体" w:hAnsi="宋体" w:cs="宋体"/>
                      <w:color w:val="auto"/>
                      <w:sz w:val="24"/>
                      <w:szCs w:val="24"/>
                    </w:rPr>
                  </w:pPr>
                  <w:r>
                    <w:rPr>
                      <w:rFonts w:hint="eastAsia" w:ascii="宋体" w:hAnsi="宋体" w:cs="宋体"/>
                      <w:color w:val="auto"/>
                      <w:sz w:val="24"/>
                      <w:szCs w:val="24"/>
                    </w:rPr>
                    <w:t>（6）法律、行政法规规定的其他条件：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以磋商小组于资格性审查时在上述网站查询结果为准，如上述网站查询结果均显示没有相关记录，视为没有上述不良信用记录。同时对信用信息查询记录和证据截图存档。如相关失信记录已失效，供应商须提供相关证明资料）</w:t>
                  </w:r>
                </w:p>
              </w:tc>
            </w:tr>
            <w:tr w14:paraId="03B0FD1D">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92" w:hRule="atLeast"/>
                <w:jc w:val="center"/>
              </w:trPr>
              <w:tc>
                <w:tcPr>
                  <w:tcW w:w="777" w:type="dxa"/>
                  <w:noWrap w:val="0"/>
                  <w:vAlign w:val="center"/>
                </w:tcPr>
                <w:p w14:paraId="49B7F2D9">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3</w:t>
                  </w:r>
                </w:p>
              </w:tc>
              <w:tc>
                <w:tcPr>
                  <w:tcW w:w="8019" w:type="dxa"/>
                  <w:noWrap w:val="0"/>
                  <w:vAlign w:val="center"/>
                </w:tcPr>
                <w:p w14:paraId="48F683C2">
                  <w:pPr>
                    <w:spacing w:line="400" w:lineRule="exact"/>
                    <w:jc w:val="left"/>
                    <w:rPr>
                      <w:rFonts w:hint="eastAsia" w:ascii="宋体" w:hAnsi="宋体" w:cs="宋体"/>
                      <w:color w:val="auto"/>
                      <w:sz w:val="24"/>
                      <w:szCs w:val="24"/>
                    </w:rPr>
                  </w:pPr>
                  <w:r>
                    <w:rPr>
                      <w:rFonts w:ascii="宋体" w:hAnsi="宋体" w:eastAsia="宋体" w:cs="宋体"/>
                      <w:b w:val="0"/>
                      <w:bCs w:val="0"/>
                      <w:color w:val="000000"/>
                      <w:sz w:val="24"/>
                      <w:szCs w:val="24"/>
                    </w:rPr>
                    <w:t xml:space="preserve">本项目不是专门面向中小企业采购，若货物的制造商是中小企业，请供应商按 照《政府采购促进中小企业发展管理办法》（财库〔2020〕46 号）出具规定 的《中小企业声明函》。声明函内容不实的，属于提供虚假材料谋取中标、成 交，依照《中华人民共和国政府采购法》等国家有关规定追究相应责任。本项 目所属行业为工业行业。根据（财库〔2020〕46 号）第八条预留份额措施， 本项目要求供应商以联合体形式参加采购活动，且联合体中中小企业承担的部 分达到预算总额的 30%及以上（联合体协议中明确中小企业合同金额比例）， 即所投产品由中小企业制造的报价不低于 </w:t>
                  </w:r>
                  <w:r>
                    <w:rPr>
                      <w:rFonts w:hint="eastAsia" w:ascii="宋体" w:hAnsi="宋体" w:eastAsia="宋体" w:cs="宋体"/>
                      <w:b w:val="0"/>
                      <w:bCs w:val="0"/>
                      <w:color w:val="000000"/>
                      <w:sz w:val="24"/>
                      <w:szCs w:val="24"/>
                      <w:lang w:val="en-US" w:eastAsia="zh-CN"/>
                    </w:rPr>
                    <w:t>405</w:t>
                  </w:r>
                  <w:r>
                    <w:rPr>
                      <w:rFonts w:ascii="宋体" w:hAnsi="宋体" w:eastAsia="宋体" w:cs="宋体"/>
                      <w:b w:val="0"/>
                      <w:bCs w:val="0"/>
                      <w:color w:val="000000"/>
                      <w:sz w:val="24"/>
                      <w:szCs w:val="24"/>
                    </w:rPr>
                    <w:t xml:space="preserve">万元，其中所投产品由小微企业 制造的报价不低于 </w:t>
                  </w:r>
                  <w:r>
                    <w:rPr>
                      <w:rFonts w:hint="eastAsia" w:ascii="宋体" w:hAnsi="宋体" w:eastAsia="宋体" w:cs="宋体"/>
                      <w:b w:val="0"/>
                      <w:bCs w:val="0"/>
                      <w:color w:val="000000"/>
                      <w:sz w:val="24"/>
                      <w:szCs w:val="24"/>
                      <w:lang w:val="en-US" w:eastAsia="zh-CN"/>
                    </w:rPr>
                    <w:t>243</w:t>
                  </w:r>
                  <w:r>
                    <w:rPr>
                      <w:rFonts w:ascii="宋体" w:hAnsi="宋体" w:eastAsia="宋体" w:cs="宋体"/>
                      <w:b w:val="0"/>
                      <w:bCs w:val="0"/>
                      <w:color w:val="000000"/>
                      <w:sz w:val="24"/>
                      <w:szCs w:val="24"/>
                    </w:rPr>
                    <w:t xml:space="preserve"> 万元。</w:t>
                  </w:r>
                </w:p>
              </w:tc>
            </w:tr>
          </w:tbl>
          <w:p w14:paraId="48875791">
            <w:pPr>
              <w:spacing w:line="400" w:lineRule="exact"/>
              <w:rPr>
                <w:rFonts w:hint="eastAsia" w:ascii="宋体" w:hAnsi="宋体" w:cs="宋体"/>
                <w:color w:val="auto"/>
                <w:sz w:val="24"/>
                <w:szCs w:val="24"/>
              </w:rPr>
            </w:pPr>
          </w:p>
        </w:tc>
      </w:tr>
    </w:tbl>
    <w:p w14:paraId="385E76A1">
      <w:pPr>
        <w:widowControl/>
        <w:numPr>
          <w:ilvl w:val="0"/>
          <w:numId w:val="11"/>
        </w:numPr>
        <w:spacing w:line="400" w:lineRule="exact"/>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采购人或者代理机构以“信用中国”网站为查询渠道，对各供应商信用记录进行甄别，对列入失信被执行人、重大税收违法案件当事人名单、政府采购严重违法失信行为记录名单的供应商，应当拒绝其参与政府采购活动。联合体成员存在不良信用记录的，视同联合体存在不良信用记录。</w:t>
      </w:r>
    </w:p>
    <w:p w14:paraId="583C3C1A">
      <w:pPr>
        <w:widowControl/>
        <w:spacing w:line="400" w:lineRule="exact"/>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资格审查环节中如采购人或者代理机构认定供应商不合格，采购人或者代理机构需签署书面意见，并当场书面或电话告知供应商，供应商可在限定的时间内以书面或语音方式进行澄清，采购人或者代理机构不再接受其他外部材料。</w:t>
      </w:r>
    </w:p>
    <w:p w14:paraId="6855EFF5">
      <w:pPr>
        <w:widowControl/>
        <w:spacing w:line="400" w:lineRule="exact"/>
        <w:ind w:firstLine="480" w:firstLineChars="200"/>
        <w:jc w:val="left"/>
        <w:rPr>
          <w:rFonts w:hint="eastAsia" w:ascii="宋体" w:hAnsi="宋体" w:cs="宋体"/>
          <w:b/>
          <w:color w:val="auto"/>
          <w:kern w:val="0"/>
          <w:sz w:val="24"/>
          <w:szCs w:val="24"/>
        </w:rPr>
      </w:pPr>
      <w:r>
        <w:rPr>
          <w:rFonts w:hint="eastAsia" w:ascii="宋体" w:hAnsi="宋体" w:cs="宋体"/>
          <w:color w:val="auto"/>
          <w:kern w:val="0"/>
          <w:sz w:val="24"/>
          <w:szCs w:val="24"/>
        </w:rPr>
        <w:t>4.不通过资格审查或投标无效的，不作符合性审查。</w:t>
      </w:r>
    </w:p>
    <w:p w14:paraId="09CC95B2">
      <w:pPr>
        <w:widowControl/>
        <w:spacing w:line="40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（二）符合性审查</w:t>
      </w:r>
    </w:p>
    <w:p w14:paraId="4965EC60">
      <w:pPr>
        <w:widowControl/>
        <w:spacing w:line="400" w:lineRule="exact"/>
        <w:ind w:firstLine="480" w:firstLineChars="200"/>
        <w:rPr>
          <w:rFonts w:hint="eastAsia" w:ascii="宋体" w:hAnsi="宋体" w:cs="宋体"/>
          <w:b/>
          <w:color w:val="auto"/>
          <w:kern w:val="0"/>
          <w:sz w:val="24"/>
          <w:szCs w:val="24"/>
        </w:rPr>
      </w:pPr>
      <w:r>
        <w:rPr>
          <w:rFonts w:hint="eastAsia" w:ascii="宋体" w:hAnsi="宋体" w:cs="宋体"/>
          <w:color w:val="auto"/>
          <w:sz w:val="24"/>
          <w:szCs w:val="24"/>
        </w:rPr>
        <w:t>1.评标委员会应当对符合资格的投标人的投标文件进行符合性审查，以确定其是否满足招标文件的实质性要求，出现不符合下列情形之一时，作无效投标处理。《符合性审查表》如下：</w:t>
      </w:r>
    </w:p>
    <w:tbl>
      <w:tblPr>
        <w:tblStyle w:val="44"/>
        <w:tblW w:w="0" w:type="auto"/>
        <w:tblCellSpacing w:w="15" w:type="dxa"/>
        <w:tblInd w:w="0" w:type="dxa"/>
        <w:tblLayout w:type="fixed"/>
        <w:tblCellMar>
          <w:top w:w="15" w:type="dxa"/>
          <w:left w:w="15" w:type="dxa"/>
          <w:bottom w:w="15" w:type="dxa"/>
          <w:right w:w="15" w:type="dxa"/>
        </w:tblCellMar>
      </w:tblPr>
      <w:tblGrid>
        <w:gridCol w:w="9382"/>
      </w:tblGrid>
      <w:tr w14:paraId="4EC99583">
        <w:tblPrEx>
          <w:tblCellMar>
            <w:top w:w="15" w:type="dxa"/>
            <w:left w:w="15" w:type="dxa"/>
            <w:bottom w:w="15" w:type="dxa"/>
            <w:right w:w="15" w:type="dxa"/>
          </w:tblCellMar>
        </w:tblPrEx>
        <w:trPr>
          <w:tblCellSpacing w:w="15" w:type="dxa"/>
        </w:trPr>
        <w:tc>
          <w:tcPr>
            <w:tcW w:w="9322" w:type="dxa"/>
            <w:noWrap w:val="0"/>
            <w:vAlign w:val="center"/>
          </w:tcPr>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3"/>
              <w:gridCol w:w="7327"/>
            </w:tblGrid>
            <w:tr w14:paraId="79A9E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43" w:type="dxa"/>
                  <w:noWrap w:val="0"/>
                  <w:vAlign w:val="center"/>
                </w:tcPr>
                <w:p w14:paraId="0196E583">
                  <w:pPr>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序号</w:t>
                  </w:r>
                </w:p>
              </w:tc>
              <w:tc>
                <w:tcPr>
                  <w:tcW w:w="7327" w:type="dxa"/>
                  <w:noWrap w:val="0"/>
                  <w:vAlign w:val="center"/>
                </w:tcPr>
                <w:p w14:paraId="5520FF94">
                  <w:pPr>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符合性审查内容</w:t>
                  </w:r>
                </w:p>
              </w:tc>
            </w:tr>
            <w:tr w14:paraId="2B04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43" w:type="dxa"/>
                  <w:noWrap w:val="0"/>
                  <w:vAlign w:val="center"/>
                </w:tcPr>
                <w:p w14:paraId="06BF85A6">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1</w:t>
                  </w:r>
                </w:p>
              </w:tc>
              <w:tc>
                <w:tcPr>
                  <w:tcW w:w="7327" w:type="dxa"/>
                  <w:noWrap w:val="0"/>
                  <w:vAlign w:val="center"/>
                </w:tcPr>
                <w:p w14:paraId="0978C199">
                  <w:pPr>
                    <w:spacing w:line="400" w:lineRule="exact"/>
                    <w:jc w:val="left"/>
                    <w:rPr>
                      <w:rFonts w:hint="eastAsia" w:ascii="宋体" w:hAnsi="宋体" w:cs="宋体"/>
                      <w:color w:val="auto"/>
                      <w:sz w:val="24"/>
                      <w:szCs w:val="24"/>
                    </w:rPr>
                  </w:pPr>
                  <w:r>
                    <w:rPr>
                      <w:rFonts w:hint="eastAsia" w:ascii="宋体" w:hAnsi="宋体" w:cs="宋体"/>
                      <w:color w:val="auto"/>
                      <w:sz w:val="24"/>
                      <w:szCs w:val="24"/>
                    </w:rPr>
                    <w:t>投标报价确定且不高于最高限价</w:t>
                  </w:r>
                </w:p>
              </w:tc>
            </w:tr>
            <w:tr w14:paraId="1086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43" w:type="dxa"/>
                  <w:noWrap w:val="0"/>
                  <w:vAlign w:val="center"/>
                </w:tcPr>
                <w:p w14:paraId="4B9F0C3A">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2</w:t>
                  </w:r>
                </w:p>
              </w:tc>
              <w:tc>
                <w:tcPr>
                  <w:tcW w:w="7327" w:type="dxa"/>
                  <w:noWrap w:val="0"/>
                  <w:vAlign w:val="center"/>
                </w:tcPr>
                <w:p w14:paraId="6C71F3D5">
                  <w:pPr>
                    <w:spacing w:line="400" w:lineRule="exact"/>
                    <w:jc w:val="left"/>
                    <w:rPr>
                      <w:rFonts w:hint="eastAsia" w:ascii="宋体" w:hAnsi="宋体" w:cs="宋体"/>
                      <w:color w:val="auto"/>
                      <w:sz w:val="24"/>
                      <w:szCs w:val="24"/>
                    </w:rPr>
                  </w:pPr>
                  <w:r>
                    <w:rPr>
                      <w:rFonts w:hint="eastAsia" w:ascii="宋体" w:hAnsi="宋体" w:cs="宋体"/>
                      <w:color w:val="auto"/>
                      <w:sz w:val="24"/>
                      <w:szCs w:val="24"/>
                    </w:rPr>
                    <w:t xml:space="preserve">有盖章、签署要求的格式文件已按要求盖章、签署。 </w:t>
                  </w:r>
                </w:p>
              </w:tc>
            </w:tr>
            <w:tr w14:paraId="1876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43" w:type="dxa"/>
                  <w:noWrap w:val="0"/>
                  <w:vAlign w:val="center"/>
                </w:tcPr>
                <w:p w14:paraId="58ADAC33">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3</w:t>
                  </w:r>
                </w:p>
              </w:tc>
              <w:tc>
                <w:tcPr>
                  <w:tcW w:w="7327" w:type="dxa"/>
                  <w:noWrap w:val="0"/>
                  <w:vAlign w:val="center"/>
                </w:tcPr>
                <w:p w14:paraId="7F1B99D0">
                  <w:pPr>
                    <w:tabs>
                      <w:tab w:val="left" w:pos="2182"/>
                    </w:tabs>
                    <w:spacing w:line="400" w:lineRule="exact"/>
                    <w:jc w:val="left"/>
                    <w:rPr>
                      <w:rFonts w:hint="eastAsia" w:ascii="宋体" w:hAnsi="宋体" w:cs="宋体"/>
                      <w:color w:val="auto"/>
                      <w:sz w:val="24"/>
                      <w:szCs w:val="24"/>
                    </w:rPr>
                  </w:pPr>
                  <w:r>
                    <w:rPr>
                      <w:rFonts w:hint="eastAsia" w:ascii="宋体" w:hAnsi="宋体" w:cs="宋体"/>
                      <w:color w:val="auto"/>
                      <w:sz w:val="24"/>
                      <w:szCs w:val="24"/>
                    </w:rPr>
                    <w:t xml:space="preserve">投标文件完全满足招标文件中带★号的条款和指标 (审查《实质性响应一览表》) </w:t>
                  </w:r>
                </w:p>
              </w:tc>
            </w:tr>
            <w:tr w14:paraId="39D6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43" w:type="dxa"/>
                  <w:noWrap w:val="0"/>
                  <w:vAlign w:val="center"/>
                </w:tcPr>
                <w:p w14:paraId="10376649">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4</w:t>
                  </w:r>
                </w:p>
              </w:tc>
              <w:tc>
                <w:tcPr>
                  <w:tcW w:w="7327" w:type="dxa"/>
                  <w:noWrap w:val="0"/>
                  <w:vAlign w:val="center"/>
                </w:tcPr>
                <w:p w14:paraId="1B5244B0">
                  <w:pPr>
                    <w:tabs>
                      <w:tab w:val="left" w:pos="3274"/>
                    </w:tabs>
                    <w:spacing w:line="400" w:lineRule="exact"/>
                    <w:jc w:val="left"/>
                    <w:rPr>
                      <w:rFonts w:hint="eastAsia" w:ascii="宋体" w:hAnsi="宋体" w:cs="宋体"/>
                      <w:color w:val="auto"/>
                      <w:sz w:val="24"/>
                      <w:szCs w:val="24"/>
                    </w:rPr>
                  </w:pPr>
                  <w:r>
                    <w:rPr>
                      <w:rFonts w:hint="eastAsia" w:ascii="宋体" w:hAnsi="宋体" w:cs="宋体"/>
                      <w:color w:val="auto"/>
                      <w:sz w:val="24"/>
                      <w:szCs w:val="24"/>
                    </w:rPr>
                    <w:t>未发现属无效投标的其他情形（见表末说明）</w:t>
                  </w:r>
                </w:p>
              </w:tc>
            </w:tr>
          </w:tbl>
          <w:p w14:paraId="3DCD6776">
            <w:pPr>
              <w:spacing w:line="400" w:lineRule="exact"/>
              <w:rPr>
                <w:rFonts w:hint="eastAsia" w:ascii="宋体" w:hAnsi="宋体" w:cs="宋体"/>
                <w:color w:val="auto"/>
                <w:sz w:val="24"/>
                <w:szCs w:val="24"/>
              </w:rPr>
            </w:pPr>
          </w:p>
        </w:tc>
      </w:tr>
    </w:tbl>
    <w:p w14:paraId="6B7C66F7">
      <w:pPr>
        <w:tabs>
          <w:tab w:val="left" w:pos="0"/>
          <w:tab w:val="left" w:pos="720"/>
          <w:tab w:val="left" w:pos="1080"/>
        </w:tabs>
        <w:spacing w:line="400" w:lineRule="exact"/>
        <w:ind w:left="420"/>
        <w:rPr>
          <w:rFonts w:hint="eastAsia" w:ascii="宋体" w:hAnsi="宋体" w:cs="宋体"/>
          <w:b/>
          <w:color w:val="auto"/>
          <w:sz w:val="24"/>
          <w:szCs w:val="24"/>
        </w:rPr>
      </w:pPr>
      <w:r>
        <w:rPr>
          <w:rFonts w:hint="eastAsia" w:ascii="宋体" w:hAnsi="宋体" w:cs="宋体"/>
          <w:b/>
          <w:color w:val="auto"/>
          <w:sz w:val="24"/>
          <w:szCs w:val="24"/>
        </w:rPr>
        <w:t>说明：以下为属无效投标的其他情形。</w:t>
      </w:r>
    </w:p>
    <w:p w14:paraId="616A033F">
      <w:pPr>
        <w:pStyle w:val="5"/>
        <w:numPr>
          <w:ilvl w:val="1"/>
          <w:numId w:val="12"/>
        </w:numPr>
        <w:tabs>
          <w:tab w:val="clear" w:pos="851"/>
        </w:tabs>
        <w:spacing w:line="400" w:lineRule="exact"/>
        <w:ind w:left="0" w:firstLine="426"/>
        <w:rPr>
          <w:rFonts w:hint="eastAsia" w:hAnsi="宋体"/>
          <w:color w:val="auto"/>
          <w:sz w:val="24"/>
          <w:szCs w:val="24"/>
        </w:rPr>
      </w:pPr>
      <w:r>
        <w:rPr>
          <w:rFonts w:hint="eastAsia" w:hAnsi="宋体"/>
          <w:color w:val="auto"/>
          <w:sz w:val="24"/>
          <w:szCs w:val="24"/>
        </w:rPr>
        <w:t>除联合体外，法定代表人或单位负责人为同一个人或者存在直接控股、管理关系的不同供应商，同时参加本项目或同一子项目投标的；</w:t>
      </w:r>
    </w:p>
    <w:p w14:paraId="6F89CDD3">
      <w:pPr>
        <w:pStyle w:val="5"/>
        <w:numPr>
          <w:ilvl w:val="1"/>
          <w:numId w:val="12"/>
        </w:numPr>
        <w:tabs>
          <w:tab w:val="clear" w:pos="851"/>
        </w:tabs>
        <w:spacing w:line="400" w:lineRule="exact"/>
        <w:ind w:left="0" w:firstLine="426"/>
        <w:rPr>
          <w:rFonts w:hint="eastAsia" w:hAnsi="宋体"/>
          <w:color w:val="auto"/>
          <w:sz w:val="24"/>
          <w:szCs w:val="24"/>
        </w:rPr>
      </w:pPr>
      <w:r>
        <w:rPr>
          <w:rFonts w:hint="eastAsia" w:hAnsi="宋体"/>
          <w:color w:val="auto"/>
          <w:sz w:val="24"/>
          <w:szCs w:val="24"/>
        </w:rPr>
        <w:t>评标期间，投标人没有按评标委员会的要求提交法定代表人或其委托代理人签字的澄清、说明、补正或改变了投标文件的实质性内容的；</w:t>
      </w:r>
    </w:p>
    <w:p w14:paraId="7B80D09C">
      <w:pPr>
        <w:pStyle w:val="5"/>
        <w:numPr>
          <w:ilvl w:val="1"/>
          <w:numId w:val="12"/>
        </w:numPr>
        <w:tabs>
          <w:tab w:val="clear" w:pos="851"/>
        </w:tabs>
        <w:spacing w:line="400" w:lineRule="exact"/>
        <w:ind w:left="0" w:firstLine="426"/>
        <w:rPr>
          <w:rFonts w:hint="eastAsia" w:hAnsi="宋体"/>
          <w:color w:val="auto"/>
          <w:sz w:val="24"/>
          <w:szCs w:val="24"/>
        </w:rPr>
      </w:pPr>
      <w:r>
        <w:rPr>
          <w:rFonts w:hint="eastAsia" w:hAnsi="宋体"/>
          <w:color w:val="auto"/>
          <w:sz w:val="24"/>
          <w:szCs w:val="24"/>
        </w:rPr>
        <w:t>投标文件提供虚假材料的；</w:t>
      </w:r>
    </w:p>
    <w:p w14:paraId="78B9C4B7">
      <w:pPr>
        <w:pStyle w:val="5"/>
        <w:numPr>
          <w:ilvl w:val="1"/>
          <w:numId w:val="12"/>
        </w:numPr>
        <w:tabs>
          <w:tab w:val="clear" w:pos="851"/>
        </w:tabs>
        <w:spacing w:line="400" w:lineRule="exact"/>
        <w:ind w:left="0" w:firstLine="426"/>
        <w:rPr>
          <w:rFonts w:hint="eastAsia" w:hAnsi="宋体"/>
          <w:color w:val="auto"/>
          <w:sz w:val="24"/>
          <w:szCs w:val="24"/>
        </w:rPr>
      </w:pPr>
      <w:r>
        <w:rPr>
          <w:rFonts w:hint="eastAsia" w:hAnsi="宋体"/>
          <w:color w:val="auto"/>
          <w:sz w:val="24"/>
          <w:szCs w:val="24"/>
        </w:rPr>
        <w:t>投标人以他人的名义投标、串通投标、以行贿手段谋取中标或者以其他弄虚作假方式投标的；</w:t>
      </w:r>
    </w:p>
    <w:p w14:paraId="36DDA2F5">
      <w:pPr>
        <w:pStyle w:val="5"/>
        <w:numPr>
          <w:ilvl w:val="1"/>
          <w:numId w:val="12"/>
        </w:numPr>
        <w:tabs>
          <w:tab w:val="clear" w:pos="851"/>
        </w:tabs>
        <w:spacing w:line="400" w:lineRule="exact"/>
        <w:ind w:left="0" w:firstLine="426"/>
        <w:rPr>
          <w:rFonts w:hint="eastAsia" w:hAnsi="宋体"/>
          <w:color w:val="auto"/>
          <w:sz w:val="24"/>
          <w:szCs w:val="24"/>
        </w:rPr>
      </w:pPr>
      <w:r>
        <w:rPr>
          <w:rFonts w:hint="eastAsia" w:hAnsi="宋体"/>
          <w:color w:val="auto"/>
          <w:sz w:val="24"/>
          <w:szCs w:val="24"/>
        </w:rPr>
        <w:t>投标人对采购人、代理机构、评标委员会及其工作人员施加影响，有碍招标公平、公正的；</w:t>
      </w:r>
    </w:p>
    <w:p w14:paraId="62BBAB83">
      <w:pPr>
        <w:pStyle w:val="5"/>
        <w:numPr>
          <w:ilvl w:val="1"/>
          <w:numId w:val="12"/>
        </w:numPr>
        <w:tabs>
          <w:tab w:val="clear" w:pos="851"/>
        </w:tabs>
        <w:spacing w:line="400" w:lineRule="exact"/>
        <w:ind w:left="0" w:firstLine="426"/>
        <w:rPr>
          <w:rFonts w:hint="eastAsia" w:hAnsi="宋体"/>
          <w:color w:val="auto"/>
          <w:sz w:val="24"/>
          <w:szCs w:val="24"/>
        </w:rPr>
      </w:pPr>
      <w:r>
        <w:rPr>
          <w:rFonts w:hint="eastAsia" w:hAnsi="宋体"/>
          <w:color w:val="auto"/>
          <w:sz w:val="24"/>
          <w:szCs w:val="24"/>
        </w:rPr>
        <w:t>投标文件含有采购人不能接受的附加条件的；</w:t>
      </w:r>
    </w:p>
    <w:p w14:paraId="356CB5EE">
      <w:pPr>
        <w:pStyle w:val="5"/>
        <w:numPr>
          <w:ilvl w:val="1"/>
          <w:numId w:val="12"/>
        </w:numPr>
        <w:tabs>
          <w:tab w:val="clear" w:pos="851"/>
        </w:tabs>
        <w:spacing w:line="400" w:lineRule="exact"/>
        <w:ind w:left="0" w:firstLine="426"/>
        <w:rPr>
          <w:rFonts w:hint="eastAsia" w:hAnsi="宋体"/>
          <w:color w:val="auto"/>
          <w:sz w:val="24"/>
          <w:szCs w:val="24"/>
        </w:rPr>
      </w:pPr>
      <w:r>
        <w:rPr>
          <w:rFonts w:hint="eastAsia" w:hAnsi="宋体"/>
          <w:color w:val="auto"/>
          <w:sz w:val="24"/>
          <w:szCs w:val="24"/>
        </w:rPr>
        <w:t>法律、法规和招标文件规定的其他无效情形。</w:t>
      </w:r>
    </w:p>
    <w:p w14:paraId="68AF3833">
      <w:pPr>
        <w:numPr>
          <w:ilvl w:val="0"/>
          <w:numId w:val="13"/>
        </w:numPr>
        <w:tabs>
          <w:tab w:val="left" w:pos="0"/>
          <w:tab w:val="left" w:pos="720"/>
          <w:tab w:val="left" w:pos="1080"/>
          <w:tab w:val="clear" w:pos="840"/>
        </w:tabs>
        <w:spacing w:line="400" w:lineRule="exact"/>
        <w:ind w:left="0" w:firstLine="420"/>
        <w:rPr>
          <w:rFonts w:hint="eastAsia" w:ascii="宋体" w:hAnsi="宋体" w:cs="宋体"/>
          <w:color w:val="auto"/>
          <w:sz w:val="24"/>
          <w:szCs w:val="24"/>
        </w:rPr>
      </w:pPr>
      <w:r>
        <w:rPr>
          <w:rFonts w:hint="eastAsia" w:ascii="宋体" w:hAnsi="宋体" w:cs="宋体"/>
          <w:color w:val="auto"/>
          <w:sz w:val="24"/>
          <w:szCs w:val="24"/>
        </w:rPr>
        <w:t>对不通过符合性审查或被认定其投标无效的，评标委员会需签署书面意见，并当场书面或电话告知供应商，供应商可在限定的时间内以书面或电话方式进行澄清，评标委员会不再接受其他外部材料。</w:t>
      </w:r>
    </w:p>
    <w:p w14:paraId="72EE6A8B">
      <w:pPr>
        <w:numPr>
          <w:ilvl w:val="0"/>
          <w:numId w:val="13"/>
        </w:numPr>
        <w:tabs>
          <w:tab w:val="left" w:pos="0"/>
          <w:tab w:val="left" w:pos="720"/>
          <w:tab w:val="left" w:pos="1080"/>
          <w:tab w:val="clear" w:pos="840"/>
        </w:tabs>
        <w:spacing w:line="400" w:lineRule="exact"/>
        <w:ind w:left="0" w:firstLine="420"/>
        <w:rPr>
          <w:rFonts w:hint="eastAsia" w:ascii="宋体" w:hAnsi="宋体" w:cs="宋体"/>
          <w:color w:val="auto"/>
          <w:sz w:val="24"/>
          <w:szCs w:val="24"/>
        </w:rPr>
      </w:pPr>
      <w:r>
        <w:rPr>
          <w:rFonts w:hint="eastAsia" w:ascii="宋体" w:hAnsi="宋体" w:cs="宋体"/>
          <w:color w:val="auto"/>
          <w:sz w:val="24"/>
          <w:szCs w:val="24"/>
        </w:rPr>
        <w:t>不通过资格审查、符合性审查或投标无效的，不进入技术、商务和价格等的评分程序。</w:t>
      </w:r>
      <w:bookmarkStart w:id="199" w:name="EBdfc96280f5f74c8eafebc1d3e5c543d4"/>
    </w:p>
    <w:bookmarkEnd w:id="199"/>
    <w:p w14:paraId="499AF2B8">
      <w:pPr>
        <w:tabs>
          <w:tab w:val="left" w:pos="0"/>
          <w:tab w:val="left" w:pos="720"/>
          <w:tab w:val="left" w:pos="1080"/>
        </w:tabs>
        <w:spacing w:line="400" w:lineRule="exact"/>
        <w:ind w:firstLine="482" w:firstLineChars="200"/>
        <w:rPr>
          <w:rFonts w:hint="eastAsia" w:ascii="宋体" w:hAnsi="宋体" w:cs="宋体"/>
          <w:b/>
          <w:bCs/>
          <w:color w:val="auto"/>
          <w:sz w:val="24"/>
          <w:szCs w:val="24"/>
          <w:lang w:val="en-GB"/>
        </w:rPr>
      </w:pPr>
      <w:r>
        <w:rPr>
          <w:rFonts w:hint="eastAsia" w:ascii="宋体" w:hAnsi="宋体" w:cs="宋体"/>
          <w:b/>
          <w:bCs/>
          <w:color w:val="auto"/>
          <w:sz w:val="24"/>
          <w:szCs w:val="24"/>
        </w:rPr>
        <w:t>（三）评分标准细则</w:t>
      </w:r>
    </w:p>
    <w:p w14:paraId="557E9AE7">
      <w:pPr>
        <w:tabs>
          <w:tab w:val="left" w:pos="0"/>
          <w:tab w:val="left" w:pos="720"/>
          <w:tab w:val="left" w:pos="1080"/>
        </w:tabs>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1．价格核准：评标委员会成员对有效投标人的详细报价进行复核，看其是否有计算错误或供货范围上的错误。</w:t>
      </w:r>
    </w:p>
    <w:p w14:paraId="6BEB1EA5">
      <w:pPr>
        <w:tabs>
          <w:tab w:val="left" w:pos="0"/>
          <w:tab w:val="left" w:pos="720"/>
          <w:tab w:val="left" w:pos="1080"/>
        </w:tabs>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b/>
          <w:color w:val="auto"/>
          <w:sz w:val="24"/>
          <w:szCs w:val="24"/>
        </w:rPr>
        <w:t>评标委员会成员对享受政府采购相关政策的供应商进行价格扣除</w:t>
      </w:r>
      <w:bookmarkStart w:id="200" w:name="EB52db735d52d94509a12378b48e78a48b"/>
      <w:bookmarkEnd w:id="200"/>
      <w:r>
        <w:rPr>
          <w:rFonts w:hint="eastAsia" w:ascii="宋体" w:hAnsi="宋体" w:cs="宋体"/>
          <w:b/>
          <w:color w:val="auto"/>
          <w:sz w:val="24"/>
          <w:szCs w:val="24"/>
        </w:rPr>
        <w:t>：</w:t>
      </w:r>
    </w:p>
    <w:p w14:paraId="2A0970F4">
      <w:pPr>
        <w:spacing w:line="400" w:lineRule="exact"/>
        <w:rPr>
          <w:rFonts w:hint="eastAsia" w:ascii="宋体" w:hAnsi="宋体" w:cs="宋体"/>
          <w:bCs/>
          <w:color w:val="auto"/>
          <w:sz w:val="24"/>
          <w:szCs w:val="24"/>
          <w:lang w:val="en-GB"/>
        </w:rPr>
      </w:pPr>
      <w:bookmarkStart w:id="201" w:name="EBff72eef0e83b46ac9b10dbadc93cffd4"/>
      <w:r>
        <w:rPr>
          <w:rFonts w:hint="eastAsia" w:ascii="宋体" w:hAnsi="宋体" w:cs="宋体"/>
          <w:bCs/>
          <w:color w:val="auto"/>
          <w:sz w:val="24"/>
          <w:szCs w:val="24"/>
          <w:lang w:val="en-GB"/>
        </w:rPr>
        <w:t xml:space="preserve"> </w:t>
      </w:r>
      <w:bookmarkEnd w:id="201"/>
      <w:r>
        <w:rPr>
          <w:rFonts w:hint="eastAsia" w:ascii="宋体" w:hAnsi="宋体" w:cs="宋体"/>
          <w:bCs/>
          <w:color w:val="auto"/>
          <w:sz w:val="24"/>
          <w:szCs w:val="24"/>
        </w:rPr>
        <w:t xml:space="preserve">  </w:t>
      </w:r>
      <w:r>
        <w:rPr>
          <w:rFonts w:hint="eastAsia" w:ascii="宋体" w:hAnsi="宋体" w:cs="宋体"/>
          <w:bCs/>
          <w:color w:val="auto"/>
          <w:sz w:val="24"/>
          <w:szCs w:val="24"/>
          <w:lang w:val="en-GB"/>
        </w:rPr>
        <w:t>（</w:t>
      </w:r>
      <w:r>
        <w:rPr>
          <w:rFonts w:hint="eastAsia" w:ascii="宋体" w:hAnsi="宋体" w:cs="宋体"/>
          <w:bCs/>
          <w:color w:val="auto"/>
          <w:sz w:val="24"/>
          <w:szCs w:val="24"/>
        </w:rPr>
        <w:t>1</w:t>
      </w:r>
      <w:r>
        <w:rPr>
          <w:rFonts w:hint="eastAsia" w:ascii="宋体" w:hAnsi="宋体" w:cs="宋体"/>
          <w:bCs/>
          <w:color w:val="auto"/>
          <w:sz w:val="24"/>
          <w:szCs w:val="24"/>
          <w:lang w:val="en-GB"/>
        </w:rPr>
        <w:t>）在政府采购活动中，供应商提供的货物符合下列情形的，享受本办法规定的中小企业扶持政策：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1F5F1327">
      <w:pPr>
        <w:widowControl/>
        <w:spacing w:line="400" w:lineRule="exact"/>
        <w:ind w:firstLine="420" w:firstLineChars="175"/>
        <w:rPr>
          <w:rFonts w:hint="eastAsia" w:ascii="宋体" w:hAnsi="宋体" w:cs="宋体"/>
          <w:bCs/>
          <w:color w:val="auto"/>
          <w:sz w:val="24"/>
          <w:szCs w:val="24"/>
          <w:lang w:val="en-GB"/>
        </w:rPr>
      </w:pPr>
      <w:r>
        <w:rPr>
          <w:rFonts w:hint="eastAsia" w:ascii="宋体" w:hAnsi="宋体" w:cs="宋体"/>
          <w:bCs/>
          <w:color w:val="auto"/>
          <w:sz w:val="24"/>
          <w:szCs w:val="24"/>
          <w:lang w:val="en-GB"/>
        </w:rPr>
        <w:t>以联合体形式参加政府采购活动，联合体各方均为中小企业的，联合体视同中小企业。其中，联合体各方均为小微企业的，联合体视同小微企业。</w:t>
      </w:r>
    </w:p>
    <w:p w14:paraId="49F415DE">
      <w:pPr>
        <w:spacing w:line="400" w:lineRule="exact"/>
        <w:ind w:firstLine="480" w:firstLineChars="200"/>
        <w:rPr>
          <w:rFonts w:hint="eastAsia" w:ascii="宋体" w:hAnsi="宋体" w:cs="宋体"/>
          <w:color w:val="auto"/>
          <w:sz w:val="24"/>
          <w:szCs w:val="24"/>
        </w:rPr>
      </w:pPr>
      <w:r>
        <w:rPr>
          <w:rFonts w:hint="eastAsia" w:ascii="宋体" w:hAnsi="宋体" w:cs="宋体"/>
          <w:bCs/>
          <w:color w:val="auto"/>
          <w:sz w:val="24"/>
          <w:szCs w:val="24"/>
        </w:rPr>
        <w:t>对于非专门面向中小企业采购的项目，凡符合要求的有效投</w:t>
      </w:r>
    </w:p>
    <w:tbl>
      <w:tblPr>
        <w:tblStyle w:val="44"/>
        <w:tblW w:w="0" w:type="auto"/>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202"/>
        <w:gridCol w:w="3413"/>
        <w:gridCol w:w="2876"/>
      </w:tblGrid>
      <w:tr w14:paraId="3375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60" w:type="dxa"/>
            <w:noWrap w:val="0"/>
            <w:vAlign w:val="center"/>
          </w:tcPr>
          <w:p w14:paraId="6B17FE7B">
            <w:pPr>
              <w:spacing w:line="400" w:lineRule="exact"/>
              <w:jc w:val="center"/>
              <w:rPr>
                <w:rFonts w:hint="eastAsia" w:ascii="宋体" w:hAnsi="宋体" w:cs="宋体"/>
                <w:b/>
                <w:color w:val="auto"/>
                <w:sz w:val="24"/>
                <w:szCs w:val="24"/>
                <w:lang w:val="en-GB"/>
              </w:rPr>
            </w:pPr>
            <w:r>
              <w:rPr>
                <w:rFonts w:hint="eastAsia" w:ascii="宋体" w:hAnsi="宋体" w:cs="宋体"/>
                <w:b/>
                <w:color w:val="auto"/>
                <w:sz w:val="24"/>
                <w:szCs w:val="24"/>
                <w:lang w:val="en-GB"/>
              </w:rPr>
              <w:t>序号</w:t>
            </w:r>
          </w:p>
        </w:tc>
        <w:tc>
          <w:tcPr>
            <w:tcW w:w="2202" w:type="dxa"/>
            <w:noWrap w:val="0"/>
            <w:vAlign w:val="center"/>
          </w:tcPr>
          <w:p w14:paraId="5C3C738B">
            <w:pPr>
              <w:spacing w:line="400" w:lineRule="exact"/>
              <w:jc w:val="center"/>
              <w:rPr>
                <w:rFonts w:hint="eastAsia" w:ascii="宋体" w:hAnsi="宋体" w:cs="宋体"/>
                <w:b/>
                <w:color w:val="auto"/>
                <w:sz w:val="24"/>
                <w:szCs w:val="24"/>
                <w:lang w:val="en-GB"/>
              </w:rPr>
            </w:pPr>
            <w:r>
              <w:rPr>
                <w:rFonts w:hint="eastAsia" w:ascii="宋体" w:hAnsi="宋体" w:cs="宋体"/>
                <w:b/>
                <w:color w:val="auto"/>
                <w:sz w:val="24"/>
                <w:szCs w:val="24"/>
                <w:lang w:val="en-GB"/>
              </w:rPr>
              <w:t>情形</w:t>
            </w:r>
          </w:p>
        </w:tc>
        <w:tc>
          <w:tcPr>
            <w:tcW w:w="3413" w:type="dxa"/>
            <w:noWrap w:val="0"/>
            <w:vAlign w:val="center"/>
          </w:tcPr>
          <w:p w14:paraId="37EE18E0">
            <w:pPr>
              <w:spacing w:line="400" w:lineRule="exact"/>
              <w:jc w:val="center"/>
              <w:rPr>
                <w:rFonts w:hint="eastAsia" w:ascii="宋体" w:hAnsi="宋体" w:cs="宋体"/>
                <w:b/>
                <w:color w:val="auto"/>
                <w:sz w:val="24"/>
                <w:szCs w:val="24"/>
                <w:lang w:val="en-GB"/>
              </w:rPr>
            </w:pPr>
            <w:r>
              <w:rPr>
                <w:rFonts w:hint="eastAsia" w:ascii="宋体" w:hAnsi="宋体" w:cs="宋体"/>
                <w:b/>
                <w:color w:val="auto"/>
                <w:sz w:val="24"/>
                <w:szCs w:val="24"/>
              </w:rPr>
              <w:t>价格扣除</w:t>
            </w:r>
            <w:r>
              <w:rPr>
                <w:rFonts w:hint="eastAsia" w:ascii="宋体" w:hAnsi="宋体" w:cs="宋体"/>
                <w:b/>
                <w:color w:val="auto"/>
                <w:sz w:val="24"/>
                <w:szCs w:val="24"/>
                <w:lang w:val="en-GB"/>
              </w:rPr>
              <w:t>比例</w:t>
            </w:r>
          </w:p>
        </w:tc>
        <w:tc>
          <w:tcPr>
            <w:tcW w:w="2876" w:type="dxa"/>
            <w:noWrap w:val="0"/>
            <w:vAlign w:val="center"/>
          </w:tcPr>
          <w:p w14:paraId="366569FF">
            <w:pPr>
              <w:spacing w:line="400" w:lineRule="exact"/>
              <w:jc w:val="center"/>
              <w:rPr>
                <w:rFonts w:hint="eastAsia" w:ascii="宋体" w:hAnsi="宋体" w:cs="宋体"/>
                <w:b/>
                <w:color w:val="auto"/>
                <w:sz w:val="24"/>
                <w:szCs w:val="24"/>
                <w:lang w:val="en-GB"/>
              </w:rPr>
            </w:pPr>
            <w:r>
              <w:rPr>
                <w:rFonts w:hint="eastAsia" w:ascii="宋体" w:hAnsi="宋体" w:cs="宋体"/>
                <w:b/>
                <w:color w:val="auto"/>
                <w:sz w:val="24"/>
                <w:szCs w:val="24"/>
                <w:lang w:val="en-GB"/>
              </w:rPr>
              <w:t>计算公式</w:t>
            </w:r>
          </w:p>
        </w:tc>
      </w:tr>
      <w:tr w14:paraId="07C8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60" w:type="dxa"/>
            <w:noWrap w:val="0"/>
            <w:vAlign w:val="center"/>
          </w:tcPr>
          <w:p w14:paraId="48E441BE">
            <w:pPr>
              <w:spacing w:line="400" w:lineRule="exact"/>
              <w:jc w:val="center"/>
              <w:rPr>
                <w:rFonts w:hint="eastAsia" w:ascii="宋体" w:hAnsi="宋体" w:cs="宋体"/>
                <w:b/>
                <w:color w:val="auto"/>
                <w:sz w:val="24"/>
                <w:szCs w:val="24"/>
                <w:lang w:val="en-GB"/>
              </w:rPr>
            </w:pPr>
            <w:r>
              <w:rPr>
                <w:rFonts w:hint="eastAsia" w:ascii="宋体" w:hAnsi="宋体" w:cs="宋体"/>
                <w:b/>
                <w:color w:val="auto"/>
                <w:sz w:val="24"/>
                <w:szCs w:val="24"/>
                <w:lang w:val="en-GB"/>
              </w:rPr>
              <w:t>1</w:t>
            </w:r>
          </w:p>
        </w:tc>
        <w:tc>
          <w:tcPr>
            <w:tcW w:w="2202" w:type="dxa"/>
            <w:noWrap w:val="0"/>
            <w:vAlign w:val="center"/>
          </w:tcPr>
          <w:p w14:paraId="069B42AD">
            <w:pPr>
              <w:spacing w:line="400" w:lineRule="exact"/>
              <w:jc w:val="center"/>
              <w:rPr>
                <w:rFonts w:hint="eastAsia" w:ascii="宋体" w:hAnsi="宋体" w:cs="宋体"/>
                <w:color w:val="auto"/>
                <w:sz w:val="24"/>
                <w:szCs w:val="24"/>
                <w:lang w:val="en-GB"/>
              </w:rPr>
            </w:pPr>
            <w:r>
              <w:rPr>
                <w:rFonts w:hint="eastAsia" w:ascii="宋体" w:hAnsi="宋体" w:cs="宋体"/>
                <w:color w:val="auto"/>
                <w:sz w:val="24"/>
                <w:szCs w:val="24"/>
                <w:lang w:val="en-GB"/>
              </w:rPr>
              <w:t>非联合体供应商</w:t>
            </w:r>
          </w:p>
          <w:p w14:paraId="2B79D0F7">
            <w:pPr>
              <w:spacing w:line="400" w:lineRule="exact"/>
              <w:jc w:val="center"/>
              <w:rPr>
                <w:rFonts w:hint="eastAsia" w:ascii="宋体" w:hAnsi="宋体" w:cs="宋体"/>
                <w:b/>
                <w:color w:val="auto"/>
                <w:sz w:val="24"/>
                <w:szCs w:val="24"/>
                <w:lang w:val="en-GB"/>
              </w:rPr>
            </w:pPr>
            <w:r>
              <w:rPr>
                <w:rFonts w:hint="eastAsia" w:ascii="宋体" w:hAnsi="宋体" w:cs="宋体"/>
                <w:color w:val="auto"/>
                <w:sz w:val="24"/>
                <w:szCs w:val="24"/>
                <w:lang w:val="en-GB"/>
              </w:rPr>
              <w:t>（供应商须为小型、微型企业）</w:t>
            </w:r>
          </w:p>
        </w:tc>
        <w:tc>
          <w:tcPr>
            <w:tcW w:w="3413" w:type="dxa"/>
            <w:noWrap w:val="0"/>
            <w:vAlign w:val="center"/>
          </w:tcPr>
          <w:p w14:paraId="53879CBA">
            <w:pPr>
              <w:spacing w:line="400" w:lineRule="exact"/>
              <w:jc w:val="center"/>
              <w:rPr>
                <w:rFonts w:hint="eastAsia" w:ascii="宋体" w:hAnsi="宋体" w:cs="宋体"/>
                <w:b/>
                <w:color w:val="auto"/>
                <w:sz w:val="24"/>
                <w:szCs w:val="24"/>
                <w:lang w:val="en-GB"/>
              </w:rPr>
            </w:pPr>
            <w:r>
              <w:rPr>
                <w:rFonts w:hint="eastAsia" w:ascii="宋体" w:hAnsi="宋体" w:cs="宋体"/>
                <w:color w:val="auto"/>
                <w:sz w:val="24"/>
                <w:szCs w:val="24"/>
              </w:rPr>
              <w:t>对小型和微型企业产品的价格扣除</w:t>
            </w:r>
            <w:r>
              <w:rPr>
                <w:rFonts w:hint="eastAsia" w:ascii="宋体" w:hAnsi="宋体" w:cs="宋体"/>
                <w:color w:val="auto"/>
                <w:sz w:val="24"/>
                <w:szCs w:val="24"/>
                <w:u w:val="single"/>
              </w:rPr>
              <w:t>10</w:t>
            </w:r>
            <w:r>
              <w:rPr>
                <w:rFonts w:hint="eastAsia" w:ascii="宋体" w:hAnsi="宋体" w:cs="宋体"/>
                <w:color w:val="auto"/>
                <w:sz w:val="24"/>
                <w:szCs w:val="24"/>
              </w:rPr>
              <w:t>%</w:t>
            </w:r>
          </w:p>
        </w:tc>
        <w:tc>
          <w:tcPr>
            <w:tcW w:w="2876" w:type="dxa"/>
            <w:vMerge w:val="restart"/>
            <w:noWrap w:val="0"/>
            <w:vAlign w:val="center"/>
          </w:tcPr>
          <w:p w14:paraId="751CE29D">
            <w:pPr>
              <w:spacing w:line="400" w:lineRule="exact"/>
              <w:jc w:val="center"/>
              <w:rPr>
                <w:rFonts w:hint="eastAsia" w:ascii="宋体" w:hAnsi="宋体" w:cs="宋体"/>
                <w:color w:val="auto"/>
                <w:sz w:val="24"/>
                <w:szCs w:val="24"/>
                <w:lang w:val="en-GB"/>
              </w:rPr>
            </w:pPr>
            <w:r>
              <w:rPr>
                <w:rFonts w:hint="eastAsia" w:ascii="宋体" w:hAnsi="宋体" w:cs="宋体"/>
                <w:color w:val="auto"/>
                <w:sz w:val="24"/>
                <w:szCs w:val="24"/>
                <w:lang w:val="en-GB"/>
              </w:rPr>
              <w:t>评标价＝总投标报价—</w:t>
            </w:r>
            <w:r>
              <w:rPr>
                <w:rFonts w:hint="eastAsia" w:ascii="宋体" w:hAnsi="宋体" w:cs="宋体"/>
                <w:color w:val="auto"/>
                <w:sz w:val="24"/>
                <w:szCs w:val="24"/>
              </w:rPr>
              <w:t>小型和微型企业产品的价格</w:t>
            </w:r>
            <w:r>
              <w:rPr>
                <w:rFonts w:hint="eastAsia" w:ascii="宋体" w:hAnsi="宋体" w:cs="宋体"/>
                <w:color w:val="auto"/>
                <w:sz w:val="24"/>
                <w:szCs w:val="24"/>
                <w:lang w:val="en-GB"/>
              </w:rPr>
              <w:t>×</w:t>
            </w:r>
            <w:r>
              <w:rPr>
                <w:rFonts w:hint="eastAsia" w:ascii="宋体" w:hAnsi="宋体" w:cs="宋体"/>
                <w:color w:val="auto"/>
                <w:sz w:val="24"/>
                <w:szCs w:val="24"/>
                <w:u w:val="single"/>
              </w:rPr>
              <w:t>10%</w:t>
            </w:r>
          </w:p>
        </w:tc>
      </w:tr>
      <w:tr w14:paraId="6884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60" w:type="dxa"/>
            <w:noWrap w:val="0"/>
            <w:vAlign w:val="center"/>
          </w:tcPr>
          <w:p w14:paraId="2858B070">
            <w:pPr>
              <w:spacing w:line="400" w:lineRule="exact"/>
              <w:jc w:val="center"/>
              <w:rPr>
                <w:rFonts w:hint="eastAsia" w:ascii="宋体" w:hAnsi="宋体" w:cs="宋体"/>
                <w:b/>
                <w:color w:val="auto"/>
                <w:sz w:val="24"/>
                <w:szCs w:val="24"/>
                <w:lang w:val="en-GB"/>
              </w:rPr>
            </w:pPr>
            <w:r>
              <w:rPr>
                <w:rFonts w:hint="eastAsia" w:ascii="宋体" w:hAnsi="宋体" w:cs="宋体"/>
                <w:b/>
                <w:color w:val="auto"/>
                <w:sz w:val="24"/>
                <w:szCs w:val="24"/>
                <w:lang w:val="en-GB"/>
              </w:rPr>
              <w:t>2</w:t>
            </w:r>
          </w:p>
        </w:tc>
        <w:tc>
          <w:tcPr>
            <w:tcW w:w="2202" w:type="dxa"/>
            <w:noWrap w:val="0"/>
            <w:vAlign w:val="center"/>
          </w:tcPr>
          <w:p w14:paraId="05183E5D">
            <w:pPr>
              <w:spacing w:line="400" w:lineRule="exact"/>
              <w:jc w:val="center"/>
              <w:rPr>
                <w:rFonts w:hint="eastAsia" w:ascii="宋体" w:hAnsi="宋体" w:cs="宋体"/>
                <w:b/>
                <w:color w:val="auto"/>
                <w:sz w:val="24"/>
                <w:szCs w:val="24"/>
              </w:rPr>
            </w:pPr>
            <w:r>
              <w:rPr>
                <w:rFonts w:hint="eastAsia" w:ascii="宋体" w:hAnsi="宋体" w:cs="宋体"/>
                <w:color w:val="auto"/>
                <w:sz w:val="24"/>
                <w:szCs w:val="24"/>
                <w:lang w:val="en-GB"/>
              </w:rPr>
              <w:t>联合体各方均为小型、微型企业</w:t>
            </w:r>
          </w:p>
        </w:tc>
        <w:tc>
          <w:tcPr>
            <w:tcW w:w="3413" w:type="dxa"/>
            <w:noWrap w:val="0"/>
            <w:vAlign w:val="center"/>
          </w:tcPr>
          <w:p w14:paraId="5D81E636">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对小型和微型企业产品的价格扣除</w:t>
            </w:r>
            <w:r>
              <w:rPr>
                <w:rFonts w:hint="eastAsia" w:ascii="宋体" w:hAnsi="宋体" w:cs="宋体"/>
                <w:color w:val="auto"/>
                <w:sz w:val="24"/>
                <w:szCs w:val="24"/>
                <w:u w:val="single"/>
              </w:rPr>
              <w:t>10</w:t>
            </w:r>
            <w:r>
              <w:rPr>
                <w:rFonts w:hint="eastAsia" w:ascii="宋体" w:hAnsi="宋体" w:cs="宋体"/>
                <w:color w:val="auto"/>
                <w:sz w:val="24"/>
                <w:szCs w:val="24"/>
              </w:rPr>
              <w:t>%</w:t>
            </w:r>
          </w:p>
          <w:p w14:paraId="29B59620">
            <w:pPr>
              <w:spacing w:line="400" w:lineRule="exact"/>
              <w:jc w:val="center"/>
              <w:rPr>
                <w:rFonts w:hint="eastAsia" w:ascii="宋体" w:hAnsi="宋体" w:cs="宋体"/>
                <w:b/>
                <w:color w:val="auto"/>
                <w:sz w:val="24"/>
                <w:szCs w:val="24"/>
                <w:lang w:val="en-GB"/>
              </w:rPr>
            </w:pPr>
            <w:r>
              <w:rPr>
                <w:rFonts w:hint="eastAsia" w:ascii="宋体" w:hAnsi="宋体" w:cs="宋体"/>
                <w:color w:val="auto"/>
                <w:sz w:val="24"/>
                <w:szCs w:val="24"/>
              </w:rPr>
              <w:t>（不再享受序号3的价格折扣）</w:t>
            </w:r>
          </w:p>
        </w:tc>
        <w:tc>
          <w:tcPr>
            <w:tcW w:w="2876" w:type="dxa"/>
            <w:vMerge w:val="continue"/>
            <w:noWrap w:val="0"/>
            <w:vAlign w:val="top"/>
          </w:tcPr>
          <w:p w14:paraId="51959B2F">
            <w:pPr>
              <w:spacing w:line="400" w:lineRule="exact"/>
              <w:rPr>
                <w:rFonts w:hint="eastAsia" w:ascii="宋体" w:hAnsi="宋体" w:cs="宋体"/>
                <w:color w:val="auto"/>
                <w:sz w:val="24"/>
                <w:szCs w:val="24"/>
                <w:lang w:val="en-GB"/>
              </w:rPr>
            </w:pPr>
          </w:p>
        </w:tc>
      </w:tr>
      <w:tr w14:paraId="6B24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60" w:type="dxa"/>
            <w:noWrap w:val="0"/>
            <w:vAlign w:val="center"/>
          </w:tcPr>
          <w:p w14:paraId="5A6BBD4C">
            <w:pPr>
              <w:spacing w:line="400" w:lineRule="exact"/>
              <w:jc w:val="center"/>
              <w:rPr>
                <w:rFonts w:hint="eastAsia" w:ascii="宋体" w:hAnsi="宋体" w:cs="宋体"/>
                <w:b/>
                <w:color w:val="auto"/>
                <w:sz w:val="24"/>
                <w:szCs w:val="24"/>
                <w:lang w:val="en-GB"/>
              </w:rPr>
            </w:pPr>
            <w:r>
              <w:rPr>
                <w:rFonts w:hint="eastAsia" w:ascii="宋体" w:hAnsi="宋体" w:cs="宋体"/>
                <w:b/>
                <w:color w:val="auto"/>
                <w:sz w:val="24"/>
                <w:szCs w:val="24"/>
                <w:lang w:val="en-GB"/>
              </w:rPr>
              <w:t>3</w:t>
            </w:r>
          </w:p>
        </w:tc>
        <w:tc>
          <w:tcPr>
            <w:tcW w:w="2202" w:type="dxa"/>
            <w:noWrap w:val="0"/>
            <w:vAlign w:val="center"/>
          </w:tcPr>
          <w:p w14:paraId="3EF56733">
            <w:pPr>
              <w:spacing w:line="400" w:lineRule="exact"/>
              <w:jc w:val="center"/>
              <w:rPr>
                <w:rFonts w:hint="eastAsia" w:ascii="宋体" w:hAnsi="宋体" w:cs="宋体"/>
                <w:b/>
                <w:color w:val="auto"/>
                <w:sz w:val="24"/>
                <w:szCs w:val="24"/>
                <w:lang w:val="en-GB"/>
              </w:rPr>
            </w:pPr>
            <w:r>
              <w:rPr>
                <w:rFonts w:hint="eastAsia" w:ascii="宋体" w:hAnsi="宋体" w:cs="宋体"/>
                <w:color w:val="auto"/>
                <w:sz w:val="24"/>
                <w:szCs w:val="24"/>
                <w:lang w:val="en-GB"/>
              </w:rPr>
              <w:t>联合体一方为小型、微型企业且小型、微型企业协议合同金额占联合体协议合同总金额30%以上的</w:t>
            </w:r>
          </w:p>
        </w:tc>
        <w:tc>
          <w:tcPr>
            <w:tcW w:w="3413" w:type="dxa"/>
            <w:noWrap w:val="0"/>
            <w:vAlign w:val="center"/>
          </w:tcPr>
          <w:p w14:paraId="1A6DA357">
            <w:pPr>
              <w:spacing w:line="400" w:lineRule="exact"/>
              <w:jc w:val="center"/>
              <w:rPr>
                <w:rFonts w:hint="eastAsia" w:ascii="宋体" w:hAnsi="宋体" w:cs="宋体"/>
                <w:color w:val="auto"/>
                <w:sz w:val="24"/>
                <w:szCs w:val="24"/>
                <w:lang w:val="en-GB"/>
              </w:rPr>
            </w:pPr>
            <w:r>
              <w:rPr>
                <w:rFonts w:hint="eastAsia" w:ascii="宋体" w:hAnsi="宋体" w:cs="宋体"/>
                <w:color w:val="auto"/>
                <w:sz w:val="24"/>
                <w:szCs w:val="24"/>
                <w:lang w:val="en-GB"/>
              </w:rPr>
              <w:t>对联合体总金额扣除</w:t>
            </w:r>
          </w:p>
          <w:p w14:paraId="29D976AA">
            <w:pPr>
              <w:spacing w:line="400" w:lineRule="exact"/>
              <w:jc w:val="center"/>
              <w:rPr>
                <w:rFonts w:hint="eastAsia" w:ascii="宋体" w:hAnsi="宋体" w:cs="宋体"/>
                <w:b/>
                <w:color w:val="auto"/>
                <w:sz w:val="24"/>
                <w:szCs w:val="24"/>
                <w:lang w:val="en-GB"/>
              </w:rPr>
            </w:pPr>
            <w:r>
              <w:rPr>
                <w:rFonts w:hint="eastAsia" w:ascii="宋体" w:hAnsi="宋体" w:cs="宋体"/>
                <w:color w:val="auto"/>
                <w:sz w:val="24"/>
                <w:szCs w:val="24"/>
                <w:u w:val="single"/>
              </w:rPr>
              <w:t xml:space="preserve"> 6  </w:t>
            </w:r>
            <w:r>
              <w:rPr>
                <w:rFonts w:hint="eastAsia" w:ascii="宋体" w:hAnsi="宋体" w:cs="宋体"/>
                <w:color w:val="auto"/>
                <w:sz w:val="24"/>
                <w:szCs w:val="24"/>
              </w:rPr>
              <w:t>%</w:t>
            </w:r>
          </w:p>
        </w:tc>
        <w:tc>
          <w:tcPr>
            <w:tcW w:w="2876" w:type="dxa"/>
            <w:noWrap w:val="0"/>
            <w:vAlign w:val="center"/>
          </w:tcPr>
          <w:p w14:paraId="488AB228">
            <w:pPr>
              <w:spacing w:line="400" w:lineRule="exact"/>
              <w:jc w:val="center"/>
              <w:rPr>
                <w:rFonts w:hint="eastAsia" w:ascii="宋体" w:hAnsi="宋体" w:cs="宋体"/>
                <w:color w:val="auto"/>
                <w:sz w:val="24"/>
                <w:szCs w:val="24"/>
                <w:lang w:val="en-GB"/>
              </w:rPr>
            </w:pPr>
            <w:r>
              <w:rPr>
                <w:rFonts w:hint="eastAsia" w:ascii="宋体" w:hAnsi="宋体" w:cs="宋体"/>
                <w:color w:val="auto"/>
                <w:sz w:val="24"/>
                <w:szCs w:val="24"/>
                <w:lang w:val="en-GB"/>
              </w:rPr>
              <w:t>评标价＝总投标报价×</w:t>
            </w:r>
            <w:r>
              <w:rPr>
                <w:rFonts w:hint="eastAsia" w:ascii="宋体" w:hAnsi="宋体" w:cs="宋体"/>
                <w:color w:val="auto"/>
                <w:sz w:val="24"/>
                <w:szCs w:val="24"/>
              </w:rPr>
              <w:t>(1-</w:t>
            </w:r>
            <w:r>
              <w:rPr>
                <w:rFonts w:hint="eastAsia" w:ascii="宋体" w:hAnsi="宋体" w:cs="宋体"/>
                <w:color w:val="auto"/>
                <w:sz w:val="24"/>
                <w:szCs w:val="24"/>
                <w:u w:val="single"/>
              </w:rPr>
              <w:t>6%)</w:t>
            </w:r>
          </w:p>
        </w:tc>
      </w:tr>
    </w:tbl>
    <w:p w14:paraId="293847E6">
      <w:pPr>
        <w:pStyle w:val="25"/>
        <w:spacing w:line="400" w:lineRule="exact"/>
        <w:rPr>
          <w:rFonts w:hint="eastAsia" w:hAnsi="宋体" w:cs="宋体"/>
          <w:color w:val="auto"/>
          <w:sz w:val="24"/>
          <w:szCs w:val="24"/>
          <w:lang w:val="en-US" w:eastAsia="zh-CN"/>
        </w:rPr>
      </w:pPr>
    </w:p>
    <w:p w14:paraId="48C26B7F">
      <w:pPr>
        <w:widowControl/>
        <w:spacing w:line="400" w:lineRule="exact"/>
        <w:ind w:firstLine="420" w:firstLineChars="175"/>
        <w:rPr>
          <w:rFonts w:hint="eastAsia" w:ascii="宋体" w:hAnsi="宋体" w:cs="宋体"/>
          <w:bCs/>
          <w:color w:val="auto"/>
          <w:sz w:val="24"/>
          <w:szCs w:val="24"/>
        </w:rPr>
      </w:pPr>
      <w:r>
        <w:rPr>
          <w:rFonts w:hint="eastAsia" w:ascii="宋体" w:hAnsi="宋体" w:cs="宋体"/>
          <w:bCs/>
          <w:color w:val="auto"/>
          <w:sz w:val="24"/>
          <w:szCs w:val="24"/>
          <w:lang w:val="en-GB"/>
        </w:rPr>
        <w:t>（</w:t>
      </w:r>
      <w:r>
        <w:rPr>
          <w:rFonts w:hint="eastAsia" w:ascii="宋体" w:hAnsi="宋体" w:cs="宋体"/>
          <w:bCs/>
          <w:color w:val="auto"/>
          <w:sz w:val="24"/>
          <w:szCs w:val="24"/>
        </w:rPr>
        <w:t>2</w:t>
      </w:r>
      <w:r>
        <w:rPr>
          <w:rFonts w:hint="eastAsia" w:ascii="宋体" w:hAnsi="宋体" w:cs="宋体"/>
          <w:bCs/>
          <w:color w:val="auto"/>
          <w:sz w:val="24"/>
          <w:szCs w:val="24"/>
          <w:lang w:val="en-GB"/>
        </w:rPr>
        <w:t>）</w:t>
      </w:r>
      <w:r>
        <w:rPr>
          <w:rFonts w:hint="eastAsia" w:ascii="宋体" w:hAnsi="宋体" w:cs="宋体"/>
          <w:bCs/>
          <w:color w:val="auto"/>
          <w:sz w:val="24"/>
          <w:szCs w:val="24"/>
        </w:rPr>
        <w:t>监狱企业视同小微企业，监狱企业报价的提供由省级以上监狱管理局、戒毒管理局(含新疆生产建设兵团)出具的属于监狱企业的证明文件，不再提供《中小企业声明函》。</w:t>
      </w:r>
    </w:p>
    <w:p w14:paraId="27FC41B9">
      <w:pPr>
        <w:widowControl/>
        <w:spacing w:line="400" w:lineRule="exact"/>
        <w:ind w:firstLine="420" w:firstLineChars="175"/>
        <w:rPr>
          <w:rFonts w:hint="eastAsia" w:ascii="宋体" w:hAnsi="宋体" w:cs="宋体"/>
          <w:bCs/>
          <w:color w:val="auto"/>
          <w:sz w:val="24"/>
          <w:szCs w:val="24"/>
        </w:rPr>
      </w:pPr>
      <w:r>
        <w:rPr>
          <w:rFonts w:hint="eastAsia" w:ascii="宋体" w:hAnsi="宋体" w:cs="宋体"/>
          <w:bCs/>
          <w:color w:val="auto"/>
          <w:sz w:val="24"/>
          <w:szCs w:val="24"/>
        </w:rPr>
        <w:t>（3）残疾人福利性单位视同小型、微型企业，残疾人福利性单位属于小型、微型企业的，不重复享受政策。符合条件的残疾人福利性单位在参加政府采购活动时，应当提供《残疾人福利性单位声明函》。</w:t>
      </w:r>
    </w:p>
    <w:p w14:paraId="4B333F41">
      <w:pPr>
        <w:spacing w:line="400" w:lineRule="exact"/>
        <w:ind w:firstLine="480" w:firstLineChars="200"/>
        <w:rPr>
          <w:rFonts w:hint="eastAsia" w:ascii="宋体" w:hAnsi="宋体" w:cs="宋体"/>
          <w:bCs/>
          <w:color w:val="auto"/>
          <w:sz w:val="24"/>
          <w:szCs w:val="24"/>
        </w:rPr>
      </w:pPr>
      <w:r>
        <w:rPr>
          <w:rFonts w:hint="eastAsia" w:ascii="宋体" w:hAnsi="宋体" w:cs="宋体"/>
          <w:bCs/>
          <w:color w:val="auto"/>
          <w:sz w:val="24"/>
          <w:szCs w:val="24"/>
        </w:rPr>
        <w:t>3.根据黔财采〔2014〕15号文件规定，对原产地在少数民族自治区和享受少数民族自治待遇的省份（新疆维吾尔自治区、西藏自治区、宁夏回族自治区、广西壮族自治区、内蒙古自治区、云南、贵州、青海）生产制造的投标主产品（不含附带产品），享受政策性加分或价格扣除，即采用综合评分法或性价比法进行评审的，在总得分基础上加3分；采用最低评标价法进行评审的，对其产品的价格给予6%的扣除，用扣除后的价格参与评审, 投标主产品按照不得低于本采购项目预算金额50%加以确定，如实行分品目采购的，可以以品目为单位计算。</w:t>
      </w:r>
    </w:p>
    <w:p w14:paraId="2EE5EA14">
      <w:pPr>
        <w:spacing w:line="400" w:lineRule="exact"/>
        <w:ind w:firstLine="480" w:firstLineChars="200"/>
        <w:rPr>
          <w:rFonts w:hint="eastAsia" w:ascii="宋体" w:hAnsi="宋体" w:cs="宋体"/>
          <w:bCs/>
          <w:color w:val="auto"/>
          <w:sz w:val="24"/>
          <w:szCs w:val="24"/>
        </w:rPr>
      </w:pPr>
      <w:r>
        <w:rPr>
          <w:rFonts w:hint="eastAsia" w:ascii="宋体" w:hAnsi="宋体" w:cs="宋体"/>
          <w:bCs/>
          <w:color w:val="auto"/>
          <w:sz w:val="24"/>
          <w:szCs w:val="24"/>
        </w:rPr>
        <w:t>4.根据财库〔2019〕18号及财库〔2019〕19号文件规定，所提供的投标主产品属于《节能产品政府采购品名清单》和《环境标志产品政府采购品名清单》，享受政策性加分或价格扣除，即在总得分基础上，每一项加0.3分，如投标产品同时属于“节能产品清单”和“环保产品清单”两个清单中产品的，每一项加0.5分，最高不得超过2分；采用最低评标价法进行评审的，对其产品的价格给予6%的扣除。</w:t>
      </w:r>
    </w:p>
    <w:p w14:paraId="70E4DB02">
      <w:pPr>
        <w:widowControl/>
        <w:spacing w:line="400" w:lineRule="exact"/>
        <w:ind w:firstLine="422" w:firstLineChars="175"/>
        <w:rPr>
          <w:rFonts w:hint="eastAsia" w:ascii="宋体" w:hAnsi="宋体" w:cs="宋体"/>
          <w:b/>
          <w:color w:val="auto"/>
          <w:sz w:val="24"/>
          <w:szCs w:val="24"/>
        </w:rPr>
      </w:pPr>
      <w:r>
        <w:rPr>
          <w:rFonts w:hint="eastAsia" w:ascii="宋体" w:hAnsi="宋体" w:cs="宋体"/>
          <w:b/>
          <w:color w:val="auto"/>
          <w:sz w:val="24"/>
          <w:szCs w:val="24"/>
        </w:rPr>
        <w:t>5.以上政府采购相关政策，投标人不重复享受，以能享受最高优惠政策（即扣除后的价格）参与评审。</w:t>
      </w:r>
    </w:p>
    <w:p w14:paraId="59FA9F1C">
      <w:pPr>
        <w:pStyle w:val="25"/>
        <w:spacing w:line="400" w:lineRule="exact"/>
        <w:ind w:firstLine="482" w:firstLineChars="200"/>
        <w:rPr>
          <w:rFonts w:hint="eastAsia" w:hAnsi="宋体" w:cs="宋体"/>
          <w:b/>
          <w:color w:val="auto"/>
          <w:kern w:val="2"/>
          <w:sz w:val="24"/>
          <w:szCs w:val="24"/>
          <w:lang w:val="zh-CN" w:eastAsia="zh-CN"/>
        </w:rPr>
      </w:pPr>
      <w:r>
        <w:rPr>
          <w:rFonts w:hint="eastAsia" w:hAnsi="宋体" w:cs="宋体"/>
          <w:b/>
          <w:color w:val="auto"/>
          <w:kern w:val="2"/>
          <w:sz w:val="24"/>
          <w:szCs w:val="24"/>
          <w:lang w:val="zh-CN" w:eastAsia="zh-CN"/>
        </w:rPr>
        <w:t>若本项目专门面向中小企业，不再进行价格扣除。</w:t>
      </w:r>
    </w:p>
    <w:p w14:paraId="59723534">
      <w:pPr>
        <w:spacing w:line="400" w:lineRule="exact"/>
        <w:ind w:left="425"/>
        <w:rPr>
          <w:rFonts w:hint="eastAsia" w:ascii="宋体" w:hAnsi="宋体" w:cs="宋体"/>
          <w:b/>
          <w:color w:val="auto"/>
          <w:sz w:val="24"/>
          <w:szCs w:val="24"/>
        </w:rPr>
      </w:pPr>
      <w:bookmarkStart w:id="202" w:name="EBbc13eeddc4464735ae13420033193866"/>
      <w:r>
        <w:rPr>
          <w:rFonts w:hint="eastAsia" w:ascii="宋体" w:hAnsi="宋体" w:cs="宋体"/>
          <w:b/>
          <w:color w:val="auto"/>
          <w:sz w:val="24"/>
          <w:szCs w:val="24"/>
        </w:rPr>
        <w:t xml:space="preserve">（四） </w:t>
      </w:r>
      <w:bookmarkEnd w:id="202"/>
      <w:r>
        <w:rPr>
          <w:rFonts w:hint="eastAsia" w:ascii="宋体" w:hAnsi="宋体" w:cs="宋体"/>
          <w:b/>
          <w:color w:val="auto"/>
          <w:sz w:val="24"/>
          <w:szCs w:val="24"/>
        </w:rPr>
        <w:t>综合评分的计算</w:t>
      </w:r>
    </w:p>
    <w:p w14:paraId="333E1235">
      <w:pPr>
        <w:tabs>
          <w:tab w:val="left" w:pos="720"/>
        </w:tabs>
        <w:spacing w:line="400" w:lineRule="exact"/>
        <w:ind w:left="360"/>
        <w:rPr>
          <w:rFonts w:hint="eastAsia" w:ascii="宋体" w:hAnsi="宋体" w:cs="宋体"/>
          <w:color w:val="auto"/>
          <w:sz w:val="24"/>
          <w:szCs w:val="24"/>
        </w:rPr>
      </w:pPr>
      <w:bookmarkStart w:id="203" w:name="EB067d940baba349e582b898bfd18c9719"/>
      <w:bookmarkStart w:id="204" w:name="EB42fa6b65a45d4e4db22dc9ffb8f38a6b"/>
      <w:r>
        <w:rPr>
          <w:rFonts w:hint="eastAsia" w:ascii="宋体" w:hAnsi="宋体" w:cs="宋体"/>
          <w:color w:val="auto"/>
          <w:sz w:val="24"/>
          <w:szCs w:val="24"/>
        </w:rPr>
        <w:t>1.综合评分=价格分+技术分+</w:t>
      </w:r>
      <w:bookmarkEnd w:id="203"/>
      <w:r>
        <w:rPr>
          <w:rFonts w:hint="eastAsia" w:ascii="宋体" w:hAnsi="宋体" w:cs="宋体"/>
          <w:color w:val="auto"/>
          <w:sz w:val="24"/>
          <w:szCs w:val="24"/>
        </w:rPr>
        <w:t>商务分</w:t>
      </w:r>
    </w:p>
    <w:p w14:paraId="599635CC">
      <w:pPr>
        <w:tabs>
          <w:tab w:val="left" w:pos="720"/>
        </w:tabs>
        <w:spacing w:line="400" w:lineRule="exact"/>
        <w:ind w:left="360"/>
        <w:rPr>
          <w:rStyle w:val="72"/>
          <w:rFonts w:hint="eastAsia" w:ascii="宋体" w:hAnsi="宋体" w:cs="宋体"/>
          <w:color w:val="auto"/>
          <w:sz w:val="24"/>
          <w:szCs w:val="24"/>
        </w:rPr>
      </w:pPr>
      <w:r>
        <w:rPr>
          <w:rFonts w:hint="eastAsia" w:ascii="宋体" w:hAnsi="宋体" w:cs="宋体"/>
          <w:color w:val="auto"/>
          <w:sz w:val="24"/>
          <w:szCs w:val="24"/>
        </w:rPr>
        <w:t xml:space="preserve">2.各项得分按四舍五入原则精确到小数点后两位。将综合评分由高到低顺序排列。综合评分相同的，按评标价由低到高顺序排列；综合评分相同，且评标价相同的，按技术评分由高到低顺序排列。综合评分相同，且评标价和技术评分均相同的，名次由评标委员会抽签决定。 </w:t>
      </w:r>
      <w:bookmarkEnd w:id="204"/>
      <w:r>
        <w:rPr>
          <w:rFonts w:hint="eastAsia" w:ascii="宋体" w:hAnsi="宋体" w:cs="宋体"/>
          <w:color w:val="auto"/>
          <w:sz w:val="24"/>
          <w:szCs w:val="24"/>
        </w:rPr>
        <w:t xml:space="preserve"> </w:t>
      </w:r>
    </w:p>
    <w:p w14:paraId="54CDA460">
      <w:pPr>
        <w:spacing w:line="400" w:lineRule="exact"/>
        <w:ind w:left="425"/>
        <w:rPr>
          <w:rFonts w:hint="eastAsia" w:ascii="宋体" w:hAnsi="宋体" w:cs="宋体"/>
          <w:b/>
          <w:color w:val="auto"/>
          <w:sz w:val="24"/>
          <w:szCs w:val="24"/>
        </w:rPr>
      </w:pPr>
      <w:r>
        <w:rPr>
          <w:rFonts w:hint="eastAsia" w:ascii="宋体" w:hAnsi="宋体" w:cs="宋体"/>
          <w:b/>
          <w:color w:val="auto"/>
          <w:sz w:val="24"/>
          <w:szCs w:val="24"/>
        </w:rPr>
        <w:t>（五）中标候选人推荐</w:t>
      </w:r>
    </w:p>
    <w:p w14:paraId="2A39F02E">
      <w:pPr>
        <w:tabs>
          <w:tab w:val="left" w:pos="0"/>
        </w:tabs>
        <w:spacing w:line="400" w:lineRule="exact"/>
        <w:ind w:firstLine="420" w:firstLineChars="175"/>
        <w:rPr>
          <w:rFonts w:hint="eastAsia" w:ascii="宋体" w:hAnsi="宋体" w:cs="宋体"/>
          <w:color w:val="auto"/>
          <w:sz w:val="24"/>
          <w:szCs w:val="24"/>
        </w:rPr>
      </w:pPr>
      <w:bookmarkStart w:id="205" w:name="EBbd61321b745f4224a0c59e1c09246b9e"/>
      <w:r>
        <w:rPr>
          <w:rFonts w:hint="eastAsia" w:ascii="宋体" w:hAnsi="宋体" w:cs="宋体"/>
          <w:color w:val="auto"/>
          <w:sz w:val="24"/>
          <w:szCs w:val="24"/>
        </w:rPr>
        <w:t xml:space="preserve"> </w:t>
      </w:r>
      <w:bookmarkEnd w:id="205"/>
      <w:r>
        <w:rPr>
          <w:rFonts w:hint="eastAsia" w:ascii="宋体" w:hAnsi="宋体" w:cs="宋体"/>
          <w:color w:val="auto"/>
          <w:sz w:val="24"/>
          <w:szCs w:val="24"/>
        </w:rPr>
        <w:t>1. 评标委员会按上述排列向采购人推荐三名中标候选人，推荐综合得分排名第一的供应商为第一中标候选人。第一中标候选人不得随意放弃中标资格。</w:t>
      </w:r>
    </w:p>
    <w:p w14:paraId="1245C8FD">
      <w:pPr>
        <w:tabs>
          <w:tab w:val="left" w:pos="0"/>
        </w:tabs>
        <w:spacing w:line="400" w:lineRule="exact"/>
        <w:ind w:firstLine="420" w:firstLineChars="175"/>
        <w:rPr>
          <w:rFonts w:hint="eastAsia" w:ascii="宋体" w:hAnsi="宋体" w:cs="宋体"/>
          <w:color w:val="auto"/>
          <w:sz w:val="24"/>
          <w:szCs w:val="24"/>
        </w:rPr>
      </w:pPr>
      <w:r>
        <w:rPr>
          <w:rFonts w:hint="eastAsia" w:ascii="宋体" w:hAnsi="宋体" w:cs="宋体"/>
          <w:color w:val="auto"/>
          <w:sz w:val="24"/>
          <w:szCs w:val="24"/>
        </w:rPr>
        <w:t>2.本项目使用综合评分法，提供相同品牌产品的不同投标人参加同一合同项下投标的，通过资格审查、符合性审查且评审后得分最高的同品牌投标人获得中标候选人推荐资格；评审得分相同的，由评标委员会抽签确定一个投标人获得中标候选人推荐资格，其他同品牌投标人不作为中标候选人。</w:t>
      </w:r>
    </w:p>
    <w:p w14:paraId="742FAEB5">
      <w:pPr>
        <w:spacing w:line="400" w:lineRule="exact"/>
        <w:ind w:left="540"/>
        <w:outlineLvl w:val="1"/>
        <w:rPr>
          <w:rFonts w:hint="eastAsia" w:ascii="黑体" w:hAnsi="黑体" w:eastAsia="黑体" w:cs="黑体"/>
          <w:bCs/>
          <w:color w:val="auto"/>
          <w:sz w:val="28"/>
          <w:szCs w:val="28"/>
        </w:rPr>
      </w:pPr>
      <w:bookmarkStart w:id="206" w:name="_Toc101951268"/>
      <w:bookmarkStart w:id="207" w:name="_Toc101843130"/>
      <w:bookmarkStart w:id="208" w:name="_Toc401575156"/>
      <w:bookmarkStart w:id="209" w:name="_Toc101771377"/>
      <w:bookmarkStart w:id="210" w:name="_Toc101775130"/>
      <w:bookmarkStart w:id="211" w:name="_Toc403491572"/>
      <w:r>
        <w:rPr>
          <w:rFonts w:hint="eastAsia" w:ascii="黑体" w:hAnsi="黑体" w:eastAsia="黑体" w:cs="黑体"/>
          <w:bCs/>
          <w:color w:val="auto"/>
          <w:sz w:val="28"/>
          <w:szCs w:val="28"/>
        </w:rPr>
        <w:t>三、项目废标处理</w:t>
      </w:r>
      <w:bookmarkEnd w:id="206"/>
      <w:bookmarkEnd w:id="207"/>
      <w:bookmarkEnd w:id="208"/>
      <w:bookmarkEnd w:id="209"/>
      <w:bookmarkEnd w:id="210"/>
      <w:bookmarkEnd w:id="211"/>
    </w:p>
    <w:p w14:paraId="1DC28F91">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根据《政府采购法》第三十六条规定，本项目或子项目下列情况出现将作废标处理：</w:t>
      </w:r>
    </w:p>
    <w:p w14:paraId="70A5E9DC">
      <w:pPr>
        <w:pStyle w:val="5"/>
        <w:numPr>
          <w:ilvl w:val="1"/>
          <w:numId w:val="14"/>
        </w:numPr>
        <w:tabs>
          <w:tab w:val="clear" w:pos="851"/>
        </w:tabs>
        <w:spacing w:line="400" w:lineRule="exact"/>
        <w:ind w:left="0" w:firstLine="425"/>
        <w:rPr>
          <w:rFonts w:hint="eastAsia" w:hAnsi="宋体"/>
          <w:color w:val="auto"/>
          <w:sz w:val="24"/>
          <w:szCs w:val="24"/>
        </w:rPr>
      </w:pPr>
      <w:r>
        <w:rPr>
          <w:rFonts w:hint="eastAsia" w:hAnsi="宋体"/>
          <w:color w:val="auto"/>
          <w:sz w:val="24"/>
          <w:szCs w:val="24"/>
        </w:rPr>
        <w:t>符合专业资格条件的投标人或者对招标文件作实质响应的有效投标人不足三家的</w:t>
      </w:r>
      <w:bookmarkStart w:id="212" w:name="EB7e063bb4e89549d28121d2674922c4fe"/>
      <w:r>
        <w:rPr>
          <w:rFonts w:hint="eastAsia" w:hAnsi="宋体"/>
          <w:color w:val="auto"/>
          <w:sz w:val="24"/>
          <w:szCs w:val="24"/>
        </w:rPr>
        <w:t>（说明：使用综合评分法的采购项目，提供相同品牌产品且通过资格审查、符合性审查的不同投标人参加同一合同项下投标的，按一家投标人计算）</w:t>
      </w:r>
      <w:bookmarkEnd w:id="212"/>
      <w:r>
        <w:rPr>
          <w:rFonts w:hint="eastAsia" w:hAnsi="宋体"/>
          <w:color w:val="auto"/>
          <w:sz w:val="24"/>
          <w:szCs w:val="24"/>
        </w:rPr>
        <w:t>；</w:t>
      </w:r>
    </w:p>
    <w:p w14:paraId="5D11CF71">
      <w:pPr>
        <w:pStyle w:val="5"/>
        <w:numPr>
          <w:ilvl w:val="1"/>
          <w:numId w:val="14"/>
        </w:numPr>
        <w:tabs>
          <w:tab w:val="clear" w:pos="851"/>
        </w:tabs>
        <w:spacing w:line="400" w:lineRule="exact"/>
        <w:ind w:left="0" w:firstLine="425"/>
        <w:rPr>
          <w:rFonts w:hint="eastAsia" w:hAnsi="宋体"/>
          <w:color w:val="auto"/>
          <w:sz w:val="24"/>
          <w:szCs w:val="24"/>
        </w:rPr>
      </w:pPr>
      <w:r>
        <w:rPr>
          <w:rFonts w:hint="eastAsia" w:hAnsi="宋体"/>
          <w:color w:val="auto"/>
          <w:sz w:val="24"/>
          <w:szCs w:val="24"/>
        </w:rPr>
        <w:t xml:space="preserve">出现影响采购公正的违法、违规行为的； </w:t>
      </w:r>
    </w:p>
    <w:p w14:paraId="728B779D">
      <w:pPr>
        <w:pStyle w:val="5"/>
        <w:numPr>
          <w:ilvl w:val="1"/>
          <w:numId w:val="14"/>
        </w:numPr>
        <w:tabs>
          <w:tab w:val="clear" w:pos="851"/>
        </w:tabs>
        <w:spacing w:line="400" w:lineRule="exact"/>
        <w:ind w:left="0" w:firstLine="425"/>
        <w:rPr>
          <w:rFonts w:hint="eastAsia" w:hAnsi="宋体"/>
          <w:color w:val="auto"/>
          <w:sz w:val="24"/>
          <w:szCs w:val="24"/>
        </w:rPr>
      </w:pPr>
      <w:r>
        <w:rPr>
          <w:rFonts w:hint="eastAsia" w:hAnsi="宋体"/>
          <w:color w:val="auto"/>
          <w:sz w:val="24"/>
          <w:szCs w:val="24"/>
        </w:rPr>
        <w:t xml:space="preserve">投标人的报价均超过了采购预算，采购人不能支付的； </w:t>
      </w:r>
    </w:p>
    <w:p w14:paraId="71915B92">
      <w:pPr>
        <w:pStyle w:val="5"/>
        <w:numPr>
          <w:ilvl w:val="1"/>
          <w:numId w:val="14"/>
        </w:numPr>
        <w:tabs>
          <w:tab w:val="clear" w:pos="851"/>
        </w:tabs>
        <w:spacing w:line="400" w:lineRule="exact"/>
        <w:ind w:left="0" w:firstLine="425"/>
        <w:rPr>
          <w:rFonts w:hint="eastAsia" w:hAnsi="宋体"/>
          <w:color w:val="auto"/>
          <w:sz w:val="24"/>
          <w:szCs w:val="24"/>
        </w:rPr>
      </w:pPr>
      <w:r>
        <w:rPr>
          <w:rFonts w:hint="eastAsia" w:hAnsi="宋体"/>
          <w:color w:val="auto"/>
          <w:sz w:val="24"/>
          <w:szCs w:val="24"/>
        </w:rPr>
        <w:t xml:space="preserve">因重大变故，采购任务取消的。 </w:t>
      </w:r>
    </w:p>
    <w:bookmarkEnd w:id="180"/>
    <w:bookmarkEnd w:id="181"/>
    <w:bookmarkEnd w:id="182"/>
    <w:p w14:paraId="1FF7B1A9">
      <w:pPr>
        <w:spacing w:line="400" w:lineRule="exact"/>
        <w:ind w:firstLine="480" w:firstLineChars="200"/>
        <w:outlineLvl w:val="1"/>
        <w:rPr>
          <w:rFonts w:hint="eastAsia" w:ascii="黑体" w:hAnsi="黑体" w:eastAsia="黑体" w:cs="黑体"/>
          <w:bCs/>
          <w:color w:val="auto"/>
          <w:sz w:val="24"/>
          <w:szCs w:val="24"/>
        </w:rPr>
      </w:pPr>
      <w:bookmarkStart w:id="213" w:name="_Toc98580290"/>
      <w:bookmarkStart w:id="214" w:name="_Toc50276154"/>
      <w:bookmarkStart w:id="215" w:name="_Toc41884703"/>
      <w:bookmarkStart w:id="216" w:name="_Toc42313169"/>
      <w:bookmarkStart w:id="217" w:name="_Toc98579066"/>
      <w:bookmarkStart w:id="218" w:name="_Toc98579008"/>
      <w:bookmarkStart w:id="219" w:name="_Toc101843131"/>
      <w:bookmarkStart w:id="220" w:name="_Toc401575157"/>
      <w:bookmarkStart w:id="221" w:name="_Toc42394670"/>
      <w:bookmarkStart w:id="222" w:name="_Toc101775131"/>
      <w:bookmarkStart w:id="223" w:name="_Toc403491573"/>
      <w:bookmarkStart w:id="224" w:name="_Toc42394514"/>
      <w:bookmarkStart w:id="225" w:name="_Toc101771378"/>
      <w:bookmarkStart w:id="226" w:name="_Toc41723933"/>
      <w:bookmarkStart w:id="227" w:name="_Toc101951269"/>
      <w:bookmarkStart w:id="228" w:name="_Toc98579607"/>
      <w:r>
        <w:rPr>
          <w:rFonts w:hint="eastAsia" w:ascii="黑体" w:hAnsi="黑体" w:eastAsia="黑体" w:cs="黑体"/>
          <w:bCs/>
          <w:color w:val="auto"/>
          <w:sz w:val="24"/>
          <w:szCs w:val="24"/>
        </w:rPr>
        <w:t>四、定标</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140E3B7D">
      <w:pPr>
        <w:pStyle w:val="5"/>
        <w:tabs>
          <w:tab w:val="clear" w:pos="851"/>
        </w:tabs>
        <w:spacing w:line="400" w:lineRule="exact"/>
        <w:ind w:firstLine="480" w:firstLineChars="200"/>
        <w:rPr>
          <w:rFonts w:hint="eastAsia" w:hAnsi="宋体"/>
          <w:color w:val="auto"/>
          <w:sz w:val="24"/>
          <w:szCs w:val="24"/>
        </w:rPr>
      </w:pPr>
      <w:r>
        <w:rPr>
          <w:rFonts w:hint="eastAsia" w:hAnsi="宋体"/>
          <w:color w:val="auto"/>
          <w:sz w:val="24"/>
          <w:szCs w:val="24"/>
        </w:rPr>
        <w:t>（一）代理机构应当在评标结束后2个工作日内将评标报告送采购人，采购人应当自收到评标报告之日起5个工作日内，在评标报告确定的中标候选人名单中按顺序确定中标人。</w:t>
      </w:r>
      <w:bookmarkStart w:id="229" w:name="EB4427ea53cab941779413b12899674173"/>
    </w:p>
    <w:tbl>
      <w:tblPr>
        <w:tblStyle w:val="44"/>
        <w:tblW w:w="0" w:type="auto"/>
        <w:jc w:val="center"/>
        <w:tblLayout w:type="fixed"/>
        <w:tblCellMar>
          <w:top w:w="0" w:type="dxa"/>
          <w:left w:w="0" w:type="dxa"/>
          <w:bottom w:w="0" w:type="dxa"/>
          <w:right w:w="0" w:type="dxa"/>
        </w:tblCellMar>
      </w:tblPr>
      <w:tblGrid>
        <w:gridCol w:w="9080"/>
      </w:tblGrid>
      <w:tr w14:paraId="7D419431">
        <w:tblPrEx>
          <w:tblCellMar>
            <w:top w:w="0" w:type="dxa"/>
            <w:left w:w="0" w:type="dxa"/>
            <w:bottom w:w="0" w:type="dxa"/>
            <w:right w:w="0" w:type="dxa"/>
          </w:tblCellMar>
        </w:tblPrEx>
        <w:trPr>
          <w:trHeight w:val="984" w:hRule="atLeast"/>
          <w:jc w:val="center"/>
        </w:trPr>
        <w:tc>
          <w:tcPr>
            <w:tcW w:w="9080" w:type="dxa"/>
            <w:noWrap w:val="0"/>
            <w:vAlign w:val="center"/>
          </w:tcPr>
          <w:p w14:paraId="06FE6087">
            <w:pPr>
              <w:spacing w:line="400" w:lineRule="exact"/>
              <w:rPr>
                <w:rFonts w:hint="eastAsia" w:ascii="宋体" w:hAnsi="宋体" w:cs="宋体"/>
                <w:color w:val="auto"/>
                <w:sz w:val="24"/>
                <w:szCs w:val="24"/>
              </w:rPr>
            </w:pPr>
            <w:r>
              <w:rPr>
                <w:rFonts w:hint="eastAsia" w:ascii="宋体" w:hAnsi="宋体" w:cs="宋体"/>
                <w:color w:val="auto"/>
                <w:sz w:val="24"/>
                <w:szCs w:val="24"/>
              </w:rPr>
              <w:t>   第一中标候选人放弃中标或被依法认定中标无效的，采购人可以按顺序选择第二中标候选人或者重新招标。</w:t>
            </w:r>
          </w:p>
        </w:tc>
      </w:tr>
      <w:bookmarkEnd w:id="229"/>
    </w:tbl>
    <w:p w14:paraId="470C41B0">
      <w:pPr>
        <w:pStyle w:val="5"/>
        <w:tabs>
          <w:tab w:val="clear" w:pos="851"/>
        </w:tabs>
        <w:spacing w:line="400" w:lineRule="exact"/>
        <w:ind w:firstLine="480" w:firstLineChars="200"/>
        <w:rPr>
          <w:rFonts w:hint="eastAsia" w:hAnsi="宋体"/>
          <w:color w:val="auto"/>
          <w:sz w:val="24"/>
          <w:szCs w:val="24"/>
        </w:rPr>
      </w:pPr>
      <w:r>
        <w:rPr>
          <w:rFonts w:hint="eastAsia" w:hAnsi="宋体"/>
          <w:color w:val="auto"/>
          <w:sz w:val="24"/>
          <w:szCs w:val="24"/>
        </w:rPr>
        <w:t>（二）采购结果确认后，代理机构将中标结果在采购信息发布网站上进行公告。不在中标名单之列者即为落标人，不再以其它方式另行通知。</w:t>
      </w:r>
    </w:p>
    <w:p w14:paraId="57C98843">
      <w:pPr>
        <w:pStyle w:val="5"/>
        <w:tabs>
          <w:tab w:val="clear" w:pos="851"/>
        </w:tabs>
        <w:spacing w:line="400" w:lineRule="exact"/>
        <w:ind w:firstLine="480" w:firstLineChars="200"/>
        <w:rPr>
          <w:rFonts w:hint="eastAsia" w:hAnsi="宋体"/>
          <w:color w:val="auto"/>
          <w:sz w:val="24"/>
          <w:szCs w:val="24"/>
        </w:rPr>
      </w:pPr>
      <w:r>
        <w:rPr>
          <w:rFonts w:hint="eastAsia" w:hAnsi="宋体"/>
          <w:color w:val="auto"/>
          <w:sz w:val="24"/>
          <w:szCs w:val="24"/>
        </w:rPr>
        <w:t>（三）</w:t>
      </w:r>
      <w:bookmarkStart w:id="230" w:name="EB5f19c26206d14befbb1868a3479a49a6"/>
      <w:r>
        <w:rPr>
          <w:rFonts w:hint="eastAsia" w:hAnsi="宋体"/>
          <w:color w:val="auto"/>
          <w:sz w:val="24"/>
          <w:szCs w:val="24"/>
        </w:rPr>
        <w:t>中标结果公告后，中标人须向</w:t>
      </w:r>
      <w:bookmarkEnd w:id="230"/>
      <w:r>
        <w:rPr>
          <w:rFonts w:hint="eastAsia" w:hAnsi="宋体"/>
          <w:color w:val="auto"/>
          <w:sz w:val="24"/>
          <w:szCs w:val="24"/>
        </w:rPr>
        <w:t>代理机构领取招标通知书，《中标通知书》将作为授予合同资格的唯一合法依据。</w:t>
      </w:r>
    </w:p>
    <w:p w14:paraId="5234E53B">
      <w:pPr>
        <w:pStyle w:val="5"/>
        <w:tabs>
          <w:tab w:val="clear" w:pos="851"/>
        </w:tabs>
        <w:spacing w:line="400" w:lineRule="exact"/>
        <w:ind w:left="425"/>
        <w:rPr>
          <w:rFonts w:hint="eastAsia" w:hAnsi="宋体"/>
          <w:color w:val="auto"/>
          <w:sz w:val="24"/>
          <w:szCs w:val="24"/>
        </w:rPr>
      </w:pPr>
      <w:r>
        <w:rPr>
          <w:rFonts w:hint="eastAsia" w:hAnsi="宋体"/>
          <w:color w:val="auto"/>
          <w:sz w:val="24"/>
          <w:szCs w:val="24"/>
        </w:rPr>
        <w:t>（四）中标人放弃中标的，应当依法承担相应的法律责任。</w:t>
      </w:r>
    </w:p>
    <w:p w14:paraId="080F29F5">
      <w:pPr>
        <w:pStyle w:val="5"/>
        <w:tabs>
          <w:tab w:val="clear" w:pos="851"/>
        </w:tabs>
        <w:spacing w:line="400" w:lineRule="exact"/>
        <w:ind w:left="425"/>
        <w:rPr>
          <w:rFonts w:hint="eastAsia" w:hAnsi="宋体"/>
          <w:color w:val="auto"/>
          <w:sz w:val="24"/>
          <w:szCs w:val="24"/>
        </w:rPr>
      </w:pPr>
      <w:r>
        <w:rPr>
          <w:rFonts w:hint="eastAsia" w:hAnsi="宋体"/>
          <w:color w:val="auto"/>
          <w:sz w:val="24"/>
          <w:szCs w:val="24"/>
        </w:rPr>
        <w:t>（五）凡发现中标人有下列行为之一的，将移交政府采购监督管理部门依法处理。</w:t>
      </w:r>
    </w:p>
    <w:p w14:paraId="61024BCD">
      <w:pPr>
        <w:numPr>
          <w:ilvl w:val="2"/>
          <w:numId w:val="15"/>
        </w:numPr>
        <w:tabs>
          <w:tab w:val="left" w:pos="720"/>
        </w:tabs>
        <w:spacing w:line="400" w:lineRule="exact"/>
        <w:ind w:hanging="1058"/>
        <w:rPr>
          <w:rFonts w:hint="eastAsia" w:ascii="宋体" w:hAnsi="宋体" w:cs="宋体"/>
          <w:color w:val="auto"/>
          <w:sz w:val="24"/>
          <w:szCs w:val="24"/>
        </w:rPr>
      </w:pPr>
      <w:r>
        <w:rPr>
          <w:rFonts w:hint="eastAsia" w:ascii="宋体" w:hAnsi="宋体" w:cs="宋体"/>
          <w:color w:val="auto"/>
          <w:sz w:val="24"/>
          <w:szCs w:val="24"/>
        </w:rPr>
        <w:t>提供虚假材料谋取中标的；</w:t>
      </w:r>
    </w:p>
    <w:p w14:paraId="2AE65190">
      <w:pPr>
        <w:numPr>
          <w:ilvl w:val="2"/>
          <w:numId w:val="15"/>
        </w:numPr>
        <w:tabs>
          <w:tab w:val="left" w:pos="720"/>
        </w:tabs>
        <w:spacing w:line="400" w:lineRule="exact"/>
        <w:ind w:hanging="1058"/>
        <w:rPr>
          <w:rFonts w:hint="eastAsia" w:ascii="宋体" w:hAnsi="宋体" w:cs="宋体"/>
          <w:color w:val="auto"/>
          <w:sz w:val="24"/>
          <w:szCs w:val="24"/>
        </w:rPr>
      </w:pPr>
      <w:r>
        <w:rPr>
          <w:rFonts w:hint="eastAsia" w:ascii="宋体" w:hAnsi="宋体" w:cs="宋体"/>
          <w:color w:val="auto"/>
          <w:sz w:val="24"/>
          <w:szCs w:val="24"/>
        </w:rPr>
        <w:t>采取不正当手段诋毁、排挤其他供应商的；</w:t>
      </w:r>
    </w:p>
    <w:p w14:paraId="18EDE309">
      <w:pPr>
        <w:numPr>
          <w:ilvl w:val="2"/>
          <w:numId w:val="15"/>
        </w:numPr>
        <w:tabs>
          <w:tab w:val="left" w:pos="720"/>
        </w:tabs>
        <w:spacing w:line="400" w:lineRule="exact"/>
        <w:ind w:hanging="1058"/>
        <w:rPr>
          <w:rFonts w:hint="eastAsia" w:ascii="宋体" w:hAnsi="宋体" w:cs="宋体"/>
          <w:color w:val="auto"/>
          <w:sz w:val="24"/>
          <w:szCs w:val="24"/>
        </w:rPr>
      </w:pPr>
      <w:r>
        <w:rPr>
          <w:rFonts w:hint="eastAsia" w:ascii="宋体" w:hAnsi="宋体" w:cs="宋体"/>
          <w:color w:val="auto"/>
          <w:sz w:val="24"/>
          <w:szCs w:val="24"/>
        </w:rPr>
        <w:t>与采购人、其他供应商或者代理机构工作人员恶意串通的；</w:t>
      </w:r>
    </w:p>
    <w:p w14:paraId="5EDA736E">
      <w:pPr>
        <w:numPr>
          <w:ilvl w:val="2"/>
          <w:numId w:val="15"/>
        </w:numPr>
        <w:tabs>
          <w:tab w:val="left" w:pos="720"/>
        </w:tabs>
        <w:spacing w:line="400" w:lineRule="exact"/>
        <w:ind w:hanging="1058"/>
        <w:rPr>
          <w:rFonts w:hint="eastAsia" w:ascii="宋体" w:hAnsi="宋体" w:cs="宋体"/>
          <w:color w:val="auto"/>
          <w:sz w:val="24"/>
          <w:szCs w:val="24"/>
        </w:rPr>
      </w:pPr>
      <w:r>
        <w:rPr>
          <w:rFonts w:hint="eastAsia" w:ascii="宋体" w:hAnsi="宋体" w:cs="宋体"/>
          <w:color w:val="auto"/>
          <w:sz w:val="24"/>
          <w:szCs w:val="24"/>
        </w:rPr>
        <w:t>向采购人、代理机构工作人员行贿或者提供其他不正当利益的；</w:t>
      </w:r>
    </w:p>
    <w:p w14:paraId="60BD94B5">
      <w:pPr>
        <w:numPr>
          <w:ilvl w:val="2"/>
          <w:numId w:val="15"/>
        </w:numPr>
        <w:tabs>
          <w:tab w:val="left" w:pos="720"/>
        </w:tabs>
        <w:spacing w:line="400" w:lineRule="exact"/>
        <w:ind w:hanging="1058"/>
        <w:rPr>
          <w:rFonts w:hint="eastAsia" w:ascii="宋体" w:hAnsi="宋体" w:cs="宋体"/>
          <w:color w:val="auto"/>
          <w:sz w:val="24"/>
          <w:szCs w:val="24"/>
        </w:rPr>
      </w:pPr>
      <w:r>
        <w:rPr>
          <w:rFonts w:hint="eastAsia" w:ascii="宋体" w:hAnsi="宋体" w:cs="宋体"/>
          <w:color w:val="auto"/>
          <w:sz w:val="24"/>
          <w:szCs w:val="24"/>
        </w:rPr>
        <w:t>在招标采购过程中与采购人进行协商谈判的；</w:t>
      </w:r>
    </w:p>
    <w:p w14:paraId="30555E69">
      <w:pPr>
        <w:numPr>
          <w:ilvl w:val="2"/>
          <w:numId w:val="15"/>
        </w:numPr>
        <w:tabs>
          <w:tab w:val="left" w:pos="720"/>
        </w:tabs>
        <w:spacing w:line="400" w:lineRule="exact"/>
        <w:ind w:hanging="1058"/>
        <w:rPr>
          <w:rFonts w:hint="eastAsia" w:ascii="宋体" w:hAnsi="宋体" w:cs="宋体"/>
          <w:color w:val="auto"/>
          <w:sz w:val="24"/>
          <w:szCs w:val="24"/>
        </w:rPr>
      </w:pPr>
      <w:r>
        <w:rPr>
          <w:rFonts w:hint="eastAsia" w:ascii="宋体" w:hAnsi="宋体" w:cs="宋体"/>
          <w:color w:val="auto"/>
          <w:sz w:val="24"/>
          <w:szCs w:val="24"/>
        </w:rPr>
        <w:t>拒绝有关部门监督检查或者提供虚假情况的；</w:t>
      </w:r>
    </w:p>
    <w:p w14:paraId="50D53662">
      <w:pPr>
        <w:numPr>
          <w:ilvl w:val="2"/>
          <w:numId w:val="15"/>
        </w:numPr>
        <w:tabs>
          <w:tab w:val="left" w:pos="720"/>
        </w:tabs>
        <w:spacing w:line="400" w:lineRule="exact"/>
        <w:ind w:hanging="1058"/>
        <w:rPr>
          <w:rFonts w:hint="eastAsia" w:ascii="宋体" w:hAnsi="宋体" w:cs="宋体"/>
          <w:color w:val="auto"/>
          <w:sz w:val="24"/>
          <w:szCs w:val="24"/>
        </w:rPr>
      </w:pPr>
      <w:r>
        <w:rPr>
          <w:rFonts w:hint="eastAsia" w:ascii="宋体" w:hAnsi="宋体" w:cs="宋体"/>
          <w:color w:val="auto"/>
          <w:sz w:val="24"/>
          <w:szCs w:val="24"/>
        </w:rPr>
        <w:t>有法律、法规规定的其他损害采购人利益和社会公共利益情形的。</w:t>
      </w:r>
    </w:p>
    <w:p w14:paraId="49220181">
      <w:pPr>
        <w:spacing w:line="400" w:lineRule="exact"/>
        <w:ind w:firstLine="560" w:firstLineChars="200"/>
        <w:outlineLvl w:val="1"/>
        <w:rPr>
          <w:rFonts w:hint="eastAsia" w:ascii="黑体" w:hAnsi="黑体" w:eastAsia="黑体" w:cs="黑体"/>
          <w:bCs/>
          <w:color w:val="auto"/>
          <w:sz w:val="28"/>
          <w:szCs w:val="28"/>
        </w:rPr>
      </w:pPr>
      <w:bookmarkStart w:id="231" w:name="_Toc98580291"/>
      <w:bookmarkStart w:id="232" w:name="_Toc101771379"/>
      <w:bookmarkStart w:id="233" w:name="_Toc101843132"/>
      <w:bookmarkStart w:id="234" w:name="_Toc98579009"/>
      <w:bookmarkStart w:id="235" w:name="_Toc42394515"/>
      <w:bookmarkStart w:id="236" w:name="_Toc98579608"/>
      <w:bookmarkStart w:id="237" w:name="_Toc101951270"/>
      <w:bookmarkStart w:id="238" w:name="_Toc42394671"/>
      <w:bookmarkStart w:id="239" w:name="_Toc401575158"/>
      <w:bookmarkStart w:id="240" w:name="_Toc50276155"/>
      <w:bookmarkStart w:id="241" w:name="_Toc98579067"/>
      <w:bookmarkStart w:id="242" w:name="_Toc101775132"/>
      <w:bookmarkStart w:id="243" w:name="_Toc42313170"/>
      <w:bookmarkStart w:id="244" w:name="_Toc403491574"/>
      <w:bookmarkStart w:id="245" w:name="_Toc41884704"/>
      <w:bookmarkStart w:id="246" w:name="_Toc41723934"/>
      <w:r>
        <w:rPr>
          <w:rFonts w:hint="eastAsia" w:ascii="黑体" w:hAnsi="黑体" w:eastAsia="黑体" w:cs="黑体"/>
          <w:bCs/>
          <w:color w:val="auto"/>
          <w:sz w:val="28"/>
          <w:szCs w:val="28"/>
        </w:rPr>
        <w:t>五、签约</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423AE29C">
      <w:pPr>
        <w:pStyle w:val="5"/>
        <w:numPr>
          <w:ilvl w:val="1"/>
          <w:numId w:val="16"/>
        </w:numPr>
        <w:tabs>
          <w:tab w:val="clear" w:pos="851"/>
        </w:tabs>
        <w:spacing w:line="400" w:lineRule="exact"/>
        <w:ind w:left="0" w:firstLine="425"/>
        <w:rPr>
          <w:rFonts w:hint="eastAsia" w:hAnsi="宋体"/>
          <w:color w:val="auto"/>
          <w:sz w:val="24"/>
          <w:szCs w:val="24"/>
        </w:rPr>
      </w:pPr>
      <w:r>
        <w:rPr>
          <w:rFonts w:hint="eastAsia" w:hAnsi="宋体"/>
          <w:color w:val="auto"/>
          <w:sz w:val="24"/>
          <w:szCs w:val="24"/>
        </w:rPr>
        <w:t>采购人应当自《中标通知书》发出之日起三十日（第三章采购需求有相应约定的从其约定）内，按照招标文件和中标人投标文件的约定，与中标人签订书面合同。所签订的合同不得对招标文件和中标人投标文件作实质性修改。</w:t>
      </w:r>
    </w:p>
    <w:p w14:paraId="5DBF9476">
      <w:pPr>
        <w:pStyle w:val="5"/>
        <w:numPr>
          <w:ilvl w:val="1"/>
          <w:numId w:val="16"/>
        </w:numPr>
        <w:tabs>
          <w:tab w:val="clear" w:pos="851"/>
        </w:tabs>
        <w:spacing w:line="400" w:lineRule="exact"/>
        <w:ind w:left="0" w:firstLine="425"/>
        <w:rPr>
          <w:rFonts w:hint="eastAsia" w:hAnsi="宋体"/>
          <w:color w:val="auto"/>
          <w:sz w:val="24"/>
          <w:szCs w:val="24"/>
        </w:rPr>
      </w:pPr>
      <w:r>
        <w:rPr>
          <w:rFonts w:hint="eastAsia" w:hAnsi="宋体"/>
          <w:color w:val="auto"/>
          <w:sz w:val="24"/>
          <w:szCs w:val="24"/>
        </w:rPr>
        <w:t>采购人不得向中标人提出任何不合理的要求，作为签订合同的条件，不得与中标人私下订立背离合同实质性内容的协议。</w:t>
      </w:r>
    </w:p>
    <w:p w14:paraId="3903B8D3">
      <w:pPr>
        <w:pStyle w:val="4"/>
        <w:numPr>
          <w:ilvl w:val="0"/>
          <w:numId w:val="17"/>
        </w:num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中标供应商签订合同后须将合同扫描件上传至铜仁市公共资源交易中心交易系统供应商端采购业务——合同公示——新增合同公示，搜索本项目，上传签订后的合同扫描件。</w:t>
      </w:r>
    </w:p>
    <w:p w14:paraId="602358AD">
      <w:pPr>
        <w:pStyle w:val="196"/>
        <w:spacing w:line="400" w:lineRule="exact"/>
        <w:ind w:right="110" w:firstLine="482" w:firstLineChars="200"/>
        <w:rPr>
          <w:rFonts w:hint="eastAsia" w:ascii="宋体" w:hAnsi="宋体" w:cs="宋体"/>
          <w:b/>
          <w:bCs/>
          <w:color w:val="auto"/>
          <w:sz w:val="24"/>
          <w:szCs w:val="24"/>
        </w:rPr>
      </w:pPr>
      <w:r>
        <w:rPr>
          <w:rFonts w:hint="eastAsia" w:ascii="宋体" w:hAnsi="宋体" w:cs="宋体"/>
          <w:b/>
          <w:bCs/>
          <w:color w:val="auto"/>
          <w:sz w:val="24"/>
          <w:szCs w:val="24"/>
        </w:rPr>
        <w:t>（四）中标（成交）单位中标后，领取中标（成交）通知书时，须提供和上传的电子投标文件完全一致的标书或电子光盘一份。</w:t>
      </w:r>
    </w:p>
    <w:p w14:paraId="09C3056F">
      <w:pPr>
        <w:pStyle w:val="4"/>
        <w:ind w:firstLine="0"/>
        <w:rPr>
          <w:rFonts w:hint="eastAsia" w:ascii="宋体" w:hAnsi="宋体" w:cs="宋体"/>
          <w:color w:val="auto"/>
          <w:sz w:val="24"/>
          <w:szCs w:val="24"/>
        </w:rPr>
      </w:pPr>
    </w:p>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14:paraId="21459A8A">
      <w:pPr>
        <w:pStyle w:val="2"/>
        <w:pageBreakBefore/>
        <w:spacing w:before="0" w:after="0" w:line="360" w:lineRule="auto"/>
        <w:jc w:val="center"/>
        <w:rPr>
          <w:rFonts w:hint="eastAsia" w:ascii="方正小标宋简体" w:hAnsi="方正小标宋简体" w:eastAsia="方正小标宋简体" w:cs="方正小标宋简体"/>
          <w:b w:val="0"/>
          <w:color w:val="auto"/>
        </w:rPr>
      </w:pPr>
      <w:bookmarkStart w:id="247" w:name="_Toc101771380"/>
      <w:bookmarkStart w:id="248" w:name="_Toc101843133"/>
      <w:bookmarkStart w:id="249" w:name="_Toc403491575"/>
      <w:bookmarkStart w:id="250" w:name="_Toc101951271"/>
      <w:bookmarkStart w:id="251" w:name="_Toc401575159"/>
      <w:bookmarkStart w:id="252" w:name="_Toc101775133"/>
      <w:r>
        <w:rPr>
          <w:rFonts w:hint="eastAsia" w:ascii="方正小标宋简体" w:hAnsi="方正小标宋简体" w:eastAsia="方正小标宋简体" w:cs="方正小标宋简体"/>
          <w:b w:val="0"/>
          <w:color w:val="auto"/>
        </w:rPr>
        <w:t>第</w:t>
      </w:r>
      <w:r>
        <w:rPr>
          <w:rFonts w:hint="eastAsia" w:ascii="方正小标宋简体" w:hAnsi="方正小标宋简体" w:eastAsia="方正小标宋简体" w:cs="方正小标宋简体"/>
          <w:b w:val="0"/>
          <w:color w:val="auto"/>
          <w:lang w:eastAsia="zh-CN"/>
        </w:rPr>
        <w:t>六</w:t>
      </w:r>
      <w:r>
        <w:rPr>
          <w:rFonts w:hint="eastAsia" w:ascii="方正小标宋简体" w:hAnsi="方正小标宋简体" w:eastAsia="方正小标宋简体" w:cs="方正小标宋简体"/>
          <w:b w:val="0"/>
          <w:color w:val="auto"/>
        </w:rPr>
        <w:t xml:space="preserve">章 </w:t>
      </w:r>
      <w:bookmarkStart w:id="253" w:name="_Toc38947808"/>
      <w:bookmarkStart w:id="254" w:name="_Toc41884708"/>
      <w:bookmarkStart w:id="255" w:name="_Toc42313174"/>
      <w:bookmarkStart w:id="256" w:name="_Toc40762376"/>
      <w:bookmarkStart w:id="257" w:name="_Toc41723938"/>
      <w:r>
        <w:rPr>
          <w:rFonts w:hint="eastAsia" w:ascii="方正小标宋简体" w:hAnsi="方正小标宋简体" w:eastAsia="方正小标宋简体" w:cs="方正小标宋简体"/>
          <w:b w:val="0"/>
          <w:color w:val="auto"/>
        </w:rPr>
        <w:t>投标文件格式</w:t>
      </w:r>
      <w:bookmarkEnd w:id="247"/>
      <w:bookmarkEnd w:id="248"/>
      <w:bookmarkEnd w:id="249"/>
      <w:bookmarkEnd w:id="250"/>
      <w:bookmarkEnd w:id="251"/>
      <w:bookmarkEnd w:id="252"/>
      <w:bookmarkEnd w:id="253"/>
      <w:bookmarkEnd w:id="254"/>
      <w:bookmarkEnd w:id="255"/>
      <w:bookmarkEnd w:id="256"/>
      <w:bookmarkEnd w:id="257"/>
    </w:p>
    <w:p w14:paraId="5AF31B18">
      <w:pPr>
        <w:pStyle w:val="4"/>
        <w:spacing w:line="400" w:lineRule="exact"/>
        <w:ind w:firstLine="540" w:firstLineChars="225"/>
        <w:rPr>
          <w:rFonts w:hint="eastAsia" w:ascii="宋体" w:hAnsi="宋体" w:cs="宋体"/>
          <w:b/>
          <w:color w:val="auto"/>
          <w:sz w:val="24"/>
          <w:szCs w:val="24"/>
        </w:rPr>
      </w:pPr>
      <w:bookmarkStart w:id="258" w:name="_Toc38947809"/>
      <w:bookmarkStart w:id="259" w:name="_Toc42394519"/>
      <w:bookmarkStart w:id="260" w:name="_Toc42394675"/>
      <w:bookmarkStart w:id="261" w:name="_Toc101775134"/>
      <w:bookmarkStart w:id="262" w:name="_Toc98580295"/>
      <w:bookmarkStart w:id="263" w:name="_Toc98579612"/>
      <w:bookmarkStart w:id="264" w:name="_Toc42394520"/>
      <w:bookmarkStart w:id="265" w:name="_Toc40762378"/>
      <w:bookmarkStart w:id="266" w:name="_Toc98579013"/>
      <w:bookmarkStart w:id="267" w:name="_Toc98579071"/>
      <w:bookmarkStart w:id="268" w:name="_Toc50276167"/>
      <w:bookmarkStart w:id="269" w:name="_Toc42394676"/>
      <w:bookmarkStart w:id="270" w:name="_Toc101951272"/>
      <w:bookmarkStart w:id="271" w:name="_Toc175644396"/>
      <w:bookmarkStart w:id="272" w:name="_Toc41723940"/>
      <w:bookmarkStart w:id="273" w:name="_Toc40762377"/>
      <w:bookmarkStart w:id="274" w:name="_Toc42313175"/>
      <w:bookmarkStart w:id="275" w:name="_Toc101843134"/>
      <w:bookmarkStart w:id="276" w:name="_Toc175106977"/>
      <w:bookmarkStart w:id="277" w:name="_Toc50276168"/>
      <w:bookmarkStart w:id="278" w:name="_Toc41884710"/>
      <w:bookmarkStart w:id="279" w:name="_Toc101771381"/>
      <w:bookmarkStart w:id="280" w:name="_Toc41723939"/>
      <w:bookmarkStart w:id="281" w:name="_Toc42313176"/>
      <w:bookmarkStart w:id="282" w:name="_Toc41884709"/>
      <w:bookmarkStart w:id="283" w:name="_Toc38947810"/>
      <w:r>
        <w:rPr>
          <w:rFonts w:hint="eastAsia" w:ascii="宋体" w:hAnsi="宋体" w:cs="宋体"/>
          <w:color w:val="auto"/>
          <w:sz w:val="24"/>
          <w:szCs w:val="24"/>
        </w:rPr>
        <w:t>投标文件</w:t>
      </w:r>
      <w:r>
        <w:rPr>
          <w:rFonts w:hint="eastAsia" w:ascii="宋体" w:hAnsi="宋体" w:cs="宋体"/>
          <w:color w:val="auto"/>
          <w:sz w:val="24"/>
          <w:szCs w:val="24"/>
          <w:lang w:val="zh-CN"/>
        </w:rPr>
        <w:t>包括但不限于以下组成内容，请按顺序制作，本章有提供格式文件的请按格式要求提交。</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rFonts w:hint="eastAsia" w:ascii="宋体" w:hAnsi="宋体" w:cs="宋体"/>
          <w:color w:val="auto"/>
          <w:sz w:val="24"/>
          <w:szCs w:val="24"/>
          <w:lang w:val="zh-CN"/>
        </w:rPr>
        <w:t>（盖章要求：完成投标文件的制作后，可点击“一键签章”按钮进行批量电子签章。）</w:t>
      </w:r>
    </w:p>
    <w:tbl>
      <w:tblPr>
        <w:tblStyle w:val="44"/>
        <w:tblW w:w="0" w:type="auto"/>
        <w:tblInd w:w="-6"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935"/>
        <w:gridCol w:w="6569"/>
        <w:gridCol w:w="1851"/>
      </w:tblGrid>
      <w:tr w14:paraId="15AADE4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37" w:hRule="atLeast"/>
        </w:trPr>
        <w:tc>
          <w:tcPr>
            <w:tcW w:w="935" w:type="dxa"/>
            <w:tcBorders>
              <w:top w:val="single" w:color="auto" w:sz="6" w:space="0"/>
              <w:left w:val="single" w:color="auto" w:sz="6" w:space="0"/>
              <w:bottom w:val="single" w:color="auto" w:sz="6" w:space="0"/>
              <w:right w:val="single" w:color="auto" w:sz="6" w:space="0"/>
            </w:tcBorders>
            <w:noWrap w:val="0"/>
            <w:vAlign w:val="center"/>
          </w:tcPr>
          <w:p w14:paraId="001F2F06">
            <w:pPr>
              <w:jc w:val="center"/>
              <w:rPr>
                <w:rFonts w:hint="eastAsia" w:ascii="宋体" w:hAnsi="宋体" w:cs="宋体"/>
                <w:b/>
                <w:bCs/>
                <w:color w:val="auto"/>
                <w:sz w:val="24"/>
                <w:szCs w:val="24"/>
              </w:rPr>
            </w:pPr>
            <w:r>
              <w:rPr>
                <w:rFonts w:hint="eastAsia" w:ascii="宋体" w:hAnsi="宋体" w:cs="宋体"/>
                <w:b/>
                <w:bCs/>
                <w:color w:val="auto"/>
                <w:sz w:val="24"/>
                <w:szCs w:val="24"/>
              </w:rPr>
              <w:t>序号</w:t>
            </w:r>
          </w:p>
        </w:tc>
        <w:tc>
          <w:tcPr>
            <w:tcW w:w="6569" w:type="dxa"/>
            <w:tcBorders>
              <w:top w:val="single" w:color="auto" w:sz="6" w:space="0"/>
              <w:left w:val="single" w:color="auto" w:sz="6" w:space="0"/>
              <w:bottom w:val="single" w:color="auto" w:sz="6" w:space="0"/>
              <w:right w:val="single" w:color="auto" w:sz="6" w:space="0"/>
            </w:tcBorders>
            <w:noWrap w:val="0"/>
            <w:vAlign w:val="center"/>
          </w:tcPr>
          <w:p w14:paraId="24B4CC39">
            <w:pPr>
              <w:jc w:val="center"/>
              <w:rPr>
                <w:rFonts w:hint="eastAsia" w:ascii="宋体" w:hAnsi="宋体" w:cs="宋体"/>
                <w:b/>
                <w:bCs/>
                <w:color w:val="auto"/>
                <w:sz w:val="24"/>
                <w:szCs w:val="24"/>
              </w:rPr>
            </w:pPr>
            <w:r>
              <w:rPr>
                <w:rFonts w:hint="eastAsia" w:ascii="宋体" w:hAnsi="宋体" w:cs="宋体"/>
                <w:b/>
                <w:bCs/>
                <w:color w:val="auto"/>
                <w:sz w:val="24"/>
                <w:szCs w:val="24"/>
              </w:rPr>
              <w:t>内容</w:t>
            </w:r>
          </w:p>
        </w:tc>
        <w:tc>
          <w:tcPr>
            <w:tcW w:w="1851" w:type="dxa"/>
            <w:tcBorders>
              <w:top w:val="single" w:color="auto" w:sz="6" w:space="0"/>
              <w:left w:val="single" w:color="auto" w:sz="6" w:space="0"/>
              <w:bottom w:val="single" w:color="auto" w:sz="6" w:space="0"/>
              <w:right w:val="single" w:color="auto" w:sz="6" w:space="0"/>
            </w:tcBorders>
            <w:noWrap w:val="0"/>
            <w:vAlign w:val="center"/>
          </w:tcPr>
          <w:p w14:paraId="27B658B5">
            <w:pPr>
              <w:jc w:val="center"/>
              <w:rPr>
                <w:rFonts w:hint="eastAsia" w:ascii="宋体" w:hAnsi="宋体" w:cs="宋体"/>
                <w:b/>
                <w:bCs/>
                <w:color w:val="auto"/>
                <w:sz w:val="24"/>
                <w:szCs w:val="24"/>
              </w:rPr>
            </w:pPr>
            <w:r>
              <w:rPr>
                <w:rFonts w:hint="eastAsia" w:ascii="宋体" w:hAnsi="宋体" w:cs="宋体"/>
                <w:b/>
                <w:bCs/>
                <w:color w:val="auto"/>
                <w:sz w:val="24"/>
                <w:szCs w:val="24"/>
              </w:rPr>
              <w:t>盖章要求</w:t>
            </w:r>
          </w:p>
        </w:tc>
      </w:tr>
      <w:tr w14:paraId="58AD555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exact"/>
        </w:trPr>
        <w:tc>
          <w:tcPr>
            <w:tcW w:w="9355" w:type="dxa"/>
            <w:gridSpan w:val="3"/>
            <w:tcBorders>
              <w:top w:val="single" w:color="auto" w:sz="6" w:space="0"/>
              <w:left w:val="single" w:color="auto" w:sz="6" w:space="0"/>
              <w:bottom w:val="single" w:color="auto" w:sz="6" w:space="0"/>
              <w:right w:val="single" w:color="auto" w:sz="6" w:space="0"/>
            </w:tcBorders>
            <w:noWrap w:val="0"/>
            <w:vAlign w:val="center"/>
          </w:tcPr>
          <w:p w14:paraId="14E65C06">
            <w:pPr>
              <w:jc w:val="center"/>
              <w:rPr>
                <w:rFonts w:hint="eastAsia" w:ascii="宋体" w:hAnsi="宋体" w:cs="宋体"/>
                <w:color w:val="auto"/>
                <w:sz w:val="24"/>
                <w:szCs w:val="24"/>
              </w:rPr>
            </w:pPr>
            <w:r>
              <w:rPr>
                <w:rFonts w:hint="eastAsia" w:ascii="宋体" w:hAnsi="宋体" w:cs="宋体"/>
                <w:b/>
                <w:bCs/>
                <w:color w:val="auto"/>
                <w:sz w:val="24"/>
                <w:szCs w:val="24"/>
              </w:rPr>
              <w:t>投标文件</w:t>
            </w:r>
          </w:p>
        </w:tc>
      </w:tr>
      <w:tr w14:paraId="4247F91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exact"/>
        </w:trPr>
        <w:tc>
          <w:tcPr>
            <w:tcW w:w="935" w:type="dxa"/>
            <w:tcBorders>
              <w:top w:val="single" w:color="auto" w:sz="6" w:space="0"/>
              <w:left w:val="single" w:color="auto" w:sz="6" w:space="0"/>
              <w:bottom w:val="single" w:color="auto" w:sz="6" w:space="0"/>
              <w:right w:val="single" w:color="auto" w:sz="6" w:space="0"/>
            </w:tcBorders>
            <w:noWrap w:val="0"/>
            <w:vAlign w:val="center"/>
          </w:tcPr>
          <w:p w14:paraId="0ECE700D">
            <w:pPr>
              <w:jc w:val="center"/>
              <w:rPr>
                <w:rFonts w:hint="eastAsia" w:ascii="宋体" w:hAnsi="宋体" w:cs="宋体"/>
                <w:color w:val="auto"/>
                <w:sz w:val="24"/>
                <w:szCs w:val="24"/>
              </w:rPr>
            </w:pPr>
            <w:r>
              <w:rPr>
                <w:rFonts w:hint="eastAsia" w:ascii="宋体" w:hAnsi="宋体" w:cs="宋体"/>
                <w:color w:val="auto"/>
                <w:sz w:val="24"/>
                <w:szCs w:val="24"/>
              </w:rPr>
              <w:t>1</w:t>
            </w:r>
          </w:p>
        </w:tc>
        <w:tc>
          <w:tcPr>
            <w:tcW w:w="6569" w:type="dxa"/>
            <w:tcBorders>
              <w:top w:val="single" w:color="auto" w:sz="6" w:space="0"/>
              <w:left w:val="single" w:color="auto" w:sz="6" w:space="0"/>
              <w:bottom w:val="single" w:color="auto" w:sz="6" w:space="0"/>
              <w:right w:val="single" w:color="auto" w:sz="6" w:space="0"/>
            </w:tcBorders>
            <w:noWrap w:val="0"/>
            <w:vAlign w:val="center"/>
          </w:tcPr>
          <w:p w14:paraId="11219180">
            <w:pPr>
              <w:jc w:val="left"/>
              <w:rPr>
                <w:rFonts w:hint="eastAsia" w:ascii="宋体" w:hAnsi="宋体" w:cs="宋体"/>
                <w:color w:val="auto"/>
                <w:sz w:val="24"/>
                <w:szCs w:val="24"/>
              </w:rPr>
            </w:pPr>
            <w:r>
              <w:rPr>
                <w:rFonts w:hint="eastAsia" w:ascii="宋体" w:hAnsi="宋体" w:cs="宋体"/>
                <w:color w:val="auto"/>
                <w:sz w:val="24"/>
                <w:szCs w:val="24"/>
              </w:rPr>
              <w:t>★投标函</w:t>
            </w:r>
          </w:p>
        </w:tc>
        <w:tc>
          <w:tcPr>
            <w:tcW w:w="1851" w:type="dxa"/>
            <w:tcBorders>
              <w:top w:val="single" w:color="auto" w:sz="6" w:space="0"/>
              <w:left w:val="single" w:color="auto" w:sz="6" w:space="0"/>
              <w:bottom w:val="single" w:color="auto" w:sz="6" w:space="0"/>
              <w:right w:val="single" w:color="auto" w:sz="6" w:space="0"/>
            </w:tcBorders>
            <w:noWrap w:val="0"/>
            <w:vAlign w:val="center"/>
          </w:tcPr>
          <w:p w14:paraId="3C5E503B">
            <w:pPr>
              <w:jc w:val="center"/>
              <w:rPr>
                <w:rFonts w:hint="eastAsia" w:ascii="宋体" w:hAnsi="宋体" w:cs="宋体"/>
                <w:color w:val="auto"/>
                <w:sz w:val="24"/>
                <w:szCs w:val="24"/>
              </w:rPr>
            </w:pPr>
            <w:r>
              <w:rPr>
                <w:rFonts w:hint="eastAsia" w:ascii="宋体" w:hAnsi="宋体" w:cs="宋体"/>
                <w:color w:val="auto"/>
                <w:sz w:val="24"/>
                <w:szCs w:val="24"/>
              </w:rPr>
              <w:t>电子签章</w:t>
            </w:r>
          </w:p>
        </w:tc>
      </w:tr>
      <w:tr w14:paraId="338D039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exact"/>
        </w:trPr>
        <w:tc>
          <w:tcPr>
            <w:tcW w:w="935" w:type="dxa"/>
            <w:tcBorders>
              <w:top w:val="single" w:color="auto" w:sz="6" w:space="0"/>
              <w:left w:val="single" w:color="auto" w:sz="6" w:space="0"/>
              <w:bottom w:val="single" w:color="auto" w:sz="6" w:space="0"/>
              <w:right w:val="single" w:color="auto" w:sz="6" w:space="0"/>
            </w:tcBorders>
            <w:noWrap w:val="0"/>
            <w:vAlign w:val="center"/>
          </w:tcPr>
          <w:p w14:paraId="5C684AFB">
            <w:pPr>
              <w:jc w:val="center"/>
              <w:rPr>
                <w:rFonts w:hint="eastAsia" w:ascii="宋体" w:hAnsi="宋体" w:cs="宋体"/>
                <w:color w:val="auto"/>
                <w:sz w:val="24"/>
                <w:szCs w:val="24"/>
              </w:rPr>
            </w:pPr>
            <w:r>
              <w:rPr>
                <w:rFonts w:hint="eastAsia" w:ascii="宋体" w:hAnsi="宋体" w:cs="宋体"/>
                <w:color w:val="auto"/>
                <w:sz w:val="24"/>
                <w:szCs w:val="24"/>
              </w:rPr>
              <w:t>2</w:t>
            </w:r>
          </w:p>
        </w:tc>
        <w:tc>
          <w:tcPr>
            <w:tcW w:w="6569" w:type="dxa"/>
            <w:tcBorders>
              <w:top w:val="single" w:color="auto" w:sz="6" w:space="0"/>
              <w:left w:val="single" w:color="auto" w:sz="6" w:space="0"/>
              <w:bottom w:val="single" w:color="auto" w:sz="6" w:space="0"/>
              <w:right w:val="single" w:color="auto" w:sz="6" w:space="0"/>
            </w:tcBorders>
            <w:noWrap w:val="0"/>
            <w:vAlign w:val="center"/>
          </w:tcPr>
          <w:p w14:paraId="1D172351">
            <w:pPr>
              <w:jc w:val="left"/>
              <w:rPr>
                <w:rFonts w:hint="eastAsia" w:ascii="宋体" w:hAnsi="宋体" w:cs="宋体"/>
                <w:color w:val="auto"/>
                <w:sz w:val="24"/>
                <w:szCs w:val="24"/>
              </w:rPr>
            </w:pPr>
            <w:r>
              <w:rPr>
                <w:rFonts w:hint="eastAsia" w:ascii="宋体" w:hAnsi="宋体" w:cs="宋体"/>
                <w:color w:val="auto"/>
                <w:sz w:val="24"/>
                <w:szCs w:val="24"/>
              </w:rPr>
              <w:t>★政府采购投标及履约承诺函</w:t>
            </w:r>
          </w:p>
        </w:tc>
        <w:tc>
          <w:tcPr>
            <w:tcW w:w="1851" w:type="dxa"/>
            <w:tcBorders>
              <w:top w:val="single" w:color="auto" w:sz="6" w:space="0"/>
              <w:left w:val="single" w:color="auto" w:sz="6" w:space="0"/>
              <w:bottom w:val="single" w:color="auto" w:sz="6" w:space="0"/>
              <w:right w:val="single" w:color="auto" w:sz="6" w:space="0"/>
            </w:tcBorders>
            <w:noWrap w:val="0"/>
            <w:vAlign w:val="center"/>
          </w:tcPr>
          <w:p w14:paraId="0E922350">
            <w:pPr>
              <w:jc w:val="center"/>
              <w:rPr>
                <w:rFonts w:hint="eastAsia" w:ascii="宋体" w:hAnsi="宋体" w:cs="宋体"/>
                <w:color w:val="auto"/>
                <w:sz w:val="24"/>
                <w:szCs w:val="24"/>
              </w:rPr>
            </w:pPr>
            <w:r>
              <w:rPr>
                <w:rFonts w:hint="eastAsia" w:ascii="宋体" w:hAnsi="宋体" w:cs="宋体"/>
                <w:color w:val="auto"/>
                <w:sz w:val="24"/>
                <w:szCs w:val="24"/>
              </w:rPr>
              <w:t>电子签章</w:t>
            </w:r>
          </w:p>
        </w:tc>
      </w:tr>
      <w:tr w14:paraId="17DD82F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exact"/>
        </w:trPr>
        <w:tc>
          <w:tcPr>
            <w:tcW w:w="935" w:type="dxa"/>
            <w:tcBorders>
              <w:top w:val="single" w:color="auto" w:sz="6" w:space="0"/>
              <w:left w:val="single" w:color="auto" w:sz="6" w:space="0"/>
              <w:bottom w:val="single" w:color="auto" w:sz="6" w:space="0"/>
              <w:right w:val="single" w:color="auto" w:sz="6" w:space="0"/>
            </w:tcBorders>
            <w:noWrap w:val="0"/>
            <w:vAlign w:val="center"/>
          </w:tcPr>
          <w:p w14:paraId="6C83AAB1">
            <w:pPr>
              <w:jc w:val="center"/>
              <w:rPr>
                <w:rFonts w:hint="eastAsia" w:ascii="宋体" w:hAnsi="宋体" w:cs="宋体"/>
                <w:color w:val="auto"/>
                <w:sz w:val="24"/>
                <w:szCs w:val="24"/>
              </w:rPr>
            </w:pPr>
            <w:r>
              <w:rPr>
                <w:rFonts w:hint="eastAsia" w:ascii="宋体" w:hAnsi="宋体" w:cs="宋体"/>
                <w:color w:val="auto"/>
                <w:sz w:val="24"/>
                <w:szCs w:val="24"/>
              </w:rPr>
              <w:t>3</w:t>
            </w:r>
          </w:p>
        </w:tc>
        <w:tc>
          <w:tcPr>
            <w:tcW w:w="6569" w:type="dxa"/>
            <w:tcBorders>
              <w:top w:val="single" w:color="auto" w:sz="6" w:space="0"/>
              <w:left w:val="single" w:color="auto" w:sz="6" w:space="0"/>
              <w:bottom w:val="single" w:color="auto" w:sz="6" w:space="0"/>
              <w:right w:val="single" w:color="auto" w:sz="6" w:space="0"/>
            </w:tcBorders>
            <w:noWrap w:val="0"/>
            <w:vAlign w:val="center"/>
          </w:tcPr>
          <w:p w14:paraId="37B73218">
            <w:pPr>
              <w:jc w:val="left"/>
              <w:rPr>
                <w:rFonts w:hint="eastAsia" w:ascii="宋体" w:hAnsi="宋体" w:cs="宋体"/>
                <w:color w:val="auto"/>
                <w:sz w:val="24"/>
                <w:szCs w:val="24"/>
              </w:rPr>
            </w:pPr>
            <w:r>
              <w:rPr>
                <w:rFonts w:hint="eastAsia" w:ascii="宋体" w:hAnsi="宋体" w:cs="宋体"/>
                <w:color w:val="auto"/>
                <w:sz w:val="24"/>
                <w:szCs w:val="24"/>
              </w:rPr>
              <w:t>★投标人资格声明函</w:t>
            </w:r>
          </w:p>
        </w:tc>
        <w:tc>
          <w:tcPr>
            <w:tcW w:w="1851" w:type="dxa"/>
            <w:tcBorders>
              <w:top w:val="single" w:color="auto" w:sz="6" w:space="0"/>
              <w:left w:val="single" w:color="auto" w:sz="6" w:space="0"/>
              <w:bottom w:val="single" w:color="auto" w:sz="6" w:space="0"/>
              <w:right w:val="single" w:color="auto" w:sz="6" w:space="0"/>
            </w:tcBorders>
            <w:noWrap w:val="0"/>
            <w:vAlign w:val="center"/>
          </w:tcPr>
          <w:p w14:paraId="6C4C56B2">
            <w:pPr>
              <w:jc w:val="center"/>
              <w:rPr>
                <w:rFonts w:hint="eastAsia" w:ascii="宋体" w:hAnsi="宋体" w:cs="宋体"/>
                <w:color w:val="auto"/>
                <w:sz w:val="24"/>
                <w:szCs w:val="24"/>
              </w:rPr>
            </w:pPr>
            <w:r>
              <w:rPr>
                <w:rFonts w:hint="eastAsia" w:ascii="宋体" w:hAnsi="宋体" w:cs="宋体"/>
                <w:color w:val="auto"/>
                <w:sz w:val="24"/>
                <w:szCs w:val="24"/>
              </w:rPr>
              <w:t>电子签章</w:t>
            </w:r>
          </w:p>
        </w:tc>
      </w:tr>
      <w:tr w14:paraId="09575C1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82" w:hRule="exact"/>
        </w:trPr>
        <w:tc>
          <w:tcPr>
            <w:tcW w:w="935" w:type="dxa"/>
            <w:tcBorders>
              <w:top w:val="single" w:color="auto" w:sz="6" w:space="0"/>
              <w:left w:val="single" w:color="auto" w:sz="6" w:space="0"/>
              <w:bottom w:val="single" w:color="auto" w:sz="6" w:space="0"/>
              <w:right w:val="single" w:color="auto" w:sz="6" w:space="0"/>
            </w:tcBorders>
            <w:noWrap w:val="0"/>
            <w:vAlign w:val="center"/>
          </w:tcPr>
          <w:p w14:paraId="1D16210C">
            <w:pPr>
              <w:jc w:val="center"/>
              <w:rPr>
                <w:rFonts w:hint="eastAsia" w:ascii="宋体" w:hAnsi="宋体" w:cs="宋体"/>
                <w:color w:val="auto"/>
                <w:sz w:val="24"/>
                <w:szCs w:val="24"/>
              </w:rPr>
            </w:pPr>
            <w:r>
              <w:rPr>
                <w:rFonts w:hint="eastAsia" w:ascii="宋体" w:hAnsi="宋体" w:cs="宋体"/>
                <w:color w:val="auto"/>
                <w:sz w:val="24"/>
                <w:szCs w:val="24"/>
              </w:rPr>
              <w:t>4</w:t>
            </w:r>
          </w:p>
        </w:tc>
        <w:tc>
          <w:tcPr>
            <w:tcW w:w="6569" w:type="dxa"/>
            <w:tcBorders>
              <w:top w:val="single" w:color="auto" w:sz="6" w:space="0"/>
              <w:left w:val="single" w:color="auto" w:sz="6" w:space="0"/>
              <w:bottom w:val="single" w:color="auto" w:sz="6" w:space="0"/>
              <w:right w:val="single" w:color="auto" w:sz="6" w:space="0"/>
            </w:tcBorders>
            <w:noWrap w:val="0"/>
            <w:vAlign w:val="center"/>
          </w:tcPr>
          <w:p w14:paraId="50A592A2">
            <w:pPr>
              <w:jc w:val="left"/>
              <w:rPr>
                <w:rFonts w:hint="eastAsia" w:ascii="宋体" w:hAnsi="宋体" w:cs="宋体"/>
                <w:color w:val="auto"/>
                <w:sz w:val="24"/>
                <w:szCs w:val="24"/>
              </w:rPr>
            </w:pPr>
            <w:r>
              <w:rPr>
                <w:rFonts w:hint="eastAsia" w:ascii="宋体" w:hAnsi="宋体" w:cs="宋体"/>
                <w:color w:val="auto"/>
                <w:sz w:val="24"/>
                <w:szCs w:val="24"/>
              </w:rPr>
              <w:t>★《投标人资格声明函的附件》（即：符合政府采购法第二十二条规定条件的佐证材料）</w:t>
            </w:r>
          </w:p>
        </w:tc>
        <w:tc>
          <w:tcPr>
            <w:tcW w:w="1851" w:type="dxa"/>
            <w:tcBorders>
              <w:top w:val="single" w:color="auto" w:sz="6" w:space="0"/>
              <w:left w:val="single" w:color="auto" w:sz="6" w:space="0"/>
              <w:bottom w:val="single" w:color="auto" w:sz="6" w:space="0"/>
              <w:right w:val="single" w:color="auto" w:sz="6" w:space="0"/>
            </w:tcBorders>
            <w:noWrap w:val="0"/>
            <w:vAlign w:val="center"/>
          </w:tcPr>
          <w:p w14:paraId="6373B679">
            <w:pPr>
              <w:jc w:val="center"/>
              <w:rPr>
                <w:rFonts w:hint="eastAsia" w:ascii="宋体" w:hAnsi="宋体" w:cs="宋体"/>
                <w:color w:val="auto"/>
                <w:sz w:val="24"/>
                <w:szCs w:val="24"/>
              </w:rPr>
            </w:pPr>
            <w:r>
              <w:rPr>
                <w:rFonts w:hint="eastAsia" w:ascii="宋体" w:hAnsi="宋体" w:cs="宋体"/>
                <w:color w:val="auto"/>
                <w:sz w:val="24"/>
                <w:szCs w:val="24"/>
              </w:rPr>
              <w:t>电子签章</w:t>
            </w:r>
          </w:p>
        </w:tc>
      </w:tr>
      <w:tr w14:paraId="1137074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15" w:hRule="exact"/>
        </w:trPr>
        <w:tc>
          <w:tcPr>
            <w:tcW w:w="935" w:type="dxa"/>
            <w:tcBorders>
              <w:top w:val="single" w:color="auto" w:sz="6" w:space="0"/>
              <w:left w:val="single" w:color="auto" w:sz="6" w:space="0"/>
              <w:bottom w:val="single" w:color="auto" w:sz="6" w:space="0"/>
              <w:right w:val="single" w:color="auto" w:sz="6" w:space="0"/>
            </w:tcBorders>
            <w:noWrap w:val="0"/>
            <w:vAlign w:val="center"/>
          </w:tcPr>
          <w:p w14:paraId="502204E3">
            <w:pPr>
              <w:jc w:val="center"/>
              <w:rPr>
                <w:rFonts w:hint="eastAsia" w:ascii="宋体" w:hAnsi="宋体" w:cs="宋体"/>
                <w:color w:val="auto"/>
                <w:sz w:val="24"/>
                <w:szCs w:val="24"/>
              </w:rPr>
            </w:pPr>
            <w:r>
              <w:rPr>
                <w:rFonts w:hint="eastAsia" w:ascii="宋体" w:hAnsi="宋体" w:cs="宋体"/>
                <w:color w:val="auto"/>
                <w:sz w:val="24"/>
                <w:szCs w:val="24"/>
              </w:rPr>
              <w:t>5</w:t>
            </w:r>
          </w:p>
        </w:tc>
        <w:tc>
          <w:tcPr>
            <w:tcW w:w="6569" w:type="dxa"/>
            <w:tcBorders>
              <w:top w:val="single" w:color="auto" w:sz="6" w:space="0"/>
              <w:left w:val="single" w:color="auto" w:sz="6" w:space="0"/>
              <w:bottom w:val="single" w:color="auto" w:sz="6" w:space="0"/>
              <w:right w:val="single" w:color="auto" w:sz="6" w:space="0"/>
            </w:tcBorders>
            <w:noWrap w:val="0"/>
            <w:vAlign w:val="center"/>
          </w:tcPr>
          <w:p w14:paraId="4AAC6346">
            <w:pPr>
              <w:jc w:val="left"/>
              <w:rPr>
                <w:rFonts w:hint="eastAsia" w:ascii="宋体" w:hAnsi="宋体" w:cs="宋体"/>
                <w:color w:val="auto"/>
                <w:sz w:val="24"/>
                <w:szCs w:val="24"/>
              </w:rPr>
            </w:pPr>
            <w:r>
              <w:rPr>
                <w:rFonts w:hint="eastAsia" w:ascii="宋体" w:hAnsi="宋体" w:cs="宋体"/>
                <w:color w:val="auto"/>
                <w:sz w:val="24"/>
                <w:szCs w:val="24"/>
              </w:rPr>
              <w:t>★请提供“信用中国”网站和政府采购严重违法失信行为记录名单查询的信用记录情况</w:t>
            </w:r>
          </w:p>
        </w:tc>
        <w:tc>
          <w:tcPr>
            <w:tcW w:w="1851" w:type="dxa"/>
            <w:tcBorders>
              <w:top w:val="single" w:color="auto" w:sz="6" w:space="0"/>
              <w:left w:val="single" w:color="auto" w:sz="6" w:space="0"/>
              <w:bottom w:val="single" w:color="auto" w:sz="6" w:space="0"/>
              <w:right w:val="single" w:color="auto" w:sz="6" w:space="0"/>
            </w:tcBorders>
            <w:noWrap w:val="0"/>
            <w:vAlign w:val="center"/>
          </w:tcPr>
          <w:p w14:paraId="2E79A0B2">
            <w:pPr>
              <w:jc w:val="center"/>
              <w:rPr>
                <w:rFonts w:hint="eastAsia" w:ascii="宋体" w:hAnsi="宋体" w:cs="宋体"/>
                <w:color w:val="auto"/>
                <w:sz w:val="24"/>
                <w:szCs w:val="24"/>
              </w:rPr>
            </w:pPr>
            <w:r>
              <w:rPr>
                <w:rFonts w:hint="eastAsia" w:ascii="宋体" w:hAnsi="宋体" w:cs="宋体"/>
                <w:color w:val="auto"/>
                <w:sz w:val="24"/>
                <w:szCs w:val="24"/>
              </w:rPr>
              <w:t>电子签章</w:t>
            </w:r>
          </w:p>
        </w:tc>
      </w:tr>
      <w:tr w14:paraId="6C573A8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15" w:hRule="exact"/>
        </w:trPr>
        <w:tc>
          <w:tcPr>
            <w:tcW w:w="935" w:type="dxa"/>
            <w:tcBorders>
              <w:top w:val="single" w:color="auto" w:sz="6" w:space="0"/>
              <w:left w:val="single" w:color="auto" w:sz="6" w:space="0"/>
              <w:bottom w:val="single" w:color="auto" w:sz="6" w:space="0"/>
              <w:right w:val="single" w:color="auto" w:sz="6" w:space="0"/>
            </w:tcBorders>
            <w:noWrap w:val="0"/>
            <w:vAlign w:val="center"/>
          </w:tcPr>
          <w:p w14:paraId="623C1337">
            <w:pPr>
              <w:jc w:val="center"/>
              <w:rPr>
                <w:rFonts w:hint="eastAsia" w:ascii="宋体" w:hAnsi="宋体" w:cs="宋体"/>
                <w:color w:val="auto"/>
                <w:sz w:val="24"/>
                <w:szCs w:val="24"/>
              </w:rPr>
            </w:pPr>
            <w:r>
              <w:rPr>
                <w:rFonts w:hint="eastAsia" w:ascii="宋体" w:hAnsi="宋体" w:cs="宋体"/>
                <w:color w:val="auto"/>
                <w:sz w:val="24"/>
                <w:szCs w:val="24"/>
              </w:rPr>
              <w:t>6</w:t>
            </w:r>
          </w:p>
        </w:tc>
        <w:tc>
          <w:tcPr>
            <w:tcW w:w="6569" w:type="dxa"/>
            <w:tcBorders>
              <w:top w:val="single" w:color="auto" w:sz="6" w:space="0"/>
              <w:left w:val="single" w:color="auto" w:sz="6" w:space="0"/>
              <w:bottom w:val="single" w:color="auto" w:sz="6" w:space="0"/>
              <w:right w:val="single" w:color="auto" w:sz="6" w:space="0"/>
            </w:tcBorders>
            <w:noWrap w:val="0"/>
            <w:vAlign w:val="center"/>
          </w:tcPr>
          <w:p w14:paraId="59F295D8">
            <w:pPr>
              <w:jc w:val="left"/>
              <w:rPr>
                <w:rFonts w:hint="eastAsia" w:ascii="宋体" w:hAnsi="宋体" w:cs="宋体"/>
                <w:color w:val="auto"/>
                <w:sz w:val="24"/>
                <w:szCs w:val="24"/>
              </w:rPr>
            </w:pPr>
            <w:r>
              <w:rPr>
                <w:rFonts w:hint="eastAsia" w:ascii="宋体" w:hAnsi="宋体" w:cs="宋体"/>
                <w:color w:val="auto"/>
                <w:sz w:val="24"/>
                <w:szCs w:val="24"/>
              </w:rPr>
              <w:t>法定代表人授权书（法定代表人亲自办理投标事宜的，则无需提交本证明书）</w:t>
            </w:r>
          </w:p>
        </w:tc>
        <w:tc>
          <w:tcPr>
            <w:tcW w:w="1851" w:type="dxa"/>
            <w:tcBorders>
              <w:top w:val="single" w:color="auto" w:sz="6" w:space="0"/>
              <w:left w:val="single" w:color="auto" w:sz="6" w:space="0"/>
              <w:bottom w:val="single" w:color="auto" w:sz="6" w:space="0"/>
              <w:right w:val="single" w:color="auto" w:sz="6" w:space="0"/>
            </w:tcBorders>
            <w:noWrap w:val="0"/>
            <w:vAlign w:val="center"/>
          </w:tcPr>
          <w:p w14:paraId="654D8ACC">
            <w:pPr>
              <w:jc w:val="center"/>
              <w:rPr>
                <w:rFonts w:hint="eastAsia" w:ascii="宋体" w:hAnsi="宋体" w:cs="宋体"/>
                <w:color w:val="auto"/>
                <w:sz w:val="24"/>
                <w:szCs w:val="24"/>
              </w:rPr>
            </w:pPr>
            <w:r>
              <w:rPr>
                <w:rFonts w:hint="eastAsia" w:ascii="宋体" w:hAnsi="宋体" w:cs="宋体"/>
                <w:color w:val="auto"/>
                <w:sz w:val="24"/>
                <w:szCs w:val="24"/>
              </w:rPr>
              <w:t>电子签章</w:t>
            </w:r>
          </w:p>
        </w:tc>
      </w:tr>
      <w:tr w14:paraId="1394594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exact"/>
        </w:trPr>
        <w:tc>
          <w:tcPr>
            <w:tcW w:w="935" w:type="dxa"/>
            <w:tcBorders>
              <w:top w:val="single" w:color="auto" w:sz="6" w:space="0"/>
              <w:left w:val="single" w:color="auto" w:sz="6" w:space="0"/>
              <w:bottom w:val="single" w:color="auto" w:sz="6" w:space="0"/>
              <w:right w:val="single" w:color="auto" w:sz="6" w:space="0"/>
            </w:tcBorders>
            <w:noWrap w:val="0"/>
            <w:vAlign w:val="center"/>
          </w:tcPr>
          <w:p w14:paraId="648BBD1E">
            <w:pPr>
              <w:jc w:val="center"/>
              <w:rPr>
                <w:rFonts w:hint="eastAsia" w:ascii="宋体" w:hAnsi="宋体" w:cs="宋体"/>
                <w:color w:val="auto"/>
                <w:sz w:val="24"/>
                <w:szCs w:val="24"/>
              </w:rPr>
            </w:pPr>
            <w:r>
              <w:rPr>
                <w:rFonts w:hint="eastAsia" w:ascii="宋体" w:hAnsi="宋体" w:cs="宋体"/>
                <w:color w:val="auto"/>
                <w:sz w:val="24"/>
                <w:szCs w:val="24"/>
              </w:rPr>
              <w:t>7</w:t>
            </w:r>
          </w:p>
        </w:tc>
        <w:tc>
          <w:tcPr>
            <w:tcW w:w="6569" w:type="dxa"/>
            <w:tcBorders>
              <w:top w:val="single" w:color="auto" w:sz="6" w:space="0"/>
              <w:left w:val="single" w:color="auto" w:sz="6" w:space="0"/>
              <w:bottom w:val="single" w:color="auto" w:sz="6" w:space="0"/>
              <w:right w:val="single" w:color="auto" w:sz="6" w:space="0"/>
            </w:tcBorders>
            <w:noWrap w:val="0"/>
            <w:vAlign w:val="center"/>
          </w:tcPr>
          <w:p w14:paraId="580C0894">
            <w:pPr>
              <w:jc w:val="left"/>
              <w:rPr>
                <w:rFonts w:hint="eastAsia" w:ascii="宋体" w:hAnsi="宋体" w:cs="宋体"/>
                <w:color w:val="auto"/>
                <w:sz w:val="24"/>
                <w:szCs w:val="24"/>
              </w:rPr>
            </w:pPr>
            <w:r>
              <w:rPr>
                <w:rFonts w:hint="eastAsia" w:ascii="宋体" w:hAnsi="宋体" w:cs="宋体"/>
                <w:color w:val="auto"/>
                <w:sz w:val="24"/>
                <w:szCs w:val="24"/>
              </w:rPr>
              <w:t>★开标一览表</w:t>
            </w:r>
          </w:p>
        </w:tc>
        <w:tc>
          <w:tcPr>
            <w:tcW w:w="1851" w:type="dxa"/>
            <w:tcBorders>
              <w:top w:val="single" w:color="auto" w:sz="6" w:space="0"/>
              <w:left w:val="single" w:color="auto" w:sz="6" w:space="0"/>
              <w:bottom w:val="single" w:color="auto" w:sz="6" w:space="0"/>
              <w:right w:val="single" w:color="auto" w:sz="6" w:space="0"/>
            </w:tcBorders>
            <w:noWrap w:val="0"/>
            <w:vAlign w:val="center"/>
          </w:tcPr>
          <w:p w14:paraId="1A434563">
            <w:pPr>
              <w:jc w:val="center"/>
              <w:rPr>
                <w:rFonts w:hint="eastAsia" w:ascii="宋体" w:hAnsi="宋体" w:cs="宋体"/>
                <w:color w:val="auto"/>
                <w:sz w:val="24"/>
                <w:szCs w:val="24"/>
              </w:rPr>
            </w:pPr>
            <w:r>
              <w:rPr>
                <w:rFonts w:hint="eastAsia" w:ascii="宋体" w:hAnsi="宋体" w:cs="宋体"/>
                <w:color w:val="auto"/>
                <w:sz w:val="24"/>
                <w:szCs w:val="24"/>
              </w:rPr>
              <w:t>电子签章</w:t>
            </w:r>
          </w:p>
        </w:tc>
      </w:tr>
      <w:tr w14:paraId="54C7198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exact"/>
        </w:trPr>
        <w:tc>
          <w:tcPr>
            <w:tcW w:w="935" w:type="dxa"/>
            <w:tcBorders>
              <w:top w:val="single" w:color="auto" w:sz="6" w:space="0"/>
              <w:left w:val="single" w:color="auto" w:sz="6" w:space="0"/>
              <w:bottom w:val="single" w:color="auto" w:sz="6" w:space="0"/>
              <w:right w:val="single" w:color="auto" w:sz="6" w:space="0"/>
            </w:tcBorders>
            <w:noWrap w:val="0"/>
            <w:vAlign w:val="center"/>
          </w:tcPr>
          <w:p w14:paraId="64235A85">
            <w:pPr>
              <w:jc w:val="center"/>
              <w:rPr>
                <w:rFonts w:hint="eastAsia" w:ascii="宋体" w:hAnsi="宋体" w:cs="宋体"/>
                <w:color w:val="auto"/>
                <w:sz w:val="24"/>
                <w:szCs w:val="24"/>
              </w:rPr>
            </w:pPr>
            <w:r>
              <w:rPr>
                <w:rFonts w:hint="eastAsia" w:ascii="宋体" w:hAnsi="宋体" w:cs="宋体"/>
                <w:color w:val="auto"/>
                <w:sz w:val="24"/>
                <w:szCs w:val="24"/>
              </w:rPr>
              <w:t>8</w:t>
            </w:r>
          </w:p>
        </w:tc>
        <w:tc>
          <w:tcPr>
            <w:tcW w:w="6569" w:type="dxa"/>
            <w:tcBorders>
              <w:top w:val="single" w:color="auto" w:sz="6" w:space="0"/>
              <w:left w:val="single" w:color="auto" w:sz="6" w:space="0"/>
              <w:bottom w:val="single" w:color="auto" w:sz="6" w:space="0"/>
              <w:right w:val="single" w:color="auto" w:sz="6" w:space="0"/>
            </w:tcBorders>
            <w:noWrap w:val="0"/>
            <w:vAlign w:val="center"/>
          </w:tcPr>
          <w:p w14:paraId="6FE3DD44">
            <w:pPr>
              <w:jc w:val="left"/>
              <w:rPr>
                <w:rFonts w:hint="eastAsia" w:ascii="宋体" w:hAnsi="宋体" w:cs="宋体"/>
                <w:color w:val="auto"/>
                <w:sz w:val="24"/>
                <w:szCs w:val="24"/>
              </w:rPr>
            </w:pPr>
            <w:r>
              <w:rPr>
                <w:rFonts w:hint="eastAsia" w:ascii="宋体" w:hAnsi="宋体" w:cs="宋体"/>
                <w:color w:val="auto"/>
                <w:sz w:val="24"/>
                <w:szCs w:val="24"/>
              </w:rPr>
              <w:t>分项报价表</w:t>
            </w:r>
          </w:p>
        </w:tc>
        <w:tc>
          <w:tcPr>
            <w:tcW w:w="1851" w:type="dxa"/>
            <w:tcBorders>
              <w:top w:val="single" w:color="auto" w:sz="6" w:space="0"/>
              <w:left w:val="single" w:color="auto" w:sz="6" w:space="0"/>
              <w:bottom w:val="single" w:color="auto" w:sz="6" w:space="0"/>
              <w:right w:val="single" w:color="auto" w:sz="6" w:space="0"/>
            </w:tcBorders>
            <w:noWrap w:val="0"/>
            <w:vAlign w:val="center"/>
          </w:tcPr>
          <w:p w14:paraId="5A872DA1">
            <w:pPr>
              <w:jc w:val="center"/>
              <w:rPr>
                <w:rFonts w:hint="eastAsia" w:ascii="宋体" w:hAnsi="宋体" w:cs="宋体"/>
                <w:color w:val="auto"/>
                <w:sz w:val="24"/>
                <w:szCs w:val="24"/>
              </w:rPr>
            </w:pPr>
            <w:r>
              <w:rPr>
                <w:rFonts w:hint="eastAsia" w:ascii="宋体" w:hAnsi="宋体" w:cs="宋体"/>
                <w:color w:val="auto"/>
                <w:sz w:val="24"/>
                <w:szCs w:val="24"/>
              </w:rPr>
              <w:t>电子签章</w:t>
            </w:r>
          </w:p>
        </w:tc>
      </w:tr>
      <w:tr w14:paraId="3B5C815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exact"/>
        </w:trPr>
        <w:tc>
          <w:tcPr>
            <w:tcW w:w="935" w:type="dxa"/>
            <w:tcBorders>
              <w:top w:val="single" w:color="auto" w:sz="6" w:space="0"/>
              <w:left w:val="single" w:color="auto" w:sz="6" w:space="0"/>
              <w:bottom w:val="single" w:color="auto" w:sz="6" w:space="0"/>
              <w:right w:val="single" w:color="auto" w:sz="6" w:space="0"/>
            </w:tcBorders>
            <w:noWrap w:val="0"/>
            <w:vAlign w:val="center"/>
          </w:tcPr>
          <w:p w14:paraId="77697B63">
            <w:pPr>
              <w:jc w:val="center"/>
              <w:rPr>
                <w:rFonts w:hint="eastAsia" w:ascii="宋体" w:hAnsi="宋体" w:cs="宋体"/>
                <w:color w:val="auto"/>
                <w:sz w:val="24"/>
                <w:szCs w:val="24"/>
              </w:rPr>
            </w:pPr>
            <w:r>
              <w:rPr>
                <w:rFonts w:hint="eastAsia" w:ascii="宋体" w:hAnsi="宋体" w:cs="宋体"/>
                <w:color w:val="auto"/>
                <w:sz w:val="24"/>
                <w:szCs w:val="24"/>
              </w:rPr>
              <w:t>9</w:t>
            </w:r>
          </w:p>
        </w:tc>
        <w:tc>
          <w:tcPr>
            <w:tcW w:w="6569" w:type="dxa"/>
            <w:tcBorders>
              <w:top w:val="single" w:color="auto" w:sz="6" w:space="0"/>
              <w:left w:val="single" w:color="auto" w:sz="6" w:space="0"/>
              <w:bottom w:val="single" w:color="auto" w:sz="6" w:space="0"/>
              <w:right w:val="single" w:color="auto" w:sz="6" w:space="0"/>
            </w:tcBorders>
            <w:noWrap w:val="0"/>
            <w:vAlign w:val="center"/>
          </w:tcPr>
          <w:p w14:paraId="236671BD">
            <w:pPr>
              <w:jc w:val="left"/>
              <w:rPr>
                <w:rFonts w:hint="eastAsia" w:ascii="宋体" w:hAnsi="宋体" w:cs="宋体"/>
                <w:color w:val="auto"/>
                <w:sz w:val="24"/>
                <w:szCs w:val="24"/>
              </w:rPr>
            </w:pPr>
            <w:r>
              <w:rPr>
                <w:rFonts w:hint="eastAsia" w:ascii="宋体" w:hAnsi="宋体" w:cs="宋体"/>
                <w:color w:val="auto"/>
                <w:sz w:val="24"/>
                <w:szCs w:val="24"/>
              </w:rPr>
              <w:t>★实质性响应条款一览表</w:t>
            </w:r>
          </w:p>
        </w:tc>
        <w:tc>
          <w:tcPr>
            <w:tcW w:w="1851" w:type="dxa"/>
            <w:tcBorders>
              <w:top w:val="single" w:color="auto" w:sz="6" w:space="0"/>
              <w:left w:val="single" w:color="auto" w:sz="6" w:space="0"/>
              <w:bottom w:val="single" w:color="auto" w:sz="6" w:space="0"/>
              <w:right w:val="single" w:color="auto" w:sz="6" w:space="0"/>
            </w:tcBorders>
            <w:noWrap w:val="0"/>
            <w:vAlign w:val="center"/>
          </w:tcPr>
          <w:p w14:paraId="4BF71FA6">
            <w:pPr>
              <w:jc w:val="center"/>
              <w:rPr>
                <w:rFonts w:hint="eastAsia" w:ascii="宋体" w:hAnsi="宋体" w:cs="宋体"/>
                <w:color w:val="auto"/>
                <w:sz w:val="24"/>
                <w:szCs w:val="24"/>
              </w:rPr>
            </w:pPr>
            <w:r>
              <w:rPr>
                <w:rFonts w:hint="eastAsia" w:ascii="宋体" w:hAnsi="宋体" w:cs="宋体"/>
                <w:color w:val="auto"/>
                <w:sz w:val="24"/>
                <w:szCs w:val="24"/>
              </w:rPr>
              <w:t>电子签章</w:t>
            </w:r>
          </w:p>
        </w:tc>
      </w:tr>
      <w:tr w14:paraId="270B1CE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exact"/>
        </w:trPr>
        <w:tc>
          <w:tcPr>
            <w:tcW w:w="935" w:type="dxa"/>
            <w:tcBorders>
              <w:top w:val="single" w:color="auto" w:sz="6" w:space="0"/>
              <w:left w:val="single" w:color="auto" w:sz="6" w:space="0"/>
              <w:bottom w:val="single" w:color="auto" w:sz="6" w:space="0"/>
              <w:right w:val="single" w:color="auto" w:sz="6" w:space="0"/>
            </w:tcBorders>
            <w:noWrap w:val="0"/>
            <w:vAlign w:val="center"/>
          </w:tcPr>
          <w:p w14:paraId="26312E04">
            <w:pPr>
              <w:jc w:val="center"/>
              <w:rPr>
                <w:rFonts w:hint="eastAsia" w:ascii="宋体" w:hAnsi="宋体" w:cs="宋体"/>
                <w:color w:val="auto"/>
                <w:sz w:val="24"/>
                <w:szCs w:val="24"/>
              </w:rPr>
            </w:pPr>
            <w:r>
              <w:rPr>
                <w:rFonts w:hint="eastAsia" w:ascii="宋体" w:hAnsi="宋体" w:cs="宋体"/>
                <w:color w:val="auto"/>
                <w:sz w:val="24"/>
                <w:szCs w:val="24"/>
              </w:rPr>
              <w:t>10</w:t>
            </w:r>
          </w:p>
        </w:tc>
        <w:tc>
          <w:tcPr>
            <w:tcW w:w="6569" w:type="dxa"/>
            <w:tcBorders>
              <w:top w:val="single" w:color="auto" w:sz="6" w:space="0"/>
              <w:left w:val="single" w:color="auto" w:sz="6" w:space="0"/>
              <w:bottom w:val="single" w:color="auto" w:sz="6" w:space="0"/>
              <w:right w:val="single" w:color="auto" w:sz="6" w:space="0"/>
            </w:tcBorders>
            <w:noWrap w:val="0"/>
            <w:vAlign w:val="center"/>
          </w:tcPr>
          <w:p w14:paraId="3A55DC37">
            <w:pPr>
              <w:jc w:val="left"/>
              <w:rPr>
                <w:rFonts w:hint="eastAsia" w:ascii="宋体" w:hAnsi="宋体" w:cs="宋体"/>
                <w:color w:val="auto"/>
                <w:sz w:val="24"/>
                <w:szCs w:val="24"/>
              </w:rPr>
            </w:pPr>
            <w:r>
              <w:rPr>
                <w:rFonts w:hint="eastAsia" w:ascii="宋体" w:hAnsi="宋体" w:cs="宋体"/>
                <w:color w:val="auto"/>
                <w:sz w:val="24"/>
                <w:szCs w:val="24"/>
              </w:rPr>
              <w:t>技术和服务要求响应表</w:t>
            </w:r>
          </w:p>
        </w:tc>
        <w:tc>
          <w:tcPr>
            <w:tcW w:w="1851" w:type="dxa"/>
            <w:tcBorders>
              <w:top w:val="single" w:color="auto" w:sz="6" w:space="0"/>
              <w:left w:val="single" w:color="auto" w:sz="6" w:space="0"/>
              <w:bottom w:val="single" w:color="auto" w:sz="6" w:space="0"/>
              <w:right w:val="single" w:color="auto" w:sz="6" w:space="0"/>
            </w:tcBorders>
            <w:noWrap w:val="0"/>
            <w:vAlign w:val="center"/>
          </w:tcPr>
          <w:p w14:paraId="020A691C">
            <w:pPr>
              <w:jc w:val="center"/>
              <w:rPr>
                <w:rFonts w:hint="eastAsia" w:ascii="宋体" w:hAnsi="宋体" w:cs="宋体"/>
                <w:color w:val="auto"/>
                <w:sz w:val="24"/>
                <w:szCs w:val="24"/>
              </w:rPr>
            </w:pPr>
            <w:r>
              <w:rPr>
                <w:rFonts w:hint="eastAsia" w:ascii="宋体" w:hAnsi="宋体" w:cs="宋体"/>
                <w:color w:val="auto"/>
                <w:sz w:val="24"/>
                <w:szCs w:val="24"/>
              </w:rPr>
              <w:t>电子签章</w:t>
            </w:r>
          </w:p>
        </w:tc>
      </w:tr>
      <w:tr w14:paraId="7099A81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exact"/>
        </w:trPr>
        <w:tc>
          <w:tcPr>
            <w:tcW w:w="935" w:type="dxa"/>
            <w:tcBorders>
              <w:top w:val="single" w:color="auto" w:sz="6" w:space="0"/>
              <w:left w:val="single" w:color="auto" w:sz="6" w:space="0"/>
              <w:bottom w:val="single" w:color="auto" w:sz="6" w:space="0"/>
              <w:right w:val="single" w:color="auto" w:sz="6" w:space="0"/>
            </w:tcBorders>
            <w:noWrap w:val="0"/>
            <w:vAlign w:val="center"/>
          </w:tcPr>
          <w:p w14:paraId="2D474FD0">
            <w:pPr>
              <w:jc w:val="center"/>
              <w:rPr>
                <w:rFonts w:hint="eastAsia" w:ascii="宋体" w:hAnsi="宋体" w:cs="宋体"/>
                <w:color w:val="auto"/>
                <w:sz w:val="24"/>
                <w:szCs w:val="24"/>
              </w:rPr>
            </w:pPr>
            <w:r>
              <w:rPr>
                <w:rFonts w:hint="eastAsia" w:ascii="宋体" w:hAnsi="宋体" w:cs="宋体"/>
                <w:color w:val="auto"/>
                <w:sz w:val="24"/>
                <w:szCs w:val="24"/>
              </w:rPr>
              <w:t>11</w:t>
            </w:r>
          </w:p>
        </w:tc>
        <w:tc>
          <w:tcPr>
            <w:tcW w:w="6569" w:type="dxa"/>
            <w:tcBorders>
              <w:top w:val="single" w:color="auto" w:sz="6" w:space="0"/>
              <w:left w:val="single" w:color="auto" w:sz="6" w:space="0"/>
              <w:bottom w:val="single" w:color="auto" w:sz="6" w:space="0"/>
              <w:right w:val="single" w:color="auto" w:sz="6" w:space="0"/>
            </w:tcBorders>
            <w:noWrap w:val="0"/>
            <w:vAlign w:val="center"/>
          </w:tcPr>
          <w:p w14:paraId="4089F85E">
            <w:pPr>
              <w:jc w:val="left"/>
              <w:rPr>
                <w:rFonts w:hint="eastAsia" w:ascii="宋体" w:hAnsi="宋体" w:cs="宋体"/>
                <w:color w:val="auto"/>
                <w:sz w:val="24"/>
                <w:szCs w:val="24"/>
              </w:rPr>
            </w:pPr>
            <w:r>
              <w:rPr>
                <w:rFonts w:hint="eastAsia" w:ascii="宋体" w:hAnsi="宋体" w:cs="宋体"/>
                <w:color w:val="auto"/>
                <w:sz w:val="24"/>
                <w:szCs w:val="24"/>
              </w:rPr>
              <w:t>商务条件响应表</w:t>
            </w:r>
          </w:p>
        </w:tc>
        <w:tc>
          <w:tcPr>
            <w:tcW w:w="1851" w:type="dxa"/>
            <w:tcBorders>
              <w:top w:val="single" w:color="auto" w:sz="6" w:space="0"/>
              <w:left w:val="single" w:color="auto" w:sz="6" w:space="0"/>
              <w:bottom w:val="single" w:color="auto" w:sz="6" w:space="0"/>
              <w:right w:val="single" w:color="auto" w:sz="6" w:space="0"/>
            </w:tcBorders>
            <w:noWrap w:val="0"/>
            <w:vAlign w:val="center"/>
          </w:tcPr>
          <w:p w14:paraId="3EE15317">
            <w:pPr>
              <w:jc w:val="center"/>
              <w:rPr>
                <w:rFonts w:hint="eastAsia" w:ascii="宋体" w:hAnsi="宋体" w:cs="宋体"/>
                <w:color w:val="auto"/>
                <w:sz w:val="24"/>
                <w:szCs w:val="24"/>
              </w:rPr>
            </w:pPr>
            <w:r>
              <w:rPr>
                <w:rFonts w:hint="eastAsia" w:ascii="宋体" w:hAnsi="宋体" w:cs="宋体"/>
                <w:color w:val="auto"/>
                <w:sz w:val="24"/>
                <w:szCs w:val="24"/>
              </w:rPr>
              <w:t>电子签章</w:t>
            </w:r>
          </w:p>
        </w:tc>
      </w:tr>
      <w:tr w14:paraId="14542F1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exact"/>
        </w:trPr>
        <w:tc>
          <w:tcPr>
            <w:tcW w:w="935" w:type="dxa"/>
            <w:tcBorders>
              <w:top w:val="single" w:color="auto" w:sz="6" w:space="0"/>
              <w:left w:val="single" w:color="auto" w:sz="6" w:space="0"/>
              <w:bottom w:val="single" w:color="auto" w:sz="6" w:space="0"/>
              <w:right w:val="single" w:color="auto" w:sz="6" w:space="0"/>
            </w:tcBorders>
            <w:noWrap w:val="0"/>
            <w:vAlign w:val="center"/>
          </w:tcPr>
          <w:p w14:paraId="44218477">
            <w:pPr>
              <w:jc w:val="center"/>
              <w:rPr>
                <w:rFonts w:hint="eastAsia" w:ascii="宋体" w:hAnsi="宋体" w:cs="宋体"/>
                <w:color w:val="auto"/>
                <w:sz w:val="24"/>
                <w:szCs w:val="24"/>
              </w:rPr>
            </w:pPr>
            <w:r>
              <w:rPr>
                <w:rFonts w:hint="eastAsia" w:ascii="宋体" w:hAnsi="宋体" w:cs="宋体"/>
                <w:color w:val="auto"/>
                <w:sz w:val="24"/>
                <w:szCs w:val="24"/>
              </w:rPr>
              <w:t>12</w:t>
            </w:r>
          </w:p>
        </w:tc>
        <w:tc>
          <w:tcPr>
            <w:tcW w:w="6569" w:type="dxa"/>
            <w:tcBorders>
              <w:top w:val="single" w:color="auto" w:sz="6" w:space="0"/>
              <w:left w:val="single" w:color="auto" w:sz="6" w:space="0"/>
              <w:bottom w:val="single" w:color="auto" w:sz="6" w:space="0"/>
              <w:right w:val="single" w:color="auto" w:sz="6" w:space="0"/>
            </w:tcBorders>
            <w:noWrap w:val="0"/>
            <w:vAlign w:val="center"/>
          </w:tcPr>
          <w:p w14:paraId="58D29C1F">
            <w:pPr>
              <w:jc w:val="left"/>
              <w:rPr>
                <w:rFonts w:hint="eastAsia" w:ascii="宋体" w:hAnsi="宋体" w:cs="宋体"/>
                <w:color w:val="auto"/>
                <w:sz w:val="24"/>
                <w:szCs w:val="24"/>
              </w:rPr>
            </w:pPr>
            <w:r>
              <w:rPr>
                <w:rFonts w:hint="eastAsia" w:ascii="宋体" w:hAnsi="宋体" w:cs="宋体"/>
                <w:color w:val="auto"/>
                <w:sz w:val="24"/>
                <w:szCs w:val="24"/>
              </w:rPr>
              <w:t>投标人业绩情况表</w:t>
            </w:r>
          </w:p>
        </w:tc>
        <w:tc>
          <w:tcPr>
            <w:tcW w:w="1851" w:type="dxa"/>
            <w:tcBorders>
              <w:top w:val="single" w:color="auto" w:sz="6" w:space="0"/>
              <w:left w:val="single" w:color="auto" w:sz="6" w:space="0"/>
              <w:bottom w:val="single" w:color="auto" w:sz="6" w:space="0"/>
              <w:right w:val="single" w:color="auto" w:sz="6" w:space="0"/>
            </w:tcBorders>
            <w:noWrap w:val="0"/>
            <w:vAlign w:val="center"/>
          </w:tcPr>
          <w:p w14:paraId="3D98730F">
            <w:pPr>
              <w:jc w:val="center"/>
              <w:rPr>
                <w:rFonts w:hint="eastAsia" w:ascii="宋体" w:hAnsi="宋体" w:cs="宋体"/>
                <w:color w:val="auto"/>
                <w:sz w:val="24"/>
                <w:szCs w:val="24"/>
              </w:rPr>
            </w:pPr>
            <w:r>
              <w:rPr>
                <w:rFonts w:hint="eastAsia" w:ascii="宋体" w:hAnsi="宋体" w:cs="宋体"/>
                <w:color w:val="auto"/>
                <w:sz w:val="24"/>
                <w:szCs w:val="24"/>
              </w:rPr>
              <w:t>电子签章</w:t>
            </w:r>
          </w:p>
        </w:tc>
      </w:tr>
      <w:tr w14:paraId="71D3723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exact"/>
        </w:trPr>
        <w:tc>
          <w:tcPr>
            <w:tcW w:w="935" w:type="dxa"/>
            <w:tcBorders>
              <w:top w:val="single" w:color="auto" w:sz="6" w:space="0"/>
              <w:left w:val="single" w:color="auto" w:sz="6" w:space="0"/>
              <w:bottom w:val="single" w:color="auto" w:sz="6" w:space="0"/>
              <w:right w:val="single" w:color="auto" w:sz="6" w:space="0"/>
            </w:tcBorders>
            <w:noWrap w:val="0"/>
            <w:vAlign w:val="center"/>
          </w:tcPr>
          <w:p w14:paraId="6BAA79BE">
            <w:pPr>
              <w:jc w:val="center"/>
              <w:rPr>
                <w:rFonts w:hint="eastAsia" w:ascii="宋体" w:hAnsi="宋体" w:cs="宋体"/>
                <w:color w:val="auto"/>
                <w:sz w:val="24"/>
                <w:szCs w:val="24"/>
              </w:rPr>
            </w:pPr>
            <w:r>
              <w:rPr>
                <w:rFonts w:hint="eastAsia" w:ascii="宋体" w:hAnsi="宋体" w:cs="宋体"/>
                <w:color w:val="auto"/>
                <w:sz w:val="24"/>
                <w:szCs w:val="24"/>
              </w:rPr>
              <w:t>13</w:t>
            </w:r>
          </w:p>
        </w:tc>
        <w:tc>
          <w:tcPr>
            <w:tcW w:w="6569" w:type="dxa"/>
            <w:tcBorders>
              <w:top w:val="single" w:color="auto" w:sz="6" w:space="0"/>
              <w:left w:val="single" w:color="auto" w:sz="6" w:space="0"/>
              <w:bottom w:val="single" w:color="auto" w:sz="6" w:space="0"/>
              <w:right w:val="single" w:color="auto" w:sz="6" w:space="0"/>
            </w:tcBorders>
            <w:noWrap w:val="0"/>
            <w:vAlign w:val="center"/>
          </w:tcPr>
          <w:p w14:paraId="054D3770">
            <w:pPr>
              <w:jc w:val="left"/>
              <w:rPr>
                <w:rFonts w:hint="eastAsia" w:ascii="宋体" w:hAnsi="宋体" w:cs="宋体"/>
                <w:color w:val="auto"/>
                <w:sz w:val="24"/>
                <w:szCs w:val="24"/>
              </w:rPr>
            </w:pPr>
            <w:r>
              <w:rPr>
                <w:rFonts w:hint="eastAsia" w:ascii="宋体" w:hAnsi="宋体" w:cs="宋体"/>
                <w:color w:val="auto"/>
                <w:sz w:val="24"/>
                <w:szCs w:val="24"/>
              </w:rPr>
              <w:t>售后服务人员配置表</w:t>
            </w:r>
          </w:p>
        </w:tc>
        <w:tc>
          <w:tcPr>
            <w:tcW w:w="1851" w:type="dxa"/>
            <w:tcBorders>
              <w:top w:val="single" w:color="auto" w:sz="6" w:space="0"/>
              <w:left w:val="single" w:color="auto" w:sz="6" w:space="0"/>
              <w:bottom w:val="single" w:color="auto" w:sz="6" w:space="0"/>
              <w:right w:val="single" w:color="auto" w:sz="6" w:space="0"/>
            </w:tcBorders>
            <w:noWrap w:val="0"/>
            <w:vAlign w:val="center"/>
          </w:tcPr>
          <w:p w14:paraId="232C8080">
            <w:pPr>
              <w:jc w:val="center"/>
              <w:rPr>
                <w:rFonts w:hint="eastAsia" w:ascii="宋体" w:hAnsi="宋体" w:cs="宋体"/>
                <w:color w:val="auto"/>
                <w:sz w:val="24"/>
                <w:szCs w:val="24"/>
              </w:rPr>
            </w:pPr>
            <w:r>
              <w:rPr>
                <w:rFonts w:hint="eastAsia" w:ascii="宋体" w:hAnsi="宋体" w:cs="宋体"/>
                <w:color w:val="auto"/>
                <w:sz w:val="24"/>
                <w:szCs w:val="24"/>
              </w:rPr>
              <w:t>电子签章</w:t>
            </w:r>
          </w:p>
        </w:tc>
      </w:tr>
      <w:tr w14:paraId="2E607F0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exact"/>
        </w:trPr>
        <w:tc>
          <w:tcPr>
            <w:tcW w:w="935" w:type="dxa"/>
            <w:tcBorders>
              <w:top w:val="single" w:color="auto" w:sz="6" w:space="0"/>
              <w:left w:val="single" w:color="auto" w:sz="6" w:space="0"/>
              <w:bottom w:val="single" w:color="auto" w:sz="6" w:space="0"/>
              <w:right w:val="single" w:color="auto" w:sz="6" w:space="0"/>
            </w:tcBorders>
            <w:noWrap w:val="0"/>
            <w:vAlign w:val="center"/>
          </w:tcPr>
          <w:p w14:paraId="3F9C7FC1">
            <w:pPr>
              <w:jc w:val="center"/>
              <w:rPr>
                <w:rFonts w:hint="eastAsia" w:ascii="宋体" w:hAnsi="宋体" w:cs="宋体"/>
                <w:color w:val="auto"/>
                <w:sz w:val="24"/>
                <w:szCs w:val="24"/>
              </w:rPr>
            </w:pPr>
            <w:r>
              <w:rPr>
                <w:rFonts w:hint="eastAsia" w:ascii="宋体" w:hAnsi="宋体" w:cs="宋体"/>
                <w:color w:val="auto"/>
                <w:sz w:val="24"/>
                <w:szCs w:val="24"/>
              </w:rPr>
              <w:t>14</w:t>
            </w:r>
          </w:p>
        </w:tc>
        <w:tc>
          <w:tcPr>
            <w:tcW w:w="6569" w:type="dxa"/>
            <w:tcBorders>
              <w:top w:val="single" w:color="auto" w:sz="6" w:space="0"/>
              <w:left w:val="single" w:color="auto" w:sz="6" w:space="0"/>
              <w:bottom w:val="single" w:color="auto" w:sz="6" w:space="0"/>
              <w:right w:val="single" w:color="auto" w:sz="6" w:space="0"/>
            </w:tcBorders>
            <w:noWrap w:val="0"/>
            <w:vAlign w:val="center"/>
          </w:tcPr>
          <w:p w14:paraId="7ECDABE1">
            <w:pPr>
              <w:jc w:val="left"/>
              <w:rPr>
                <w:rFonts w:hint="eastAsia" w:ascii="宋体" w:hAnsi="宋体" w:cs="宋体"/>
                <w:color w:val="auto"/>
                <w:sz w:val="24"/>
                <w:szCs w:val="24"/>
              </w:rPr>
            </w:pPr>
            <w:r>
              <w:rPr>
                <w:rFonts w:hint="eastAsia" w:ascii="宋体" w:hAnsi="宋体" w:cs="宋体"/>
                <w:color w:val="auto"/>
                <w:sz w:val="24"/>
                <w:szCs w:val="24"/>
              </w:rPr>
              <w:t>各类证明材料</w:t>
            </w:r>
          </w:p>
        </w:tc>
        <w:tc>
          <w:tcPr>
            <w:tcW w:w="1851" w:type="dxa"/>
            <w:tcBorders>
              <w:top w:val="single" w:color="auto" w:sz="6" w:space="0"/>
              <w:left w:val="single" w:color="auto" w:sz="6" w:space="0"/>
              <w:bottom w:val="single" w:color="auto" w:sz="6" w:space="0"/>
              <w:right w:val="single" w:color="auto" w:sz="6" w:space="0"/>
            </w:tcBorders>
            <w:noWrap w:val="0"/>
            <w:vAlign w:val="center"/>
          </w:tcPr>
          <w:p w14:paraId="196AF35F">
            <w:pPr>
              <w:jc w:val="center"/>
              <w:rPr>
                <w:rFonts w:hint="eastAsia" w:ascii="宋体" w:hAnsi="宋体" w:cs="宋体"/>
                <w:color w:val="auto"/>
                <w:sz w:val="24"/>
                <w:szCs w:val="24"/>
              </w:rPr>
            </w:pPr>
            <w:r>
              <w:rPr>
                <w:rFonts w:hint="eastAsia" w:ascii="宋体" w:hAnsi="宋体" w:cs="宋体"/>
                <w:color w:val="auto"/>
                <w:sz w:val="24"/>
                <w:szCs w:val="24"/>
              </w:rPr>
              <w:t>电子签章</w:t>
            </w:r>
          </w:p>
        </w:tc>
      </w:tr>
      <w:tr w14:paraId="5CD00C6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exact"/>
        </w:trPr>
        <w:tc>
          <w:tcPr>
            <w:tcW w:w="935" w:type="dxa"/>
            <w:tcBorders>
              <w:top w:val="single" w:color="auto" w:sz="6" w:space="0"/>
              <w:left w:val="single" w:color="auto" w:sz="6" w:space="0"/>
              <w:bottom w:val="single" w:color="auto" w:sz="6" w:space="0"/>
              <w:right w:val="single" w:color="auto" w:sz="6" w:space="0"/>
            </w:tcBorders>
            <w:noWrap w:val="0"/>
            <w:vAlign w:val="center"/>
          </w:tcPr>
          <w:p w14:paraId="263ADBAB">
            <w:pPr>
              <w:jc w:val="center"/>
              <w:rPr>
                <w:rFonts w:hint="eastAsia" w:ascii="宋体" w:hAnsi="宋体" w:cs="宋体"/>
                <w:color w:val="auto"/>
                <w:sz w:val="24"/>
                <w:szCs w:val="24"/>
              </w:rPr>
            </w:pPr>
            <w:r>
              <w:rPr>
                <w:rFonts w:hint="eastAsia" w:ascii="宋体" w:hAnsi="宋体" w:cs="宋体"/>
                <w:color w:val="auto"/>
                <w:sz w:val="24"/>
                <w:szCs w:val="24"/>
              </w:rPr>
              <w:t>15</w:t>
            </w:r>
          </w:p>
        </w:tc>
        <w:tc>
          <w:tcPr>
            <w:tcW w:w="6569" w:type="dxa"/>
            <w:tcBorders>
              <w:top w:val="single" w:color="auto" w:sz="6" w:space="0"/>
              <w:left w:val="single" w:color="auto" w:sz="6" w:space="0"/>
              <w:bottom w:val="single" w:color="auto" w:sz="6" w:space="0"/>
              <w:right w:val="single" w:color="auto" w:sz="6" w:space="0"/>
            </w:tcBorders>
            <w:noWrap w:val="0"/>
            <w:vAlign w:val="center"/>
          </w:tcPr>
          <w:p w14:paraId="49B74E98">
            <w:pPr>
              <w:jc w:val="left"/>
              <w:rPr>
                <w:rFonts w:hint="eastAsia" w:ascii="宋体" w:hAnsi="宋体" w:cs="宋体"/>
                <w:color w:val="auto"/>
                <w:sz w:val="24"/>
                <w:szCs w:val="24"/>
              </w:rPr>
            </w:pPr>
            <w:r>
              <w:rPr>
                <w:rFonts w:hint="eastAsia" w:ascii="宋体" w:hAnsi="宋体" w:cs="宋体"/>
                <w:color w:val="auto"/>
                <w:sz w:val="24"/>
                <w:szCs w:val="24"/>
              </w:rPr>
              <w:t>中小企业声明函（如有）</w:t>
            </w:r>
          </w:p>
        </w:tc>
        <w:tc>
          <w:tcPr>
            <w:tcW w:w="1851" w:type="dxa"/>
            <w:tcBorders>
              <w:top w:val="single" w:color="auto" w:sz="6" w:space="0"/>
              <w:left w:val="single" w:color="auto" w:sz="6" w:space="0"/>
              <w:bottom w:val="single" w:color="auto" w:sz="6" w:space="0"/>
              <w:right w:val="single" w:color="auto" w:sz="6" w:space="0"/>
            </w:tcBorders>
            <w:noWrap w:val="0"/>
            <w:vAlign w:val="center"/>
          </w:tcPr>
          <w:p w14:paraId="302B68E7">
            <w:pPr>
              <w:jc w:val="center"/>
              <w:rPr>
                <w:rFonts w:hint="eastAsia" w:ascii="宋体" w:hAnsi="宋体" w:cs="宋体"/>
                <w:color w:val="auto"/>
                <w:sz w:val="24"/>
                <w:szCs w:val="24"/>
              </w:rPr>
            </w:pPr>
            <w:r>
              <w:rPr>
                <w:rFonts w:hint="eastAsia" w:ascii="宋体" w:hAnsi="宋体" w:cs="宋体"/>
                <w:color w:val="auto"/>
                <w:sz w:val="24"/>
                <w:szCs w:val="24"/>
              </w:rPr>
              <w:t>电子签章</w:t>
            </w:r>
          </w:p>
        </w:tc>
      </w:tr>
      <w:tr w14:paraId="204E9E3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exact"/>
        </w:trPr>
        <w:tc>
          <w:tcPr>
            <w:tcW w:w="935" w:type="dxa"/>
            <w:tcBorders>
              <w:top w:val="single" w:color="auto" w:sz="6" w:space="0"/>
              <w:left w:val="single" w:color="auto" w:sz="6" w:space="0"/>
              <w:bottom w:val="single" w:color="auto" w:sz="6" w:space="0"/>
              <w:right w:val="single" w:color="auto" w:sz="6" w:space="0"/>
            </w:tcBorders>
            <w:noWrap w:val="0"/>
            <w:vAlign w:val="center"/>
          </w:tcPr>
          <w:p w14:paraId="0BEC80FD">
            <w:pPr>
              <w:jc w:val="center"/>
              <w:rPr>
                <w:rFonts w:hint="eastAsia" w:ascii="宋体" w:hAnsi="宋体" w:cs="宋体"/>
                <w:color w:val="auto"/>
                <w:sz w:val="24"/>
                <w:szCs w:val="24"/>
              </w:rPr>
            </w:pPr>
            <w:r>
              <w:rPr>
                <w:rFonts w:hint="eastAsia" w:ascii="宋体" w:hAnsi="宋体" w:cs="宋体"/>
                <w:color w:val="auto"/>
                <w:sz w:val="24"/>
                <w:szCs w:val="24"/>
              </w:rPr>
              <w:t>16</w:t>
            </w:r>
          </w:p>
        </w:tc>
        <w:tc>
          <w:tcPr>
            <w:tcW w:w="6569" w:type="dxa"/>
            <w:tcBorders>
              <w:top w:val="single" w:color="auto" w:sz="6" w:space="0"/>
              <w:left w:val="single" w:color="auto" w:sz="6" w:space="0"/>
              <w:bottom w:val="single" w:color="auto" w:sz="6" w:space="0"/>
              <w:right w:val="single" w:color="auto" w:sz="6" w:space="0"/>
            </w:tcBorders>
            <w:noWrap w:val="0"/>
            <w:vAlign w:val="center"/>
          </w:tcPr>
          <w:p w14:paraId="49A6DA12">
            <w:pPr>
              <w:jc w:val="left"/>
              <w:rPr>
                <w:rFonts w:hint="eastAsia" w:ascii="宋体" w:hAnsi="宋体" w:cs="宋体"/>
                <w:color w:val="auto"/>
                <w:sz w:val="24"/>
                <w:szCs w:val="24"/>
              </w:rPr>
            </w:pPr>
            <w:r>
              <w:rPr>
                <w:rFonts w:hint="eastAsia" w:ascii="宋体" w:hAnsi="宋体" w:cs="宋体"/>
                <w:color w:val="auto"/>
                <w:sz w:val="24"/>
                <w:szCs w:val="24"/>
              </w:rPr>
              <w:t>残疾人福利性单位声明函（如有）</w:t>
            </w:r>
          </w:p>
        </w:tc>
        <w:tc>
          <w:tcPr>
            <w:tcW w:w="1851" w:type="dxa"/>
            <w:tcBorders>
              <w:top w:val="single" w:color="auto" w:sz="6" w:space="0"/>
              <w:left w:val="single" w:color="auto" w:sz="6" w:space="0"/>
              <w:bottom w:val="single" w:color="auto" w:sz="6" w:space="0"/>
              <w:right w:val="single" w:color="auto" w:sz="6" w:space="0"/>
            </w:tcBorders>
            <w:noWrap w:val="0"/>
            <w:vAlign w:val="center"/>
          </w:tcPr>
          <w:p w14:paraId="15D691FB">
            <w:pPr>
              <w:jc w:val="center"/>
              <w:rPr>
                <w:rFonts w:hint="eastAsia" w:ascii="宋体" w:hAnsi="宋体" w:cs="宋体"/>
                <w:color w:val="auto"/>
                <w:sz w:val="24"/>
                <w:szCs w:val="24"/>
              </w:rPr>
            </w:pPr>
            <w:r>
              <w:rPr>
                <w:rFonts w:hint="eastAsia" w:ascii="宋体" w:hAnsi="宋体" w:cs="宋体"/>
                <w:color w:val="auto"/>
                <w:sz w:val="24"/>
                <w:szCs w:val="24"/>
              </w:rPr>
              <w:t>电子签章</w:t>
            </w:r>
          </w:p>
        </w:tc>
      </w:tr>
      <w:tr w14:paraId="1748D6B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62" w:hRule="exact"/>
        </w:trPr>
        <w:tc>
          <w:tcPr>
            <w:tcW w:w="935" w:type="dxa"/>
            <w:tcBorders>
              <w:top w:val="single" w:color="auto" w:sz="6" w:space="0"/>
              <w:left w:val="single" w:color="auto" w:sz="6" w:space="0"/>
              <w:bottom w:val="single" w:color="auto" w:sz="6" w:space="0"/>
              <w:right w:val="single" w:color="auto" w:sz="6" w:space="0"/>
            </w:tcBorders>
            <w:noWrap w:val="0"/>
            <w:vAlign w:val="center"/>
          </w:tcPr>
          <w:p w14:paraId="2888DCF8">
            <w:pPr>
              <w:jc w:val="center"/>
              <w:rPr>
                <w:rFonts w:hint="eastAsia" w:ascii="宋体" w:hAnsi="宋体" w:cs="宋体"/>
                <w:color w:val="auto"/>
                <w:sz w:val="24"/>
                <w:szCs w:val="24"/>
              </w:rPr>
            </w:pPr>
            <w:r>
              <w:rPr>
                <w:rFonts w:hint="eastAsia" w:ascii="宋体" w:hAnsi="宋体" w:cs="宋体"/>
                <w:color w:val="auto"/>
                <w:sz w:val="24"/>
                <w:szCs w:val="24"/>
              </w:rPr>
              <w:t>17</w:t>
            </w:r>
          </w:p>
        </w:tc>
        <w:tc>
          <w:tcPr>
            <w:tcW w:w="6569" w:type="dxa"/>
            <w:tcBorders>
              <w:top w:val="single" w:color="auto" w:sz="6" w:space="0"/>
              <w:left w:val="single" w:color="auto" w:sz="6" w:space="0"/>
              <w:bottom w:val="single" w:color="auto" w:sz="6" w:space="0"/>
              <w:right w:val="single" w:color="auto" w:sz="6" w:space="0"/>
            </w:tcBorders>
            <w:noWrap w:val="0"/>
            <w:vAlign w:val="center"/>
          </w:tcPr>
          <w:p w14:paraId="11F2A733">
            <w:pPr>
              <w:jc w:val="left"/>
              <w:rPr>
                <w:rFonts w:hint="eastAsia" w:ascii="宋体" w:hAnsi="宋体" w:cs="宋体"/>
                <w:color w:val="auto"/>
                <w:sz w:val="24"/>
                <w:szCs w:val="24"/>
              </w:rPr>
            </w:pPr>
            <w:r>
              <w:rPr>
                <w:rFonts w:ascii="宋体" w:hAnsi="宋体" w:cs="宋体"/>
                <w:color w:val="auto"/>
                <w:sz w:val="24"/>
                <w:szCs w:val="24"/>
              </w:rPr>
              <w:t>监狱企业参加政府采购活动时，应当提供由省级以上监狱管理局、戒毒管理局(含新疆生产建设兵团)出具的属于监狱企业的证明文件。</w:t>
            </w:r>
            <w:r>
              <w:rPr>
                <w:rFonts w:hint="eastAsia" w:ascii="宋体" w:hAnsi="宋体" w:cs="宋体"/>
                <w:color w:val="auto"/>
                <w:sz w:val="24"/>
                <w:szCs w:val="24"/>
              </w:rPr>
              <w:t>（如有）</w:t>
            </w:r>
          </w:p>
        </w:tc>
        <w:tc>
          <w:tcPr>
            <w:tcW w:w="1851" w:type="dxa"/>
            <w:tcBorders>
              <w:top w:val="single" w:color="auto" w:sz="6" w:space="0"/>
              <w:left w:val="single" w:color="auto" w:sz="6" w:space="0"/>
              <w:bottom w:val="single" w:color="auto" w:sz="6" w:space="0"/>
              <w:right w:val="single" w:color="auto" w:sz="6" w:space="0"/>
            </w:tcBorders>
            <w:noWrap w:val="0"/>
            <w:vAlign w:val="center"/>
          </w:tcPr>
          <w:p w14:paraId="3FCFFCEC">
            <w:pPr>
              <w:jc w:val="center"/>
              <w:rPr>
                <w:rFonts w:hint="eastAsia" w:ascii="宋体" w:hAnsi="宋体" w:cs="宋体"/>
                <w:color w:val="auto"/>
                <w:sz w:val="24"/>
                <w:szCs w:val="24"/>
              </w:rPr>
            </w:pPr>
            <w:r>
              <w:rPr>
                <w:rFonts w:hint="eastAsia" w:ascii="宋体" w:hAnsi="宋体" w:cs="宋体"/>
                <w:color w:val="auto"/>
                <w:sz w:val="24"/>
                <w:szCs w:val="24"/>
              </w:rPr>
              <w:t>电子签章</w:t>
            </w:r>
          </w:p>
        </w:tc>
      </w:tr>
      <w:tr w14:paraId="5A12D2B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exact"/>
        </w:trPr>
        <w:tc>
          <w:tcPr>
            <w:tcW w:w="935" w:type="dxa"/>
            <w:tcBorders>
              <w:top w:val="single" w:color="auto" w:sz="6" w:space="0"/>
              <w:left w:val="single" w:color="auto" w:sz="6" w:space="0"/>
              <w:bottom w:val="single" w:color="auto" w:sz="6" w:space="0"/>
              <w:right w:val="single" w:color="auto" w:sz="6" w:space="0"/>
            </w:tcBorders>
            <w:noWrap w:val="0"/>
            <w:vAlign w:val="center"/>
          </w:tcPr>
          <w:p w14:paraId="5E00BED1">
            <w:pPr>
              <w:jc w:val="center"/>
              <w:rPr>
                <w:rFonts w:hint="eastAsia" w:ascii="宋体" w:hAnsi="宋体" w:cs="宋体"/>
                <w:color w:val="auto"/>
                <w:sz w:val="24"/>
                <w:szCs w:val="24"/>
              </w:rPr>
            </w:pPr>
            <w:r>
              <w:rPr>
                <w:rFonts w:hint="eastAsia" w:ascii="宋体" w:hAnsi="宋体" w:cs="宋体"/>
                <w:color w:val="auto"/>
                <w:sz w:val="24"/>
                <w:szCs w:val="24"/>
              </w:rPr>
              <w:t>18</w:t>
            </w:r>
          </w:p>
        </w:tc>
        <w:tc>
          <w:tcPr>
            <w:tcW w:w="6569" w:type="dxa"/>
            <w:tcBorders>
              <w:top w:val="single" w:color="auto" w:sz="6" w:space="0"/>
              <w:left w:val="single" w:color="auto" w:sz="6" w:space="0"/>
              <w:bottom w:val="single" w:color="auto" w:sz="6" w:space="0"/>
              <w:right w:val="single" w:color="auto" w:sz="6" w:space="0"/>
            </w:tcBorders>
            <w:noWrap w:val="0"/>
            <w:vAlign w:val="center"/>
          </w:tcPr>
          <w:p w14:paraId="2AFB95AE">
            <w:pPr>
              <w:jc w:val="left"/>
              <w:rPr>
                <w:rFonts w:hint="eastAsia" w:ascii="宋体" w:hAnsi="宋体" w:cs="宋体"/>
                <w:color w:val="auto"/>
                <w:sz w:val="24"/>
                <w:szCs w:val="24"/>
              </w:rPr>
            </w:pPr>
            <w:r>
              <w:rPr>
                <w:rFonts w:hint="eastAsia" w:ascii="宋体" w:hAnsi="宋体" w:cs="宋体"/>
                <w:color w:val="auto"/>
                <w:sz w:val="24"/>
                <w:szCs w:val="24"/>
              </w:rPr>
              <w:t>少数民族地区单位声明函（如有）</w:t>
            </w:r>
          </w:p>
        </w:tc>
        <w:tc>
          <w:tcPr>
            <w:tcW w:w="1851" w:type="dxa"/>
            <w:tcBorders>
              <w:top w:val="single" w:color="auto" w:sz="6" w:space="0"/>
              <w:left w:val="single" w:color="auto" w:sz="6" w:space="0"/>
              <w:bottom w:val="single" w:color="auto" w:sz="6" w:space="0"/>
              <w:right w:val="single" w:color="auto" w:sz="6" w:space="0"/>
            </w:tcBorders>
            <w:noWrap w:val="0"/>
            <w:vAlign w:val="center"/>
          </w:tcPr>
          <w:p w14:paraId="794085D9">
            <w:pPr>
              <w:jc w:val="center"/>
              <w:rPr>
                <w:rFonts w:hint="eastAsia" w:ascii="宋体" w:hAnsi="宋体" w:cs="宋体"/>
                <w:color w:val="auto"/>
                <w:sz w:val="24"/>
                <w:szCs w:val="24"/>
              </w:rPr>
            </w:pPr>
            <w:r>
              <w:rPr>
                <w:rFonts w:hint="eastAsia" w:ascii="宋体" w:hAnsi="宋体" w:cs="宋体"/>
                <w:color w:val="auto"/>
                <w:sz w:val="24"/>
                <w:szCs w:val="24"/>
              </w:rPr>
              <w:t>电子签章</w:t>
            </w:r>
          </w:p>
        </w:tc>
      </w:tr>
      <w:tr w14:paraId="1E21736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exact"/>
        </w:trPr>
        <w:tc>
          <w:tcPr>
            <w:tcW w:w="935" w:type="dxa"/>
            <w:tcBorders>
              <w:top w:val="single" w:color="auto" w:sz="6" w:space="0"/>
              <w:left w:val="single" w:color="auto" w:sz="6" w:space="0"/>
              <w:bottom w:val="single" w:color="auto" w:sz="6" w:space="0"/>
              <w:right w:val="single" w:color="auto" w:sz="6" w:space="0"/>
            </w:tcBorders>
            <w:noWrap w:val="0"/>
            <w:vAlign w:val="center"/>
          </w:tcPr>
          <w:p w14:paraId="25BF3596">
            <w:pPr>
              <w:jc w:val="center"/>
              <w:rPr>
                <w:rFonts w:hint="eastAsia" w:ascii="宋体" w:hAnsi="宋体" w:cs="宋体"/>
                <w:color w:val="auto"/>
                <w:sz w:val="24"/>
                <w:szCs w:val="24"/>
              </w:rPr>
            </w:pPr>
            <w:r>
              <w:rPr>
                <w:rFonts w:hint="eastAsia" w:ascii="宋体" w:hAnsi="宋体" w:cs="宋体"/>
                <w:color w:val="auto"/>
                <w:sz w:val="24"/>
                <w:szCs w:val="24"/>
              </w:rPr>
              <w:t>19</w:t>
            </w:r>
          </w:p>
        </w:tc>
        <w:tc>
          <w:tcPr>
            <w:tcW w:w="6569" w:type="dxa"/>
            <w:tcBorders>
              <w:top w:val="single" w:color="auto" w:sz="6" w:space="0"/>
              <w:left w:val="single" w:color="auto" w:sz="6" w:space="0"/>
              <w:bottom w:val="single" w:color="auto" w:sz="6" w:space="0"/>
              <w:right w:val="single" w:color="auto" w:sz="6" w:space="0"/>
            </w:tcBorders>
            <w:noWrap w:val="0"/>
            <w:vAlign w:val="center"/>
          </w:tcPr>
          <w:p w14:paraId="15A463E6">
            <w:pPr>
              <w:jc w:val="left"/>
              <w:rPr>
                <w:rFonts w:hint="eastAsia" w:ascii="宋体" w:hAnsi="宋体" w:cs="宋体"/>
                <w:color w:val="auto"/>
                <w:sz w:val="24"/>
                <w:szCs w:val="24"/>
              </w:rPr>
            </w:pPr>
            <w:r>
              <w:rPr>
                <w:rFonts w:hint="eastAsia" w:ascii="宋体" w:hAnsi="宋体" w:cs="宋体"/>
                <w:color w:val="auto"/>
                <w:sz w:val="24"/>
                <w:szCs w:val="24"/>
              </w:rPr>
              <w:t>政策适用性说明</w:t>
            </w:r>
          </w:p>
        </w:tc>
        <w:tc>
          <w:tcPr>
            <w:tcW w:w="1851" w:type="dxa"/>
            <w:tcBorders>
              <w:top w:val="single" w:color="auto" w:sz="6" w:space="0"/>
              <w:left w:val="single" w:color="auto" w:sz="6" w:space="0"/>
              <w:bottom w:val="single" w:color="auto" w:sz="6" w:space="0"/>
              <w:right w:val="single" w:color="auto" w:sz="6" w:space="0"/>
            </w:tcBorders>
            <w:noWrap w:val="0"/>
            <w:vAlign w:val="center"/>
          </w:tcPr>
          <w:p w14:paraId="560108AE">
            <w:pPr>
              <w:jc w:val="center"/>
              <w:rPr>
                <w:rFonts w:hint="eastAsia" w:ascii="宋体" w:hAnsi="宋体" w:cs="宋体"/>
                <w:color w:val="auto"/>
                <w:sz w:val="24"/>
                <w:szCs w:val="24"/>
              </w:rPr>
            </w:pPr>
            <w:r>
              <w:rPr>
                <w:rFonts w:hint="eastAsia" w:ascii="宋体" w:hAnsi="宋体" w:cs="宋体"/>
                <w:color w:val="auto"/>
                <w:sz w:val="24"/>
                <w:szCs w:val="24"/>
              </w:rPr>
              <w:t>电子签章</w:t>
            </w:r>
          </w:p>
        </w:tc>
      </w:tr>
      <w:tr w14:paraId="38EFA21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27" w:hRule="exact"/>
        </w:trPr>
        <w:tc>
          <w:tcPr>
            <w:tcW w:w="935" w:type="dxa"/>
            <w:tcBorders>
              <w:top w:val="single" w:color="auto" w:sz="6" w:space="0"/>
              <w:left w:val="single" w:color="auto" w:sz="6" w:space="0"/>
              <w:bottom w:val="single" w:color="auto" w:sz="6" w:space="0"/>
              <w:right w:val="single" w:color="auto" w:sz="6" w:space="0"/>
            </w:tcBorders>
            <w:noWrap w:val="0"/>
            <w:vAlign w:val="center"/>
          </w:tcPr>
          <w:p w14:paraId="1522BAC6">
            <w:pPr>
              <w:jc w:val="center"/>
              <w:rPr>
                <w:rFonts w:hint="eastAsia" w:ascii="宋体" w:hAnsi="宋体" w:cs="宋体"/>
                <w:color w:val="auto"/>
                <w:sz w:val="24"/>
                <w:szCs w:val="24"/>
              </w:rPr>
            </w:pPr>
            <w:r>
              <w:rPr>
                <w:rFonts w:hint="eastAsia" w:ascii="宋体" w:hAnsi="宋体" w:cs="宋体"/>
                <w:color w:val="auto"/>
                <w:sz w:val="24"/>
                <w:szCs w:val="24"/>
              </w:rPr>
              <w:t>20</w:t>
            </w:r>
          </w:p>
        </w:tc>
        <w:tc>
          <w:tcPr>
            <w:tcW w:w="6569" w:type="dxa"/>
            <w:tcBorders>
              <w:top w:val="single" w:color="auto" w:sz="6" w:space="0"/>
              <w:left w:val="single" w:color="auto" w:sz="6" w:space="0"/>
              <w:bottom w:val="single" w:color="auto" w:sz="6" w:space="0"/>
              <w:right w:val="single" w:color="auto" w:sz="6" w:space="0"/>
            </w:tcBorders>
            <w:noWrap w:val="0"/>
            <w:vAlign w:val="center"/>
          </w:tcPr>
          <w:p w14:paraId="66FBC792">
            <w:pPr>
              <w:jc w:val="left"/>
              <w:rPr>
                <w:rFonts w:hint="eastAsia" w:ascii="宋体" w:hAnsi="宋体" w:cs="宋体"/>
                <w:color w:val="auto"/>
                <w:sz w:val="24"/>
                <w:szCs w:val="24"/>
              </w:rPr>
            </w:pPr>
            <w:r>
              <w:rPr>
                <w:rFonts w:hint="eastAsia" w:ascii="宋体" w:hAnsi="宋体" w:cs="宋体"/>
                <w:color w:val="auto"/>
                <w:sz w:val="24"/>
                <w:szCs w:val="24"/>
              </w:rPr>
              <w:t>联合体共同投标协议书（如有）</w:t>
            </w:r>
          </w:p>
        </w:tc>
        <w:tc>
          <w:tcPr>
            <w:tcW w:w="1851" w:type="dxa"/>
            <w:tcBorders>
              <w:top w:val="single" w:color="auto" w:sz="6" w:space="0"/>
              <w:left w:val="single" w:color="auto" w:sz="6" w:space="0"/>
              <w:bottom w:val="single" w:color="auto" w:sz="6" w:space="0"/>
              <w:right w:val="single" w:color="auto" w:sz="6" w:space="0"/>
            </w:tcBorders>
            <w:noWrap w:val="0"/>
            <w:vAlign w:val="center"/>
          </w:tcPr>
          <w:p w14:paraId="2234B263">
            <w:pPr>
              <w:jc w:val="center"/>
              <w:rPr>
                <w:rFonts w:hint="eastAsia" w:ascii="宋体" w:hAnsi="宋体" w:cs="宋体"/>
                <w:color w:val="auto"/>
                <w:sz w:val="24"/>
                <w:szCs w:val="24"/>
              </w:rPr>
            </w:pPr>
            <w:r>
              <w:rPr>
                <w:rFonts w:hint="eastAsia" w:ascii="宋体" w:hAnsi="宋体" w:cs="宋体"/>
                <w:color w:val="auto"/>
                <w:sz w:val="24"/>
                <w:szCs w:val="24"/>
              </w:rPr>
              <w:t>电子签章</w:t>
            </w:r>
          </w:p>
        </w:tc>
      </w:tr>
      <w:tr w14:paraId="7DBE86F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13" w:hRule="exact"/>
        </w:trPr>
        <w:tc>
          <w:tcPr>
            <w:tcW w:w="935" w:type="dxa"/>
            <w:tcBorders>
              <w:top w:val="single" w:color="auto" w:sz="6" w:space="0"/>
              <w:left w:val="single" w:color="auto" w:sz="6" w:space="0"/>
              <w:bottom w:val="single" w:color="auto" w:sz="6" w:space="0"/>
              <w:right w:val="single" w:color="auto" w:sz="6" w:space="0"/>
            </w:tcBorders>
            <w:noWrap w:val="0"/>
            <w:vAlign w:val="center"/>
          </w:tcPr>
          <w:p w14:paraId="1FB8EA23">
            <w:pPr>
              <w:jc w:val="center"/>
              <w:rPr>
                <w:rFonts w:hint="eastAsia" w:ascii="宋体" w:hAnsi="宋体" w:cs="宋体"/>
                <w:color w:val="auto"/>
                <w:sz w:val="24"/>
                <w:szCs w:val="24"/>
              </w:rPr>
            </w:pPr>
            <w:r>
              <w:rPr>
                <w:rFonts w:hint="eastAsia" w:ascii="宋体" w:hAnsi="宋体" w:cs="宋体"/>
                <w:color w:val="auto"/>
                <w:sz w:val="24"/>
                <w:szCs w:val="24"/>
              </w:rPr>
              <w:t>21</w:t>
            </w:r>
          </w:p>
        </w:tc>
        <w:tc>
          <w:tcPr>
            <w:tcW w:w="6569" w:type="dxa"/>
            <w:tcBorders>
              <w:top w:val="single" w:color="auto" w:sz="6" w:space="0"/>
              <w:left w:val="single" w:color="auto" w:sz="6" w:space="0"/>
              <w:bottom w:val="single" w:color="auto" w:sz="6" w:space="0"/>
              <w:right w:val="single" w:color="auto" w:sz="6" w:space="0"/>
            </w:tcBorders>
            <w:noWrap w:val="0"/>
            <w:vAlign w:val="center"/>
          </w:tcPr>
          <w:p w14:paraId="0F316C0F">
            <w:pPr>
              <w:rPr>
                <w:rFonts w:hint="eastAsia" w:ascii="宋体" w:hAnsi="宋体" w:cs="宋体"/>
                <w:color w:val="auto"/>
                <w:sz w:val="24"/>
                <w:szCs w:val="24"/>
              </w:rPr>
            </w:pPr>
            <w:r>
              <w:rPr>
                <w:rFonts w:hint="eastAsia" w:ascii="宋体" w:hAnsi="宋体" w:cs="宋体"/>
                <w:color w:val="auto"/>
                <w:sz w:val="24"/>
                <w:szCs w:val="24"/>
              </w:rPr>
              <w:t>★属于分公司投标的，还须提供具有法人资格的总公司的营业执照原件扫描件及授权书，授权书须加盖总公司公章（对于银行、保险、电信、邮政、铁路等行业以及获得总公司投标授权的分公司，可以提供投标分支机构负责人授权书）</w:t>
            </w:r>
          </w:p>
          <w:p w14:paraId="5209C893">
            <w:pPr>
              <w:jc w:val="left"/>
              <w:rPr>
                <w:rFonts w:hint="eastAsia" w:ascii="宋体" w:hAnsi="宋体" w:cs="宋体"/>
                <w:color w:val="auto"/>
                <w:sz w:val="24"/>
                <w:szCs w:val="24"/>
              </w:rPr>
            </w:pPr>
          </w:p>
        </w:tc>
        <w:tc>
          <w:tcPr>
            <w:tcW w:w="1851" w:type="dxa"/>
            <w:tcBorders>
              <w:top w:val="single" w:color="auto" w:sz="6" w:space="0"/>
              <w:left w:val="single" w:color="auto" w:sz="6" w:space="0"/>
              <w:bottom w:val="single" w:color="auto" w:sz="6" w:space="0"/>
              <w:right w:val="single" w:color="auto" w:sz="6" w:space="0"/>
            </w:tcBorders>
            <w:noWrap w:val="0"/>
            <w:vAlign w:val="center"/>
          </w:tcPr>
          <w:p w14:paraId="7FEDCE7F">
            <w:pPr>
              <w:jc w:val="center"/>
              <w:rPr>
                <w:rFonts w:hint="eastAsia" w:ascii="宋体" w:hAnsi="宋体" w:cs="宋体"/>
                <w:color w:val="auto"/>
                <w:sz w:val="24"/>
                <w:szCs w:val="24"/>
              </w:rPr>
            </w:pPr>
            <w:r>
              <w:rPr>
                <w:rFonts w:hint="eastAsia" w:ascii="宋体" w:hAnsi="宋体" w:cs="宋体"/>
                <w:color w:val="auto"/>
                <w:sz w:val="24"/>
                <w:szCs w:val="24"/>
              </w:rPr>
              <w:t>电子签章</w:t>
            </w:r>
          </w:p>
        </w:tc>
      </w:tr>
      <w:tr w14:paraId="589A5A9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exact"/>
        </w:trPr>
        <w:tc>
          <w:tcPr>
            <w:tcW w:w="9355" w:type="dxa"/>
            <w:gridSpan w:val="3"/>
            <w:tcBorders>
              <w:top w:val="single" w:color="auto" w:sz="6" w:space="0"/>
              <w:left w:val="single" w:color="auto" w:sz="6" w:space="0"/>
              <w:bottom w:val="single" w:color="auto" w:sz="6" w:space="0"/>
              <w:right w:val="single" w:color="auto" w:sz="6" w:space="0"/>
            </w:tcBorders>
            <w:noWrap w:val="0"/>
            <w:vAlign w:val="center"/>
          </w:tcPr>
          <w:p w14:paraId="452877DB">
            <w:pPr>
              <w:jc w:val="center"/>
              <w:rPr>
                <w:rFonts w:hint="eastAsia" w:ascii="宋体" w:hAnsi="宋体" w:cs="宋体"/>
                <w:color w:val="auto"/>
                <w:sz w:val="24"/>
                <w:szCs w:val="24"/>
              </w:rPr>
            </w:pPr>
            <w:r>
              <w:rPr>
                <w:rFonts w:hint="eastAsia" w:ascii="宋体" w:hAnsi="宋体" w:cs="宋体"/>
                <w:b/>
                <w:color w:val="auto"/>
                <w:sz w:val="24"/>
                <w:szCs w:val="24"/>
              </w:rPr>
              <w:t>须现场提交原件的文件</w:t>
            </w:r>
          </w:p>
        </w:tc>
      </w:tr>
      <w:tr w14:paraId="0BF1332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exact"/>
        </w:trPr>
        <w:tc>
          <w:tcPr>
            <w:tcW w:w="935" w:type="dxa"/>
            <w:tcBorders>
              <w:top w:val="single" w:color="auto" w:sz="6" w:space="0"/>
              <w:left w:val="single" w:color="auto" w:sz="6" w:space="0"/>
              <w:bottom w:val="single" w:color="auto" w:sz="6" w:space="0"/>
              <w:right w:val="single" w:color="auto" w:sz="6" w:space="0"/>
            </w:tcBorders>
            <w:noWrap w:val="0"/>
            <w:vAlign w:val="center"/>
          </w:tcPr>
          <w:p w14:paraId="2165446E">
            <w:pPr>
              <w:jc w:val="center"/>
              <w:rPr>
                <w:rFonts w:hint="eastAsia" w:ascii="宋体" w:hAnsi="宋体" w:cs="宋体"/>
                <w:color w:val="auto"/>
                <w:sz w:val="24"/>
                <w:szCs w:val="24"/>
              </w:rPr>
            </w:pPr>
            <w:r>
              <w:rPr>
                <w:rFonts w:hint="eastAsia" w:ascii="宋体" w:hAnsi="宋体" w:cs="宋体"/>
                <w:color w:val="auto"/>
                <w:sz w:val="24"/>
                <w:szCs w:val="24"/>
              </w:rPr>
              <w:t>1</w:t>
            </w:r>
          </w:p>
        </w:tc>
        <w:tc>
          <w:tcPr>
            <w:tcW w:w="6569" w:type="dxa"/>
            <w:tcBorders>
              <w:top w:val="single" w:color="auto" w:sz="6" w:space="0"/>
              <w:left w:val="single" w:color="auto" w:sz="6" w:space="0"/>
              <w:bottom w:val="single" w:color="auto" w:sz="6" w:space="0"/>
              <w:right w:val="single" w:color="auto" w:sz="6" w:space="0"/>
            </w:tcBorders>
            <w:noWrap w:val="0"/>
            <w:vAlign w:val="center"/>
          </w:tcPr>
          <w:p w14:paraId="2E1F47CD">
            <w:pPr>
              <w:jc w:val="left"/>
              <w:rPr>
                <w:rFonts w:hint="eastAsia" w:ascii="宋体" w:hAnsi="宋体" w:cs="宋体"/>
                <w:color w:val="auto"/>
                <w:sz w:val="24"/>
                <w:szCs w:val="24"/>
              </w:rPr>
            </w:pPr>
            <w:r>
              <w:rPr>
                <w:rFonts w:hint="eastAsia" w:ascii="宋体" w:hAnsi="宋体" w:cs="宋体"/>
                <w:color w:val="auto"/>
                <w:sz w:val="24"/>
                <w:szCs w:val="24"/>
              </w:rPr>
              <w:t>法定代表人参加投标的，投标时提交：身份证原件。</w:t>
            </w:r>
          </w:p>
        </w:tc>
        <w:tc>
          <w:tcPr>
            <w:tcW w:w="1851" w:type="dxa"/>
            <w:vMerge w:val="restart"/>
            <w:tcBorders>
              <w:top w:val="single" w:color="auto" w:sz="6" w:space="0"/>
              <w:left w:val="single" w:color="auto" w:sz="6" w:space="0"/>
              <w:right w:val="single" w:color="auto" w:sz="6" w:space="0"/>
            </w:tcBorders>
            <w:noWrap w:val="0"/>
            <w:vAlign w:val="center"/>
          </w:tcPr>
          <w:p w14:paraId="5563EEE4">
            <w:pPr>
              <w:jc w:val="center"/>
              <w:rPr>
                <w:rFonts w:hint="eastAsia" w:ascii="宋体" w:hAnsi="宋体" w:cs="宋体"/>
                <w:color w:val="auto"/>
                <w:sz w:val="24"/>
                <w:szCs w:val="24"/>
              </w:rPr>
            </w:pPr>
            <w:r>
              <w:rPr>
                <w:rFonts w:hint="eastAsia" w:ascii="宋体" w:hAnsi="宋体" w:cs="宋体"/>
                <w:color w:val="auto"/>
                <w:sz w:val="24"/>
                <w:szCs w:val="24"/>
              </w:rPr>
              <w:t>任选一种</w:t>
            </w:r>
          </w:p>
        </w:tc>
      </w:tr>
      <w:tr w14:paraId="04AB255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67" w:hRule="exact"/>
        </w:trPr>
        <w:tc>
          <w:tcPr>
            <w:tcW w:w="935" w:type="dxa"/>
            <w:tcBorders>
              <w:top w:val="single" w:color="auto" w:sz="6" w:space="0"/>
              <w:left w:val="single" w:color="auto" w:sz="6" w:space="0"/>
              <w:bottom w:val="single" w:color="auto" w:sz="6" w:space="0"/>
              <w:right w:val="single" w:color="auto" w:sz="6" w:space="0"/>
            </w:tcBorders>
            <w:noWrap w:val="0"/>
            <w:vAlign w:val="center"/>
          </w:tcPr>
          <w:p w14:paraId="4151E76F">
            <w:pPr>
              <w:jc w:val="center"/>
              <w:rPr>
                <w:rFonts w:hint="eastAsia" w:ascii="宋体" w:hAnsi="宋体" w:cs="宋体"/>
                <w:color w:val="auto"/>
                <w:sz w:val="24"/>
                <w:szCs w:val="24"/>
              </w:rPr>
            </w:pPr>
            <w:r>
              <w:rPr>
                <w:rFonts w:hint="eastAsia" w:ascii="宋体" w:hAnsi="宋体" w:cs="宋体"/>
                <w:color w:val="auto"/>
                <w:sz w:val="24"/>
                <w:szCs w:val="24"/>
              </w:rPr>
              <w:t>2</w:t>
            </w:r>
          </w:p>
        </w:tc>
        <w:tc>
          <w:tcPr>
            <w:tcW w:w="6569" w:type="dxa"/>
            <w:tcBorders>
              <w:top w:val="single" w:color="auto" w:sz="6" w:space="0"/>
              <w:left w:val="single" w:color="auto" w:sz="6" w:space="0"/>
              <w:bottom w:val="single" w:color="auto" w:sz="6" w:space="0"/>
              <w:right w:val="single" w:color="auto" w:sz="6" w:space="0"/>
            </w:tcBorders>
            <w:noWrap w:val="0"/>
            <w:vAlign w:val="center"/>
          </w:tcPr>
          <w:p w14:paraId="6919713B">
            <w:pPr>
              <w:jc w:val="left"/>
              <w:rPr>
                <w:rFonts w:hint="eastAsia" w:ascii="宋体" w:hAnsi="宋体" w:cs="宋体"/>
                <w:color w:val="auto"/>
                <w:sz w:val="24"/>
                <w:szCs w:val="24"/>
              </w:rPr>
            </w:pPr>
            <w:r>
              <w:rPr>
                <w:rFonts w:hint="eastAsia" w:ascii="宋体" w:hAnsi="宋体" w:cs="宋体"/>
                <w:color w:val="auto"/>
                <w:sz w:val="24"/>
                <w:szCs w:val="24"/>
              </w:rPr>
              <w:t>委托代理人参加投标的，投标时提交：法定代表人授权书（见格式文件）及身份证原件。</w:t>
            </w:r>
          </w:p>
        </w:tc>
        <w:tc>
          <w:tcPr>
            <w:tcW w:w="1851" w:type="dxa"/>
            <w:vMerge w:val="continue"/>
            <w:tcBorders>
              <w:left w:val="single" w:color="auto" w:sz="6" w:space="0"/>
              <w:bottom w:val="single" w:color="auto" w:sz="6" w:space="0"/>
              <w:right w:val="single" w:color="auto" w:sz="6" w:space="0"/>
            </w:tcBorders>
            <w:noWrap w:val="0"/>
            <w:vAlign w:val="center"/>
          </w:tcPr>
          <w:p w14:paraId="5C66E661">
            <w:pPr>
              <w:jc w:val="center"/>
              <w:rPr>
                <w:rFonts w:hint="eastAsia" w:ascii="宋体" w:hAnsi="宋体" w:cs="宋体"/>
                <w:color w:val="auto"/>
                <w:sz w:val="24"/>
                <w:szCs w:val="24"/>
              </w:rPr>
            </w:pPr>
          </w:p>
        </w:tc>
      </w:tr>
    </w:tbl>
    <w:p w14:paraId="13A24BD1">
      <w:pPr>
        <w:rPr>
          <w:rFonts w:hint="eastAsia" w:ascii="仿宋_GB2312" w:hAnsi="仿宋_GB2312" w:eastAsia="仿宋_GB2312" w:cs="仿宋_GB2312"/>
          <w:color w:val="auto"/>
          <w:sz w:val="24"/>
          <w:szCs w:val="24"/>
        </w:rPr>
      </w:pPr>
    </w:p>
    <w:p w14:paraId="5EF290EA">
      <w:pPr>
        <w:pStyle w:val="18"/>
        <w:spacing w:line="480" w:lineRule="auto"/>
        <w:ind w:left="420" w:hanging="420"/>
        <w:jc w:val="center"/>
        <w:rPr>
          <w:rFonts w:hint="eastAsia" w:ascii="宋体" w:hAnsi="宋体" w:cs="宋体"/>
          <w:b/>
          <w:bCs/>
          <w:color w:val="auto"/>
          <w:sz w:val="24"/>
          <w:szCs w:val="24"/>
        </w:rPr>
      </w:pPr>
      <w:r>
        <w:rPr>
          <w:rFonts w:hint="eastAsia" w:ascii="宋体" w:hAnsi="宋体" w:cs="宋体"/>
          <w:b/>
          <w:bCs/>
          <w:color w:val="auto"/>
          <w:sz w:val="24"/>
          <w:szCs w:val="24"/>
        </w:rPr>
        <w:t>特别提示与要求！</w:t>
      </w:r>
    </w:p>
    <w:p w14:paraId="600991EF">
      <w:pPr>
        <w:pStyle w:val="202"/>
        <w:spacing w:line="360" w:lineRule="auto"/>
        <w:ind w:firstLine="540" w:firstLineChars="225"/>
        <w:rPr>
          <w:rFonts w:hint="eastAsia" w:hAnsi="宋体" w:cs="宋体"/>
          <w:b/>
          <w:color w:val="auto"/>
          <w:kern w:val="0"/>
          <w:sz w:val="24"/>
          <w:szCs w:val="24"/>
        </w:rPr>
      </w:pPr>
      <w:r>
        <w:rPr>
          <w:rFonts w:hint="eastAsia" w:hAnsi="宋体" w:cs="宋体"/>
          <w:color w:val="auto"/>
          <w:kern w:val="0"/>
          <w:sz w:val="24"/>
          <w:szCs w:val="24"/>
        </w:rPr>
        <w:t>请投标人严格按照表格内容及要求制作投标文件，所有证书类文件提供原件扫描件且必须在有效期内，表中带★的材料将作为投标人资格性和符合性审查的重要内容之一。</w:t>
      </w:r>
      <w:r>
        <w:rPr>
          <w:rFonts w:hint="eastAsia" w:hAnsi="宋体" w:cs="宋体"/>
          <w:b/>
          <w:color w:val="auto"/>
          <w:kern w:val="0"/>
          <w:sz w:val="24"/>
          <w:szCs w:val="24"/>
        </w:rPr>
        <w:t>如★内容未按上述规定上传投标材料，将严重影响评审结果。</w:t>
      </w:r>
    </w:p>
    <w:p w14:paraId="219F5C43">
      <w:pPr>
        <w:pStyle w:val="25"/>
        <w:rPr>
          <w:rFonts w:hint="eastAsia" w:hAnsi="宋体" w:cs="宋体"/>
          <w:color w:val="auto"/>
          <w:sz w:val="24"/>
          <w:szCs w:val="24"/>
        </w:rPr>
      </w:pPr>
    </w:p>
    <w:p w14:paraId="11B2096D">
      <w:pPr>
        <w:pStyle w:val="25"/>
        <w:ind w:firstLine="482" w:firstLineChars="200"/>
        <w:rPr>
          <w:rFonts w:hint="eastAsia" w:hAnsi="宋体" w:cs="宋体"/>
          <w:b/>
          <w:color w:val="auto"/>
          <w:sz w:val="24"/>
          <w:szCs w:val="24"/>
        </w:rPr>
      </w:pPr>
      <w:r>
        <w:rPr>
          <w:rFonts w:hint="eastAsia" w:hAnsi="宋体" w:cs="宋体"/>
          <w:b/>
          <w:color w:val="auto"/>
          <w:sz w:val="24"/>
          <w:szCs w:val="24"/>
          <w:lang w:eastAsia="zh-CN"/>
        </w:rPr>
        <w:t>文件中</w:t>
      </w:r>
      <w:r>
        <w:rPr>
          <w:rFonts w:hint="eastAsia" w:hAnsi="宋体" w:cs="宋体"/>
          <w:b/>
          <w:color w:val="auto"/>
          <w:sz w:val="24"/>
          <w:szCs w:val="24"/>
        </w:rPr>
        <w:t>采购人需要中标人提供原件资质核验的，中标人必须提供真实有效的原件，如果无法提供真实有效的原件取消其中标资格。</w:t>
      </w:r>
    </w:p>
    <w:p w14:paraId="425A4043">
      <w:pPr>
        <w:pStyle w:val="25"/>
        <w:rPr>
          <w:rFonts w:hint="eastAsia" w:hAnsi="宋体" w:cs="宋体"/>
          <w:color w:val="auto"/>
          <w:sz w:val="24"/>
          <w:szCs w:val="24"/>
        </w:rPr>
      </w:pPr>
    </w:p>
    <w:p w14:paraId="3C5BB905">
      <w:pPr>
        <w:spacing w:before="156" w:beforeLines="50" w:after="156" w:afterLines="50"/>
        <w:jc w:val="center"/>
        <w:rPr>
          <w:rFonts w:hint="eastAsia"/>
          <w:color w:val="auto"/>
        </w:rPr>
      </w:pPr>
      <w:bookmarkStart w:id="284" w:name="EB435b31d7348145f6ba3789d579ec8cae"/>
      <w:r>
        <w:rPr>
          <w:rFonts w:hint="eastAsia" w:ascii="宋体" w:hAnsi="宋体" w:cs="宋体"/>
          <w:b/>
          <w:color w:val="auto"/>
          <w:sz w:val="24"/>
          <w:szCs w:val="24"/>
        </w:rPr>
        <w:br w:type="page"/>
      </w:r>
    </w:p>
    <w:p w14:paraId="709865AC">
      <w:pPr>
        <w:spacing w:line="480" w:lineRule="auto"/>
        <w:jc w:val="center"/>
        <w:rPr>
          <w:rFonts w:hint="eastAsia" w:ascii="方正小标宋简体" w:hAnsi="方正小标宋简体" w:eastAsia="方正小标宋简体" w:cs="方正小标宋简体"/>
          <w:bCs/>
          <w:color w:val="auto"/>
          <w:sz w:val="84"/>
          <w:szCs w:val="84"/>
        </w:rPr>
      </w:pPr>
      <w:r>
        <w:rPr>
          <w:rFonts w:hint="eastAsia" w:ascii="方正小标宋简体" w:hAnsi="方正小标宋简体" w:eastAsia="方正小标宋简体" w:cs="方正小标宋简体"/>
          <w:bCs/>
          <w:color w:val="auto"/>
          <w:sz w:val="84"/>
          <w:szCs w:val="84"/>
        </w:rPr>
        <w:t>响</w:t>
      </w:r>
    </w:p>
    <w:p w14:paraId="4CBE059B">
      <w:pPr>
        <w:spacing w:line="480" w:lineRule="auto"/>
        <w:jc w:val="center"/>
        <w:rPr>
          <w:rFonts w:hint="eastAsia" w:ascii="方正小标宋简体" w:hAnsi="方正小标宋简体" w:eastAsia="方正小标宋简体" w:cs="方正小标宋简体"/>
          <w:bCs/>
          <w:color w:val="auto"/>
          <w:sz w:val="84"/>
          <w:szCs w:val="84"/>
        </w:rPr>
      </w:pPr>
      <w:r>
        <w:rPr>
          <w:rFonts w:hint="eastAsia" w:ascii="方正小标宋简体" w:hAnsi="方正小标宋简体" w:eastAsia="方正小标宋简体" w:cs="方正小标宋简体"/>
          <w:bCs/>
          <w:color w:val="auto"/>
          <w:sz w:val="84"/>
          <w:szCs w:val="84"/>
        </w:rPr>
        <w:t>应</w:t>
      </w:r>
    </w:p>
    <w:p w14:paraId="06CFBEC7">
      <w:pPr>
        <w:spacing w:line="480" w:lineRule="auto"/>
        <w:jc w:val="center"/>
        <w:rPr>
          <w:rFonts w:hint="eastAsia" w:ascii="方正小标宋简体" w:hAnsi="方正小标宋简体" w:eastAsia="方正小标宋简体" w:cs="方正小标宋简体"/>
          <w:bCs/>
          <w:color w:val="auto"/>
          <w:sz w:val="84"/>
          <w:szCs w:val="84"/>
        </w:rPr>
      </w:pPr>
      <w:r>
        <w:rPr>
          <w:rFonts w:hint="eastAsia" w:ascii="方正小标宋简体" w:hAnsi="方正小标宋简体" w:eastAsia="方正小标宋简体" w:cs="方正小标宋简体"/>
          <w:bCs/>
          <w:color w:val="auto"/>
          <w:sz w:val="84"/>
          <w:szCs w:val="84"/>
        </w:rPr>
        <w:t>文</w:t>
      </w:r>
    </w:p>
    <w:p w14:paraId="6DA15B66">
      <w:pPr>
        <w:spacing w:line="480" w:lineRule="auto"/>
        <w:jc w:val="center"/>
        <w:rPr>
          <w:rFonts w:hint="eastAsia" w:ascii="仿宋_GB2312" w:hAnsi="仿宋_GB2312" w:eastAsia="仿宋_GB2312" w:cs="仿宋_GB2312"/>
          <w:b/>
          <w:color w:val="auto"/>
          <w:sz w:val="32"/>
          <w:szCs w:val="32"/>
        </w:rPr>
      </w:pPr>
      <w:r>
        <w:rPr>
          <w:rFonts w:hint="eastAsia" w:ascii="方正小标宋简体" w:hAnsi="方正小标宋简体" w:eastAsia="方正小标宋简体" w:cs="方正小标宋简体"/>
          <w:bCs/>
          <w:color w:val="auto"/>
          <w:sz w:val="84"/>
          <w:szCs w:val="84"/>
        </w:rPr>
        <w:t>件</w:t>
      </w:r>
    </w:p>
    <w:p w14:paraId="296CAD05">
      <w:pPr>
        <w:spacing w:line="400" w:lineRule="exact"/>
        <w:rPr>
          <w:rFonts w:hint="eastAsia" w:ascii="仿宋_GB2312" w:hAnsi="仿宋_GB2312" w:eastAsia="仿宋_GB2312" w:cs="仿宋_GB2312"/>
          <w:bCs/>
          <w:color w:val="auto"/>
          <w:sz w:val="32"/>
          <w:szCs w:val="32"/>
        </w:rPr>
      </w:pPr>
    </w:p>
    <w:p w14:paraId="56BCE9DF">
      <w:pPr>
        <w:spacing w:line="360" w:lineRule="auto"/>
        <w:rPr>
          <w:rFonts w:hint="eastAsia" w:ascii="仿宋_GB2312" w:hAnsi="仿宋_GB2312" w:eastAsia="仿宋_GB2312" w:cs="仿宋_GB2312"/>
          <w:bCs/>
          <w:color w:val="auto"/>
          <w:sz w:val="32"/>
          <w:szCs w:val="32"/>
        </w:rPr>
      </w:pPr>
    </w:p>
    <w:p w14:paraId="3E85893B">
      <w:pPr>
        <w:spacing w:line="360" w:lineRule="auto"/>
        <w:ind w:left="180" w:firstLine="280" w:firstLineChars="100"/>
        <w:rPr>
          <w:rFonts w:hint="eastAsia" w:ascii="黑体" w:hAnsi="黑体" w:eastAsia="黑体" w:cs="黑体"/>
          <w:bCs/>
          <w:color w:val="auto"/>
          <w:sz w:val="28"/>
          <w:szCs w:val="28"/>
          <w:u w:val="single"/>
        </w:rPr>
      </w:pPr>
      <w:r>
        <w:rPr>
          <w:rFonts w:hint="eastAsia" w:ascii="黑体" w:hAnsi="黑体" w:eastAsia="黑体" w:cs="黑体"/>
          <w:bCs/>
          <w:color w:val="auto"/>
          <w:sz w:val="28"/>
          <w:szCs w:val="28"/>
        </w:rPr>
        <w:t>采购项目名称:</w:t>
      </w:r>
      <w:r>
        <w:rPr>
          <w:rFonts w:hint="eastAsia" w:ascii="宋体" w:hAnsi="宋体" w:cs="宋体"/>
          <w:bCs/>
          <w:color w:val="auto"/>
          <w:sz w:val="28"/>
          <w:szCs w:val="28"/>
          <w:u w:val="single"/>
        </w:rPr>
        <w:t xml:space="preserve">                                       </w:t>
      </w:r>
    </w:p>
    <w:p w14:paraId="09C16EA9">
      <w:pPr>
        <w:spacing w:line="360" w:lineRule="auto"/>
        <w:ind w:left="180" w:firstLine="280" w:firstLineChars="100"/>
        <w:rPr>
          <w:rFonts w:hint="eastAsia" w:ascii="宋体" w:hAnsi="宋体" w:cs="宋体"/>
          <w:bCs/>
          <w:color w:val="auto"/>
          <w:sz w:val="28"/>
          <w:szCs w:val="28"/>
          <w:u w:val="single"/>
        </w:rPr>
      </w:pPr>
      <w:r>
        <w:rPr>
          <w:rFonts w:hint="eastAsia" w:ascii="黑体" w:hAnsi="黑体" w:eastAsia="黑体" w:cs="黑体"/>
          <w:bCs/>
          <w:color w:val="auto"/>
          <w:sz w:val="28"/>
          <w:szCs w:val="28"/>
        </w:rPr>
        <w:t>采购项目编号:</w:t>
      </w:r>
      <w:r>
        <w:rPr>
          <w:rFonts w:hint="eastAsia" w:ascii="宋体" w:hAnsi="宋体" w:cs="宋体"/>
          <w:bCs/>
          <w:color w:val="auto"/>
          <w:sz w:val="28"/>
          <w:szCs w:val="28"/>
          <w:u w:val="single"/>
        </w:rPr>
        <w:t xml:space="preserve">                                       </w:t>
      </w:r>
    </w:p>
    <w:p w14:paraId="20F8D0AA">
      <w:pPr>
        <w:spacing w:line="360" w:lineRule="auto"/>
        <w:ind w:left="180" w:firstLine="280" w:firstLineChars="100"/>
        <w:rPr>
          <w:rFonts w:hint="eastAsia" w:ascii="宋体" w:hAnsi="宋体" w:cs="宋体"/>
          <w:bCs/>
          <w:color w:val="auto"/>
          <w:sz w:val="28"/>
          <w:szCs w:val="28"/>
          <w:u w:val="single"/>
        </w:rPr>
      </w:pPr>
      <w:r>
        <w:rPr>
          <w:rFonts w:hint="eastAsia" w:ascii="黑体" w:hAnsi="黑体" w:eastAsia="黑体" w:cs="黑体"/>
          <w:bCs/>
          <w:color w:val="auto"/>
          <w:sz w:val="28"/>
          <w:szCs w:val="28"/>
        </w:rPr>
        <w:t>投标单位名称:</w:t>
      </w:r>
      <w:r>
        <w:rPr>
          <w:rFonts w:hint="eastAsia" w:ascii="宋体" w:hAnsi="宋体" w:cs="宋体"/>
          <w:bCs/>
          <w:color w:val="auto"/>
          <w:sz w:val="28"/>
          <w:szCs w:val="28"/>
          <w:u w:val="single"/>
        </w:rPr>
        <w:t xml:space="preserve">              （请盖单位公章）         </w:t>
      </w:r>
    </w:p>
    <w:p w14:paraId="246F44DD">
      <w:pPr>
        <w:spacing w:line="360" w:lineRule="auto"/>
        <w:ind w:left="180" w:firstLine="280" w:firstLineChars="100"/>
        <w:rPr>
          <w:rFonts w:hint="eastAsia" w:ascii="宋体" w:hAnsi="宋体" w:cs="宋体"/>
          <w:bCs/>
          <w:color w:val="auto"/>
          <w:sz w:val="28"/>
          <w:szCs w:val="28"/>
          <w:u w:val="single"/>
        </w:rPr>
      </w:pPr>
      <w:r>
        <w:rPr>
          <w:rFonts w:hint="eastAsia" w:ascii="黑体" w:hAnsi="黑体" w:eastAsia="黑体" w:cs="黑体"/>
          <w:bCs/>
          <w:color w:val="auto"/>
          <w:sz w:val="28"/>
          <w:szCs w:val="28"/>
        </w:rPr>
        <w:t>地        址:</w:t>
      </w:r>
      <w:r>
        <w:rPr>
          <w:rFonts w:hint="eastAsia" w:ascii="宋体" w:hAnsi="宋体" w:cs="宋体"/>
          <w:bCs/>
          <w:color w:val="auto"/>
          <w:sz w:val="28"/>
          <w:szCs w:val="28"/>
          <w:u w:val="single"/>
        </w:rPr>
        <w:t xml:space="preserve">                                       </w:t>
      </w:r>
    </w:p>
    <w:p w14:paraId="09545DD9">
      <w:pPr>
        <w:spacing w:line="360" w:lineRule="auto"/>
        <w:ind w:left="180" w:firstLine="280" w:firstLineChars="100"/>
        <w:rPr>
          <w:rFonts w:hint="eastAsia" w:ascii="宋体" w:hAnsi="宋体" w:cs="宋体"/>
          <w:bCs/>
          <w:color w:val="auto"/>
          <w:sz w:val="28"/>
          <w:szCs w:val="28"/>
          <w:u w:val="single"/>
        </w:rPr>
      </w:pPr>
      <w:r>
        <w:rPr>
          <w:rFonts w:hint="eastAsia" w:ascii="黑体" w:hAnsi="黑体" w:eastAsia="黑体" w:cs="黑体"/>
          <w:bCs/>
          <w:color w:val="auto"/>
          <w:sz w:val="28"/>
          <w:szCs w:val="28"/>
        </w:rPr>
        <w:t>联   系   人:</w:t>
      </w:r>
      <w:r>
        <w:rPr>
          <w:rFonts w:hint="eastAsia" w:ascii="宋体" w:hAnsi="宋体" w:cs="宋体"/>
          <w:bCs/>
          <w:color w:val="auto"/>
          <w:sz w:val="28"/>
          <w:szCs w:val="28"/>
          <w:u w:val="single"/>
        </w:rPr>
        <w:t xml:space="preserve">                                       </w:t>
      </w:r>
    </w:p>
    <w:p w14:paraId="2EDA8C16">
      <w:pPr>
        <w:spacing w:line="360" w:lineRule="auto"/>
        <w:ind w:left="180" w:firstLine="280" w:firstLineChars="100"/>
        <w:rPr>
          <w:rFonts w:hint="eastAsia" w:ascii="宋体" w:hAnsi="宋体" w:cs="宋体"/>
          <w:bCs/>
          <w:color w:val="auto"/>
          <w:sz w:val="28"/>
          <w:szCs w:val="28"/>
          <w:u w:val="single"/>
        </w:rPr>
      </w:pPr>
      <w:r>
        <w:rPr>
          <w:rFonts w:hint="eastAsia" w:ascii="黑体" w:hAnsi="黑体" w:eastAsia="黑体" w:cs="黑体"/>
          <w:bCs/>
          <w:color w:val="auto"/>
          <w:sz w:val="28"/>
          <w:szCs w:val="28"/>
        </w:rPr>
        <w:t>联  系 电 话:</w:t>
      </w:r>
      <w:r>
        <w:rPr>
          <w:rFonts w:hint="eastAsia" w:ascii="宋体" w:hAnsi="宋体" w:cs="宋体"/>
          <w:bCs/>
          <w:color w:val="auto"/>
          <w:sz w:val="28"/>
          <w:szCs w:val="28"/>
          <w:u w:val="single"/>
        </w:rPr>
        <w:t xml:space="preserve">                                       </w:t>
      </w:r>
    </w:p>
    <w:p w14:paraId="65DB2EFF">
      <w:pPr>
        <w:pStyle w:val="129"/>
        <w:spacing w:line="360" w:lineRule="auto"/>
        <w:jc w:val="center"/>
        <w:rPr>
          <w:rFonts w:hint="eastAsia" w:hAnsi="宋体" w:cs="宋体"/>
          <w:bCs/>
          <w:color w:val="auto"/>
          <w:sz w:val="44"/>
          <w:szCs w:val="44"/>
        </w:rPr>
      </w:pPr>
    </w:p>
    <w:p w14:paraId="06F917F6">
      <w:pPr>
        <w:pStyle w:val="129"/>
        <w:spacing w:line="360" w:lineRule="auto"/>
        <w:jc w:val="center"/>
        <w:rPr>
          <w:rFonts w:hint="eastAsia" w:hAnsi="宋体" w:cs="宋体"/>
          <w:bCs/>
          <w:color w:val="auto"/>
          <w:sz w:val="44"/>
          <w:szCs w:val="44"/>
        </w:rPr>
      </w:pPr>
    </w:p>
    <w:p w14:paraId="1ACA68DB">
      <w:pPr>
        <w:pStyle w:val="129"/>
        <w:spacing w:line="360" w:lineRule="auto"/>
        <w:jc w:val="center"/>
        <w:rPr>
          <w:rFonts w:hint="eastAsia" w:hAnsi="宋体" w:cs="宋体"/>
          <w:bCs/>
          <w:color w:val="auto"/>
          <w:sz w:val="44"/>
          <w:szCs w:val="44"/>
        </w:rPr>
      </w:pPr>
      <w:r>
        <w:rPr>
          <w:rFonts w:hint="eastAsia" w:hAnsi="宋体" w:cs="宋体"/>
          <w:bCs/>
          <w:color w:val="auto"/>
          <w:sz w:val="44"/>
          <w:szCs w:val="44"/>
        </w:rPr>
        <w:t>投标函</w:t>
      </w:r>
    </w:p>
    <w:p w14:paraId="74E68463">
      <w:pPr>
        <w:pStyle w:val="76"/>
        <w:spacing w:line="380" w:lineRule="exact"/>
        <w:ind w:right="84" w:rightChars="40"/>
        <w:rPr>
          <w:rFonts w:hint="eastAsia"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（采购人）：</w:t>
      </w:r>
    </w:p>
    <w:p w14:paraId="1F0286E3">
      <w:pPr>
        <w:pStyle w:val="76"/>
        <w:tabs>
          <w:tab w:val="left" w:pos="9450"/>
        </w:tabs>
        <w:spacing w:line="380" w:lineRule="exact"/>
        <w:ind w:right="84" w:rightChars="40" w:firstLine="480" w:firstLineChars="200"/>
        <w:rPr>
          <w:rFonts w:hint="eastAsia" w:ascii="宋体" w:hAnsi="宋体" w:cs="宋体"/>
          <w:color w:val="auto"/>
          <w:sz w:val="24"/>
          <w:szCs w:val="24"/>
        </w:rPr>
      </w:pPr>
      <w:r>
        <w:rPr>
          <w:rFonts w:hint="eastAsia" w:ascii="宋体" w:hAnsi="宋体" w:cs="宋体"/>
          <w:color w:val="auto"/>
          <w:sz w:val="24"/>
          <w:szCs w:val="24"/>
        </w:rPr>
        <w:t>我方确认收到贵方提供的“</w:t>
      </w:r>
      <w:r>
        <w:rPr>
          <w:rFonts w:hint="eastAsia" w:ascii="宋体" w:hAnsi="宋体" w:cs="宋体"/>
          <w:color w:val="auto"/>
          <w:sz w:val="24"/>
          <w:szCs w:val="24"/>
          <w:u w:val="single"/>
        </w:rPr>
        <w:t xml:space="preserve">                     </w:t>
      </w:r>
      <w:r>
        <w:rPr>
          <w:rFonts w:hint="eastAsia" w:ascii="宋体" w:hAnsi="宋体" w:cs="宋体"/>
          <w:color w:val="auto"/>
          <w:sz w:val="24"/>
          <w:szCs w:val="24"/>
        </w:rPr>
        <w:t>”（项目编号：</w:t>
      </w:r>
      <w:r>
        <w:rPr>
          <w:rFonts w:hint="eastAsia" w:ascii="宋体" w:hAnsi="宋体" w:cs="宋体"/>
          <w:color w:val="auto"/>
          <w:sz w:val="24"/>
          <w:szCs w:val="24"/>
          <w:u w:val="single"/>
        </w:rPr>
        <w:t xml:space="preserve">        </w:t>
      </w:r>
      <w:r>
        <w:rPr>
          <w:rFonts w:hint="eastAsia" w:ascii="宋体" w:hAnsi="宋体" w:cs="宋体"/>
          <w:color w:val="auto"/>
          <w:sz w:val="24"/>
          <w:szCs w:val="24"/>
        </w:rPr>
        <w:t>）的招标文件，已完全理解招标文件的所有内容。决定投标本项目，据此我方申明如下：</w:t>
      </w:r>
    </w:p>
    <w:p w14:paraId="30740851">
      <w:pPr>
        <w:pStyle w:val="202"/>
        <w:spacing w:line="380" w:lineRule="exact"/>
        <w:ind w:firstLine="540" w:firstLineChars="225"/>
        <w:rPr>
          <w:rFonts w:hint="eastAsia" w:hAnsi="宋体" w:cs="宋体"/>
          <w:color w:val="auto"/>
          <w:kern w:val="0"/>
          <w:sz w:val="24"/>
          <w:szCs w:val="24"/>
        </w:rPr>
      </w:pPr>
      <w:r>
        <w:rPr>
          <w:rFonts w:hint="eastAsia" w:hAnsi="宋体" w:cs="宋体"/>
          <w:color w:val="auto"/>
          <w:kern w:val="0"/>
          <w:sz w:val="24"/>
          <w:szCs w:val="24"/>
        </w:rPr>
        <w:t>一、我方的投标文件在投标截止日后90天（日历天）内保持有效，如中标，有效期将延至本项目《铜仁市政府采购合同》执行期满日为止。</w:t>
      </w:r>
    </w:p>
    <w:p w14:paraId="5E5119AF">
      <w:pPr>
        <w:pStyle w:val="202"/>
        <w:spacing w:line="380" w:lineRule="exact"/>
        <w:ind w:firstLine="540" w:firstLineChars="225"/>
        <w:rPr>
          <w:rFonts w:hint="eastAsia" w:hAnsi="宋体" w:cs="宋体"/>
          <w:color w:val="auto"/>
          <w:kern w:val="0"/>
          <w:sz w:val="24"/>
          <w:szCs w:val="24"/>
        </w:rPr>
      </w:pPr>
      <w:r>
        <w:rPr>
          <w:rFonts w:hint="eastAsia" w:hAnsi="宋体" w:cs="宋体"/>
          <w:color w:val="auto"/>
          <w:kern w:val="0"/>
          <w:sz w:val="24"/>
          <w:szCs w:val="24"/>
        </w:rPr>
        <w:t>二、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14:paraId="50B0D3F0">
      <w:pPr>
        <w:pStyle w:val="202"/>
        <w:spacing w:line="380" w:lineRule="exact"/>
        <w:ind w:firstLine="540" w:firstLineChars="225"/>
        <w:rPr>
          <w:rFonts w:hint="eastAsia" w:hAnsi="宋体" w:cs="宋体"/>
          <w:color w:val="auto"/>
          <w:kern w:val="0"/>
          <w:sz w:val="24"/>
          <w:szCs w:val="24"/>
        </w:rPr>
      </w:pPr>
      <w:r>
        <w:rPr>
          <w:rFonts w:hint="eastAsia" w:hAnsi="宋体" w:cs="宋体"/>
          <w:color w:val="auto"/>
          <w:kern w:val="0"/>
          <w:sz w:val="24"/>
          <w:szCs w:val="24"/>
        </w:rPr>
        <w:t>三、我方声明投标文件及所提供的一切资料均真实无误及有效。由于我方提供资料不实而造成的责任和后果由我方承担。我方同意按照贵方可能提出的要求，提供与投标有关的任何其它数据或信息。</w:t>
      </w:r>
    </w:p>
    <w:p w14:paraId="3FD72024">
      <w:pPr>
        <w:pStyle w:val="202"/>
        <w:spacing w:line="380" w:lineRule="exact"/>
        <w:ind w:firstLine="540" w:firstLineChars="225"/>
        <w:rPr>
          <w:rFonts w:hint="eastAsia" w:hAnsi="宋体" w:cs="宋体"/>
          <w:color w:val="auto"/>
          <w:kern w:val="0"/>
          <w:sz w:val="24"/>
          <w:szCs w:val="24"/>
        </w:rPr>
      </w:pPr>
      <w:r>
        <w:rPr>
          <w:rFonts w:hint="eastAsia" w:hAnsi="宋体" w:cs="宋体"/>
          <w:color w:val="auto"/>
          <w:kern w:val="0"/>
          <w:sz w:val="24"/>
          <w:szCs w:val="24"/>
        </w:rPr>
        <w:t>四、我方理解贵方不一定接受最低报价的投标。</w:t>
      </w:r>
    </w:p>
    <w:p w14:paraId="3624FC09">
      <w:pPr>
        <w:pStyle w:val="202"/>
        <w:spacing w:line="380" w:lineRule="exact"/>
        <w:ind w:firstLine="540" w:firstLineChars="225"/>
        <w:rPr>
          <w:rFonts w:hint="eastAsia" w:hAnsi="宋体" w:cs="宋体"/>
          <w:color w:val="auto"/>
          <w:kern w:val="0"/>
          <w:sz w:val="24"/>
          <w:szCs w:val="24"/>
        </w:rPr>
      </w:pPr>
      <w:r>
        <w:rPr>
          <w:rFonts w:hint="eastAsia" w:hAnsi="宋体" w:cs="宋体"/>
          <w:color w:val="auto"/>
          <w:kern w:val="0"/>
          <w:sz w:val="24"/>
          <w:szCs w:val="24"/>
        </w:rPr>
        <w:t>五、我方同意如在本项目开标后、投标有效期之内撤销投标文件，或中标后未在规定期限内签订合同并送贵方备案的，贵方将不退还投标保证金（如有）。</w:t>
      </w:r>
    </w:p>
    <w:p w14:paraId="29784B75">
      <w:pPr>
        <w:pStyle w:val="202"/>
        <w:spacing w:line="380" w:lineRule="exact"/>
        <w:ind w:firstLine="540" w:firstLineChars="225"/>
        <w:rPr>
          <w:rFonts w:hint="eastAsia" w:hAnsi="宋体" w:cs="宋体"/>
          <w:color w:val="auto"/>
          <w:kern w:val="0"/>
          <w:sz w:val="24"/>
          <w:szCs w:val="24"/>
        </w:rPr>
      </w:pPr>
      <w:r>
        <w:rPr>
          <w:rFonts w:hint="eastAsia" w:hAnsi="宋体" w:cs="宋体"/>
          <w:color w:val="auto"/>
          <w:kern w:val="0"/>
          <w:sz w:val="24"/>
          <w:szCs w:val="24"/>
        </w:rPr>
        <w:t>六、我方接受按采购人委托向贵方支付公共资源交易服务费，如果中标，保证履行投标文件中承诺的全部责任和义务，切实履行《铜仁市政府采购合同》中的全部条款，投标总报价已包含公共资源交易服务费（公共资源交易服务费按照招标文件第一章投标人须知中所列收费标准计算），并承诺向贵中心足额支付。（如有）</w:t>
      </w:r>
    </w:p>
    <w:p w14:paraId="7BD1E97A">
      <w:pPr>
        <w:pStyle w:val="202"/>
        <w:spacing w:line="380" w:lineRule="exact"/>
        <w:ind w:firstLine="540" w:firstLineChars="225"/>
        <w:rPr>
          <w:rFonts w:hint="eastAsia" w:hAnsi="宋体" w:cs="宋体"/>
          <w:color w:val="auto"/>
          <w:kern w:val="0"/>
          <w:sz w:val="24"/>
          <w:szCs w:val="24"/>
        </w:rPr>
      </w:pPr>
      <w:r>
        <w:rPr>
          <w:rFonts w:hint="eastAsia" w:hAnsi="宋体" w:cs="宋体"/>
          <w:color w:val="auto"/>
          <w:kern w:val="0"/>
          <w:sz w:val="24"/>
          <w:szCs w:val="24"/>
        </w:rPr>
        <w:t>七、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14:paraId="48DAC015">
      <w:pPr>
        <w:pStyle w:val="105"/>
        <w:keepNext w:val="0"/>
        <w:keepLines w:val="0"/>
        <w:numPr>
          <w:ilvl w:val="0"/>
          <w:numId w:val="0"/>
        </w:numPr>
        <w:autoSpaceDE w:val="0"/>
        <w:autoSpaceDN w:val="0"/>
        <w:adjustRightInd w:val="0"/>
        <w:snapToGrid w:val="0"/>
        <w:spacing w:before="0" w:after="0" w:line="380" w:lineRule="exact"/>
        <w:ind w:left="473" w:leftChars="225"/>
        <w:rPr>
          <w:rFonts w:hint="eastAsia" w:ascii="宋体" w:hAnsi="宋体" w:cs="宋体"/>
          <w:b w:val="0"/>
          <w:color w:val="auto"/>
          <w:sz w:val="24"/>
          <w:szCs w:val="24"/>
        </w:rPr>
      </w:pPr>
      <w:r>
        <w:rPr>
          <w:rFonts w:hint="eastAsia" w:ascii="宋体" w:hAnsi="宋体" w:cs="宋体"/>
          <w:b w:val="0"/>
          <w:color w:val="auto"/>
          <w:sz w:val="24"/>
          <w:szCs w:val="24"/>
        </w:rPr>
        <w:t>所有与本项目有关的函件请发往下列地址：</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2211"/>
        <w:gridCol w:w="1950"/>
        <w:gridCol w:w="950"/>
        <w:gridCol w:w="1826"/>
      </w:tblGrid>
      <w:tr w14:paraId="21E1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8" w:type="dxa"/>
            <w:noWrap w:val="0"/>
            <w:vAlign w:val="top"/>
          </w:tcPr>
          <w:p w14:paraId="54D86BF7">
            <w:pPr>
              <w:pStyle w:val="76"/>
              <w:tabs>
                <w:tab w:val="left" w:pos="0"/>
              </w:tabs>
              <w:spacing w:line="380" w:lineRule="exact"/>
              <w:ind w:right="25" w:rightChars="12"/>
              <w:jc w:val="center"/>
              <w:rPr>
                <w:rFonts w:hint="eastAsia" w:ascii="宋体" w:hAnsi="宋体" w:cs="宋体"/>
                <w:color w:val="auto"/>
                <w:sz w:val="24"/>
                <w:szCs w:val="24"/>
              </w:rPr>
            </w:pPr>
            <w:r>
              <w:rPr>
                <w:rFonts w:hint="eastAsia" w:ascii="宋体" w:hAnsi="宋体" w:cs="宋体"/>
                <w:color w:val="auto"/>
                <w:sz w:val="24"/>
                <w:szCs w:val="24"/>
              </w:rPr>
              <w:t>地址（邮编）</w:t>
            </w:r>
          </w:p>
        </w:tc>
        <w:tc>
          <w:tcPr>
            <w:tcW w:w="4161" w:type="dxa"/>
            <w:gridSpan w:val="2"/>
            <w:noWrap w:val="0"/>
            <w:vAlign w:val="top"/>
          </w:tcPr>
          <w:p w14:paraId="2AA690B2">
            <w:pPr>
              <w:pStyle w:val="76"/>
              <w:tabs>
                <w:tab w:val="left" w:pos="0"/>
              </w:tabs>
              <w:spacing w:line="380" w:lineRule="exact"/>
              <w:ind w:right="25" w:rightChars="12"/>
              <w:jc w:val="center"/>
              <w:rPr>
                <w:rFonts w:hint="eastAsia" w:ascii="宋体" w:hAnsi="宋体" w:cs="宋体"/>
                <w:color w:val="auto"/>
                <w:sz w:val="24"/>
                <w:szCs w:val="24"/>
              </w:rPr>
            </w:pPr>
          </w:p>
        </w:tc>
        <w:tc>
          <w:tcPr>
            <w:tcW w:w="950" w:type="dxa"/>
            <w:noWrap w:val="0"/>
            <w:vAlign w:val="top"/>
          </w:tcPr>
          <w:p w14:paraId="2B8C968C">
            <w:pPr>
              <w:pStyle w:val="76"/>
              <w:tabs>
                <w:tab w:val="left" w:pos="0"/>
              </w:tabs>
              <w:spacing w:line="380" w:lineRule="exact"/>
              <w:ind w:right="25" w:rightChars="12"/>
              <w:jc w:val="center"/>
              <w:rPr>
                <w:rFonts w:hint="eastAsia" w:ascii="宋体" w:hAnsi="宋体" w:cs="宋体"/>
                <w:color w:val="auto"/>
                <w:sz w:val="24"/>
                <w:szCs w:val="24"/>
              </w:rPr>
            </w:pPr>
            <w:r>
              <w:rPr>
                <w:rFonts w:hint="eastAsia" w:ascii="宋体" w:hAnsi="宋体" w:cs="宋体"/>
                <w:color w:val="auto"/>
                <w:sz w:val="24"/>
                <w:szCs w:val="24"/>
              </w:rPr>
              <w:t>传真</w:t>
            </w:r>
          </w:p>
        </w:tc>
        <w:tc>
          <w:tcPr>
            <w:tcW w:w="1826" w:type="dxa"/>
            <w:noWrap w:val="0"/>
            <w:vAlign w:val="top"/>
          </w:tcPr>
          <w:p w14:paraId="0FEBDEC9">
            <w:pPr>
              <w:pStyle w:val="76"/>
              <w:tabs>
                <w:tab w:val="left" w:pos="0"/>
              </w:tabs>
              <w:spacing w:line="380" w:lineRule="exact"/>
              <w:ind w:right="25" w:rightChars="12"/>
              <w:jc w:val="center"/>
              <w:rPr>
                <w:rFonts w:hint="eastAsia" w:ascii="宋体" w:hAnsi="宋体" w:cs="宋体"/>
                <w:color w:val="auto"/>
                <w:sz w:val="24"/>
                <w:szCs w:val="24"/>
              </w:rPr>
            </w:pPr>
          </w:p>
        </w:tc>
      </w:tr>
      <w:tr w14:paraId="3404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8" w:type="dxa"/>
            <w:noWrap w:val="0"/>
            <w:vAlign w:val="top"/>
          </w:tcPr>
          <w:p w14:paraId="62C53741">
            <w:pPr>
              <w:pStyle w:val="76"/>
              <w:tabs>
                <w:tab w:val="left" w:pos="0"/>
              </w:tabs>
              <w:spacing w:line="380" w:lineRule="exact"/>
              <w:ind w:right="25" w:rightChars="12"/>
              <w:jc w:val="center"/>
              <w:rPr>
                <w:rFonts w:hint="eastAsia" w:ascii="宋体" w:hAnsi="宋体" w:cs="宋体"/>
                <w:color w:val="auto"/>
                <w:sz w:val="24"/>
                <w:szCs w:val="24"/>
              </w:rPr>
            </w:pPr>
            <w:r>
              <w:rPr>
                <w:rFonts w:hint="eastAsia" w:ascii="宋体" w:hAnsi="宋体" w:cs="宋体"/>
                <w:color w:val="auto"/>
                <w:sz w:val="24"/>
                <w:szCs w:val="24"/>
              </w:rPr>
              <w:t>电话、手机</w:t>
            </w:r>
          </w:p>
        </w:tc>
        <w:tc>
          <w:tcPr>
            <w:tcW w:w="2211" w:type="dxa"/>
            <w:noWrap w:val="0"/>
            <w:vAlign w:val="top"/>
          </w:tcPr>
          <w:p w14:paraId="01896863">
            <w:pPr>
              <w:pStyle w:val="76"/>
              <w:tabs>
                <w:tab w:val="left" w:pos="0"/>
              </w:tabs>
              <w:spacing w:line="380" w:lineRule="exact"/>
              <w:ind w:right="25" w:rightChars="12"/>
              <w:jc w:val="center"/>
              <w:rPr>
                <w:rFonts w:hint="eastAsia" w:ascii="宋体" w:hAnsi="宋体" w:cs="宋体"/>
                <w:color w:val="auto"/>
                <w:sz w:val="24"/>
                <w:szCs w:val="24"/>
              </w:rPr>
            </w:pPr>
          </w:p>
        </w:tc>
        <w:tc>
          <w:tcPr>
            <w:tcW w:w="1950" w:type="dxa"/>
            <w:noWrap w:val="0"/>
            <w:vAlign w:val="top"/>
          </w:tcPr>
          <w:p w14:paraId="390C150A">
            <w:pPr>
              <w:pStyle w:val="76"/>
              <w:tabs>
                <w:tab w:val="left" w:pos="0"/>
              </w:tabs>
              <w:spacing w:line="380" w:lineRule="exact"/>
              <w:ind w:right="25" w:rightChars="12"/>
              <w:jc w:val="center"/>
              <w:rPr>
                <w:rFonts w:hint="eastAsia" w:ascii="宋体" w:hAnsi="宋体" w:cs="宋体"/>
                <w:color w:val="auto"/>
                <w:sz w:val="24"/>
                <w:szCs w:val="24"/>
              </w:rPr>
            </w:pPr>
            <w:r>
              <w:rPr>
                <w:rFonts w:hint="eastAsia" w:ascii="宋体" w:hAnsi="宋体" w:cs="宋体"/>
                <w:color w:val="auto"/>
                <w:sz w:val="24"/>
                <w:szCs w:val="24"/>
              </w:rPr>
              <w:t>联系人（职务）</w:t>
            </w:r>
          </w:p>
        </w:tc>
        <w:tc>
          <w:tcPr>
            <w:tcW w:w="2776" w:type="dxa"/>
            <w:gridSpan w:val="2"/>
            <w:noWrap w:val="0"/>
            <w:vAlign w:val="top"/>
          </w:tcPr>
          <w:p w14:paraId="688481BA">
            <w:pPr>
              <w:pStyle w:val="76"/>
              <w:tabs>
                <w:tab w:val="left" w:pos="0"/>
              </w:tabs>
              <w:spacing w:line="380" w:lineRule="exact"/>
              <w:ind w:right="25" w:rightChars="12"/>
              <w:jc w:val="center"/>
              <w:rPr>
                <w:rFonts w:hint="eastAsia" w:ascii="宋体" w:hAnsi="宋体" w:cs="宋体"/>
                <w:color w:val="auto"/>
                <w:sz w:val="24"/>
                <w:szCs w:val="24"/>
              </w:rPr>
            </w:pPr>
          </w:p>
        </w:tc>
      </w:tr>
    </w:tbl>
    <w:p w14:paraId="3C302697">
      <w:pPr>
        <w:spacing w:before="78" w:beforeLines="25" w:after="78" w:afterLines="25" w:line="380" w:lineRule="exact"/>
        <w:ind w:firstLine="4800" w:firstLineChars="2000"/>
        <w:rPr>
          <w:rFonts w:hint="eastAsia" w:ascii="宋体" w:hAnsi="宋体" w:cs="宋体"/>
          <w:color w:val="auto"/>
          <w:sz w:val="24"/>
          <w:szCs w:val="24"/>
        </w:rPr>
      </w:pPr>
      <w:bookmarkStart w:id="285" w:name="_Toc37581429"/>
    </w:p>
    <w:p w14:paraId="3F4214C6">
      <w:pPr>
        <w:spacing w:before="78" w:beforeLines="25" w:after="78" w:afterLines="25" w:line="380" w:lineRule="exact"/>
        <w:ind w:firstLine="4800" w:firstLineChars="2000"/>
        <w:rPr>
          <w:rFonts w:hint="eastAsia" w:ascii="宋体" w:hAnsi="宋体" w:cs="宋体"/>
          <w:color w:val="auto"/>
          <w:sz w:val="24"/>
          <w:szCs w:val="24"/>
        </w:rPr>
      </w:pPr>
      <w:r>
        <w:rPr>
          <w:rFonts w:hint="eastAsia" w:ascii="宋体" w:hAnsi="宋体" w:cs="宋体"/>
          <w:color w:val="auto"/>
          <w:sz w:val="24"/>
          <w:szCs w:val="24"/>
        </w:rPr>
        <w:t>企业名称（盖章）：</w:t>
      </w:r>
      <w:r>
        <w:rPr>
          <w:rFonts w:hint="eastAsia" w:ascii="宋体" w:hAnsi="宋体" w:cs="宋体"/>
          <w:color w:val="auto"/>
          <w:sz w:val="24"/>
          <w:szCs w:val="24"/>
          <w:u w:val="single"/>
        </w:rPr>
        <w:t xml:space="preserve">                 </w:t>
      </w:r>
    </w:p>
    <w:p w14:paraId="5F361199">
      <w:pPr>
        <w:pStyle w:val="170"/>
        <w:spacing w:line="380" w:lineRule="exact"/>
        <w:jc w:val="center"/>
        <w:rPr>
          <w:rFonts w:hint="eastAsia" w:ascii="宋体" w:hAnsi="宋体" w:cs="宋体"/>
          <w:b/>
          <w:color w:val="auto"/>
          <w:sz w:val="24"/>
        </w:rPr>
      </w:pPr>
      <w:r>
        <w:rPr>
          <w:rFonts w:hint="eastAsia" w:ascii="宋体" w:hAnsi="宋体" w:cs="宋体"/>
          <w:color w:val="auto"/>
          <w:sz w:val="24"/>
        </w:rPr>
        <w:t xml:space="preserve">                                 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38E54EDF">
      <w:pPr>
        <w:pStyle w:val="76"/>
        <w:spacing w:line="380" w:lineRule="exact"/>
        <w:ind w:right="84" w:rightChars="40"/>
        <w:jc w:val="left"/>
        <w:rPr>
          <w:rFonts w:hint="eastAsia" w:ascii="宋体" w:hAnsi="宋体" w:cs="宋体"/>
          <w:bCs/>
          <w:color w:val="auto"/>
          <w:sz w:val="24"/>
          <w:szCs w:val="24"/>
        </w:rPr>
      </w:pPr>
    </w:p>
    <w:p w14:paraId="3EFC8A74">
      <w:pPr>
        <w:pStyle w:val="76"/>
        <w:spacing w:line="380" w:lineRule="exact"/>
        <w:ind w:right="84" w:rightChars="40"/>
        <w:jc w:val="left"/>
        <w:rPr>
          <w:rFonts w:hint="eastAsia" w:ascii="宋体" w:hAnsi="宋体" w:cs="宋体"/>
          <w:b/>
          <w:color w:val="auto"/>
          <w:sz w:val="24"/>
          <w:szCs w:val="24"/>
        </w:rPr>
      </w:pPr>
      <w:r>
        <w:rPr>
          <w:rFonts w:hint="eastAsia" w:ascii="宋体" w:hAnsi="宋体" w:cs="宋体"/>
          <w:bCs/>
          <w:color w:val="auto"/>
          <w:sz w:val="24"/>
          <w:szCs w:val="24"/>
        </w:rPr>
        <w:t>说明：本格式文件内容不得擅自删改。</w:t>
      </w:r>
      <w:bookmarkEnd w:id="285"/>
    </w:p>
    <w:p w14:paraId="12CC9776">
      <w:pPr>
        <w:pStyle w:val="5"/>
        <w:spacing w:line="700" w:lineRule="exact"/>
        <w:jc w:val="center"/>
        <w:rPr>
          <w:rFonts w:hint="eastAsia" w:hAnsi="宋体"/>
          <w:bCs/>
          <w:color w:val="auto"/>
          <w:kern w:val="0"/>
          <w:sz w:val="24"/>
          <w:szCs w:val="24"/>
        </w:rPr>
      </w:pPr>
      <w:r>
        <w:rPr>
          <w:rFonts w:hint="eastAsia" w:hAnsi="宋体"/>
          <w:b/>
          <w:color w:val="auto"/>
          <w:sz w:val="24"/>
          <w:szCs w:val="24"/>
        </w:rPr>
        <w:br w:type="page"/>
      </w:r>
      <w:r>
        <w:rPr>
          <w:rFonts w:hint="eastAsia" w:hAnsi="宋体"/>
          <w:bCs/>
          <w:color w:val="auto"/>
          <w:kern w:val="0"/>
          <w:sz w:val="44"/>
          <w:szCs w:val="44"/>
        </w:rPr>
        <w:t>政府采购投标及履约承诺函</w:t>
      </w:r>
    </w:p>
    <w:p w14:paraId="58A89720">
      <w:pPr>
        <w:spacing w:line="480" w:lineRule="exact"/>
        <w:rPr>
          <w:rFonts w:hint="eastAsia"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（采购人）</w:t>
      </w:r>
    </w:p>
    <w:p w14:paraId="76238442">
      <w:pPr>
        <w:spacing w:line="480" w:lineRule="exact"/>
        <w:ind w:right="-815" w:firstLine="480" w:firstLineChars="200"/>
        <w:rPr>
          <w:rFonts w:hint="eastAsia" w:ascii="宋体" w:hAnsi="宋体" w:cs="宋体"/>
          <w:color w:val="auto"/>
          <w:sz w:val="24"/>
          <w:szCs w:val="24"/>
        </w:rPr>
      </w:pPr>
      <w:r>
        <w:rPr>
          <w:rFonts w:hint="eastAsia" w:ascii="宋体" w:hAnsi="宋体" w:cs="宋体"/>
          <w:color w:val="auto"/>
          <w:sz w:val="24"/>
          <w:szCs w:val="24"/>
        </w:rPr>
        <w:t>我单位承诺：</w:t>
      </w:r>
    </w:p>
    <w:p w14:paraId="4CBB3396">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1.我单位本招标项目所提供的货物或服务未侵犯知识产权。</w:t>
      </w:r>
    </w:p>
    <w:p w14:paraId="70B5A97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2.我单位参与本项目投标前三年内，在经营活动中没有重大违法记录。</w:t>
      </w:r>
    </w:p>
    <w:p w14:paraId="38A92F5E">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3.我单位参与本项目政府采购活动时不存在被有关部门禁止参与政府采购活动且在有效期内的情况。</w:t>
      </w:r>
    </w:p>
    <w:p w14:paraId="63C3E549">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4.我单位具备《中华人民共和国政府采购法》第二十二条第一款规定的六项条件。</w:t>
      </w:r>
    </w:p>
    <w:p w14:paraId="0202EF26">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5.我单位未被列入失信被执行人、重大税收违法案件当事人名单、政府采购严重违法失信行为记录名单。</w:t>
      </w:r>
    </w:p>
    <w:p w14:paraId="6FC0CFE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w:t>
      </w:r>
      <w:bookmarkStart w:id="286" w:name="_Hlk72587269"/>
      <w:bookmarkStart w:id="287" w:name="_Hlk72587299"/>
      <w:r>
        <w:rPr>
          <w:rFonts w:hint="eastAsia" w:ascii="宋体" w:hAnsi="宋体" w:cs="宋体"/>
          <w:color w:val="auto"/>
          <w:sz w:val="24"/>
          <w:szCs w:val="24"/>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86"/>
      <w:r>
        <w:rPr>
          <w:rFonts w:hint="eastAsia" w:ascii="宋体" w:hAnsi="宋体" w:cs="宋体"/>
          <w:color w:val="auto"/>
          <w:sz w:val="24"/>
          <w:szCs w:val="24"/>
        </w:rPr>
        <w:t>。</w:t>
      </w:r>
    </w:p>
    <w:bookmarkEnd w:id="287"/>
    <w:p w14:paraId="4E59FFA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0657343A">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6FCEF51">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795EA51D">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10.我单位承诺中标后项目不转包，未经采购人同意不进行分包。</w:t>
      </w:r>
    </w:p>
    <w:p w14:paraId="5063C118">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11.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5FBD544">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12.我单位保证，若所投货物涉及《财政部生态环境部关于印发节能产品政府采购品目清单的通知》（财库〔2019〕19号）列明的政府采购强制产品，则所投该产品符合节能产品的认证要求。</w:t>
      </w:r>
    </w:p>
    <w:p w14:paraId="19C5F876">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以上承诺，如有违反，愿依照国家相关法律法规处理，并承担由此给采购人带来的损失。</w:t>
      </w:r>
    </w:p>
    <w:p w14:paraId="7D9FB2AA">
      <w:pPr>
        <w:spacing w:before="78" w:beforeLines="25" w:after="78" w:afterLines="25" w:line="480" w:lineRule="exact"/>
        <w:ind w:firstLine="6240" w:firstLineChars="2600"/>
        <w:rPr>
          <w:rFonts w:hint="eastAsia" w:ascii="宋体" w:hAnsi="宋体" w:cs="宋体"/>
          <w:color w:val="auto"/>
          <w:sz w:val="24"/>
          <w:szCs w:val="24"/>
        </w:rPr>
      </w:pPr>
      <w:r>
        <w:rPr>
          <w:rFonts w:hint="eastAsia" w:ascii="宋体" w:hAnsi="宋体" w:cs="宋体"/>
          <w:color w:val="auto"/>
          <w:sz w:val="24"/>
          <w:szCs w:val="24"/>
        </w:rPr>
        <w:t xml:space="preserve">            </w:t>
      </w:r>
    </w:p>
    <w:p w14:paraId="7D4AEFF9">
      <w:pPr>
        <w:spacing w:before="78" w:beforeLines="25" w:after="78" w:afterLines="25" w:line="480" w:lineRule="exact"/>
        <w:ind w:firstLine="6240" w:firstLineChars="2600"/>
        <w:rPr>
          <w:rFonts w:hint="eastAsia" w:ascii="宋体" w:hAnsi="宋体" w:cs="宋体"/>
          <w:color w:val="auto"/>
          <w:sz w:val="24"/>
          <w:szCs w:val="24"/>
        </w:rPr>
      </w:pPr>
      <w:r>
        <w:rPr>
          <w:rFonts w:hint="eastAsia" w:ascii="宋体" w:hAnsi="宋体" w:cs="宋体"/>
          <w:color w:val="auto"/>
          <w:sz w:val="24"/>
          <w:szCs w:val="24"/>
        </w:rPr>
        <w:t xml:space="preserve">  </w:t>
      </w:r>
    </w:p>
    <w:p w14:paraId="7E0BA131">
      <w:pPr>
        <w:spacing w:before="78" w:beforeLines="25" w:after="78" w:afterLines="25" w:line="480" w:lineRule="exact"/>
        <w:ind w:firstLine="4320" w:firstLineChars="1800"/>
        <w:rPr>
          <w:rFonts w:hint="eastAsia" w:ascii="宋体" w:hAnsi="宋体" w:cs="宋体"/>
          <w:color w:val="auto"/>
          <w:sz w:val="24"/>
          <w:szCs w:val="24"/>
        </w:rPr>
      </w:pPr>
      <w:r>
        <w:rPr>
          <w:rFonts w:hint="eastAsia" w:ascii="宋体" w:hAnsi="宋体" w:cs="宋体"/>
          <w:color w:val="auto"/>
          <w:sz w:val="24"/>
          <w:szCs w:val="24"/>
        </w:rPr>
        <w:t>企业名称（盖章）：</w:t>
      </w:r>
      <w:r>
        <w:rPr>
          <w:rFonts w:hint="eastAsia" w:ascii="宋体" w:hAnsi="宋体" w:cs="宋体"/>
          <w:color w:val="auto"/>
          <w:sz w:val="24"/>
          <w:szCs w:val="24"/>
          <w:u w:val="single"/>
        </w:rPr>
        <w:t xml:space="preserve">              </w:t>
      </w:r>
    </w:p>
    <w:p w14:paraId="28E5E70D">
      <w:pPr>
        <w:spacing w:line="480" w:lineRule="exact"/>
        <w:ind w:firstLine="645"/>
        <w:rPr>
          <w:rFonts w:hint="eastAsia" w:ascii="宋体" w:hAnsi="宋体" w:cs="宋体"/>
          <w:color w:val="auto"/>
          <w:sz w:val="24"/>
          <w:szCs w:val="24"/>
        </w:rPr>
      </w:pPr>
      <w:r>
        <w:rPr>
          <w:rFonts w:hint="eastAsia" w:ascii="宋体" w:hAnsi="宋体" w:cs="宋体"/>
          <w:color w:val="auto"/>
          <w:sz w:val="24"/>
          <w:szCs w:val="24"/>
        </w:rPr>
        <w:t xml:space="preserve">                                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4DA1DDEB">
      <w:pPr>
        <w:pStyle w:val="115"/>
        <w:spacing w:line="560" w:lineRule="exact"/>
        <w:jc w:val="both"/>
        <w:rPr>
          <w:rFonts w:hint="eastAsia" w:hAnsi="宋体" w:cs="宋体"/>
          <w:b/>
          <w:color w:val="auto"/>
          <w:sz w:val="44"/>
          <w:szCs w:val="44"/>
        </w:rPr>
      </w:pPr>
    </w:p>
    <w:p w14:paraId="41469BDC">
      <w:pPr>
        <w:pStyle w:val="115"/>
        <w:spacing w:line="560" w:lineRule="exact"/>
        <w:jc w:val="both"/>
        <w:rPr>
          <w:rFonts w:hint="eastAsia" w:hAnsi="宋体" w:cs="宋体"/>
          <w:b/>
          <w:color w:val="auto"/>
          <w:sz w:val="44"/>
          <w:szCs w:val="44"/>
        </w:rPr>
      </w:pPr>
    </w:p>
    <w:p w14:paraId="77D40187">
      <w:pPr>
        <w:pStyle w:val="161"/>
        <w:ind w:firstLine="480"/>
        <w:rPr>
          <w:rFonts w:hint="eastAsia" w:ascii="宋体" w:hAnsi="宋体" w:cs="宋体"/>
          <w:color w:val="auto"/>
          <w:sz w:val="24"/>
          <w:szCs w:val="24"/>
        </w:rPr>
      </w:pPr>
    </w:p>
    <w:p w14:paraId="243188D1">
      <w:pPr>
        <w:pStyle w:val="161"/>
        <w:ind w:firstLine="480"/>
        <w:rPr>
          <w:rFonts w:hint="eastAsia" w:ascii="宋体" w:hAnsi="宋体" w:cs="宋体"/>
          <w:color w:val="auto"/>
          <w:sz w:val="24"/>
          <w:szCs w:val="24"/>
        </w:rPr>
      </w:pPr>
    </w:p>
    <w:p w14:paraId="5701438E">
      <w:pPr>
        <w:pStyle w:val="161"/>
        <w:ind w:firstLine="480"/>
        <w:rPr>
          <w:rFonts w:hint="eastAsia" w:ascii="宋体" w:hAnsi="宋体" w:cs="宋体"/>
          <w:color w:val="auto"/>
          <w:sz w:val="24"/>
          <w:szCs w:val="24"/>
        </w:rPr>
      </w:pPr>
    </w:p>
    <w:p w14:paraId="331C1300">
      <w:pPr>
        <w:pStyle w:val="161"/>
        <w:ind w:firstLine="480"/>
        <w:rPr>
          <w:rFonts w:hint="eastAsia" w:ascii="宋体" w:hAnsi="宋体" w:cs="宋体"/>
          <w:color w:val="auto"/>
          <w:sz w:val="24"/>
          <w:szCs w:val="24"/>
        </w:rPr>
      </w:pPr>
    </w:p>
    <w:p w14:paraId="0BF58539">
      <w:pPr>
        <w:pStyle w:val="161"/>
        <w:ind w:firstLine="480"/>
        <w:rPr>
          <w:rFonts w:hint="eastAsia" w:ascii="宋体" w:hAnsi="宋体" w:cs="宋体"/>
          <w:color w:val="auto"/>
          <w:sz w:val="24"/>
          <w:szCs w:val="24"/>
        </w:rPr>
      </w:pPr>
    </w:p>
    <w:p w14:paraId="07F328FD">
      <w:pPr>
        <w:pStyle w:val="161"/>
        <w:ind w:firstLine="480"/>
        <w:rPr>
          <w:rFonts w:hint="eastAsia" w:ascii="宋体" w:hAnsi="宋体" w:cs="宋体"/>
          <w:color w:val="auto"/>
          <w:sz w:val="24"/>
          <w:szCs w:val="24"/>
        </w:rPr>
      </w:pPr>
    </w:p>
    <w:p w14:paraId="331F416F">
      <w:pPr>
        <w:pStyle w:val="161"/>
        <w:ind w:firstLine="480"/>
        <w:rPr>
          <w:rFonts w:hint="eastAsia" w:ascii="宋体" w:hAnsi="宋体" w:cs="宋体"/>
          <w:color w:val="auto"/>
          <w:sz w:val="24"/>
          <w:szCs w:val="24"/>
        </w:rPr>
      </w:pPr>
    </w:p>
    <w:p w14:paraId="768EC810">
      <w:pPr>
        <w:pStyle w:val="115"/>
        <w:spacing w:line="560" w:lineRule="exact"/>
        <w:jc w:val="center"/>
        <w:rPr>
          <w:rFonts w:hint="eastAsia" w:hAnsi="宋体" w:cs="宋体"/>
          <w:bCs/>
          <w:color w:val="auto"/>
          <w:sz w:val="44"/>
          <w:szCs w:val="44"/>
        </w:rPr>
      </w:pPr>
      <w:r>
        <w:rPr>
          <w:rFonts w:hint="eastAsia" w:hAnsi="宋体" w:cs="宋体"/>
          <w:bCs/>
          <w:color w:val="auto"/>
          <w:sz w:val="44"/>
          <w:szCs w:val="44"/>
        </w:rPr>
        <w:t>投标人资格声明函</w:t>
      </w:r>
    </w:p>
    <w:p w14:paraId="414DE391">
      <w:pPr>
        <w:pStyle w:val="115"/>
        <w:spacing w:line="560" w:lineRule="exact"/>
        <w:ind w:firstLine="482" w:firstLineChars="200"/>
        <w:jc w:val="center"/>
        <w:rPr>
          <w:rFonts w:hint="eastAsia" w:hAnsi="宋体" w:cs="宋体"/>
          <w:b/>
          <w:color w:val="auto"/>
          <w:sz w:val="24"/>
          <w:szCs w:val="24"/>
        </w:rPr>
      </w:pPr>
    </w:p>
    <w:p w14:paraId="3D83BC7C">
      <w:pPr>
        <w:pStyle w:val="116"/>
        <w:spacing w:line="480" w:lineRule="exact"/>
        <w:ind w:right="84" w:rightChars="40"/>
        <w:rPr>
          <w:rFonts w:hint="eastAsia"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（采购人）：</w:t>
      </w:r>
    </w:p>
    <w:p w14:paraId="1B97B7F1">
      <w:pPr>
        <w:pStyle w:val="116"/>
        <w:spacing w:line="480" w:lineRule="exact"/>
        <w:ind w:right="84" w:rightChars="40" w:firstLine="480" w:firstLineChars="200"/>
        <w:rPr>
          <w:rFonts w:hint="eastAsia" w:ascii="宋体" w:hAnsi="宋体" w:cs="宋体"/>
          <w:color w:val="auto"/>
          <w:sz w:val="24"/>
          <w:szCs w:val="24"/>
        </w:rPr>
      </w:pPr>
      <w:r>
        <w:rPr>
          <w:rFonts w:hint="eastAsia" w:ascii="宋体" w:hAnsi="宋体" w:cs="宋体"/>
          <w:color w:val="auto"/>
          <w:sz w:val="24"/>
          <w:szCs w:val="24"/>
        </w:rPr>
        <w:t>关于贵方</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日发布关于“</w:t>
      </w:r>
      <w:r>
        <w:rPr>
          <w:rFonts w:hint="eastAsia" w:ascii="宋体" w:hAnsi="宋体" w:cs="宋体"/>
          <w:color w:val="auto"/>
          <w:sz w:val="24"/>
          <w:szCs w:val="24"/>
          <w:u w:val="single"/>
        </w:rPr>
        <w:t xml:space="preserve">                     </w:t>
      </w:r>
      <w:r>
        <w:rPr>
          <w:rFonts w:hint="eastAsia" w:ascii="宋体" w:hAnsi="宋体" w:cs="宋体"/>
          <w:color w:val="auto"/>
          <w:sz w:val="24"/>
          <w:szCs w:val="24"/>
        </w:rPr>
        <w:t>”（项目编号：</w:t>
      </w:r>
      <w:r>
        <w:rPr>
          <w:rFonts w:hint="eastAsia" w:ascii="宋体" w:hAnsi="宋体" w:cs="宋体"/>
          <w:color w:val="auto"/>
          <w:sz w:val="24"/>
          <w:szCs w:val="24"/>
          <w:u w:val="single"/>
        </w:rPr>
        <w:t xml:space="preserve">           </w:t>
      </w:r>
      <w:r>
        <w:rPr>
          <w:rFonts w:hint="eastAsia" w:ascii="宋体" w:hAnsi="宋体" w:cs="宋体"/>
          <w:color w:val="auto"/>
          <w:sz w:val="24"/>
          <w:szCs w:val="24"/>
        </w:rPr>
        <w:t>）的采购公告，我方愿意参加投标，并声明截至开标日：</w:t>
      </w:r>
    </w:p>
    <w:p w14:paraId="0E082EFA">
      <w:pPr>
        <w:pStyle w:val="116"/>
        <w:spacing w:line="480" w:lineRule="exact"/>
        <w:ind w:right="84" w:rightChars="40" w:firstLine="480" w:firstLineChars="200"/>
        <w:rPr>
          <w:rFonts w:hint="eastAsia" w:ascii="宋体" w:hAnsi="宋体" w:cs="宋体"/>
          <w:color w:val="auto"/>
          <w:sz w:val="24"/>
          <w:szCs w:val="24"/>
        </w:rPr>
      </w:pPr>
      <w:r>
        <w:rPr>
          <w:rFonts w:hint="eastAsia" w:ascii="宋体" w:hAnsi="宋体" w:cs="宋体"/>
          <w:color w:val="auto"/>
          <w:sz w:val="24"/>
          <w:szCs w:val="24"/>
        </w:rPr>
        <w:t>我方具备《中华人民共和国政府采购法》第二十二条所规定的条件，并已清楚招标文件的要求及有关文件规定。</w:t>
      </w:r>
    </w:p>
    <w:p w14:paraId="0070218E">
      <w:pPr>
        <w:pStyle w:val="116"/>
        <w:spacing w:line="480" w:lineRule="exact"/>
        <w:ind w:right="84" w:rightChars="40" w:firstLine="480" w:firstLineChars="200"/>
        <w:rPr>
          <w:rFonts w:hint="eastAsia" w:ascii="宋体" w:hAnsi="宋体" w:cs="宋体"/>
          <w:color w:val="auto"/>
          <w:sz w:val="24"/>
          <w:szCs w:val="24"/>
        </w:rPr>
      </w:pPr>
      <w:r>
        <w:rPr>
          <w:rFonts w:hint="eastAsia" w:ascii="宋体" w:hAnsi="宋体" w:cs="宋体"/>
          <w:color w:val="auto"/>
          <w:sz w:val="24"/>
          <w:szCs w:val="24"/>
        </w:rPr>
        <w:t>（一）具有独立承担民事责任的能力，提供以下相关证照的原件扫描件（见附件）之一：1.企业法人营业执照；2.事业法人登记证；3.其他组织的营业执照或执业许可证；4.居民身份证等；</w:t>
      </w:r>
    </w:p>
    <w:p w14:paraId="7D36730B">
      <w:pPr>
        <w:pStyle w:val="116"/>
        <w:spacing w:line="480" w:lineRule="exact"/>
        <w:ind w:right="84" w:rightChars="40" w:firstLine="480" w:firstLineChars="200"/>
        <w:rPr>
          <w:rFonts w:hint="eastAsia" w:ascii="宋体" w:hAnsi="宋体" w:cs="宋体"/>
          <w:color w:val="auto"/>
          <w:sz w:val="24"/>
          <w:szCs w:val="24"/>
        </w:rPr>
      </w:pPr>
      <w:r>
        <w:rPr>
          <w:rFonts w:hint="eastAsia" w:ascii="宋体" w:hAnsi="宋体" w:cs="宋体"/>
          <w:color w:val="auto"/>
          <w:sz w:val="24"/>
          <w:szCs w:val="24"/>
        </w:rPr>
        <w:t>（二）具有良好的商业信誉和健全的财务会计制度；</w:t>
      </w:r>
    </w:p>
    <w:p w14:paraId="3CEA5DF6">
      <w:pPr>
        <w:pStyle w:val="116"/>
        <w:spacing w:line="480" w:lineRule="exact"/>
        <w:ind w:right="84" w:rightChars="40" w:firstLine="480" w:firstLineChars="200"/>
        <w:rPr>
          <w:rFonts w:hint="eastAsia" w:ascii="宋体" w:hAnsi="宋体" w:cs="宋体"/>
          <w:color w:val="auto"/>
          <w:sz w:val="24"/>
          <w:szCs w:val="24"/>
        </w:rPr>
      </w:pPr>
      <w:r>
        <w:rPr>
          <w:rFonts w:hint="eastAsia" w:ascii="宋体" w:hAnsi="宋体" w:cs="宋体"/>
          <w:color w:val="auto"/>
          <w:sz w:val="24"/>
          <w:szCs w:val="24"/>
        </w:rPr>
        <w:t>（三）具有履行合同所必需的设备和专业技术能力；</w:t>
      </w:r>
    </w:p>
    <w:p w14:paraId="2441DB95">
      <w:pPr>
        <w:pStyle w:val="116"/>
        <w:spacing w:line="480" w:lineRule="exact"/>
        <w:ind w:right="84" w:rightChars="40" w:firstLine="480" w:firstLineChars="200"/>
        <w:rPr>
          <w:rFonts w:hint="eastAsia" w:ascii="宋体" w:hAnsi="宋体" w:cs="宋体"/>
          <w:color w:val="auto"/>
          <w:sz w:val="24"/>
          <w:szCs w:val="24"/>
        </w:rPr>
      </w:pPr>
      <w:r>
        <w:rPr>
          <w:rFonts w:hint="eastAsia" w:ascii="宋体" w:hAnsi="宋体" w:cs="宋体"/>
          <w:color w:val="auto"/>
          <w:sz w:val="24"/>
          <w:szCs w:val="24"/>
        </w:rPr>
        <w:t>（四）有依法缴纳税收和社会保障资金的良好记录；</w:t>
      </w:r>
    </w:p>
    <w:p w14:paraId="4DCDE27A">
      <w:pPr>
        <w:pStyle w:val="116"/>
        <w:spacing w:line="480" w:lineRule="exact"/>
        <w:ind w:right="84" w:rightChars="40" w:firstLine="480" w:firstLineChars="200"/>
        <w:rPr>
          <w:rFonts w:hint="eastAsia" w:ascii="宋体" w:hAnsi="宋体" w:cs="宋体"/>
          <w:color w:val="auto"/>
          <w:sz w:val="24"/>
          <w:szCs w:val="24"/>
        </w:rPr>
      </w:pPr>
      <w:r>
        <w:rPr>
          <w:rFonts w:hint="eastAsia" w:ascii="宋体" w:hAnsi="宋体" w:cs="宋体"/>
          <w:color w:val="auto"/>
          <w:sz w:val="24"/>
          <w:szCs w:val="24"/>
        </w:rPr>
        <w:t>（五）参加政府采购活动前三年内，在经营活动中没有重大违法记录；</w:t>
      </w:r>
    </w:p>
    <w:p w14:paraId="38A194B5">
      <w:pPr>
        <w:pStyle w:val="116"/>
        <w:spacing w:line="480" w:lineRule="exact"/>
        <w:ind w:right="84" w:rightChars="40" w:firstLine="480" w:firstLineChars="200"/>
        <w:rPr>
          <w:rFonts w:hint="eastAsia" w:ascii="宋体" w:hAnsi="宋体" w:cs="宋体"/>
          <w:color w:val="auto"/>
          <w:sz w:val="24"/>
          <w:szCs w:val="24"/>
        </w:rPr>
      </w:pPr>
      <w:r>
        <w:rPr>
          <w:rFonts w:hint="eastAsia" w:ascii="宋体" w:hAnsi="宋体" w:cs="宋体"/>
          <w:color w:val="auto"/>
          <w:sz w:val="24"/>
          <w:szCs w:val="24"/>
        </w:rPr>
        <w:t>（六）法律、行政法规规定的其他条件。</w:t>
      </w:r>
    </w:p>
    <w:p w14:paraId="1809E4AE">
      <w:pPr>
        <w:pStyle w:val="116"/>
        <w:spacing w:line="480" w:lineRule="exact"/>
        <w:ind w:right="84" w:rightChars="40" w:firstLine="480" w:firstLineChars="200"/>
        <w:rPr>
          <w:rFonts w:hint="eastAsia" w:ascii="宋体" w:hAnsi="宋体" w:cs="宋体"/>
          <w:color w:val="auto"/>
          <w:sz w:val="24"/>
          <w:szCs w:val="24"/>
        </w:rPr>
      </w:pPr>
      <w:r>
        <w:rPr>
          <w:rFonts w:hint="eastAsia" w:ascii="宋体" w:hAnsi="宋体" w:cs="宋体"/>
          <w:color w:val="auto"/>
          <w:sz w:val="24"/>
          <w:szCs w:val="24"/>
        </w:rPr>
        <w:t>本次招标采购活动中，如有违法、违规、弄虚作假行为，所造成的损失、不良后果及法律责任，一律由我方承担。</w:t>
      </w:r>
    </w:p>
    <w:p w14:paraId="40C03DD4">
      <w:pPr>
        <w:pStyle w:val="116"/>
        <w:spacing w:line="480" w:lineRule="exact"/>
        <w:ind w:right="84" w:rightChars="40" w:firstLine="482" w:firstLineChars="200"/>
        <w:rPr>
          <w:rFonts w:hint="eastAsia" w:ascii="宋体" w:hAnsi="宋体" w:cs="宋体"/>
          <w:b/>
          <w:color w:val="auto"/>
          <w:sz w:val="24"/>
          <w:szCs w:val="24"/>
        </w:rPr>
      </w:pPr>
      <w:r>
        <w:rPr>
          <w:rFonts w:hint="eastAsia" w:ascii="宋体" w:hAnsi="宋体" w:cs="宋体"/>
          <w:b/>
          <w:color w:val="auto"/>
          <w:sz w:val="24"/>
          <w:szCs w:val="24"/>
        </w:rPr>
        <w:t>特此声明！</w:t>
      </w:r>
    </w:p>
    <w:p w14:paraId="1B6524A2">
      <w:pPr>
        <w:pStyle w:val="116"/>
        <w:spacing w:line="480" w:lineRule="exact"/>
        <w:ind w:right="84" w:rightChars="40" w:firstLine="482" w:firstLineChars="200"/>
        <w:rPr>
          <w:rFonts w:hint="eastAsia" w:ascii="宋体" w:hAnsi="宋体" w:cs="宋体"/>
          <w:b/>
          <w:color w:val="auto"/>
          <w:sz w:val="24"/>
          <w:szCs w:val="24"/>
        </w:rPr>
      </w:pPr>
    </w:p>
    <w:p w14:paraId="60AD7B35">
      <w:pPr>
        <w:pStyle w:val="116"/>
        <w:spacing w:line="480" w:lineRule="exact"/>
        <w:ind w:right="84" w:rightChars="40" w:firstLine="482" w:firstLineChars="200"/>
        <w:rPr>
          <w:rFonts w:hint="eastAsia" w:ascii="宋体" w:hAnsi="宋体" w:cs="宋体"/>
          <w:b/>
          <w:color w:val="auto"/>
          <w:sz w:val="24"/>
          <w:szCs w:val="24"/>
        </w:rPr>
      </w:pPr>
    </w:p>
    <w:p w14:paraId="17D7A70D">
      <w:pPr>
        <w:spacing w:before="78" w:beforeLines="25" w:after="78" w:afterLines="25" w:line="480" w:lineRule="exact"/>
        <w:ind w:firstLine="2880" w:firstLineChars="1200"/>
        <w:rPr>
          <w:rFonts w:hint="eastAsia" w:ascii="宋体" w:hAnsi="宋体" w:cs="宋体"/>
          <w:color w:val="auto"/>
          <w:sz w:val="24"/>
          <w:szCs w:val="24"/>
        </w:rPr>
      </w:pPr>
      <w:r>
        <w:rPr>
          <w:rFonts w:hint="eastAsia" w:ascii="宋体" w:hAnsi="宋体" w:cs="宋体"/>
          <w:color w:val="auto"/>
          <w:sz w:val="24"/>
          <w:szCs w:val="24"/>
        </w:rPr>
        <w:t>企业名称（盖章）：</w:t>
      </w:r>
      <w:r>
        <w:rPr>
          <w:rFonts w:hint="eastAsia" w:ascii="宋体" w:hAnsi="宋体" w:cs="宋体"/>
          <w:color w:val="auto"/>
          <w:sz w:val="24"/>
          <w:szCs w:val="24"/>
          <w:u w:val="single"/>
        </w:rPr>
        <w:t xml:space="preserve">                 </w:t>
      </w:r>
    </w:p>
    <w:p w14:paraId="46AD6E86">
      <w:pPr>
        <w:pStyle w:val="116"/>
        <w:spacing w:line="480" w:lineRule="exact"/>
        <w:ind w:right="84" w:rightChars="40" w:firstLine="2880" w:firstLineChars="1200"/>
        <w:rPr>
          <w:rFonts w:hint="eastAsia" w:ascii="宋体" w:hAnsi="宋体" w:cs="宋体"/>
          <w:color w:val="auto"/>
          <w:sz w:val="24"/>
          <w:szCs w:val="24"/>
        </w:rPr>
      </w:pPr>
      <w:r>
        <w:rPr>
          <w:rFonts w:hint="eastAsia" w:ascii="宋体" w:hAnsi="宋体" w:cs="宋体"/>
          <w:color w:val="auto"/>
          <w:sz w:val="24"/>
          <w:szCs w:val="24"/>
        </w:rPr>
        <w:t>日  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25331311">
      <w:pPr>
        <w:pStyle w:val="116"/>
        <w:spacing w:line="480" w:lineRule="exact"/>
        <w:ind w:right="84" w:rightChars="40"/>
        <w:rPr>
          <w:rFonts w:hint="eastAsia" w:ascii="宋体" w:hAnsi="宋体" w:cs="宋体"/>
          <w:color w:val="auto"/>
          <w:sz w:val="24"/>
          <w:szCs w:val="24"/>
        </w:rPr>
      </w:pPr>
    </w:p>
    <w:p w14:paraId="4F6D4814">
      <w:pPr>
        <w:pStyle w:val="116"/>
        <w:spacing w:line="460" w:lineRule="exact"/>
        <w:ind w:right="84" w:rightChars="40"/>
        <w:rPr>
          <w:rFonts w:hint="eastAsia" w:ascii="宋体" w:hAnsi="宋体" w:cs="宋体"/>
          <w:color w:val="auto"/>
          <w:sz w:val="28"/>
          <w:szCs w:val="28"/>
        </w:rPr>
      </w:pPr>
      <w:r>
        <w:rPr>
          <w:rFonts w:hint="eastAsia" w:ascii="宋体" w:hAnsi="宋体" w:cs="宋体"/>
          <w:color w:val="auto"/>
          <w:sz w:val="28"/>
          <w:szCs w:val="28"/>
        </w:rPr>
        <w:t>说明：</w:t>
      </w:r>
    </w:p>
    <w:p w14:paraId="63818FEA">
      <w:pPr>
        <w:pStyle w:val="116"/>
        <w:spacing w:line="460" w:lineRule="exact"/>
        <w:ind w:right="84" w:rightChars="40" w:firstLine="480" w:firstLineChars="200"/>
        <w:rPr>
          <w:rFonts w:hint="eastAsia" w:ascii="宋体" w:hAnsi="宋体" w:cs="宋体"/>
          <w:color w:val="auto"/>
          <w:sz w:val="24"/>
          <w:szCs w:val="24"/>
        </w:rPr>
      </w:pPr>
      <w:r>
        <w:rPr>
          <w:rFonts w:hint="eastAsia" w:ascii="宋体" w:hAnsi="宋体" w:cs="宋体"/>
          <w:color w:val="auto"/>
          <w:sz w:val="24"/>
          <w:szCs w:val="24"/>
        </w:rPr>
        <w:t>1.本格式文件内容不得擅自删改。</w:t>
      </w:r>
    </w:p>
    <w:p w14:paraId="52416977">
      <w:pPr>
        <w:pStyle w:val="116"/>
        <w:spacing w:line="460" w:lineRule="exact"/>
        <w:ind w:right="84" w:rightChars="40" w:firstLine="480" w:firstLineChars="200"/>
        <w:rPr>
          <w:rFonts w:hint="eastAsia" w:ascii="宋体" w:hAnsi="宋体" w:cs="宋体"/>
          <w:color w:val="auto"/>
          <w:sz w:val="24"/>
          <w:szCs w:val="24"/>
        </w:rPr>
      </w:pPr>
      <w:r>
        <w:rPr>
          <w:rFonts w:hint="eastAsia" w:ascii="宋体" w:hAnsi="宋体" w:cs="宋体"/>
          <w:color w:val="auto"/>
          <w:sz w:val="24"/>
          <w:szCs w:val="24"/>
        </w:rPr>
        <w:t>2.分公司投标的，以上《投标人资格声明函》及附件由总公司提供，必须由分公司和具有法人资格的总公司同时加盖公章或电子签章。</w:t>
      </w:r>
    </w:p>
    <w:p w14:paraId="3A67B22A">
      <w:pPr>
        <w:pStyle w:val="116"/>
        <w:spacing w:line="460" w:lineRule="exact"/>
        <w:ind w:right="84" w:rightChars="40" w:firstLine="480" w:firstLineChars="200"/>
        <w:rPr>
          <w:rFonts w:hint="eastAsia" w:ascii="宋体" w:hAnsi="宋体" w:cs="宋体"/>
          <w:color w:val="auto"/>
          <w:sz w:val="24"/>
          <w:szCs w:val="24"/>
        </w:rPr>
      </w:pPr>
      <w:r>
        <w:rPr>
          <w:rFonts w:hint="eastAsia" w:ascii="宋体" w:hAnsi="宋体" w:cs="宋体"/>
          <w:color w:val="auto"/>
          <w:sz w:val="24"/>
          <w:szCs w:val="24"/>
        </w:rPr>
        <w:t>3.提供以上要求（1）至（6）的佐证材料，如下：</w:t>
      </w:r>
    </w:p>
    <w:p w14:paraId="7BDE1F13">
      <w:pPr>
        <w:pStyle w:val="169"/>
        <w:spacing w:line="400" w:lineRule="exact"/>
        <w:ind w:right="84" w:rightChars="40" w:firstLine="480" w:firstLineChars="200"/>
        <w:rPr>
          <w:rFonts w:hint="eastAsia" w:ascii="宋体" w:hAnsi="宋体" w:cs="宋体"/>
          <w:color w:val="auto"/>
          <w:sz w:val="24"/>
          <w:szCs w:val="24"/>
        </w:rPr>
      </w:pPr>
      <w:r>
        <w:rPr>
          <w:rFonts w:hint="eastAsia" w:ascii="宋体" w:hAnsi="宋体" w:cs="宋体"/>
          <w:color w:val="auto"/>
          <w:sz w:val="24"/>
          <w:szCs w:val="24"/>
        </w:rPr>
        <w:t>（1）具有独立承担民事责任的能力：提供法人或其他组织的营业执照等证明文件，或自然人身份证明；法定代表人身份证或委托代理人持授权委托书及代理人身份证；</w:t>
      </w:r>
    </w:p>
    <w:p w14:paraId="2A84FA24">
      <w:pPr>
        <w:pStyle w:val="169"/>
        <w:spacing w:line="400" w:lineRule="exact"/>
        <w:ind w:right="84" w:rightChars="40" w:firstLine="480" w:firstLineChars="200"/>
        <w:rPr>
          <w:rFonts w:hint="eastAsia" w:ascii="宋体" w:hAnsi="宋体" w:cs="宋体"/>
          <w:color w:val="auto"/>
          <w:sz w:val="24"/>
          <w:szCs w:val="24"/>
        </w:rPr>
      </w:pPr>
      <w:r>
        <w:rPr>
          <w:rFonts w:hint="eastAsia" w:ascii="宋体" w:hAnsi="宋体" w:cs="宋体"/>
          <w:color w:val="auto"/>
          <w:sz w:val="24"/>
          <w:szCs w:val="24"/>
        </w:rPr>
        <w:t>（2）具有良好的商业信誉和健全的财务会计制度：</w:t>
      </w:r>
    </w:p>
    <w:p w14:paraId="2775EB06">
      <w:pPr>
        <w:pStyle w:val="169"/>
        <w:spacing w:line="400" w:lineRule="exact"/>
        <w:ind w:right="84" w:rightChars="40" w:firstLine="480" w:firstLineChars="200"/>
        <w:rPr>
          <w:rFonts w:hint="eastAsia" w:ascii="宋体" w:hAnsi="宋体" w:cs="宋体"/>
          <w:color w:val="auto"/>
          <w:sz w:val="24"/>
          <w:szCs w:val="24"/>
        </w:rPr>
      </w:pPr>
      <w:r>
        <w:rPr>
          <w:rFonts w:hint="eastAsia" w:ascii="宋体" w:hAnsi="宋体" w:cs="宋体"/>
          <w:color w:val="auto"/>
          <w:sz w:val="24"/>
          <w:szCs w:val="24"/>
        </w:rPr>
        <w:t>具体要求：供应商是法人的，应提供2022年</w:t>
      </w:r>
      <w:r>
        <w:rPr>
          <w:rFonts w:hint="eastAsia" w:ascii="宋体" w:hAnsi="宋体" w:cs="宋体"/>
          <w:color w:val="auto"/>
          <w:sz w:val="24"/>
          <w:szCs w:val="24"/>
          <w:lang w:val="en-US" w:eastAsia="zh-CN"/>
        </w:rPr>
        <w:t>或2023年</w:t>
      </w:r>
      <w:r>
        <w:rPr>
          <w:rFonts w:hint="eastAsia" w:ascii="宋体" w:hAnsi="宋体" w:cs="宋体"/>
          <w:color w:val="auto"/>
          <w:sz w:val="24"/>
          <w:szCs w:val="24"/>
        </w:rPr>
        <w:t>经审计的财务报告或基本开户银行出具的资信证明。新成立未满一年、部分其他组织和自然人，没有经审计的财务报告，可以提供银行出具的资信证明。</w:t>
      </w:r>
    </w:p>
    <w:p w14:paraId="57CC2582">
      <w:pPr>
        <w:pStyle w:val="169"/>
        <w:spacing w:line="400" w:lineRule="exact"/>
        <w:ind w:right="84" w:rightChars="40" w:firstLine="480" w:firstLineChars="200"/>
        <w:rPr>
          <w:rFonts w:hint="eastAsia" w:ascii="宋体" w:hAnsi="宋体" w:cs="宋体"/>
          <w:color w:val="auto"/>
          <w:sz w:val="24"/>
          <w:szCs w:val="24"/>
        </w:rPr>
      </w:pPr>
      <w:r>
        <w:rPr>
          <w:rFonts w:hint="eastAsia" w:ascii="宋体" w:hAnsi="宋体" w:cs="宋体"/>
          <w:color w:val="auto"/>
          <w:sz w:val="24"/>
          <w:szCs w:val="24"/>
        </w:rPr>
        <w:t>（3）具有履行合同所必须的设备和专业技术能力：</w:t>
      </w:r>
    </w:p>
    <w:p w14:paraId="628DA259">
      <w:pPr>
        <w:pStyle w:val="169"/>
        <w:spacing w:line="400" w:lineRule="exact"/>
        <w:ind w:right="84" w:rightChars="40" w:firstLine="480" w:firstLineChars="200"/>
        <w:rPr>
          <w:rFonts w:hint="eastAsia" w:ascii="宋体" w:hAnsi="宋体" w:cs="宋体"/>
          <w:color w:val="auto"/>
          <w:sz w:val="24"/>
          <w:szCs w:val="24"/>
        </w:rPr>
      </w:pPr>
      <w:r>
        <w:rPr>
          <w:rFonts w:hint="eastAsia" w:ascii="宋体" w:hAnsi="宋体" w:cs="宋体"/>
          <w:color w:val="auto"/>
          <w:sz w:val="24"/>
          <w:szCs w:val="24"/>
        </w:rPr>
        <w:t xml:space="preserve">具体要求：提供具备履行合同所必需的设备和专业技术能力的证明材料或相关承诺； </w:t>
      </w:r>
    </w:p>
    <w:p w14:paraId="00FEC529">
      <w:pPr>
        <w:pStyle w:val="169"/>
        <w:spacing w:line="400" w:lineRule="exact"/>
        <w:ind w:right="84" w:rightChars="40" w:firstLine="480" w:firstLineChars="200"/>
        <w:rPr>
          <w:rFonts w:hint="eastAsia" w:ascii="宋体" w:hAnsi="宋体" w:cs="宋体"/>
          <w:color w:val="auto"/>
          <w:sz w:val="24"/>
          <w:szCs w:val="24"/>
        </w:rPr>
      </w:pPr>
      <w:r>
        <w:rPr>
          <w:rFonts w:hint="eastAsia" w:ascii="宋体" w:hAnsi="宋体" w:cs="宋体"/>
          <w:color w:val="auto"/>
          <w:sz w:val="24"/>
          <w:szCs w:val="24"/>
        </w:rPr>
        <w:t>（4）具有依法缴纳税收和社会保障资金的良好记录：</w:t>
      </w:r>
    </w:p>
    <w:p w14:paraId="481A1F21">
      <w:pPr>
        <w:pStyle w:val="169"/>
        <w:spacing w:line="400" w:lineRule="exact"/>
        <w:ind w:right="84" w:rightChars="40" w:firstLine="480" w:firstLineChars="200"/>
        <w:rPr>
          <w:rFonts w:hint="eastAsia" w:ascii="宋体" w:hAnsi="宋体" w:cs="宋体"/>
          <w:color w:val="auto"/>
          <w:sz w:val="24"/>
          <w:szCs w:val="24"/>
        </w:rPr>
      </w:pPr>
      <w:r>
        <w:rPr>
          <w:rFonts w:hint="eastAsia" w:ascii="宋体" w:hAnsi="宋体" w:cs="宋体"/>
          <w:color w:val="auto"/>
          <w:sz w:val="24"/>
          <w:szCs w:val="24"/>
        </w:rPr>
        <w:t>具体要求：如提供依法缴纳税收和社会保障资金的有效证明材料，近一年任意1个月及以上的证明材料；</w:t>
      </w:r>
    </w:p>
    <w:p w14:paraId="4DF7C843">
      <w:pPr>
        <w:pStyle w:val="169"/>
        <w:spacing w:line="400" w:lineRule="exact"/>
        <w:ind w:right="84" w:rightChars="40" w:firstLine="480" w:firstLineChars="200"/>
        <w:rPr>
          <w:rFonts w:hint="eastAsia" w:ascii="宋体" w:hAnsi="宋体" w:cs="宋体"/>
          <w:color w:val="auto"/>
          <w:sz w:val="24"/>
          <w:szCs w:val="24"/>
        </w:rPr>
      </w:pPr>
      <w:r>
        <w:rPr>
          <w:rFonts w:hint="eastAsia" w:ascii="宋体" w:hAnsi="宋体" w:cs="宋体"/>
          <w:color w:val="auto"/>
          <w:sz w:val="24"/>
          <w:szCs w:val="24"/>
        </w:rPr>
        <w:t>（5）参加政府采购活动近3年内在经营活动中没有重大违法记录的书面声明（模板附后）。</w:t>
      </w:r>
    </w:p>
    <w:p w14:paraId="4ADA4A38">
      <w:pPr>
        <w:pStyle w:val="116"/>
        <w:spacing w:line="460" w:lineRule="exact"/>
        <w:ind w:right="84" w:rightChars="40"/>
        <w:jc w:val="center"/>
        <w:rPr>
          <w:rFonts w:hint="eastAsia" w:ascii="宋体" w:hAnsi="宋体" w:cs="宋体"/>
          <w:b/>
          <w:bCs/>
          <w:color w:val="auto"/>
          <w:sz w:val="24"/>
          <w:szCs w:val="24"/>
        </w:rPr>
      </w:pPr>
      <w:r>
        <w:rPr>
          <w:rFonts w:hint="eastAsia" w:ascii="宋体" w:hAnsi="宋体" w:cs="宋体"/>
          <w:color w:val="auto"/>
          <w:sz w:val="24"/>
          <w:szCs w:val="24"/>
        </w:rPr>
        <w:t>（6）法律、行政法规规定的其他条件：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以磋商小组于资格性审查时在上述网站查询结果为准，如上述网站查询结果均显示没有相关记录，视为没有上述不良信用记录。同时对信用信息查询记录和证据截图存档。如相关失信记录已失效，供应商须提供相关证明资料）</w:t>
      </w:r>
    </w:p>
    <w:p w14:paraId="795D22BB">
      <w:pPr>
        <w:pStyle w:val="116"/>
        <w:spacing w:line="460" w:lineRule="exact"/>
        <w:ind w:right="84" w:rightChars="40"/>
        <w:jc w:val="center"/>
        <w:rPr>
          <w:rFonts w:hint="eastAsia" w:ascii="宋体" w:hAnsi="宋体" w:cs="宋体"/>
          <w:b/>
          <w:bCs/>
          <w:color w:val="auto"/>
          <w:sz w:val="24"/>
          <w:szCs w:val="24"/>
        </w:rPr>
      </w:pPr>
    </w:p>
    <w:p w14:paraId="3D189F95">
      <w:pPr>
        <w:pStyle w:val="116"/>
        <w:spacing w:line="460" w:lineRule="exact"/>
        <w:ind w:right="84" w:rightChars="40"/>
        <w:jc w:val="center"/>
        <w:rPr>
          <w:rFonts w:hint="eastAsia" w:ascii="宋体" w:hAnsi="宋体" w:cs="宋体"/>
          <w:b/>
          <w:bCs/>
          <w:color w:val="auto"/>
          <w:sz w:val="24"/>
          <w:szCs w:val="24"/>
        </w:rPr>
      </w:pPr>
    </w:p>
    <w:p w14:paraId="63A33061">
      <w:pPr>
        <w:pStyle w:val="116"/>
        <w:spacing w:line="460" w:lineRule="exact"/>
        <w:ind w:right="84" w:rightChars="40"/>
        <w:jc w:val="center"/>
        <w:rPr>
          <w:rFonts w:hint="eastAsia" w:ascii="宋体" w:hAnsi="宋体" w:cs="宋体"/>
          <w:b/>
          <w:bCs/>
          <w:color w:val="auto"/>
          <w:sz w:val="24"/>
          <w:szCs w:val="24"/>
        </w:rPr>
      </w:pPr>
    </w:p>
    <w:p w14:paraId="3121E6D6">
      <w:pPr>
        <w:pStyle w:val="116"/>
        <w:spacing w:line="460" w:lineRule="exact"/>
        <w:ind w:right="84" w:rightChars="40"/>
        <w:jc w:val="center"/>
        <w:rPr>
          <w:rFonts w:hint="eastAsia" w:ascii="宋体" w:hAnsi="宋体" w:cs="宋体"/>
          <w:b/>
          <w:bCs/>
          <w:color w:val="auto"/>
          <w:sz w:val="24"/>
          <w:szCs w:val="24"/>
        </w:rPr>
      </w:pPr>
    </w:p>
    <w:p w14:paraId="515C24E5">
      <w:pPr>
        <w:pStyle w:val="116"/>
        <w:spacing w:line="460" w:lineRule="exact"/>
        <w:ind w:right="84" w:rightChars="40"/>
        <w:rPr>
          <w:rFonts w:hint="eastAsia" w:ascii="宋体" w:hAnsi="宋体" w:cs="宋体"/>
          <w:b/>
          <w:bCs/>
          <w:color w:val="auto"/>
          <w:sz w:val="24"/>
          <w:szCs w:val="24"/>
        </w:rPr>
      </w:pPr>
    </w:p>
    <w:p w14:paraId="39024CEE">
      <w:pPr>
        <w:pStyle w:val="169"/>
        <w:spacing w:line="336" w:lineRule="auto"/>
        <w:ind w:right="84" w:rightChars="40"/>
        <w:jc w:val="center"/>
        <w:rPr>
          <w:rFonts w:hint="eastAsia" w:ascii="宋体" w:hAnsi="宋体" w:cs="宋体"/>
          <w:color w:val="auto"/>
          <w:sz w:val="44"/>
          <w:szCs w:val="44"/>
        </w:rPr>
      </w:pPr>
    </w:p>
    <w:p w14:paraId="378FFC82">
      <w:pPr>
        <w:pStyle w:val="169"/>
        <w:spacing w:line="336" w:lineRule="auto"/>
        <w:ind w:right="84" w:rightChars="40"/>
        <w:jc w:val="center"/>
        <w:rPr>
          <w:rFonts w:hint="eastAsia" w:ascii="宋体" w:hAnsi="宋体" w:cs="宋体"/>
          <w:color w:val="auto"/>
          <w:sz w:val="44"/>
          <w:szCs w:val="44"/>
        </w:rPr>
      </w:pPr>
    </w:p>
    <w:p w14:paraId="621DD07F">
      <w:pPr>
        <w:pStyle w:val="169"/>
        <w:spacing w:line="336" w:lineRule="auto"/>
        <w:ind w:right="84" w:rightChars="40"/>
        <w:jc w:val="center"/>
        <w:rPr>
          <w:rFonts w:hint="eastAsia" w:ascii="宋体" w:hAnsi="宋体" w:cs="宋体"/>
          <w:color w:val="auto"/>
          <w:sz w:val="44"/>
          <w:szCs w:val="44"/>
        </w:rPr>
      </w:pPr>
    </w:p>
    <w:p w14:paraId="399DE373">
      <w:pPr>
        <w:pStyle w:val="169"/>
        <w:spacing w:line="336" w:lineRule="auto"/>
        <w:ind w:right="84" w:rightChars="40"/>
        <w:jc w:val="center"/>
        <w:rPr>
          <w:rFonts w:hint="eastAsia" w:ascii="宋体" w:hAnsi="宋体" w:cs="宋体"/>
          <w:color w:val="auto"/>
          <w:sz w:val="24"/>
          <w:szCs w:val="24"/>
        </w:rPr>
      </w:pPr>
      <w:r>
        <w:rPr>
          <w:rFonts w:hint="eastAsia" w:ascii="宋体" w:hAnsi="宋体" w:cs="宋体"/>
          <w:color w:val="auto"/>
          <w:sz w:val="44"/>
          <w:szCs w:val="44"/>
        </w:rPr>
        <w:t>无重大违法记录的声明函</w:t>
      </w:r>
    </w:p>
    <w:p w14:paraId="747D6FF6">
      <w:pPr>
        <w:pStyle w:val="170"/>
        <w:spacing w:line="560" w:lineRule="exact"/>
        <w:rPr>
          <w:rFonts w:hint="eastAsia" w:ascii="宋体" w:hAnsi="宋体" w:cs="宋体"/>
          <w:color w:val="auto"/>
          <w:sz w:val="28"/>
          <w:szCs w:val="28"/>
        </w:rPr>
      </w:pPr>
    </w:p>
    <w:p w14:paraId="403E9F66">
      <w:pPr>
        <w:pStyle w:val="170"/>
        <w:spacing w:line="560" w:lineRule="exact"/>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 xml:space="preserve">（采购人）  </w:t>
      </w:r>
    </w:p>
    <w:p w14:paraId="497E59B7">
      <w:pPr>
        <w:pStyle w:val="116"/>
        <w:spacing w:line="560" w:lineRule="exact"/>
        <w:ind w:right="84" w:rightChars="40"/>
        <w:rPr>
          <w:rFonts w:hint="eastAsia"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（供应商全称）参加贵单位组织的项目名称为</w:t>
      </w:r>
      <w:r>
        <w:rPr>
          <w:rFonts w:hint="eastAsia" w:ascii="宋体" w:hAnsi="宋体" w:cs="宋体"/>
          <w:color w:val="auto"/>
          <w:sz w:val="24"/>
          <w:szCs w:val="24"/>
          <w:u w:val="single"/>
        </w:rPr>
        <w:t xml:space="preserve">                      </w:t>
      </w:r>
      <w:r>
        <w:rPr>
          <w:rFonts w:hint="eastAsia" w:ascii="宋体" w:hAnsi="宋体" w:cs="宋体"/>
          <w:color w:val="auto"/>
          <w:sz w:val="24"/>
          <w:szCs w:val="24"/>
        </w:rPr>
        <w:t>，项目编号：</w:t>
      </w:r>
      <w:r>
        <w:rPr>
          <w:rFonts w:hint="eastAsia" w:ascii="宋体" w:hAnsi="宋体" w:cs="宋体"/>
          <w:color w:val="auto"/>
          <w:sz w:val="24"/>
          <w:szCs w:val="24"/>
          <w:u w:val="single"/>
        </w:rPr>
        <w:t xml:space="preserve">             </w:t>
      </w:r>
      <w:r>
        <w:rPr>
          <w:rFonts w:hint="eastAsia" w:ascii="宋体" w:hAnsi="宋体" w:cs="宋体"/>
          <w:color w:val="auto"/>
          <w:sz w:val="24"/>
          <w:szCs w:val="24"/>
        </w:rPr>
        <w:t>的政府采购活动，在此郑重声明：</w:t>
      </w:r>
    </w:p>
    <w:p w14:paraId="64A534FC">
      <w:pPr>
        <w:pStyle w:val="116"/>
        <w:spacing w:line="560" w:lineRule="exact"/>
        <w:ind w:right="84" w:rightChars="40" w:firstLine="480" w:firstLineChars="200"/>
        <w:rPr>
          <w:rFonts w:hint="eastAsia" w:ascii="宋体" w:hAnsi="宋体" w:cs="宋体"/>
          <w:color w:val="auto"/>
          <w:sz w:val="24"/>
          <w:szCs w:val="24"/>
        </w:rPr>
      </w:pPr>
      <w:r>
        <w:rPr>
          <w:rFonts w:hint="eastAsia" w:ascii="宋体" w:hAnsi="宋体" w:cs="宋体"/>
          <w:color w:val="auto"/>
          <w:sz w:val="24"/>
          <w:szCs w:val="24"/>
        </w:rPr>
        <w:t>我单位在参加本项目政府采购活动前3年内在经营活动中未因违法经营受到刑事处罚或者责令停产停业、吊销许可证或者执照、较大数额罚款等行政处罚。</w:t>
      </w:r>
    </w:p>
    <w:p w14:paraId="6FFD56BC">
      <w:pPr>
        <w:pStyle w:val="116"/>
        <w:spacing w:line="560" w:lineRule="exact"/>
        <w:ind w:right="84" w:rightChars="40"/>
        <w:rPr>
          <w:rFonts w:hint="eastAsia" w:ascii="宋体" w:hAnsi="宋体" w:cs="宋体"/>
          <w:color w:val="auto"/>
          <w:sz w:val="24"/>
          <w:szCs w:val="24"/>
        </w:rPr>
      </w:pPr>
    </w:p>
    <w:p w14:paraId="42775A41">
      <w:pPr>
        <w:pStyle w:val="116"/>
        <w:spacing w:line="560" w:lineRule="exact"/>
        <w:ind w:right="84" w:rightChars="40"/>
        <w:rPr>
          <w:rFonts w:hint="eastAsia" w:ascii="宋体" w:hAnsi="宋体" w:cs="宋体"/>
          <w:color w:val="auto"/>
          <w:sz w:val="24"/>
          <w:szCs w:val="24"/>
        </w:rPr>
      </w:pPr>
    </w:p>
    <w:p w14:paraId="08F3D0DD">
      <w:pPr>
        <w:spacing w:line="560" w:lineRule="exact"/>
        <w:ind w:firstLine="3360" w:firstLineChars="1400"/>
        <w:rPr>
          <w:rFonts w:hint="eastAsia" w:ascii="宋体" w:hAnsi="宋体" w:cs="宋体"/>
          <w:color w:val="auto"/>
          <w:sz w:val="24"/>
          <w:szCs w:val="24"/>
        </w:rPr>
      </w:pPr>
      <w:r>
        <w:rPr>
          <w:rFonts w:hint="eastAsia" w:ascii="宋体" w:hAnsi="宋体" w:cs="宋体"/>
          <w:color w:val="auto"/>
          <w:sz w:val="24"/>
          <w:szCs w:val="24"/>
        </w:rPr>
        <w:t>企业名称（盖章）：</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14:paraId="2E117B90">
      <w:pPr>
        <w:pStyle w:val="116"/>
        <w:spacing w:line="560" w:lineRule="exact"/>
        <w:ind w:right="84" w:rightChars="40"/>
        <w:jc w:val="center"/>
        <w:rPr>
          <w:rFonts w:hint="eastAsia" w:ascii="宋体" w:hAnsi="宋体" w:cs="宋体"/>
          <w:color w:val="auto"/>
          <w:sz w:val="24"/>
          <w:szCs w:val="24"/>
        </w:rPr>
      </w:pPr>
      <w:r>
        <w:rPr>
          <w:rFonts w:hint="eastAsia" w:ascii="宋体" w:hAnsi="宋体" w:cs="宋体"/>
          <w:color w:val="auto"/>
          <w:sz w:val="24"/>
          <w:szCs w:val="24"/>
        </w:rPr>
        <w:t xml:space="preserve">                   日  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67AD5F14">
      <w:pPr>
        <w:pStyle w:val="116"/>
        <w:spacing w:line="560" w:lineRule="exact"/>
        <w:ind w:right="84" w:rightChars="40"/>
        <w:rPr>
          <w:rFonts w:hint="eastAsia" w:ascii="宋体" w:hAnsi="宋体" w:cs="宋体"/>
          <w:color w:val="auto"/>
          <w:sz w:val="24"/>
          <w:szCs w:val="24"/>
        </w:rPr>
      </w:pPr>
    </w:p>
    <w:p w14:paraId="29ABA135">
      <w:pPr>
        <w:spacing w:line="560" w:lineRule="exact"/>
        <w:jc w:val="center"/>
        <w:rPr>
          <w:rFonts w:hint="eastAsia" w:ascii="宋体" w:hAnsi="宋体" w:cs="宋体"/>
          <w:bCs/>
          <w:color w:val="auto"/>
          <w:sz w:val="44"/>
          <w:szCs w:val="44"/>
        </w:rPr>
      </w:pPr>
      <w:r>
        <w:rPr>
          <w:rFonts w:hint="eastAsia" w:ascii="宋体" w:hAnsi="宋体" w:cs="宋体"/>
          <w:b/>
          <w:color w:val="auto"/>
          <w:sz w:val="24"/>
          <w:szCs w:val="24"/>
        </w:rPr>
        <w:br w:type="page"/>
      </w:r>
      <w:r>
        <w:rPr>
          <w:rFonts w:hint="eastAsia" w:ascii="宋体" w:hAnsi="宋体" w:cs="宋体"/>
          <w:bCs/>
          <w:color w:val="auto"/>
          <w:sz w:val="44"/>
          <w:szCs w:val="44"/>
        </w:rPr>
        <w:t>法定代表人授权书</w:t>
      </w:r>
    </w:p>
    <w:p w14:paraId="18F5CE2D">
      <w:pPr>
        <w:ind w:firstLine="480"/>
        <w:rPr>
          <w:rFonts w:hint="eastAsia" w:ascii="宋体" w:hAnsi="宋体" w:cs="宋体"/>
          <w:color w:val="auto"/>
          <w:sz w:val="24"/>
          <w:szCs w:val="24"/>
        </w:rPr>
      </w:pPr>
    </w:p>
    <w:p w14:paraId="4B6B1751">
      <w:pPr>
        <w:rPr>
          <w:rFonts w:hint="eastAsia"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（采购人）</w:t>
      </w:r>
    </w:p>
    <w:p w14:paraId="2E37901F">
      <w:pPr>
        <w:ind w:firstLine="480" w:firstLineChars="200"/>
        <w:rPr>
          <w:rFonts w:hint="eastAsia" w:ascii="宋体" w:hAnsi="宋体" w:cs="宋体"/>
          <w:color w:val="auto"/>
          <w:sz w:val="24"/>
          <w:szCs w:val="24"/>
        </w:rPr>
      </w:pPr>
      <w:r>
        <w:rPr>
          <w:rFonts w:hint="eastAsia" w:ascii="宋体" w:hAnsi="宋体" w:cs="宋体"/>
          <w:color w:val="auto"/>
          <w:sz w:val="24"/>
          <w:szCs w:val="24"/>
        </w:rPr>
        <w:t>本授权书声明：</w:t>
      </w:r>
      <w:r>
        <w:rPr>
          <w:rFonts w:hint="eastAsia" w:ascii="宋体" w:hAnsi="宋体" w:cs="宋体"/>
          <w:color w:val="auto"/>
          <w:sz w:val="24"/>
          <w:szCs w:val="24"/>
          <w:u w:val="single"/>
        </w:rPr>
        <w:t xml:space="preserve">         </w:t>
      </w:r>
      <w:r>
        <w:rPr>
          <w:rFonts w:hint="eastAsia" w:ascii="宋体" w:hAnsi="宋体" w:cs="宋体"/>
          <w:color w:val="auto"/>
          <w:sz w:val="24"/>
          <w:szCs w:val="24"/>
        </w:rPr>
        <w:t>是注册于</w:t>
      </w:r>
      <w:r>
        <w:rPr>
          <w:rFonts w:hint="eastAsia" w:ascii="宋体" w:hAnsi="宋体" w:cs="宋体"/>
          <w:color w:val="auto"/>
          <w:sz w:val="24"/>
          <w:szCs w:val="24"/>
          <w:u w:val="single"/>
        </w:rPr>
        <w:t xml:space="preserve">            </w:t>
      </w:r>
      <w:r>
        <w:rPr>
          <w:rFonts w:hint="eastAsia" w:ascii="宋体" w:hAnsi="宋体" w:cs="宋体"/>
          <w:color w:val="auto"/>
          <w:sz w:val="24"/>
          <w:szCs w:val="24"/>
        </w:rPr>
        <w:t>（国家或地区）的</w:t>
      </w:r>
      <w:r>
        <w:rPr>
          <w:rFonts w:hint="eastAsia" w:ascii="宋体" w:hAnsi="宋体" w:cs="宋体"/>
          <w:color w:val="auto"/>
          <w:sz w:val="24"/>
          <w:szCs w:val="24"/>
          <w:u w:val="single"/>
        </w:rPr>
        <w:t xml:space="preserve">           （投标人名称）           </w:t>
      </w:r>
      <w:r>
        <w:rPr>
          <w:rFonts w:hint="eastAsia" w:ascii="宋体" w:hAnsi="宋体" w:cs="宋体"/>
          <w:color w:val="auto"/>
          <w:sz w:val="24"/>
          <w:szCs w:val="24"/>
        </w:rPr>
        <w:t>的法定代表人，现任</w:t>
      </w:r>
      <w:r>
        <w:rPr>
          <w:rFonts w:hint="eastAsia" w:ascii="宋体" w:hAnsi="宋体" w:cs="宋体"/>
          <w:color w:val="auto"/>
          <w:sz w:val="24"/>
          <w:szCs w:val="24"/>
          <w:u w:val="single"/>
        </w:rPr>
        <w:t xml:space="preserve">         </w:t>
      </w:r>
      <w:r>
        <w:rPr>
          <w:rFonts w:hint="eastAsia" w:ascii="宋体" w:hAnsi="宋体" w:cs="宋体"/>
          <w:color w:val="auto"/>
          <w:sz w:val="24"/>
          <w:szCs w:val="24"/>
        </w:rPr>
        <w:t>职务，有效证件号码：</w:t>
      </w:r>
      <w:r>
        <w:rPr>
          <w:rFonts w:hint="eastAsia" w:ascii="宋体" w:hAnsi="宋体" w:cs="宋体"/>
          <w:color w:val="auto"/>
          <w:sz w:val="24"/>
          <w:szCs w:val="24"/>
          <w:u w:val="single"/>
        </w:rPr>
        <w:t xml:space="preserve">                   </w:t>
      </w:r>
      <w:r>
        <w:rPr>
          <w:rFonts w:hint="eastAsia" w:ascii="宋体" w:hAnsi="宋体" w:cs="宋体"/>
          <w:color w:val="auto"/>
          <w:sz w:val="24"/>
          <w:szCs w:val="24"/>
        </w:rPr>
        <w:t>。现授权</w:t>
      </w:r>
      <w:r>
        <w:rPr>
          <w:rFonts w:hint="eastAsia" w:ascii="宋体" w:hAnsi="宋体" w:cs="宋体"/>
          <w:color w:val="auto"/>
          <w:sz w:val="24"/>
          <w:szCs w:val="24"/>
          <w:u w:val="single"/>
        </w:rPr>
        <w:t xml:space="preserve">（姓名、职务）           </w:t>
      </w:r>
      <w:r>
        <w:rPr>
          <w:rFonts w:hint="eastAsia" w:ascii="宋体" w:hAnsi="宋体" w:cs="宋体"/>
          <w:color w:val="auto"/>
          <w:sz w:val="24"/>
          <w:szCs w:val="24"/>
        </w:rPr>
        <w:t>作为我公司的全权代理人，就</w:t>
      </w:r>
      <w:r>
        <w:rPr>
          <w:rFonts w:hint="eastAsia" w:ascii="宋体" w:hAnsi="宋体" w:cs="宋体"/>
          <w:color w:val="auto"/>
          <w:sz w:val="24"/>
          <w:szCs w:val="24"/>
          <w:u w:val="single"/>
        </w:rPr>
        <w:t xml:space="preserve">                         </w:t>
      </w:r>
      <w:r>
        <w:rPr>
          <w:rFonts w:hint="eastAsia" w:ascii="宋体" w:hAnsi="宋体" w:cs="宋体"/>
          <w:color w:val="auto"/>
          <w:sz w:val="24"/>
          <w:szCs w:val="24"/>
        </w:rPr>
        <w:t>[采购项目编号为xx-xx-xxxx]的投标和合同执行，以我方的名义处理一切与之有关的事宜。</w:t>
      </w:r>
    </w:p>
    <w:p w14:paraId="09C031A7">
      <w:pPr>
        <w:ind w:firstLine="480" w:firstLineChars="200"/>
        <w:rPr>
          <w:rFonts w:hint="eastAsia" w:ascii="宋体" w:hAnsi="宋体" w:cs="宋体"/>
          <w:color w:val="auto"/>
          <w:sz w:val="24"/>
          <w:szCs w:val="24"/>
        </w:rPr>
      </w:pPr>
      <w:r>
        <w:rPr>
          <w:rFonts w:hint="eastAsia" w:ascii="宋体" w:hAnsi="宋体" w:cs="宋体"/>
          <w:color w:val="auto"/>
          <w:sz w:val="24"/>
          <w:szCs w:val="24"/>
        </w:rPr>
        <w:t>本授权书于</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日签章生效，特此声明。</w:t>
      </w:r>
    </w:p>
    <w:p w14:paraId="441A8C7A">
      <w:pPr>
        <w:ind w:firstLine="480" w:firstLineChars="200"/>
        <w:rPr>
          <w:rFonts w:hint="eastAsia" w:ascii="宋体" w:hAnsi="宋体" w:cs="宋体"/>
          <w:color w:val="auto"/>
          <w:sz w:val="24"/>
          <w:szCs w:val="24"/>
          <w:u w:val="single"/>
        </w:rPr>
      </w:pPr>
      <w:r>
        <w:rPr>
          <w:rFonts w:hint="eastAsia" w:ascii="宋体" w:hAnsi="宋体" w:cs="宋体"/>
          <w:color w:val="auto"/>
          <w:sz w:val="24"/>
          <w:szCs w:val="24"/>
        </w:rPr>
        <w:t>投标人（盖章）：</w:t>
      </w:r>
      <w:r>
        <w:rPr>
          <w:rFonts w:hint="eastAsia" w:ascii="宋体" w:hAnsi="宋体" w:cs="宋体"/>
          <w:color w:val="auto"/>
          <w:sz w:val="24"/>
          <w:szCs w:val="24"/>
          <w:u w:val="single"/>
        </w:rPr>
        <w:t xml:space="preserve">                     </w:t>
      </w:r>
    </w:p>
    <w:p w14:paraId="7517F016">
      <w:pPr>
        <w:ind w:firstLine="480" w:firstLineChars="200"/>
        <w:rPr>
          <w:rFonts w:hint="eastAsia" w:ascii="宋体" w:hAnsi="宋体" w:cs="宋体"/>
          <w:color w:val="auto"/>
          <w:sz w:val="24"/>
          <w:szCs w:val="24"/>
          <w:u w:val="single"/>
        </w:rPr>
      </w:pPr>
      <w:r>
        <w:rPr>
          <w:rFonts w:hint="eastAsia" w:ascii="宋体" w:hAnsi="宋体" w:cs="宋体"/>
          <w:color w:val="auto"/>
          <w:sz w:val="24"/>
          <w:szCs w:val="24"/>
        </w:rPr>
        <w:t>地址：</w:t>
      </w:r>
      <w:r>
        <w:rPr>
          <w:rFonts w:hint="eastAsia" w:ascii="宋体" w:hAnsi="宋体" w:cs="宋体"/>
          <w:color w:val="auto"/>
          <w:sz w:val="24"/>
          <w:szCs w:val="24"/>
          <w:u w:val="single"/>
        </w:rPr>
        <w:t xml:space="preserve">                               </w:t>
      </w:r>
    </w:p>
    <w:p w14:paraId="484C9140">
      <w:pPr>
        <w:ind w:firstLine="480" w:firstLineChars="200"/>
        <w:rPr>
          <w:rFonts w:hint="eastAsia" w:ascii="宋体" w:hAnsi="宋体" w:cs="宋体"/>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u w:val="single"/>
        </w:rPr>
        <w:t xml:space="preserve">                  </w:t>
      </w:r>
      <w:r>
        <w:rPr>
          <w:rFonts w:hint="eastAsia" w:ascii="宋体" w:hAnsi="宋体" w:cs="宋体"/>
          <w:color w:val="auto"/>
          <w:sz w:val="24"/>
          <w:szCs w:val="24"/>
        </w:rPr>
        <w:t>；手机号码：</w:t>
      </w:r>
      <w:r>
        <w:rPr>
          <w:rFonts w:hint="eastAsia" w:ascii="宋体" w:hAnsi="宋体" w:cs="宋体"/>
          <w:color w:val="auto"/>
          <w:sz w:val="24"/>
          <w:szCs w:val="24"/>
          <w:u w:val="single"/>
        </w:rPr>
        <w:t xml:space="preserve">                   </w:t>
      </w:r>
    </w:p>
    <w:p w14:paraId="01AC797E">
      <w:pPr>
        <w:ind w:firstLine="480" w:firstLineChars="200"/>
        <w:rPr>
          <w:rFonts w:hint="eastAsia" w:ascii="宋体" w:hAnsi="宋体" w:cs="宋体"/>
          <w:color w:val="auto"/>
          <w:sz w:val="24"/>
          <w:szCs w:val="24"/>
        </w:rPr>
      </w:pPr>
      <w:r>
        <w:rPr>
          <w:rFonts w:hint="eastAsia" w:ascii="宋体" w:hAnsi="宋体" w:cs="宋体"/>
          <w:color w:val="auto"/>
          <w:sz w:val="24"/>
          <w:szCs w:val="24"/>
        </w:rPr>
        <w:t>被授权人：</w:t>
      </w:r>
      <w:r>
        <w:rPr>
          <w:rFonts w:hint="eastAsia" w:ascii="宋体" w:hAnsi="宋体" w:cs="宋体"/>
          <w:color w:val="auto"/>
          <w:sz w:val="24"/>
          <w:szCs w:val="24"/>
          <w:u w:val="single"/>
        </w:rPr>
        <w:t xml:space="preserve">                    </w:t>
      </w:r>
      <w:r>
        <w:rPr>
          <w:rFonts w:hint="eastAsia" w:ascii="宋体" w:hAnsi="宋体" w:cs="宋体"/>
          <w:color w:val="auto"/>
          <w:sz w:val="24"/>
          <w:szCs w:val="24"/>
        </w:rPr>
        <w:t>；手机号码：</w:t>
      </w:r>
      <w:r>
        <w:rPr>
          <w:rFonts w:hint="eastAsia" w:ascii="宋体" w:hAnsi="宋体" w:cs="宋体"/>
          <w:color w:val="auto"/>
          <w:sz w:val="24"/>
          <w:szCs w:val="24"/>
          <w:u w:val="single"/>
        </w:rPr>
        <w:t xml:space="preserve">                   </w:t>
      </w:r>
    </w:p>
    <w:p w14:paraId="625B4E06">
      <w:pPr>
        <w:ind w:firstLine="480" w:firstLineChars="200"/>
        <w:rPr>
          <w:rFonts w:hint="eastAsia" w:ascii="宋体" w:hAnsi="宋体" w:cs="宋体"/>
          <w:color w:val="auto"/>
          <w:sz w:val="24"/>
          <w:szCs w:val="24"/>
        </w:rPr>
      </w:pPr>
      <w:r>
        <w:rPr>
          <w:rFonts w:hint="eastAsia" w:ascii="宋体" w:hAnsi="宋体" w:cs="宋体"/>
          <w:color w:val="auto"/>
          <w:sz w:val="24"/>
          <w:szCs w:val="24"/>
        </w:rPr>
        <w:t>附：请提供代理人身份证扫描件（正反两面）；港澳台居民可提供来往通行证扫描件；非中国国籍管辖范围人员，可提供公安部门认可的身份证明材料扫描件。</w:t>
      </w:r>
    </w:p>
    <w:p w14:paraId="031C57D5">
      <w:pPr>
        <w:pStyle w:val="161"/>
        <w:ind w:firstLine="480"/>
        <w:rPr>
          <w:rFonts w:hint="eastAsia" w:ascii="宋体" w:hAnsi="宋体" w:cs="宋体"/>
          <w:color w:val="auto"/>
          <w:sz w:val="24"/>
          <w:szCs w:val="24"/>
        </w:rPr>
      </w:pPr>
    </w:p>
    <w:p w14:paraId="132A26AB">
      <w:pPr>
        <w:pStyle w:val="161"/>
        <w:ind w:firstLine="480"/>
        <w:rPr>
          <w:rFonts w:hint="eastAsia" w:ascii="宋体" w:hAnsi="宋体" w:cs="宋体"/>
          <w:color w:val="auto"/>
          <w:sz w:val="24"/>
          <w:szCs w:val="24"/>
        </w:rPr>
      </w:pPr>
    </w:p>
    <w:p w14:paraId="0F2E44C5">
      <w:pPr>
        <w:spacing w:line="560" w:lineRule="exact"/>
        <w:ind w:firstLine="2880" w:firstLineChars="1200"/>
        <w:rPr>
          <w:rFonts w:hint="eastAsia" w:ascii="宋体" w:hAnsi="宋体" w:cs="宋体"/>
          <w:color w:val="auto"/>
          <w:sz w:val="24"/>
          <w:szCs w:val="24"/>
          <w:u w:val="single"/>
        </w:rPr>
      </w:pPr>
      <w:r>
        <w:rPr>
          <w:rFonts w:hint="eastAsia" w:ascii="宋体" w:hAnsi="宋体" w:cs="宋体"/>
          <w:color w:val="auto"/>
          <w:sz w:val="24"/>
          <w:szCs w:val="24"/>
        </w:rPr>
        <w:t>企业名称（盖章）：</w:t>
      </w:r>
      <w:r>
        <w:rPr>
          <w:rFonts w:hint="eastAsia" w:ascii="宋体" w:hAnsi="宋体" w:cs="宋体"/>
          <w:color w:val="auto"/>
          <w:sz w:val="24"/>
          <w:szCs w:val="24"/>
          <w:u w:val="single"/>
        </w:rPr>
        <w:t xml:space="preserve">                    </w:t>
      </w:r>
    </w:p>
    <w:p w14:paraId="64C7C163">
      <w:pPr>
        <w:pStyle w:val="144"/>
        <w:spacing w:line="360" w:lineRule="auto"/>
        <w:jc w:val="center"/>
        <w:rPr>
          <w:rFonts w:hint="eastAsia" w:ascii="宋体" w:hAnsi="宋体" w:eastAsia="宋体" w:cs="宋体"/>
          <w:b/>
          <w:color w:val="auto"/>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14:paraId="343F5827">
      <w:pPr>
        <w:pStyle w:val="89"/>
        <w:spacing w:line="560" w:lineRule="exact"/>
        <w:jc w:val="center"/>
        <w:rPr>
          <w:rFonts w:hint="eastAsia" w:ascii="宋体" w:hAnsi="宋体" w:cs="宋体"/>
          <w:bCs/>
          <w:color w:val="auto"/>
          <w:sz w:val="44"/>
          <w:szCs w:val="44"/>
        </w:rPr>
      </w:pPr>
      <w:r>
        <w:rPr>
          <w:rFonts w:hint="eastAsia" w:ascii="宋体" w:hAnsi="宋体" w:cs="宋体"/>
          <w:b/>
          <w:color w:val="auto"/>
          <w:sz w:val="28"/>
          <w:szCs w:val="28"/>
        </w:rPr>
        <w:br w:type="page"/>
      </w:r>
      <w:r>
        <w:rPr>
          <w:rFonts w:hint="eastAsia" w:ascii="宋体" w:hAnsi="宋体" w:cs="宋体"/>
          <w:bCs/>
          <w:color w:val="auto"/>
          <w:sz w:val="44"/>
          <w:szCs w:val="44"/>
        </w:rPr>
        <w:t>开标一览表</w:t>
      </w:r>
    </w:p>
    <w:bookmarkEnd w:id="284"/>
    <w:p w14:paraId="64FD97F8">
      <w:pPr>
        <w:pStyle w:val="88"/>
        <w:wordWrap w:val="0"/>
        <w:spacing w:line="560" w:lineRule="exact"/>
        <w:jc w:val="center"/>
        <w:rPr>
          <w:rFonts w:hint="eastAsia" w:hAnsi="宋体" w:cs="宋体"/>
          <w:color w:val="auto"/>
          <w:sz w:val="24"/>
          <w:szCs w:val="24"/>
        </w:rPr>
      </w:pPr>
    </w:p>
    <w:p w14:paraId="29266F10">
      <w:pPr>
        <w:pStyle w:val="88"/>
        <w:wordWrap w:val="0"/>
        <w:spacing w:line="560" w:lineRule="exact"/>
        <w:jc w:val="right"/>
        <w:rPr>
          <w:rFonts w:hint="eastAsia" w:hAnsi="宋体" w:cs="宋体"/>
          <w:bCs/>
          <w:color w:val="auto"/>
          <w:sz w:val="24"/>
          <w:szCs w:val="24"/>
          <w:lang w:val="en-GB"/>
        </w:rPr>
      </w:pPr>
      <w:r>
        <w:rPr>
          <w:rFonts w:hint="eastAsia" w:hAnsi="宋体" w:cs="宋体"/>
          <w:color w:val="auto"/>
          <w:sz w:val="24"/>
          <w:szCs w:val="24"/>
        </w:rPr>
        <w:t>[货币单位：人民币元]</w:t>
      </w:r>
    </w:p>
    <w:tbl>
      <w:tblPr>
        <w:tblStyle w:val="44"/>
        <w:tblW w:w="0" w:type="auto"/>
        <w:tblInd w:w="14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70"/>
        <w:gridCol w:w="2580"/>
        <w:gridCol w:w="1287"/>
        <w:gridCol w:w="1750"/>
        <w:gridCol w:w="2313"/>
      </w:tblGrid>
      <w:tr w14:paraId="7B7346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9" w:hRule="atLeast"/>
        </w:trPr>
        <w:tc>
          <w:tcPr>
            <w:tcW w:w="770" w:type="dxa"/>
            <w:noWrap w:val="0"/>
            <w:vAlign w:val="center"/>
          </w:tcPr>
          <w:p w14:paraId="1C6FC368">
            <w:pPr>
              <w:jc w:val="center"/>
              <w:rPr>
                <w:rFonts w:hint="eastAsia" w:ascii="宋体" w:hAnsi="宋体" w:cs="宋体"/>
                <w:color w:val="auto"/>
                <w:sz w:val="24"/>
                <w:szCs w:val="24"/>
              </w:rPr>
            </w:pPr>
            <w:r>
              <w:rPr>
                <w:rFonts w:hint="eastAsia" w:ascii="宋体" w:hAnsi="宋体" w:cs="宋体"/>
                <w:color w:val="auto"/>
                <w:sz w:val="24"/>
                <w:szCs w:val="24"/>
              </w:rPr>
              <w:t>序号</w:t>
            </w:r>
          </w:p>
        </w:tc>
        <w:tc>
          <w:tcPr>
            <w:tcW w:w="2580" w:type="dxa"/>
            <w:noWrap w:val="0"/>
            <w:vAlign w:val="center"/>
          </w:tcPr>
          <w:p w14:paraId="3D8DAD32">
            <w:pPr>
              <w:jc w:val="center"/>
              <w:rPr>
                <w:rFonts w:hint="eastAsia" w:ascii="宋体" w:hAnsi="宋体" w:cs="宋体"/>
                <w:color w:val="auto"/>
                <w:sz w:val="24"/>
                <w:szCs w:val="24"/>
              </w:rPr>
            </w:pPr>
            <w:r>
              <w:rPr>
                <w:rFonts w:hint="eastAsia" w:ascii="宋体" w:hAnsi="宋体" w:cs="宋体"/>
                <w:color w:val="auto"/>
                <w:sz w:val="24"/>
                <w:szCs w:val="24"/>
              </w:rPr>
              <w:t>采购项目名称/</w:t>
            </w:r>
          </w:p>
          <w:p w14:paraId="0FA6F197">
            <w:pPr>
              <w:jc w:val="center"/>
              <w:rPr>
                <w:rFonts w:hint="eastAsia" w:ascii="宋体" w:hAnsi="宋体" w:cs="宋体"/>
                <w:color w:val="auto"/>
                <w:sz w:val="24"/>
                <w:szCs w:val="24"/>
              </w:rPr>
            </w:pPr>
            <w:r>
              <w:rPr>
                <w:rFonts w:hint="eastAsia" w:ascii="宋体" w:hAnsi="宋体" w:cs="宋体"/>
                <w:color w:val="auto"/>
                <w:sz w:val="24"/>
                <w:szCs w:val="24"/>
              </w:rPr>
              <w:t>采购包名称</w:t>
            </w:r>
          </w:p>
        </w:tc>
        <w:tc>
          <w:tcPr>
            <w:tcW w:w="1287" w:type="dxa"/>
            <w:noWrap w:val="0"/>
            <w:vAlign w:val="center"/>
          </w:tcPr>
          <w:p w14:paraId="396D8B60">
            <w:pPr>
              <w:jc w:val="center"/>
              <w:rPr>
                <w:rFonts w:hint="eastAsia" w:ascii="宋体" w:hAnsi="宋体" w:cs="宋体"/>
                <w:color w:val="auto"/>
                <w:sz w:val="24"/>
                <w:szCs w:val="24"/>
              </w:rPr>
            </w:pPr>
            <w:r>
              <w:rPr>
                <w:rFonts w:hint="eastAsia" w:ascii="宋体" w:hAnsi="宋体" w:cs="宋体"/>
                <w:color w:val="auto"/>
                <w:sz w:val="24"/>
                <w:szCs w:val="24"/>
              </w:rPr>
              <w:t>投标报价（元）</w:t>
            </w:r>
          </w:p>
        </w:tc>
        <w:tc>
          <w:tcPr>
            <w:tcW w:w="1750" w:type="dxa"/>
            <w:noWrap w:val="0"/>
            <w:vAlign w:val="center"/>
          </w:tcPr>
          <w:p w14:paraId="0783B299">
            <w:pPr>
              <w:jc w:val="center"/>
              <w:rPr>
                <w:rFonts w:hint="eastAsia" w:ascii="宋体" w:hAnsi="宋体" w:cs="宋体"/>
                <w:color w:val="auto"/>
                <w:sz w:val="24"/>
                <w:szCs w:val="24"/>
              </w:rPr>
            </w:pPr>
            <w:r>
              <w:rPr>
                <w:rFonts w:hint="eastAsia" w:ascii="宋体" w:hAnsi="宋体" w:cs="宋体"/>
                <w:color w:val="auto"/>
                <w:sz w:val="24"/>
                <w:szCs w:val="24"/>
              </w:rPr>
              <w:t>交货或服务期</w:t>
            </w:r>
          </w:p>
        </w:tc>
        <w:tc>
          <w:tcPr>
            <w:tcW w:w="2313" w:type="dxa"/>
            <w:noWrap w:val="0"/>
            <w:vAlign w:val="center"/>
          </w:tcPr>
          <w:p w14:paraId="2293D6D4">
            <w:pPr>
              <w:jc w:val="center"/>
              <w:rPr>
                <w:rFonts w:hint="eastAsia" w:ascii="宋体" w:hAnsi="宋体" w:cs="宋体"/>
                <w:color w:val="auto"/>
                <w:sz w:val="24"/>
                <w:szCs w:val="24"/>
              </w:rPr>
            </w:pPr>
            <w:r>
              <w:rPr>
                <w:rFonts w:hint="eastAsia" w:ascii="宋体" w:hAnsi="宋体" w:cs="宋体"/>
                <w:color w:val="auto"/>
                <w:sz w:val="24"/>
                <w:szCs w:val="24"/>
              </w:rPr>
              <w:t>交货或服务地点</w:t>
            </w:r>
          </w:p>
        </w:tc>
      </w:tr>
      <w:tr w14:paraId="0BE05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28" w:hRule="atLeast"/>
        </w:trPr>
        <w:tc>
          <w:tcPr>
            <w:tcW w:w="770" w:type="dxa"/>
            <w:noWrap w:val="0"/>
            <w:vAlign w:val="center"/>
          </w:tcPr>
          <w:p w14:paraId="01715CA4">
            <w:pPr>
              <w:jc w:val="center"/>
              <w:rPr>
                <w:rFonts w:hint="eastAsia" w:ascii="宋体" w:hAnsi="宋体" w:cs="宋体"/>
                <w:color w:val="auto"/>
                <w:sz w:val="24"/>
                <w:szCs w:val="24"/>
              </w:rPr>
            </w:pPr>
            <w:r>
              <w:rPr>
                <w:rFonts w:hint="eastAsia" w:ascii="宋体" w:hAnsi="宋体" w:cs="宋体"/>
                <w:color w:val="auto"/>
                <w:sz w:val="24"/>
                <w:szCs w:val="24"/>
              </w:rPr>
              <w:t>1</w:t>
            </w:r>
          </w:p>
        </w:tc>
        <w:tc>
          <w:tcPr>
            <w:tcW w:w="2580" w:type="dxa"/>
            <w:noWrap w:val="0"/>
            <w:vAlign w:val="center"/>
          </w:tcPr>
          <w:p w14:paraId="1DB91C1E">
            <w:pPr>
              <w:jc w:val="left"/>
              <w:rPr>
                <w:rFonts w:hint="eastAsia" w:ascii="宋体" w:hAnsi="宋体" w:cs="宋体"/>
                <w:color w:val="auto"/>
                <w:sz w:val="24"/>
                <w:szCs w:val="24"/>
              </w:rPr>
            </w:pPr>
          </w:p>
        </w:tc>
        <w:tc>
          <w:tcPr>
            <w:tcW w:w="1287" w:type="dxa"/>
            <w:noWrap w:val="0"/>
            <w:vAlign w:val="center"/>
          </w:tcPr>
          <w:p w14:paraId="072B56B2">
            <w:pPr>
              <w:jc w:val="center"/>
              <w:rPr>
                <w:rFonts w:hint="eastAsia" w:ascii="宋体" w:hAnsi="宋体" w:cs="宋体"/>
                <w:color w:val="auto"/>
                <w:sz w:val="24"/>
                <w:szCs w:val="24"/>
              </w:rPr>
            </w:pPr>
          </w:p>
        </w:tc>
        <w:tc>
          <w:tcPr>
            <w:tcW w:w="1750" w:type="dxa"/>
            <w:noWrap w:val="0"/>
            <w:vAlign w:val="center"/>
          </w:tcPr>
          <w:p w14:paraId="09C81B64">
            <w:pPr>
              <w:jc w:val="center"/>
              <w:rPr>
                <w:rFonts w:hint="eastAsia" w:ascii="宋体" w:hAnsi="宋体" w:cs="宋体"/>
                <w:color w:val="auto"/>
                <w:sz w:val="24"/>
                <w:szCs w:val="24"/>
              </w:rPr>
            </w:pPr>
          </w:p>
        </w:tc>
        <w:tc>
          <w:tcPr>
            <w:tcW w:w="2313" w:type="dxa"/>
            <w:noWrap w:val="0"/>
            <w:vAlign w:val="center"/>
          </w:tcPr>
          <w:p w14:paraId="14DFC8FC">
            <w:pPr>
              <w:jc w:val="left"/>
              <w:rPr>
                <w:rFonts w:hint="eastAsia" w:ascii="宋体" w:hAnsi="宋体" w:cs="宋体"/>
                <w:color w:val="auto"/>
                <w:sz w:val="24"/>
                <w:szCs w:val="24"/>
              </w:rPr>
            </w:pPr>
          </w:p>
        </w:tc>
      </w:tr>
    </w:tbl>
    <w:p w14:paraId="5CFA0096">
      <w:pPr>
        <w:pStyle w:val="88"/>
        <w:wordWrap w:val="0"/>
        <w:spacing w:line="560" w:lineRule="exact"/>
        <w:jc w:val="right"/>
        <w:rPr>
          <w:rFonts w:hint="eastAsia" w:hAnsi="宋体" w:cs="宋体"/>
          <w:color w:val="auto"/>
          <w:sz w:val="24"/>
          <w:szCs w:val="24"/>
        </w:rPr>
      </w:pPr>
      <w:r>
        <w:rPr>
          <w:rFonts w:hint="eastAsia" w:hAnsi="宋体" w:cs="宋体"/>
          <w:color w:val="auto"/>
          <w:sz w:val="24"/>
          <w:szCs w:val="24"/>
        </w:rPr>
        <w:t xml:space="preserve">    </w:t>
      </w:r>
    </w:p>
    <w:p w14:paraId="521F018A">
      <w:pPr>
        <w:pStyle w:val="88"/>
        <w:spacing w:line="400" w:lineRule="exact"/>
        <w:ind w:left="843" w:leftChars="228" w:hanging="364" w:hangingChars="152"/>
        <w:rPr>
          <w:rFonts w:hint="eastAsia" w:hAnsi="宋体" w:cs="宋体"/>
          <w:color w:val="auto"/>
          <w:sz w:val="24"/>
          <w:szCs w:val="24"/>
        </w:rPr>
      </w:pPr>
      <w:r>
        <w:rPr>
          <w:rFonts w:hint="eastAsia" w:hAnsi="宋体" w:cs="宋体"/>
          <w:color w:val="auto"/>
          <w:sz w:val="24"/>
          <w:szCs w:val="24"/>
        </w:rPr>
        <w:t>填报要求：投标总报价包含运输、安装等所有税费。</w:t>
      </w:r>
    </w:p>
    <w:p w14:paraId="620425F9">
      <w:pPr>
        <w:pStyle w:val="89"/>
        <w:spacing w:line="400" w:lineRule="exact"/>
        <w:rPr>
          <w:rFonts w:hint="eastAsia" w:ascii="宋体" w:hAnsi="宋体" w:cs="宋体"/>
          <w:color w:val="auto"/>
          <w:sz w:val="24"/>
          <w:szCs w:val="24"/>
        </w:rPr>
      </w:pPr>
    </w:p>
    <w:p w14:paraId="3A1D45E4">
      <w:pPr>
        <w:pStyle w:val="89"/>
        <w:spacing w:line="400" w:lineRule="exact"/>
        <w:ind w:firstLine="480" w:firstLineChars="200"/>
        <w:rPr>
          <w:rFonts w:hint="eastAsia" w:ascii="宋体" w:hAnsi="宋体" w:cs="宋体"/>
          <w:bCs/>
          <w:color w:val="auto"/>
          <w:sz w:val="24"/>
          <w:szCs w:val="24"/>
          <w:lang w:val="en-GB"/>
        </w:rPr>
      </w:pPr>
      <w:r>
        <w:rPr>
          <w:rFonts w:hint="eastAsia" w:ascii="宋体" w:hAnsi="宋体" w:cs="宋体"/>
          <w:bCs/>
          <w:color w:val="auto"/>
          <w:sz w:val="24"/>
          <w:szCs w:val="24"/>
          <w:lang w:val="en-GB"/>
        </w:rPr>
        <w:t>注：投标供应商应在交易系统填报的开标一览表报价部分与其上传的投标文件开标一览表报价部分不一致时，以投标人上传的投标文件开标一览表报价部分内容为准。</w:t>
      </w:r>
    </w:p>
    <w:p w14:paraId="3994E0E7">
      <w:pPr>
        <w:pStyle w:val="89"/>
        <w:spacing w:line="400" w:lineRule="exact"/>
        <w:rPr>
          <w:rFonts w:hint="eastAsia" w:ascii="宋体" w:hAnsi="宋体" w:cs="宋体"/>
          <w:b/>
          <w:color w:val="auto"/>
          <w:sz w:val="24"/>
          <w:szCs w:val="24"/>
        </w:rPr>
        <w:sectPr>
          <w:headerReference r:id="rId9" w:type="default"/>
          <w:footerReference r:id="rId10" w:type="default"/>
          <w:pgSz w:w="11906" w:h="16838"/>
          <w:pgMar w:top="2098" w:right="1474" w:bottom="1984" w:left="1587" w:header="851" w:footer="992" w:gutter="0"/>
          <w:cols w:space="720" w:num="1"/>
          <w:docGrid w:type="lines" w:linePitch="312" w:charSpace="0"/>
        </w:sectPr>
      </w:pPr>
    </w:p>
    <w:p w14:paraId="455832FD">
      <w:pPr>
        <w:pStyle w:val="89"/>
        <w:spacing w:line="560" w:lineRule="exact"/>
        <w:jc w:val="center"/>
        <w:rPr>
          <w:rFonts w:hint="eastAsia" w:ascii="宋体" w:hAnsi="宋体" w:eastAsia="宋体" w:cs="宋体"/>
          <w:bCs/>
          <w:color w:val="auto"/>
          <w:sz w:val="44"/>
          <w:szCs w:val="44"/>
          <w:lang w:eastAsia="zh-CN"/>
        </w:rPr>
      </w:pPr>
      <w:r>
        <w:rPr>
          <w:rFonts w:hint="eastAsia" w:ascii="宋体" w:hAnsi="宋体" w:cs="宋体"/>
          <w:bCs/>
          <w:color w:val="auto"/>
          <w:sz w:val="44"/>
          <w:szCs w:val="44"/>
        </w:rPr>
        <w:t>分项报价表</w:t>
      </w:r>
    </w:p>
    <w:p w14:paraId="5C237375">
      <w:pPr>
        <w:pStyle w:val="89"/>
        <w:spacing w:line="560" w:lineRule="exact"/>
        <w:jc w:val="center"/>
        <w:rPr>
          <w:rFonts w:hint="eastAsia" w:ascii="宋体" w:hAnsi="宋体" w:eastAsia="宋体" w:cs="宋体"/>
          <w:bCs/>
          <w:color w:val="auto"/>
          <w:sz w:val="44"/>
          <w:szCs w:val="44"/>
          <w:lang w:eastAsia="zh-CN"/>
        </w:rPr>
      </w:pPr>
    </w:p>
    <w:p w14:paraId="75F3FAFD">
      <w:pPr>
        <w:ind w:firstLine="480"/>
        <w:rPr>
          <w:rFonts w:hint="eastAsia" w:ascii="宋体" w:hAnsi="宋体" w:cs="宋体"/>
          <w:color w:val="auto"/>
          <w:sz w:val="24"/>
          <w:szCs w:val="24"/>
          <w:u w:val="single"/>
        </w:rPr>
      </w:pPr>
      <w:r>
        <w:rPr>
          <w:rFonts w:hint="eastAsia" w:ascii="宋体" w:hAnsi="宋体" w:cs="宋体"/>
          <w:color w:val="auto"/>
          <w:sz w:val="24"/>
          <w:szCs w:val="24"/>
        </w:rPr>
        <w:t>采购项目编号：</w:t>
      </w:r>
      <w:r>
        <w:rPr>
          <w:rFonts w:hint="eastAsia" w:ascii="宋体" w:hAnsi="宋体" w:cs="宋体"/>
          <w:color w:val="auto"/>
          <w:sz w:val="24"/>
          <w:szCs w:val="24"/>
          <w:u w:val="single"/>
        </w:rPr>
        <w:t xml:space="preserve">                     </w:t>
      </w:r>
    </w:p>
    <w:p w14:paraId="18FE70C9">
      <w:pPr>
        <w:ind w:firstLine="480"/>
        <w:rPr>
          <w:rFonts w:hint="eastAsia" w:ascii="宋体" w:hAnsi="宋体" w:cs="宋体"/>
          <w:color w:val="auto"/>
          <w:sz w:val="24"/>
          <w:szCs w:val="24"/>
          <w:u w:val="single"/>
        </w:rPr>
      </w:pPr>
      <w:r>
        <w:rPr>
          <w:rFonts w:hint="eastAsia" w:ascii="宋体" w:hAnsi="宋体" w:cs="宋体"/>
          <w:color w:val="auto"/>
          <w:sz w:val="24"/>
          <w:szCs w:val="24"/>
        </w:rPr>
        <w:t>项目名称：</w:t>
      </w:r>
      <w:r>
        <w:rPr>
          <w:rFonts w:hint="eastAsia" w:ascii="宋体" w:hAnsi="宋体" w:cs="宋体"/>
          <w:color w:val="auto"/>
          <w:sz w:val="24"/>
          <w:szCs w:val="24"/>
          <w:u w:val="single"/>
        </w:rPr>
        <w:t xml:space="preserve">                         </w:t>
      </w:r>
    </w:p>
    <w:p w14:paraId="5A4707E8">
      <w:pPr>
        <w:ind w:firstLine="480"/>
        <w:rPr>
          <w:rFonts w:hint="eastAsia" w:ascii="宋体" w:hAnsi="宋体" w:cs="宋体"/>
          <w:color w:val="auto"/>
          <w:sz w:val="24"/>
          <w:szCs w:val="24"/>
          <w:u w:val="single"/>
        </w:rPr>
      </w:pPr>
      <w:r>
        <w:rPr>
          <w:rFonts w:hint="eastAsia" w:ascii="宋体" w:hAnsi="宋体" w:cs="宋体"/>
          <w:color w:val="auto"/>
          <w:sz w:val="24"/>
          <w:szCs w:val="24"/>
        </w:rPr>
        <w:t>投标人名称：</w:t>
      </w:r>
      <w:r>
        <w:rPr>
          <w:rFonts w:hint="eastAsia" w:ascii="宋体" w:hAnsi="宋体" w:cs="宋体"/>
          <w:color w:val="auto"/>
          <w:sz w:val="24"/>
          <w:szCs w:val="24"/>
          <w:u w:val="single"/>
        </w:rPr>
        <w:t xml:space="preserve">                       </w:t>
      </w:r>
    </w:p>
    <w:p w14:paraId="15260B94">
      <w:pPr>
        <w:ind w:firstLine="480"/>
        <w:rPr>
          <w:rFonts w:hint="eastAsia" w:ascii="宋体" w:hAnsi="宋体" w:cs="宋体"/>
          <w:color w:val="auto"/>
          <w:sz w:val="24"/>
          <w:szCs w:val="24"/>
          <w:u w:val="single"/>
        </w:rPr>
      </w:pPr>
      <w:r>
        <w:rPr>
          <w:rFonts w:hint="eastAsia" w:ascii="宋体" w:hAnsi="宋体" w:cs="宋体"/>
          <w:color w:val="auto"/>
          <w:sz w:val="24"/>
          <w:szCs w:val="24"/>
        </w:rPr>
        <w:t>采购包：</w:t>
      </w:r>
      <w:r>
        <w:rPr>
          <w:rFonts w:hint="eastAsia" w:ascii="宋体" w:hAnsi="宋体" w:cs="宋体"/>
          <w:color w:val="auto"/>
          <w:sz w:val="24"/>
          <w:szCs w:val="24"/>
          <w:u w:val="single"/>
        </w:rPr>
        <w:t xml:space="preserve">                           </w:t>
      </w:r>
    </w:p>
    <w:p w14:paraId="5C20D4A8">
      <w:pPr>
        <w:ind w:firstLine="480" w:firstLineChars="200"/>
        <w:rPr>
          <w:rFonts w:hint="eastAsia" w:ascii="宋体" w:hAnsi="宋体" w:cs="宋体"/>
          <w:color w:val="auto"/>
          <w:sz w:val="24"/>
          <w:szCs w:val="24"/>
        </w:rPr>
      </w:pPr>
      <w:r>
        <w:rPr>
          <w:rFonts w:hint="eastAsia" w:ascii="宋体" w:hAnsi="宋体" w:cs="宋体"/>
          <w:color w:val="auto"/>
          <w:sz w:val="24"/>
          <w:szCs w:val="24"/>
        </w:rPr>
        <w:t>货币及单位：人民币/元</w:t>
      </w:r>
    </w:p>
    <w:p w14:paraId="28CA7AFA">
      <w:pPr>
        <w:spacing w:line="400" w:lineRule="exact"/>
        <w:rPr>
          <w:rFonts w:hint="eastAsia" w:ascii="宋体" w:hAnsi="宋体" w:cs="宋体"/>
          <w:color w:val="auto"/>
          <w:sz w:val="24"/>
          <w:szCs w:val="24"/>
        </w:rPr>
      </w:pPr>
    </w:p>
    <w:tbl>
      <w:tblPr>
        <w:tblStyle w:val="44"/>
        <w:tblW w:w="0" w:type="auto"/>
        <w:tblInd w:w="14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7"/>
        <w:gridCol w:w="1225"/>
        <w:gridCol w:w="744"/>
        <w:gridCol w:w="934"/>
        <w:gridCol w:w="1072"/>
        <w:gridCol w:w="1425"/>
        <w:gridCol w:w="1013"/>
        <w:gridCol w:w="750"/>
        <w:gridCol w:w="1137"/>
      </w:tblGrid>
      <w:tr w14:paraId="699979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7" w:type="dxa"/>
            <w:noWrap w:val="0"/>
            <w:vAlign w:val="center"/>
          </w:tcPr>
          <w:p w14:paraId="10D7AE1E">
            <w:pPr>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序号</w:t>
            </w:r>
          </w:p>
        </w:tc>
        <w:tc>
          <w:tcPr>
            <w:tcW w:w="1225" w:type="dxa"/>
            <w:noWrap w:val="0"/>
            <w:vAlign w:val="center"/>
          </w:tcPr>
          <w:p w14:paraId="047DC4CD">
            <w:pPr>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货物名称</w:t>
            </w:r>
          </w:p>
        </w:tc>
        <w:tc>
          <w:tcPr>
            <w:tcW w:w="744" w:type="dxa"/>
            <w:noWrap w:val="0"/>
            <w:vAlign w:val="center"/>
          </w:tcPr>
          <w:p w14:paraId="3717338D">
            <w:pPr>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规格型号</w:t>
            </w:r>
          </w:p>
        </w:tc>
        <w:tc>
          <w:tcPr>
            <w:tcW w:w="934" w:type="dxa"/>
            <w:noWrap w:val="0"/>
            <w:vAlign w:val="center"/>
          </w:tcPr>
          <w:p w14:paraId="12CDB8D7">
            <w:pPr>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品牌</w:t>
            </w:r>
          </w:p>
        </w:tc>
        <w:tc>
          <w:tcPr>
            <w:tcW w:w="1072" w:type="dxa"/>
            <w:noWrap w:val="0"/>
            <w:vAlign w:val="center"/>
          </w:tcPr>
          <w:p w14:paraId="2387EC8D">
            <w:pPr>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产地</w:t>
            </w:r>
          </w:p>
        </w:tc>
        <w:tc>
          <w:tcPr>
            <w:tcW w:w="1425" w:type="dxa"/>
            <w:noWrap w:val="0"/>
            <w:vAlign w:val="center"/>
          </w:tcPr>
          <w:p w14:paraId="686016AE">
            <w:pPr>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制造商名称</w:t>
            </w:r>
          </w:p>
        </w:tc>
        <w:tc>
          <w:tcPr>
            <w:tcW w:w="1013" w:type="dxa"/>
            <w:noWrap w:val="0"/>
            <w:vAlign w:val="center"/>
          </w:tcPr>
          <w:p w14:paraId="27B30ACC">
            <w:pPr>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单价</w:t>
            </w:r>
          </w:p>
        </w:tc>
        <w:tc>
          <w:tcPr>
            <w:tcW w:w="750" w:type="dxa"/>
            <w:noWrap w:val="0"/>
            <w:vAlign w:val="center"/>
          </w:tcPr>
          <w:p w14:paraId="29B7EBEA">
            <w:pPr>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数量</w:t>
            </w:r>
          </w:p>
        </w:tc>
        <w:tc>
          <w:tcPr>
            <w:tcW w:w="1137" w:type="dxa"/>
            <w:noWrap w:val="0"/>
            <w:vAlign w:val="center"/>
          </w:tcPr>
          <w:p w14:paraId="5A8C4561">
            <w:pPr>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总价</w:t>
            </w:r>
          </w:p>
        </w:tc>
      </w:tr>
      <w:tr w14:paraId="23DCE3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2" w:hRule="atLeast"/>
        </w:trPr>
        <w:tc>
          <w:tcPr>
            <w:tcW w:w="487" w:type="dxa"/>
            <w:noWrap w:val="0"/>
            <w:vAlign w:val="center"/>
          </w:tcPr>
          <w:p w14:paraId="55726FC4">
            <w:pPr>
              <w:spacing w:line="400" w:lineRule="exact"/>
              <w:jc w:val="center"/>
              <w:rPr>
                <w:rFonts w:hint="eastAsia" w:ascii="宋体" w:hAnsi="宋体" w:cs="宋体"/>
                <w:color w:val="auto"/>
                <w:sz w:val="24"/>
                <w:szCs w:val="24"/>
              </w:rPr>
            </w:pPr>
          </w:p>
        </w:tc>
        <w:tc>
          <w:tcPr>
            <w:tcW w:w="1225" w:type="dxa"/>
            <w:noWrap w:val="0"/>
            <w:vAlign w:val="center"/>
          </w:tcPr>
          <w:p w14:paraId="6FB9D3B6">
            <w:pPr>
              <w:spacing w:line="400" w:lineRule="exact"/>
              <w:jc w:val="center"/>
              <w:rPr>
                <w:rFonts w:hint="eastAsia" w:ascii="宋体" w:hAnsi="宋体" w:cs="宋体"/>
                <w:color w:val="auto"/>
                <w:sz w:val="24"/>
                <w:szCs w:val="24"/>
              </w:rPr>
            </w:pPr>
          </w:p>
        </w:tc>
        <w:tc>
          <w:tcPr>
            <w:tcW w:w="744" w:type="dxa"/>
            <w:noWrap w:val="0"/>
            <w:vAlign w:val="center"/>
          </w:tcPr>
          <w:p w14:paraId="6B199FE0">
            <w:pPr>
              <w:spacing w:line="400" w:lineRule="exact"/>
              <w:jc w:val="center"/>
              <w:rPr>
                <w:rFonts w:hint="eastAsia" w:ascii="宋体" w:hAnsi="宋体" w:cs="宋体"/>
                <w:color w:val="auto"/>
                <w:sz w:val="24"/>
                <w:szCs w:val="24"/>
              </w:rPr>
            </w:pPr>
          </w:p>
        </w:tc>
        <w:tc>
          <w:tcPr>
            <w:tcW w:w="934" w:type="dxa"/>
            <w:noWrap w:val="0"/>
            <w:vAlign w:val="center"/>
          </w:tcPr>
          <w:p w14:paraId="542FE541">
            <w:pPr>
              <w:spacing w:line="400" w:lineRule="exact"/>
              <w:jc w:val="center"/>
              <w:rPr>
                <w:rFonts w:hint="eastAsia" w:ascii="宋体" w:hAnsi="宋体" w:cs="宋体"/>
                <w:color w:val="auto"/>
                <w:sz w:val="24"/>
                <w:szCs w:val="24"/>
              </w:rPr>
            </w:pPr>
          </w:p>
        </w:tc>
        <w:tc>
          <w:tcPr>
            <w:tcW w:w="1072" w:type="dxa"/>
            <w:noWrap w:val="0"/>
            <w:vAlign w:val="center"/>
          </w:tcPr>
          <w:p w14:paraId="28478AE7">
            <w:pPr>
              <w:spacing w:line="400" w:lineRule="exact"/>
              <w:jc w:val="center"/>
              <w:rPr>
                <w:rFonts w:hint="eastAsia" w:ascii="宋体" w:hAnsi="宋体" w:cs="宋体"/>
                <w:color w:val="auto"/>
                <w:sz w:val="24"/>
                <w:szCs w:val="24"/>
              </w:rPr>
            </w:pPr>
          </w:p>
        </w:tc>
        <w:tc>
          <w:tcPr>
            <w:tcW w:w="1425" w:type="dxa"/>
            <w:noWrap w:val="0"/>
            <w:vAlign w:val="center"/>
          </w:tcPr>
          <w:p w14:paraId="10031E64">
            <w:pPr>
              <w:spacing w:line="400" w:lineRule="exact"/>
              <w:jc w:val="center"/>
              <w:rPr>
                <w:rFonts w:hint="eastAsia" w:ascii="宋体" w:hAnsi="宋体" w:cs="宋体"/>
                <w:color w:val="auto"/>
                <w:sz w:val="24"/>
                <w:szCs w:val="24"/>
              </w:rPr>
            </w:pPr>
          </w:p>
        </w:tc>
        <w:tc>
          <w:tcPr>
            <w:tcW w:w="1013" w:type="dxa"/>
            <w:noWrap w:val="0"/>
            <w:vAlign w:val="center"/>
          </w:tcPr>
          <w:p w14:paraId="7E2C3658">
            <w:pPr>
              <w:spacing w:line="400" w:lineRule="exact"/>
              <w:jc w:val="center"/>
              <w:rPr>
                <w:rFonts w:hint="eastAsia" w:ascii="宋体" w:hAnsi="宋体" w:cs="宋体"/>
                <w:color w:val="auto"/>
                <w:sz w:val="24"/>
                <w:szCs w:val="24"/>
              </w:rPr>
            </w:pPr>
          </w:p>
        </w:tc>
        <w:tc>
          <w:tcPr>
            <w:tcW w:w="750" w:type="dxa"/>
            <w:noWrap w:val="0"/>
            <w:vAlign w:val="center"/>
          </w:tcPr>
          <w:p w14:paraId="1EBEFA64">
            <w:pPr>
              <w:spacing w:line="400" w:lineRule="exact"/>
              <w:jc w:val="center"/>
              <w:rPr>
                <w:rFonts w:hint="eastAsia" w:ascii="宋体" w:hAnsi="宋体" w:cs="宋体"/>
                <w:color w:val="auto"/>
                <w:sz w:val="24"/>
                <w:szCs w:val="24"/>
              </w:rPr>
            </w:pPr>
          </w:p>
        </w:tc>
        <w:tc>
          <w:tcPr>
            <w:tcW w:w="1137" w:type="dxa"/>
            <w:noWrap w:val="0"/>
            <w:vAlign w:val="center"/>
          </w:tcPr>
          <w:p w14:paraId="4FAF45A2">
            <w:pPr>
              <w:spacing w:line="400" w:lineRule="exact"/>
              <w:jc w:val="center"/>
              <w:rPr>
                <w:rFonts w:hint="eastAsia" w:ascii="宋体" w:hAnsi="宋体" w:cs="宋体"/>
                <w:color w:val="auto"/>
                <w:sz w:val="24"/>
                <w:szCs w:val="24"/>
              </w:rPr>
            </w:pPr>
          </w:p>
        </w:tc>
      </w:tr>
    </w:tbl>
    <w:p w14:paraId="6C93DD2B">
      <w:pPr>
        <w:spacing w:line="400" w:lineRule="exact"/>
        <w:rPr>
          <w:rFonts w:hint="eastAsia" w:ascii="宋体" w:hAnsi="宋体" w:eastAsia="宋体" w:cs="宋体"/>
          <w:color w:val="auto"/>
          <w:sz w:val="24"/>
          <w:szCs w:val="24"/>
          <w:lang w:eastAsia="zh-CN"/>
        </w:rPr>
      </w:pPr>
    </w:p>
    <w:p w14:paraId="6800D6F5">
      <w:pPr>
        <w:spacing w:line="400" w:lineRule="exact"/>
        <w:rPr>
          <w:rFonts w:hint="eastAsia" w:ascii="宋体" w:hAnsi="宋体" w:eastAsia="宋体" w:cs="宋体"/>
          <w:color w:val="auto"/>
          <w:sz w:val="24"/>
          <w:szCs w:val="24"/>
          <w:lang w:eastAsia="zh-CN"/>
        </w:rPr>
      </w:pPr>
    </w:p>
    <w:p w14:paraId="51B221D1">
      <w:pPr>
        <w:spacing w:line="400" w:lineRule="exact"/>
        <w:ind w:firstLine="480"/>
        <w:rPr>
          <w:rFonts w:hint="eastAsia" w:ascii="宋体" w:hAnsi="宋体" w:cs="宋体"/>
          <w:color w:val="auto"/>
          <w:sz w:val="24"/>
          <w:szCs w:val="24"/>
        </w:rPr>
      </w:pPr>
    </w:p>
    <w:p w14:paraId="536C51E8">
      <w:pPr>
        <w:pStyle w:val="91"/>
        <w:spacing w:line="400" w:lineRule="exact"/>
        <w:rPr>
          <w:rFonts w:hint="eastAsia" w:hAnsi="宋体" w:cs="宋体"/>
          <w:color w:val="auto"/>
          <w:sz w:val="24"/>
          <w:szCs w:val="24"/>
        </w:rPr>
      </w:pPr>
      <w:r>
        <w:rPr>
          <w:rFonts w:hint="eastAsia" w:hAnsi="宋体" w:cs="宋体"/>
          <w:color w:val="auto"/>
          <w:sz w:val="24"/>
          <w:szCs w:val="24"/>
        </w:rPr>
        <w:t xml:space="preserve"> 填报要求：</w:t>
      </w:r>
    </w:p>
    <w:p w14:paraId="650052EA">
      <w:pPr>
        <w:pStyle w:val="91"/>
        <w:spacing w:line="400" w:lineRule="exact"/>
        <w:ind w:firstLine="480" w:firstLineChars="200"/>
        <w:rPr>
          <w:rFonts w:hint="eastAsia" w:hAnsi="宋体" w:cs="宋体"/>
          <w:color w:val="auto"/>
          <w:sz w:val="24"/>
          <w:szCs w:val="24"/>
        </w:rPr>
      </w:pPr>
      <w:r>
        <w:rPr>
          <w:rFonts w:hint="eastAsia" w:hAnsi="宋体" w:cs="宋体"/>
          <w:color w:val="auto"/>
          <w:sz w:val="24"/>
          <w:szCs w:val="24"/>
          <w:lang w:val="en-US" w:eastAsia="zh-CN"/>
        </w:rPr>
        <w:t>1.</w:t>
      </w:r>
      <w:r>
        <w:rPr>
          <w:rFonts w:hint="eastAsia" w:hAnsi="宋体" w:cs="宋体"/>
          <w:color w:val="auto"/>
          <w:sz w:val="24"/>
          <w:szCs w:val="24"/>
        </w:rPr>
        <w:t>此表为《开标一览表》的报价明细表，如有缺项、漏项（数量不符合将被视为漏项），视为投标报价中已包含相关费用，采购人无须另外支付任何费用。</w:t>
      </w:r>
    </w:p>
    <w:p w14:paraId="62C603BE">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所有价格均以人民币作为货币单位填写及计算。对于有配件、耗材、选件和特殊工具的货物（若适用），还应填报投标货物配件、耗材、选件表和备件及特殊工具清单，注明品牌、型号、产地、功能、单价等内容，该表格式由投标供应商自行设计。投标供应商按照上述要求分类报价，其目的是便于评标，但在任何情况下并不限制采购人以任何条款签订合同的权利。</w:t>
      </w:r>
    </w:p>
    <w:p w14:paraId="4DEAAE7D">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 该表格式仅作参考，投标供应商的详细报价表格式可自定。</w:t>
      </w:r>
    </w:p>
    <w:p w14:paraId="5953B737">
      <w:pPr>
        <w:pStyle w:val="91"/>
        <w:spacing w:line="400" w:lineRule="exact"/>
        <w:rPr>
          <w:rFonts w:hint="eastAsia" w:hAnsi="宋体" w:cs="宋体"/>
          <w:color w:val="auto"/>
          <w:sz w:val="24"/>
          <w:szCs w:val="24"/>
        </w:rPr>
      </w:pPr>
    </w:p>
    <w:p w14:paraId="6CBD9F04">
      <w:pPr>
        <w:pStyle w:val="91"/>
        <w:spacing w:line="400" w:lineRule="exact"/>
        <w:rPr>
          <w:rFonts w:hint="eastAsia" w:hAnsi="宋体" w:cs="宋体"/>
          <w:color w:val="auto"/>
          <w:sz w:val="24"/>
          <w:szCs w:val="24"/>
        </w:rPr>
      </w:pPr>
    </w:p>
    <w:p w14:paraId="6BA3E354">
      <w:pPr>
        <w:pStyle w:val="91"/>
        <w:spacing w:line="560" w:lineRule="exact"/>
        <w:ind w:left="720" w:right="84" w:rightChars="40" w:hanging="720" w:hangingChars="300"/>
        <w:rPr>
          <w:rFonts w:hint="eastAsia" w:hAnsi="宋体" w:cs="宋体"/>
          <w:b/>
          <w:color w:val="auto"/>
          <w:sz w:val="24"/>
          <w:szCs w:val="24"/>
          <w:lang w:val="en-GB"/>
        </w:rPr>
        <w:sectPr>
          <w:headerReference r:id="rId11" w:type="default"/>
          <w:footerReference r:id="rId12" w:type="default"/>
          <w:pgSz w:w="11906" w:h="16838"/>
          <w:pgMar w:top="2098" w:right="1474" w:bottom="1984" w:left="1587" w:header="851" w:footer="992" w:gutter="0"/>
          <w:cols w:space="720" w:num="1"/>
          <w:docGrid w:type="lines" w:linePitch="312" w:charSpace="0"/>
        </w:sectPr>
      </w:pPr>
      <w:r>
        <w:rPr>
          <w:rFonts w:hint="eastAsia" w:hAnsi="宋体" w:cs="宋体"/>
          <w:color w:val="auto"/>
          <w:sz w:val="24"/>
          <w:szCs w:val="24"/>
        </w:rPr>
        <w:t xml:space="preserve"> </w:t>
      </w:r>
    </w:p>
    <w:p w14:paraId="3C8CFA90">
      <w:pPr>
        <w:pStyle w:val="89"/>
        <w:spacing w:line="560" w:lineRule="exact"/>
        <w:jc w:val="center"/>
        <w:rPr>
          <w:rFonts w:hint="eastAsia" w:ascii="宋体" w:hAnsi="宋体" w:cs="宋体"/>
          <w:bCs/>
          <w:color w:val="auto"/>
          <w:sz w:val="44"/>
          <w:szCs w:val="44"/>
        </w:rPr>
      </w:pPr>
      <w:r>
        <w:rPr>
          <w:rFonts w:hint="eastAsia" w:ascii="宋体" w:hAnsi="宋体" w:cs="宋体"/>
          <w:bCs/>
          <w:color w:val="auto"/>
          <w:sz w:val="44"/>
          <w:szCs w:val="44"/>
        </w:rPr>
        <w:t>实质性响应一览表</w:t>
      </w:r>
    </w:p>
    <w:tbl>
      <w:tblPr>
        <w:tblStyle w:val="44"/>
        <w:tblpPr w:leftFromText="180" w:rightFromText="180" w:vertAnchor="text" w:horzAnchor="page" w:tblpX="1671" w:tblpY="396"/>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63"/>
        <w:gridCol w:w="3008"/>
        <w:gridCol w:w="2179"/>
        <w:gridCol w:w="2550"/>
      </w:tblGrid>
      <w:tr w14:paraId="4E553C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58" w:hRule="atLeast"/>
        </w:trPr>
        <w:tc>
          <w:tcPr>
            <w:tcW w:w="1063" w:type="dxa"/>
            <w:noWrap w:val="0"/>
            <w:vAlign w:val="center"/>
          </w:tcPr>
          <w:p w14:paraId="35B800E8">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序号</w:t>
            </w:r>
          </w:p>
        </w:tc>
        <w:tc>
          <w:tcPr>
            <w:tcW w:w="3008" w:type="dxa"/>
            <w:noWrap w:val="0"/>
            <w:vAlign w:val="center"/>
          </w:tcPr>
          <w:p w14:paraId="4F5CB27E">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实质性响应条款</w:t>
            </w:r>
          </w:p>
        </w:tc>
        <w:tc>
          <w:tcPr>
            <w:tcW w:w="2179" w:type="dxa"/>
            <w:noWrap w:val="0"/>
            <w:vAlign w:val="center"/>
          </w:tcPr>
          <w:p w14:paraId="0831A062">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投标人响应情况</w:t>
            </w:r>
          </w:p>
        </w:tc>
        <w:tc>
          <w:tcPr>
            <w:tcW w:w="2550" w:type="dxa"/>
            <w:noWrap w:val="0"/>
            <w:vAlign w:val="center"/>
          </w:tcPr>
          <w:p w14:paraId="0777DE93">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差异</w:t>
            </w:r>
          </w:p>
        </w:tc>
      </w:tr>
      <w:tr w14:paraId="49CF84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5" w:hRule="atLeast"/>
        </w:trPr>
        <w:tc>
          <w:tcPr>
            <w:tcW w:w="1063" w:type="dxa"/>
            <w:noWrap w:val="0"/>
            <w:vAlign w:val="center"/>
          </w:tcPr>
          <w:p w14:paraId="3012E0C9">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1</w:t>
            </w:r>
          </w:p>
        </w:tc>
        <w:tc>
          <w:tcPr>
            <w:tcW w:w="3008" w:type="dxa"/>
            <w:noWrap w:val="0"/>
            <w:vAlign w:val="center"/>
          </w:tcPr>
          <w:p w14:paraId="5C7DA645">
            <w:pPr>
              <w:spacing w:line="400" w:lineRule="exact"/>
              <w:rPr>
                <w:rFonts w:hint="eastAsia" w:ascii="宋体" w:hAnsi="宋体" w:cs="宋体"/>
                <w:color w:val="auto"/>
                <w:sz w:val="24"/>
                <w:szCs w:val="24"/>
              </w:rPr>
            </w:pPr>
          </w:p>
        </w:tc>
        <w:tc>
          <w:tcPr>
            <w:tcW w:w="2179" w:type="dxa"/>
            <w:noWrap w:val="0"/>
            <w:vAlign w:val="center"/>
          </w:tcPr>
          <w:p w14:paraId="02D22513">
            <w:pPr>
              <w:spacing w:line="400" w:lineRule="exact"/>
              <w:rPr>
                <w:rFonts w:hint="eastAsia" w:ascii="宋体" w:hAnsi="宋体" w:cs="宋体"/>
                <w:color w:val="auto"/>
                <w:sz w:val="24"/>
                <w:szCs w:val="24"/>
              </w:rPr>
            </w:pPr>
          </w:p>
        </w:tc>
        <w:tc>
          <w:tcPr>
            <w:tcW w:w="2550" w:type="dxa"/>
            <w:noWrap w:val="0"/>
            <w:vAlign w:val="center"/>
          </w:tcPr>
          <w:p w14:paraId="6A4A671D">
            <w:pPr>
              <w:spacing w:line="400" w:lineRule="exact"/>
              <w:rPr>
                <w:rFonts w:hint="eastAsia" w:ascii="宋体" w:hAnsi="宋体" w:cs="宋体"/>
                <w:color w:val="auto"/>
                <w:sz w:val="24"/>
                <w:szCs w:val="24"/>
              </w:rPr>
            </w:pPr>
          </w:p>
        </w:tc>
      </w:tr>
      <w:tr w14:paraId="21A51B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5" w:hRule="atLeast"/>
        </w:trPr>
        <w:tc>
          <w:tcPr>
            <w:tcW w:w="1063" w:type="dxa"/>
            <w:noWrap w:val="0"/>
            <w:vAlign w:val="center"/>
          </w:tcPr>
          <w:p w14:paraId="0DDA94FB">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2</w:t>
            </w:r>
          </w:p>
        </w:tc>
        <w:tc>
          <w:tcPr>
            <w:tcW w:w="3008" w:type="dxa"/>
            <w:noWrap w:val="0"/>
            <w:vAlign w:val="center"/>
          </w:tcPr>
          <w:p w14:paraId="635CEFA9">
            <w:pPr>
              <w:spacing w:line="400" w:lineRule="exact"/>
              <w:rPr>
                <w:rFonts w:hint="eastAsia" w:ascii="宋体" w:hAnsi="宋体" w:cs="宋体"/>
                <w:color w:val="auto"/>
                <w:sz w:val="24"/>
                <w:szCs w:val="24"/>
              </w:rPr>
            </w:pPr>
          </w:p>
        </w:tc>
        <w:tc>
          <w:tcPr>
            <w:tcW w:w="2179" w:type="dxa"/>
            <w:noWrap w:val="0"/>
            <w:vAlign w:val="center"/>
          </w:tcPr>
          <w:p w14:paraId="7D00B82E">
            <w:pPr>
              <w:spacing w:line="400" w:lineRule="exact"/>
              <w:rPr>
                <w:rFonts w:hint="eastAsia" w:ascii="宋体" w:hAnsi="宋体" w:cs="宋体"/>
                <w:color w:val="auto"/>
                <w:sz w:val="24"/>
                <w:szCs w:val="24"/>
              </w:rPr>
            </w:pPr>
          </w:p>
        </w:tc>
        <w:tc>
          <w:tcPr>
            <w:tcW w:w="2550" w:type="dxa"/>
            <w:noWrap w:val="0"/>
            <w:vAlign w:val="center"/>
          </w:tcPr>
          <w:p w14:paraId="2C3EEB8F">
            <w:pPr>
              <w:spacing w:line="400" w:lineRule="exact"/>
              <w:rPr>
                <w:rFonts w:hint="eastAsia" w:ascii="宋体" w:hAnsi="宋体" w:cs="宋体"/>
                <w:color w:val="auto"/>
                <w:sz w:val="24"/>
                <w:szCs w:val="24"/>
              </w:rPr>
            </w:pPr>
          </w:p>
        </w:tc>
      </w:tr>
      <w:tr w14:paraId="1F0D1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5" w:hRule="atLeast"/>
        </w:trPr>
        <w:tc>
          <w:tcPr>
            <w:tcW w:w="1063" w:type="dxa"/>
            <w:noWrap w:val="0"/>
            <w:vAlign w:val="center"/>
          </w:tcPr>
          <w:p w14:paraId="1F5C3E0E">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3</w:t>
            </w:r>
          </w:p>
        </w:tc>
        <w:tc>
          <w:tcPr>
            <w:tcW w:w="3008" w:type="dxa"/>
            <w:noWrap w:val="0"/>
            <w:vAlign w:val="center"/>
          </w:tcPr>
          <w:p w14:paraId="30C6255F">
            <w:pPr>
              <w:spacing w:line="400" w:lineRule="exact"/>
              <w:rPr>
                <w:rFonts w:hint="eastAsia" w:ascii="宋体" w:hAnsi="宋体" w:cs="宋体"/>
                <w:color w:val="auto"/>
                <w:sz w:val="24"/>
                <w:szCs w:val="24"/>
              </w:rPr>
            </w:pPr>
          </w:p>
        </w:tc>
        <w:tc>
          <w:tcPr>
            <w:tcW w:w="2179" w:type="dxa"/>
            <w:noWrap w:val="0"/>
            <w:vAlign w:val="center"/>
          </w:tcPr>
          <w:p w14:paraId="46E52AD1">
            <w:pPr>
              <w:spacing w:line="400" w:lineRule="exact"/>
              <w:rPr>
                <w:rFonts w:hint="eastAsia" w:ascii="宋体" w:hAnsi="宋体" w:cs="宋体"/>
                <w:color w:val="auto"/>
                <w:sz w:val="24"/>
                <w:szCs w:val="24"/>
              </w:rPr>
            </w:pPr>
          </w:p>
        </w:tc>
        <w:tc>
          <w:tcPr>
            <w:tcW w:w="2550" w:type="dxa"/>
            <w:noWrap w:val="0"/>
            <w:vAlign w:val="center"/>
          </w:tcPr>
          <w:p w14:paraId="47932DA2">
            <w:pPr>
              <w:spacing w:line="400" w:lineRule="exact"/>
              <w:rPr>
                <w:rFonts w:hint="eastAsia" w:ascii="宋体" w:hAnsi="宋体" w:cs="宋体"/>
                <w:color w:val="auto"/>
                <w:sz w:val="24"/>
                <w:szCs w:val="24"/>
              </w:rPr>
            </w:pPr>
          </w:p>
        </w:tc>
      </w:tr>
      <w:tr w14:paraId="12A067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5" w:hRule="atLeast"/>
        </w:trPr>
        <w:tc>
          <w:tcPr>
            <w:tcW w:w="1063" w:type="dxa"/>
            <w:noWrap w:val="0"/>
            <w:vAlign w:val="center"/>
          </w:tcPr>
          <w:p w14:paraId="4488BD8E">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4</w:t>
            </w:r>
          </w:p>
        </w:tc>
        <w:tc>
          <w:tcPr>
            <w:tcW w:w="3008" w:type="dxa"/>
            <w:noWrap w:val="0"/>
            <w:vAlign w:val="center"/>
          </w:tcPr>
          <w:p w14:paraId="1D59B955">
            <w:pPr>
              <w:spacing w:line="400" w:lineRule="exact"/>
              <w:rPr>
                <w:rFonts w:hint="eastAsia" w:ascii="宋体" w:hAnsi="宋体" w:cs="宋体"/>
                <w:color w:val="auto"/>
                <w:sz w:val="24"/>
                <w:szCs w:val="24"/>
              </w:rPr>
            </w:pPr>
          </w:p>
        </w:tc>
        <w:tc>
          <w:tcPr>
            <w:tcW w:w="2179" w:type="dxa"/>
            <w:noWrap w:val="0"/>
            <w:vAlign w:val="center"/>
          </w:tcPr>
          <w:p w14:paraId="28517BDF">
            <w:pPr>
              <w:spacing w:line="400" w:lineRule="exact"/>
              <w:rPr>
                <w:rFonts w:hint="eastAsia" w:ascii="宋体" w:hAnsi="宋体" w:cs="宋体"/>
                <w:color w:val="auto"/>
                <w:sz w:val="24"/>
                <w:szCs w:val="24"/>
              </w:rPr>
            </w:pPr>
          </w:p>
        </w:tc>
        <w:tc>
          <w:tcPr>
            <w:tcW w:w="2550" w:type="dxa"/>
            <w:noWrap w:val="0"/>
            <w:vAlign w:val="center"/>
          </w:tcPr>
          <w:p w14:paraId="236FE6E4">
            <w:pPr>
              <w:spacing w:line="400" w:lineRule="exact"/>
              <w:rPr>
                <w:rFonts w:hint="eastAsia" w:ascii="宋体" w:hAnsi="宋体" w:cs="宋体"/>
                <w:color w:val="auto"/>
                <w:sz w:val="24"/>
                <w:szCs w:val="24"/>
              </w:rPr>
            </w:pPr>
          </w:p>
        </w:tc>
      </w:tr>
      <w:tr w14:paraId="53EFD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5" w:hRule="atLeast"/>
        </w:trPr>
        <w:tc>
          <w:tcPr>
            <w:tcW w:w="1063" w:type="dxa"/>
            <w:noWrap w:val="0"/>
            <w:vAlign w:val="center"/>
          </w:tcPr>
          <w:p w14:paraId="5D83BEB8">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w:t>
            </w:r>
          </w:p>
        </w:tc>
        <w:tc>
          <w:tcPr>
            <w:tcW w:w="3008" w:type="dxa"/>
            <w:noWrap w:val="0"/>
            <w:vAlign w:val="center"/>
          </w:tcPr>
          <w:p w14:paraId="7BFA1C3E">
            <w:pPr>
              <w:spacing w:line="400" w:lineRule="exact"/>
              <w:rPr>
                <w:rFonts w:hint="eastAsia" w:ascii="宋体" w:hAnsi="宋体" w:cs="宋体"/>
                <w:color w:val="auto"/>
                <w:sz w:val="24"/>
                <w:szCs w:val="24"/>
              </w:rPr>
            </w:pPr>
          </w:p>
        </w:tc>
        <w:tc>
          <w:tcPr>
            <w:tcW w:w="2179" w:type="dxa"/>
            <w:noWrap w:val="0"/>
            <w:vAlign w:val="center"/>
          </w:tcPr>
          <w:p w14:paraId="61C32AB7">
            <w:pPr>
              <w:spacing w:line="400" w:lineRule="exact"/>
              <w:rPr>
                <w:rFonts w:hint="eastAsia" w:ascii="宋体" w:hAnsi="宋体" w:cs="宋体"/>
                <w:color w:val="auto"/>
                <w:sz w:val="24"/>
                <w:szCs w:val="24"/>
              </w:rPr>
            </w:pPr>
          </w:p>
        </w:tc>
        <w:tc>
          <w:tcPr>
            <w:tcW w:w="2550" w:type="dxa"/>
            <w:noWrap w:val="0"/>
            <w:vAlign w:val="center"/>
          </w:tcPr>
          <w:p w14:paraId="2C4EEFE6">
            <w:pPr>
              <w:spacing w:line="400" w:lineRule="exact"/>
              <w:rPr>
                <w:rFonts w:hint="eastAsia" w:ascii="宋体" w:hAnsi="宋体" w:cs="宋体"/>
                <w:color w:val="auto"/>
                <w:sz w:val="24"/>
                <w:szCs w:val="24"/>
              </w:rPr>
            </w:pPr>
          </w:p>
        </w:tc>
      </w:tr>
      <w:tr w14:paraId="6C6E43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5" w:hRule="atLeast"/>
        </w:trPr>
        <w:tc>
          <w:tcPr>
            <w:tcW w:w="1063" w:type="dxa"/>
            <w:noWrap w:val="0"/>
            <w:vAlign w:val="center"/>
          </w:tcPr>
          <w:p w14:paraId="48F0C53B">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w:t>
            </w:r>
          </w:p>
        </w:tc>
        <w:tc>
          <w:tcPr>
            <w:tcW w:w="3008" w:type="dxa"/>
            <w:noWrap w:val="0"/>
            <w:vAlign w:val="center"/>
          </w:tcPr>
          <w:p w14:paraId="4F7C8B86">
            <w:pPr>
              <w:spacing w:line="400" w:lineRule="exact"/>
              <w:rPr>
                <w:rFonts w:hint="eastAsia" w:ascii="宋体" w:hAnsi="宋体" w:cs="宋体"/>
                <w:color w:val="auto"/>
                <w:sz w:val="24"/>
                <w:szCs w:val="24"/>
              </w:rPr>
            </w:pPr>
          </w:p>
        </w:tc>
        <w:tc>
          <w:tcPr>
            <w:tcW w:w="2179" w:type="dxa"/>
            <w:noWrap w:val="0"/>
            <w:vAlign w:val="center"/>
          </w:tcPr>
          <w:p w14:paraId="6FBC4B54">
            <w:pPr>
              <w:spacing w:line="400" w:lineRule="exact"/>
              <w:rPr>
                <w:rFonts w:hint="eastAsia" w:ascii="宋体" w:hAnsi="宋体" w:cs="宋体"/>
                <w:color w:val="auto"/>
                <w:sz w:val="24"/>
                <w:szCs w:val="24"/>
              </w:rPr>
            </w:pPr>
          </w:p>
        </w:tc>
        <w:tc>
          <w:tcPr>
            <w:tcW w:w="2550" w:type="dxa"/>
            <w:noWrap w:val="0"/>
            <w:vAlign w:val="center"/>
          </w:tcPr>
          <w:p w14:paraId="58D258A2">
            <w:pPr>
              <w:spacing w:line="400" w:lineRule="exact"/>
              <w:rPr>
                <w:rFonts w:hint="eastAsia" w:ascii="宋体" w:hAnsi="宋体" w:cs="宋体"/>
                <w:color w:val="auto"/>
                <w:sz w:val="24"/>
                <w:szCs w:val="24"/>
              </w:rPr>
            </w:pPr>
          </w:p>
        </w:tc>
      </w:tr>
    </w:tbl>
    <w:p w14:paraId="3CAED20D">
      <w:pPr>
        <w:spacing w:line="400" w:lineRule="exact"/>
        <w:ind w:firstLine="480"/>
        <w:rPr>
          <w:rFonts w:hint="eastAsia" w:ascii="宋体" w:hAnsi="宋体" w:cs="宋体"/>
          <w:color w:val="auto"/>
          <w:sz w:val="24"/>
          <w:szCs w:val="24"/>
        </w:rPr>
      </w:pPr>
      <w:r>
        <w:rPr>
          <w:rFonts w:hint="eastAsia" w:ascii="宋体" w:hAnsi="宋体" w:cs="宋体"/>
          <w:color w:val="auto"/>
          <w:sz w:val="24"/>
          <w:szCs w:val="24"/>
        </w:rPr>
        <w:t>说明：</w:t>
      </w:r>
    </w:p>
    <w:p w14:paraId="2AE015F1">
      <w:pPr>
        <w:spacing w:line="400" w:lineRule="exact"/>
        <w:ind w:firstLine="480"/>
        <w:rPr>
          <w:rFonts w:hint="eastAsia" w:ascii="宋体" w:hAnsi="宋体" w:cs="宋体"/>
          <w:color w:val="auto"/>
          <w:sz w:val="24"/>
          <w:szCs w:val="24"/>
        </w:rPr>
      </w:pPr>
      <w:r>
        <w:rPr>
          <w:rFonts w:hint="eastAsia" w:ascii="宋体" w:hAnsi="宋体" w:cs="宋体"/>
          <w:color w:val="auto"/>
          <w:sz w:val="24"/>
          <w:szCs w:val="24"/>
        </w:rPr>
        <w:t>1.实质性响应条款一览表后续内容请根据第二章采购需求★号条款详细列举</w:t>
      </w:r>
    </w:p>
    <w:p w14:paraId="27E80DDC">
      <w:pPr>
        <w:spacing w:line="400" w:lineRule="exact"/>
        <w:ind w:firstLine="480"/>
        <w:rPr>
          <w:rFonts w:hint="eastAsia" w:ascii="宋体" w:hAnsi="宋体" w:cs="宋体"/>
          <w:color w:val="auto"/>
          <w:sz w:val="24"/>
          <w:szCs w:val="24"/>
        </w:rPr>
      </w:pPr>
      <w:r>
        <w:rPr>
          <w:rFonts w:hint="eastAsia" w:ascii="宋体" w:hAnsi="宋体" w:cs="宋体"/>
          <w:color w:val="auto"/>
          <w:sz w:val="24"/>
          <w:szCs w:val="24"/>
        </w:rPr>
        <w:t>2.本表所列条款必须一一予以响应，“投标人响应情况”一栏应填写具体的响应内容，有差异的要具体说明。</w:t>
      </w:r>
    </w:p>
    <w:p w14:paraId="38261601">
      <w:pPr>
        <w:spacing w:line="400" w:lineRule="exact"/>
        <w:ind w:firstLine="480"/>
        <w:rPr>
          <w:rFonts w:hint="eastAsia" w:ascii="宋体" w:hAnsi="宋体" w:cs="宋体"/>
          <w:color w:val="auto"/>
          <w:sz w:val="24"/>
          <w:szCs w:val="24"/>
        </w:rPr>
      </w:pPr>
      <w:r>
        <w:rPr>
          <w:rFonts w:hint="eastAsia" w:ascii="宋体" w:hAnsi="宋体" w:cs="宋体"/>
          <w:color w:val="auto"/>
          <w:sz w:val="24"/>
          <w:szCs w:val="24"/>
        </w:rPr>
        <w:t>3.请投标人认真填写本表内容，如填写错误将可能导致投标无效。</w:t>
      </w:r>
    </w:p>
    <w:p w14:paraId="13584087">
      <w:pPr>
        <w:pStyle w:val="162"/>
        <w:spacing w:line="560" w:lineRule="exact"/>
        <w:rPr>
          <w:rFonts w:hint="eastAsia" w:ascii="宋体" w:hAnsi="宋体" w:cs="宋体"/>
          <w:b/>
          <w:color w:val="auto"/>
          <w:sz w:val="24"/>
          <w:lang w:val="en-GB"/>
        </w:rPr>
      </w:pPr>
    </w:p>
    <w:p w14:paraId="45E106A6">
      <w:pPr>
        <w:jc w:val="center"/>
        <w:rPr>
          <w:rFonts w:hint="eastAsia" w:ascii="宋体" w:hAnsi="宋体" w:cs="宋体"/>
          <w:bCs/>
          <w:color w:val="auto"/>
          <w:sz w:val="44"/>
          <w:szCs w:val="44"/>
        </w:rPr>
      </w:pPr>
      <w:r>
        <w:rPr>
          <w:rFonts w:hint="eastAsia" w:ascii="宋体" w:hAnsi="宋体" w:cs="宋体"/>
          <w:color w:val="auto"/>
          <w:sz w:val="24"/>
          <w:szCs w:val="24"/>
        </w:rPr>
        <w:br w:type="page"/>
      </w:r>
      <w:r>
        <w:rPr>
          <w:rFonts w:hint="eastAsia" w:ascii="宋体" w:hAnsi="宋体" w:cs="宋体"/>
          <w:bCs/>
          <w:color w:val="auto"/>
          <w:sz w:val="44"/>
          <w:szCs w:val="44"/>
        </w:rPr>
        <w:t>技术和服务要求响应表</w:t>
      </w:r>
    </w:p>
    <w:tbl>
      <w:tblPr>
        <w:tblStyle w:val="44"/>
        <w:tblW w:w="0" w:type="auto"/>
        <w:tblInd w:w="9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7"/>
        <w:gridCol w:w="1065"/>
        <w:gridCol w:w="698"/>
        <w:gridCol w:w="1462"/>
        <w:gridCol w:w="1213"/>
        <w:gridCol w:w="762"/>
        <w:gridCol w:w="850"/>
        <w:gridCol w:w="1138"/>
        <w:gridCol w:w="950"/>
      </w:tblGrid>
      <w:tr w14:paraId="44F367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7" w:type="dxa"/>
            <w:noWrap w:val="0"/>
            <w:vAlign w:val="center"/>
          </w:tcPr>
          <w:p w14:paraId="0B2F1742">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序号</w:t>
            </w:r>
          </w:p>
        </w:tc>
        <w:tc>
          <w:tcPr>
            <w:tcW w:w="1065" w:type="dxa"/>
            <w:noWrap w:val="0"/>
            <w:vAlign w:val="center"/>
          </w:tcPr>
          <w:p w14:paraId="019CB34D">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标的名称</w:t>
            </w:r>
          </w:p>
        </w:tc>
        <w:tc>
          <w:tcPr>
            <w:tcW w:w="698" w:type="dxa"/>
            <w:noWrap w:val="0"/>
            <w:vAlign w:val="center"/>
          </w:tcPr>
          <w:p w14:paraId="16EC75E8">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参数性质</w:t>
            </w:r>
          </w:p>
        </w:tc>
        <w:tc>
          <w:tcPr>
            <w:tcW w:w="1462" w:type="dxa"/>
            <w:noWrap w:val="0"/>
            <w:vAlign w:val="center"/>
          </w:tcPr>
          <w:p w14:paraId="571F33A0">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采购文件规定的技术和服务要求</w:t>
            </w:r>
          </w:p>
        </w:tc>
        <w:tc>
          <w:tcPr>
            <w:tcW w:w="1213" w:type="dxa"/>
            <w:noWrap w:val="0"/>
            <w:vAlign w:val="center"/>
          </w:tcPr>
          <w:p w14:paraId="2A87D52D">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投标文件响应的具体内容</w:t>
            </w:r>
          </w:p>
        </w:tc>
        <w:tc>
          <w:tcPr>
            <w:tcW w:w="762" w:type="dxa"/>
            <w:noWrap w:val="0"/>
            <w:vAlign w:val="center"/>
          </w:tcPr>
          <w:p w14:paraId="6534C9AC">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型号</w:t>
            </w:r>
          </w:p>
        </w:tc>
        <w:tc>
          <w:tcPr>
            <w:tcW w:w="850" w:type="dxa"/>
            <w:noWrap w:val="0"/>
            <w:vAlign w:val="center"/>
          </w:tcPr>
          <w:p w14:paraId="3AA04AE0">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是否偏离</w:t>
            </w:r>
          </w:p>
        </w:tc>
        <w:tc>
          <w:tcPr>
            <w:tcW w:w="1138" w:type="dxa"/>
            <w:noWrap w:val="0"/>
            <w:vAlign w:val="center"/>
          </w:tcPr>
          <w:p w14:paraId="49C0C4B0">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证明文件所在位置</w:t>
            </w:r>
          </w:p>
        </w:tc>
        <w:tc>
          <w:tcPr>
            <w:tcW w:w="950" w:type="dxa"/>
            <w:noWrap w:val="0"/>
            <w:vAlign w:val="center"/>
          </w:tcPr>
          <w:p w14:paraId="303C6F54">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备注</w:t>
            </w:r>
          </w:p>
        </w:tc>
      </w:tr>
      <w:tr w14:paraId="05D87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4" w:hRule="atLeast"/>
        </w:trPr>
        <w:tc>
          <w:tcPr>
            <w:tcW w:w="687" w:type="dxa"/>
            <w:noWrap w:val="0"/>
            <w:vAlign w:val="center"/>
          </w:tcPr>
          <w:p w14:paraId="491EEB8C">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1</w:t>
            </w:r>
          </w:p>
        </w:tc>
        <w:tc>
          <w:tcPr>
            <w:tcW w:w="1065" w:type="dxa"/>
            <w:noWrap w:val="0"/>
            <w:vAlign w:val="center"/>
          </w:tcPr>
          <w:p w14:paraId="5CD2ED2B">
            <w:pPr>
              <w:spacing w:line="400" w:lineRule="exact"/>
              <w:jc w:val="center"/>
              <w:rPr>
                <w:rFonts w:hint="eastAsia" w:ascii="宋体" w:hAnsi="宋体" w:cs="宋体"/>
                <w:color w:val="auto"/>
                <w:sz w:val="24"/>
                <w:szCs w:val="24"/>
              </w:rPr>
            </w:pPr>
          </w:p>
        </w:tc>
        <w:tc>
          <w:tcPr>
            <w:tcW w:w="698" w:type="dxa"/>
            <w:noWrap w:val="0"/>
            <w:vAlign w:val="center"/>
          </w:tcPr>
          <w:p w14:paraId="4650D250">
            <w:pPr>
              <w:spacing w:line="400" w:lineRule="exact"/>
              <w:jc w:val="center"/>
              <w:rPr>
                <w:rFonts w:hint="eastAsia" w:ascii="宋体" w:hAnsi="宋体" w:cs="宋体"/>
                <w:color w:val="auto"/>
                <w:sz w:val="24"/>
                <w:szCs w:val="24"/>
              </w:rPr>
            </w:pPr>
          </w:p>
        </w:tc>
        <w:tc>
          <w:tcPr>
            <w:tcW w:w="1462" w:type="dxa"/>
            <w:noWrap w:val="0"/>
            <w:vAlign w:val="center"/>
          </w:tcPr>
          <w:p w14:paraId="64B23AC4">
            <w:pPr>
              <w:spacing w:line="400" w:lineRule="exact"/>
              <w:jc w:val="center"/>
              <w:rPr>
                <w:rFonts w:hint="eastAsia" w:ascii="宋体" w:hAnsi="宋体" w:cs="宋体"/>
                <w:color w:val="auto"/>
                <w:sz w:val="24"/>
                <w:szCs w:val="24"/>
              </w:rPr>
            </w:pPr>
          </w:p>
        </w:tc>
        <w:tc>
          <w:tcPr>
            <w:tcW w:w="1213" w:type="dxa"/>
            <w:noWrap w:val="0"/>
            <w:vAlign w:val="center"/>
          </w:tcPr>
          <w:p w14:paraId="79EE0B59">
            <w:pPr>
              <w:spacing w:line="400" w:lineRule="exact"/>
              <w:jc w:val="center"/>
              <w:rPr>
                <w:rFonts w:hint="eastAsia" w:ascii="宋体" w:hAnsi="宋体" w:cs="宋体"/>
                <w:color w:val="auto"/>
                <w:sz w:val="24"/>
                <w:szCs w:val="24"/>
              </w:rPr>
            </w:pPr>
          </w:p>
        </w:tc>
        <w:tc>
          <w:tcPr>
            <w:tcW w:w="762" w:type="dxa"/>
            <w:noWrap w:val="0"/>
            <w:vAlign w:val="center"/>
          </w:tcPr>
          <w:p w14:paraId="2156D09A">
            <w:pPr>
              <w:spacing w:line="400" w:lineRule="exact"/>
              <w:jc w:val="center"/>
              <w:rPr>
                <w:rFonts w:hint="eastAsia" w:ascii="宋体" w:hAnsi="宋体" w:cs="宋体"/>
                <w:color w:val="auto"/>
                <w:sz w:val="24"/>
                <w:szCs w:val="24"/>
              </w:rPr>
            </w:pPr>
          </w:p>
        </w:tc>
        <w:tc>
          <w:tcPr>
            <w:tcW w:w="850" w:type="dxa"/>
            <w:noWrap w:val="0"/>
            <w:vAlign w:val="center"/>
          </w:tcPr>
          <w:p w14:paraId="76FBFA12">
            <w:pPr>
              <w:spacing w:line="400" w:lineRule="exact"/>
              <w:jc w:val="center"/>
              <w:rPr>
                <w:rFonts w:hint="eastAsia" w:ascii="宋体" w:hAnsi="宋体" w:cs="宋体"/>
                <w:color w:val="auto"/>
                <w:sz w:val="24"/>
                <w:szCs w:val="24"/>
              </w:rPr>
            </w:pPr>
          </w:p>
        </w:tc>
        <w:tc>
          <w:tcPr>
            <w:tcW w:w="1138" w:type="dxa"/>
            <w:noWrap w:val="0"/>
            <w:vAlign w:val="center"/>
          </w:tcPr>
          <w:p w14:paraId="5A767BDF">
            <w:pPr>
              <w:spacing w:line="400" w:lineRule="exact"/>
              <w:jc w:val="center"/>
              <w:rPr>
                <w:rFonts w:hint="eastAsia" w:ascii="宋体" w:hAnsi="宋体" w:cs="宋体"/>
                <w:color w:val="auto"/>
                <w:sz w:val="24"/>
                <w:szCs w:val="24"/>
              </w:rPr>
            </w:pPr>
          </w:p>
        </w:tc>
        <w:tc>
          <w:tcPr>
            <w:tcW w:w="950" w:type="dxa"/>
            <w:noWrap w:val="0"/>
            <w:vAlign w:val="center"/>
          </w:tcPr>
          <w:p w14:paraId="17BC3E5A">
            <w:pPr>
              <w:spacing w:line="400" w:lineRule="exact"/>
              <w:jc w:val="center"/>
              <w:rPr>
                <w:rFonts w:hint="eastAsia" w:ascii="宋体" w:hAnsi="宋体" w:cs="宋体"/>
                <w:color w:val="auto"/>
                <w:sz w:val="24"/>
                <w:szCs w:val="24"/>
              </w:rPr>
            </w:pPr>
          </w:p>
        </w:tc>
      </w:tr>
      <w:tr w14:paraId="1754B7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4" w:hRule="atLeast"/>
        </w:trPr>
        <w:tc>
          <w:tcPr>
            <w:tcW w:w="687" w:type="dxa"/>
            <w:noWrap w:val="0"/>
            <w:vAlign w:val="center"/>
          </w:tcPr>
          <w:p w14:paraId="240B4C23">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2</w:t>
            </w:r>
          </w:p>
        </w:tc>
        <w:tc>
          <w:tcPr>
            <w:tcW w:w="1065" w:type="dxa"/>
            <w:noWrap w:val="0"/>
            <w:vAlign w:val="center"/>
          </w:tcPr>
          <w:p w14:paraId="7225A9DF">
            <w:pPr>
              <w:spacing w:line="400" w:lineRule="exact"/>
              <w:jc w:val="center"/>
              <w:rPr>
                <w:rFonts w:hint="eastAsia" w:ascii="宋体" w:hAnsi="宋体" w:cs="宋体"/>
                <w:color w:val="auto"/>
                <w:sz w:val="24"/>
                <w:szCs w:val="24"/>
              </w:rPr>
            </w:pPr>
          </w:p>
        </w:tc>
        <w:tc>
          <w:tcPr>
            <w:tcW w:w="698" w:type="dxa"/>
            <w:noWrap w:val="0"/>
            <w:vAlign w:val="center"/>
          </w:tcPr>
          <w:p w14:paraId="2F2F750C">
            <w:pPr>
              <w:spacing w:line="400" w:lineRule="exact"/>
              <w:jc w:val="center"/>
              <w:rPr>
                <w:rFonts w:hint="eastAsia" w:ascii="宋体" w:hAnsi="宋体" w:cs="宋体"/>
                <w:color w:val="auto"/>
                <w:sz w:val="24"/>
                <w:szCs w:val="24"/>
              </w:rPr>
            </w:pPr>
          </w:p>
        </w:tc>
        <w:tc>
          <w:tcPr>
            <w:tcW w:w="1462" w:type="dxa"/>
            <w:noWrap w:val="0"/>
            <w:vAlign w:val="center"/>
          </w:tcPr>
          <w:p w14:paraId="0DF22C90">
            <w:pPr>
              <w:spacing w:line="400" w:lineRule="exact"/>
              <w:jc w:val="center"/>
              <w:rPr>
                <w:rFonts w:hint="eastAsia" w:ascii="宋体" w:hAnsi="宋体" w:cs="宋体"/>
                <w:color w:val="auto"/>
                <w:sz w:val="24"/>
                <w:szCs w:val="24"/>
              </w:rPr>
            </w:pPr>
          </w:p>
        </w:tc>
        <w:tc>
          <w:tcPr>
            <w:tcW w:w="1213" w:type="dxa"/>
            <w:noWrap w:val="0"/>
            <w:vAlign w:val="center"/>
          </w:tcPr>
          <w:p w14:paraId="17EC0269">
            <w:pPr>
              <w:spacing w:line="400" w:lineRule="exact"/>
              <w:jc w:val="center"/>
              <w:rPr>
                <w:rFonts w:hint="eastAsia" w:ascii="宋体" w:hAnsi="宋体" w:cs="宋体"/>
                <w:color w:val="auto"/>
                <w:sz w:val="24"/>
                <w:szCs w:val="24"/>
              </w:rPr>
            </w:pPr>
          </w:p>
        </w:tc>
        <w:tc>
          <w:tcPr>
            <w:tcW w:w="762" w:type="dxa"/>
            <w:noWrap w:val="0"/>
            <w:vAlign w:val="center"/>
          </w:tcPr>
          <w:p w14:paraId="5F6F0DD8">
            <w:pPr>
              <w:spacing w:line="400" w:lineRule="exact"/>
              <w:jc w:val="center"/>
              <w:rPr>
                <w:rFonts w:hint="eastAsia" w:ascii="宋体" w:hAnsi="宋体" w:cs="宋体"/>
                <w:color w:val="auto"/>
                <w:sz w:val="24"/>
                <w:szCs w:val="24"/>
              </w:rPr>
            </w:pPr>
          </w:p>
        </w:tc>
        <w:tc>
          <w:tcPr>
            <w:tcW w:w="850" w:type="dxa"/>
            <w:noWrap w:val="0"/>
            <w:vAlign w:val="center"/>
          </w:tcPr>
          <w:p w14:paraId="479A7E83">
            <w:pPr>
              <w:spacing w:line="400" w:lineRule="exact"/>
              <w:jc w:val="center"/>
              <w:rPr>
                <w:rFonts w:hint="eastAsia" w:ascii="宋体" w:hAnsi="宋体" w:cs="宋体"/>
                <w:color w:val="auto"/>
                <w:sz w:val="24"/>
                <w:szCs w:val="24"/>
              </w:rPr>
            </w:pPr>
          </w:p>
        </w:tc>
        <w:tc>
          <w:tcPr>
            <w:tcW w:w="1138" w:type="dxa"/>
            <w:noWrap w:val="0"/>
            <w:vAlign w:val="center"/>
          </w:tcPr>
          <w:p w14:paraId="1F33C535">
            <w:pPr>
              <w:spacing w:line="400" w:lineRule="exact"/>
              <w:jc w:val="center"/>
              <w:rPr>
                <w:rFonts w:hint="eastAsia" w:ascii="宋体" w:hAnsi="宋体" w:cs="宋体"/>
                <w:color w:val="auto"/>
                <w:sz w:val="24"/>
                <w:szCs w:val="24"/>
              </w:rPr>
            </w:pPr>
          </w:p>
        </w:tc>
        <w:tc>
          <w:tcPr>
            <w:tcW w:w="950" w:type="dxa"/>
            <w:noWrap w:val="0"/>
            <w:vAlign w:val="center"/>
          </w:tcPr>
          <w:p w14:paraId="28D3FF38">
            <w:pPr>
              <w:spacing w:line="400" w:lineRule="exact"/>
              <w:jc w:val="center"/>
              <w:rPr>
                <w:rFonts w:hint="eastAsia" w:ascii="宋体" w:hAnsi="宋体" w:cs="宋体"/>
                <w:color w:val="auto"/>
                <w:sz w:val="24"/>
                <w:szCs w:val="24"/>
              </w:rPr>
            </w:pPr>
          </w:p>
        </w:tc>
      </w:tr>
      <w:tr w14:paraId="3F59E9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4" w:hRule="atLeast"/>
        </w:trPr>
        <w:tc>
          <w:tcPr>
            <w:tcW w:w="687" w:type="dxa"/>
            <w:noWrap w:val="0"/>
            <w:vAlign w:val="center"/>
          </w:tcPr>
          <w:p w14:paraId="211EE52A">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3</w:t>
            </w:r>
          </w:p>
        </w:tc>
        <w:tc>
          <w:tcPr>
            <w:tcW w:w="1065" w:type="dxa"/>
            <w:noWrap w:val="0"/>
            <w:vAlign w:val="center"/>
          </w:tcPr>
          <w:p w14:paraId="5BFC6979">
            <w:pPr>
              <w:spacing w:line="400" w:lineRule="exact"/>
              <w:jc w:val="center"/>
              <w:rPr>
                <w:rFonts w:hint="eastAsia" w:ascii="宋体" w:hAnsi="宋体" w:cs="宋体"/>
                <w:color w:val="auto"/>
                <w:sz w:val="24"/>
                <w:szCs w:val="24"/>
              </w:rPr>
            </w:pPr>
          </w:p>
        </w:tc>
        <w:tc>
          <w:tcPr>
            <w:tcW w:w="698" w:type="dxa"/>
            <w:noWrap w:val="0"/>
            <w:vAlign w:val="center"/>
          </w:tcPr>
          <w:p w14:paraId="28DCA814">
            <w:pPr>
              <w:spacing w:line="400" w:lineRule="exact"/>
              <w:jc w:val="center"/>
              <w:rPr>
                <w:rFonts w:hint="eastAsia" w:ascii="宋体" w:hAnsi="宋体" w:cs="宋体"/>
                <w:color w:val="auto"/>
                <w:sz w:val="24"/>
                <w:szCs w:val="24"/>
              </w:rPr>
            </w:pPr>
          </w:p>
        </w:tc>
        <w:tc>
          <w:tcPr>
            <w:tcW w:w="1462" w:type="dxa"/>
            <w:noWrap w:val="0"/>
            <w:vAlign w:val="center"/>
          </w:tcPr>
          <w:p w14:paraId="7063DB7E">
            <w:pPr>
              <w:spacing w:line="400" w:lineRule="exact"/>
              <w:jc w:val="center"/>
              <w:rPr>
                <w:rFonts w:hint="eastAsia" w:ascii="宋体" w:hAnsi="宋体" w:cs="宋体"/>
                <w:color w:val="auto"/>
                <w:sz w:val="24"/>
                <w:szCs w:val="24"/>
              </w:rPr>
            </w:pPr>
          </w:p>
        </w:tc>
        <w:tc>
          <w:tcPr>
            <w:tcW w:w="1213" w:type="dxa"/>
            <w:noWrap w:val="0"/>
            <w:vAlign w:val="center"/>
          </w:tcPr>
          <w:p w14:paraId="44C0E4BE">
            <w:pPr>
              <w:spacing w:line="400" w:lineRule="exact"/>
              <w:jc w:val="center"/>
              <w:rPr>
                <w:rFonts w:hint="eastAsia" w:ascii="宋体" w:hAnsi="宋体" w:cs="宋体"/>
                <w:color w:val="auto"/>
                <w:sz w:val="24"/>
                <w:szCs w:val="24"/>
              </w:rPr>
            </w:pPr>
          </w:p>
        </w:tc>
        <w:tc>
          <w:tcPr>
            <w:tcW w:w="762" w:type="dxa"/>
            <w:noWrap w:val="0"/>
            <w:vAlign w:val="center"/>
          </w:tcPr>
          <w:p w14:paraId="43B959A6">
            <w:pPr>
              <w:spacing w:line="400" w:lineRule="exact"/>
              <w:jc w:val="center"/>
              <w:rPr>
                <w:rFonts w:hint="eastAsia" w:ascii="宋体" w:hAnsi="宋体" w:cs="宋体"/>
                <w:color w:val="auto"/>
                <w:sz w:val="24"/>
                <w:szCs w:val="24"/>
              </w:rPr>
            </w:pPr>
          </w:p>
        </w:tc>
        <w:tc>
          <w:tcPr>
            <w:tcW w:w="850" w:type="dxa"/>
            <w:noWrap w:val="0"/>
            <w:vAlign w:val="center"/>
          </w:tcPr>
          <w:p w14:paraId="45D39CD4">
            <w:pPr>
              <w:spacing w:line="400" w:lineRule="exact"/>
              <w:jc w:val="center"/>
              <w:rPr>
                <w:rFonts w:hint="eastAsia" w:ascii="宋体" w:hAnsi="宋体" w:cs="宋体"/>
                <w:color w:val="auto"/>
                <w:sz w:val="24"/>
                <w:szCs w:val="24"/>
              </w:rPr>
            </w:pPr>
          </w:p>
        </w:tc>
        <w:tc>
          <w:tcPr>
            <w:tcW w:w="1138" w:type="dxa"/>
            <w:noWrap w:val="0"/>
            <w:vAlign w:val="center"/>
          </w:tcPr>
          <w:p w14:paraId="499040B8">
            <w:pPr>
              <w:spacing w:line="400" w:lineRule="exact"/>
              <w:jc w:val="center"/>
              <w:rPr>
                <w:rFonts w:hint="eastAsia" w:ascii="宋体" w:hAnsi="宋体" w:cs="宋体"/>
                <w:color w:val="auto"/>
                <w:sz w:val="24"/>
                <w:szCs w:val="24"/>
              </w:rPr>
            </w:pPr>
          </w:p>
        </w:tc>
        <w:tc>
          <w:tcPr>
            <w:tcW w:w="950" w:type="dxa"/>
            <w:noWrap w:val="0"/>
            <w:vAlign w:val="center"/>
          </w:tcPr>
          <w:p w14:paraId="29092940">
            <w:pPr>
              <w:spacing w:line="400" w:lineRule="exact"/>
              <w:jc w:val="center"/>
              <w:rPr>
                <w:rFonts w:hint="eastAsia" w:ascii="宋体" w:hAnsi="宋体" w:cs="宋体"/>
                <w:color w:val="auto"/>
                <w:sz w:val="24"/>
                <w:szCs w:val="24"/>
              </w:rPr>
            </w:pPr>
          </w:p>
        </w:tc>
      </w:tr>
      <w:tr w14:paraId="6B4C9E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4" w:hRule="atLeast"/>
        </w:trPr>
        <w:tc>
          <w:tcPr>
            <w:tcW w:w="687" w:type="dxa"/>
            <w:noWrap w:val="0"/>
            <w:vAlign w:val="center"/>
          </w:tcPr>
          <w:p w14:paraId="4419038D">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4</w:t>
            </w:r>
          </w:p>
        </w:tc>
        <w:tc>
          <w:tcPr>
            <w:tcW w:w="1065" w:type="dxa"/>
            <w:noWrap w:val="0"/>
            <w:vAlign w:val="center"/>
          </w:tcPr>
          <w:p w14:paraId="1EB83DC6">
            <w:pPr>
              <w:spacing w:line="400" w:lineRule="exact"/>
              <w:jc w:val="center"/>
              <w:rPr>
                <w:rFonts w:hint="eastAsia" w:ascii="宋体" w:hAnsi="宋体" w:cs="宋体"/>
                <w:color w:val="auto"/>
                <w:sz w:val="24"/>
                <w:szCs w:val="24"/>
              </w:rPr>
            </w:pPr>
          </w:p>
        </w:tc>
        <w:tc>
          <w:tcPr>
            <w:tcW w:w="698" w:type="dxa"/>
            <w:noWrap w:val="0"/>
            <w:vAlign w:val="center"/>
          </w:tcPr>
          <w:p w14:paraId="2CDCFFBD">
            <w:pPr>
              <w:spacing w:line="400" w:lineRule="exact"/>
              <w:jc w:val="center"/>
              <w:rPr>
                <w:rFonts w:hint="eastAsia" w:ascii="宋体" w:hAnsi="宋体" w:cs="宋体"/>
                <w:color w:val="auto"/>
                <w:sz w:val="24"/>
                <w:szCs w:val="24"/>
              </w:rPr>
            </w:pPr>
          </w:p>
        </w:tc>
        <w:tc>
          <w:tcPr>
            <w:tcW w:w="1462" w:type="dxa"/>
            <w:noWrap w:val="0"/>
            <w:vAlign w:val="center"/>
          </w:tcPr>
          <w:p w14:paraId="6F37691C">
            <w:pPr>
              <w:spacing w:line="400" w:lineRule="exact"/>
              <w:jc w:val="center"/>
              <w:rPr>
                <w:rFonts w:hint="eastAsia" w:ascii="宋体" w:hAnsi="宋体" w:cs="宋体"/>
                <w:color w:val="auto"/>
                <w:sz w:val="24"/>
                <w:szCs w:val="24"/>
              </w:rPr>
            </w:pPr>
          </w:p>
        </w:tc>
        <w:tc>
          <w:tcPr>
            <w:tcW w:w="1213" w:type="dxa"/>
            <w:noWrap w:val="0"/>
            <w:vAlign w:val="center"/>
          </w:tcPr>
          <w:p w14:paraId="64E604AC">
            <w:pPr>
              <w:spacing w:line="400" w:lineRule="exact"/>
              <w:jc w:val="center"/>
              <w:rPr>
                <w:rFonts w:hint="eastAsia" w:ascii="宋体" w:hAnsi="宋体" w:cs="宋体"/>
                <w:color w:val="auto"/>
                <w:sz w:val="24"/>
                <w:szCs w:val="24"/>
              </w:rPr>
            </w:pPr>
          </w:p>
        </w:tc>
        <w:tc>
          <w:tcPr>
            <w:tcW w:w="762" w:type="dxa"/>
            <w:noWrap w:val="0"/>
            <w:vAlign w:val="center"/>
          </w:tcPr>
          <w:p w14:paraId="3553E69F">
            <w:pPr>
              <w:spacing w:line="400" w:lineRule="exact"/>
              <w:jc w:val="center"/>
              <w:rPr>
                <w:rFonts w:hint="eastAsia" w:ascii="宋体" w:hAnsi="宋体" w:cs="宋体"/>
                <w:color w:val="auto"/>
                <w:sz w:val="24"/>
                <w:szCs w:val="24"/>
              </w:rPr>
            </w:pPr>
          </w:p>
        </w:tc>
        <w:tc>
          <w:tcPr>
            <w:tcW w:w="850" w:type="dxa"/>
            <w:noWrap w:val="0"/>
            <w:vAlign w:val="center"/>
          </w:tcPr>
          <w:p w14:paraId="57097699">
            <w:pPr>
              <w:spacing w:line="400" w:lineRule="exact"/>
              <w:jc w:val="center"/>
              <w:rPr>
                <w:rFonts w:hint="eastAsia" w:ascii="宋体" w:hAnsi="宋体" w:cs="宋体"/>
                <w:color w:val="auto"/>
                <w:sz w:val="24"/>
                <w:szCs w:val="24"/>
              </w:rPr>
            </w:pPr>
          </w:p>
        </w:tc>
        <w:tc>
          <w:tcPr>
            <w:tcW w:w="1138" w:type="dxa"/>
            <w:noWrap w:val="0"/>
            <w:vAlign w:val="center"/>
          </w:tcPr>
          <w:p w14:paraId="404E1927">
            <w:pPr>
              <w:spacing w:line="400" w:lineRule="exact"/>
              <w:jc w:val="center"/>
              <w:rPr>
                <w:rFonts w:hint="eastAsia" w:ascii="宋体" w:hAnsi="宋体" w:cs="宋体"/>
                <w:color w:val="auto"/>
                <w:sz w:val="24"/>
                <w:szCs w:val="24"/>
              </w:rPr>
            </w:pPr>
          </w:p>
        </w:tc>
        <w:tc>
          <w:tcPr>
            <w:tcW w:w="950" w:type="dxa"/>
            <w:noWrap w:val="0"/>
            <w:vAlign w:val="center"/>
          </w:tcPr>
          <w:p w14:paraId="5D550FCD">
            <w:pPr>
              <w:spacing w:line="400" w:lineRule="exact"/>
              <w:jc w:val="center"/>
              <w:rPr>
                <w:rFonts w:hint="eastAsia" w:ascii="宋体" w:hAnsi="宋体" w:cs="宋体"/>
                <w:color w:val="auto"/>
                <w:sz w:val="24"/>
                <w:szCs w:val="24"/>
              </w:rPr>
            </w:pPr>
          </w:p>
        </w:tc>
      </w:tr>
      <w:tr w14:paraId="0570A5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4" w:hRule="atLeast"/>
        </w:trPr>
        <w:tc>
          <w:tcPr>
            <w:tcW w:w="687" w:type="dxa"/>
            <w:noWrap w:val="0"/>
            <w:vAlign w:val="center"/>
          </w:tcPr>
          <w:p w14:paraId="385B39EF">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5</w:t>
            </w:r>
          </w:p>
        </w:tc>
        <w:tc>
          <w:tcPr>
            <w:tcW w:w="1065" w:type="dxa"/>
            <w:noWrap w:val="0"/>
            <w:vAlign w:val="center"/>
          </w:tcPr>
          <w:p w14:paraId="1FBA6957">
            <w:pPr>
              <w:spacing w:line="400" w:lineRule="exact"/>
              <w:jc w:val="center"/>
              <w:rPr>
                <w:rFonts w:hint="eastAsia" w:ascii="宋体" w:hAnsi="宋体" w:cs="宋体"/>
                <w:color w:val="auto"/>
                <w:sz w:val="24"/>
                <w:szCs w:val="24"/>
              </w:rPr>
            </w:pPr>
          </w:p>
        </w:tc>
        <w:tc>
          <w:tcPr>
            <w:tcW w:w="698" w:type="dxa"/>
            <w:noWrap w:val="0"/>
            <w:vAlign w:val="center"/>
          </w:tcPr>
          <w:p w14:paraId="054E76D1">
            <w:pPr>
              <w:spacing w:line="400" w:lineRule="exact"/>
              <w:jc w:val="center"/>
              <w:rPr>
                <w:rFonts w:hint="eastAsia" w:ascii="宋体" w:hAnsi="宋体" w:cs="宋体"/>
                <w:color w:val="auto"/>
                <w:sz w:val="24"/>
                <w:szCs w:val="24"/>
              </w:rPr>
            </w:pPr>
          </w:p>
        </w:tc>
        <w:tc>
          <w:tcPr>
            <w:tcW w:w="1462" w:type="dxa"/>
            <w:noWrap w:val="0"/>
            <w:vAlign w:val="center"/>
          </w:tcPr>
          <w:p w14:paraId="4A82C1B5">
            <w:pPr>
              <w:spacing w:line="400" w:lineRule="exact"/>
              <w:jc w:val="center"/>
              <w:rPr>
                <w:rFonts w:hint="eastAsia" w:ascii="宋体" w:hAnsi="宋体" w:cs="宋体"/>
                <w:color w:val="auto"/>
                <w:sz w:val="24"/>
                <w:szCs w:val="24"/>
              </w:rPr>
            </w:pPr>
          </w:p>
        </w:tc>
        <w:tc>
          <w:tcPr>
            <w:tcW w:w="1213" w:type="dxa"/>
            <w:noWrap w:val="0"/>
            <w:vAlign w:val="center"/>
          </w:tcPr>
          <w:p w14:paraId="1B4ACF96">
            <w:pPr>
              <w:spacing w:line="400" w:lineRule="exact"/>
              <w:jc w:val="center"/>
              <w:rPr>
                <w:rFonts w:hint="eastAsia" w:ascii="宋体" w:hAnsi="宋体" w:cs="宋体"/>
                <w:color w:val="auto"/>
                <w:sz w:val="24"/>
                <w:szCs w:val="24"/>
              </w:rPr>
            </w:pPr>
          </w:p>
        </w:tc>
        <w:tc>
          <w:tcPr>
            <w:tcW w:w="762" w:type="dxa"/>
            <w:noWrap w:val="0"/>
            <w:vAlign w:val="center"/>
          </w:tcPr>
          <w:p w14:paraId="7A1715D7">
            <w:pPr>
              <w:spacing w:line="400" w:lineRule="exact"/>
              <w:jc w:val="center"/>
              <w:rPr>
                <w:rFonts w:hint="eastAsia" w:ascii="宋体" w:hAnsi="宋体" w:cs="宋体"/>
                <w:color w:val="auto"/>
                <w:sz w:val="24"/>
                <w:szCs w:val="24"/>
              </w:rPr>
            </w:pPr>
          </w:p>
        </w:tc>
        <w:tc>
          <w:tcPr>
            <w:tcW w:w="850" w:type="dxa"/>
            <w:noWrap w:val="0"/>
            <w:vAlign w:val="center"/>
          </w:tcPr>
          <w:p w14:paraId="4989B336">
            <w:pPr>
              <w:spacing w:line="400" w:lineRule="exact"/>
              <w:jc w:val="center"/>
              <w:rPr>
                <w:rFonts w:hint="eastAsia" w:ascii="宋体" w:hAnsi="宋体" w:cs="宋体"/>
                <w:color w:val="auto"/>
                <w:sz w:val="24"/>
                <w:szCs w:val="24"/>
              </w:rPr>
            </w:pPr>
          </w:p>
        </w:tc>
        <w:tc>
          <w:tcPr>
            <w:tcW w:w="1138" w:type="dxa"/>
            <w:noWrap w:val="0"/>
            <w:vAlign w:val="center"/>
          </w:tcPr>
          <w:p w14:paraId="24AF20CF">
            <w:pPr>
              <w:spacing w:line="400" w:lineRule="exact"/>
              <w:jc w:val="center"/>
              <w:rPr>
                <w:rFonts w:hint="eastAsia" w:ascii="宋体" w:hAnsi="宋体" w:cs="宋体"/>
                <w:color w:val="auto"/>
                <w:sz w:val="24"/>
                <w:szCs w:val="24"/>
              </w:rPr>
            </w:pPr>
          </w:p>
        </w:tc>
        <w:tc>
          <w:tcPr>
            <w:tcW w:w="950" w:type="dxa"/>
            <w:noWrap w:val="0"/>
            <w:vAlign w:val="center"/>
          </w:tcPr>
          <w:p w14:paraId="7076AC9F">
            <w:pPr>
              <w:spacing w:line="400" w:lineRule="exact"/>
              <w:jc w:val="center"/>
              <w:rPr>
                <w:rFonts w:hint="eastAsia" w:ascii="宋体" w:hAnsi="宋体" w:cs="宋体"/>
                <w:color w:val="auto"/>
                <w:sz w:val="24"/>
                <w:szCs w:val="24"/>
              </w:rPr>
            </w:pPr>
          </w:p>
        </w:tc>
      </w:tr>
      <w:tr w14:paraId="26C457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4" w:hRule="atLeast"/>
        </w:trPr>
        <w:tc>
          <w:tcPr>
            <w:tcW w:w="687" w:type="dxa"/>
            <w:noWrap w:val="0"/>
            <w:vAlign w:val="center"/>
          </w:tcPr>
          <w:p w14:paraId="3EA29D7E">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6</w:t>
            </w:r>
          </w:p>
        </w:tc>
        <w:tc>
          <w:tcPr>
            <w:tcW w:w="1065" w:type="dxa"/>
            <w:noWrap w:val="0"/>
            <w:vAlign w:val="center"/>
          </w:tcPr>
          <w:p w14:paraId="3CAD3807">
            <w:pPr>
              <w:spacing w:line="400" w:lineRule="exact"/>
              <w:jc w:val="center"/>
              <w:rPr>
                <w:rFonts w:hint="eastAsia" w:ascii="宋体" w:hAnsi="宋体" w:cs="宋体"/>
                <w:color w:val="auto"/>
                <w:sz w:val="24"/>
                <w:szCs w:val="24"/>
              </w:rPr>
            </w:pPr>
          </w:p>
        </w:tc>
        <w:tc>
          <w:tcPr>
            <w:tcW w:w="698" w:type="dxa"/>
            <w:noWrap w:val="0"/>
            <w:vAlign w:val="center"/>
          </w:tcPr>
          <w:p w14:paraId="5A5D97C0">
            <w:pPr>
              <w:spacing w:line="400" w:lineRule="exact"/>
              <w:jc w:val="center"/>
              <w:rPr>
                <w:rFonts w:hint="eastAsia" w:ascii="宋体" w:hAnsi="宋体" w:cs="宋体"/>
                <w:color w:val="auto"/>
                <w:sz w:val="24"/>
                <w:szCs w:val="24"/>
              </w:rPr>
            </w:pPr>
          </w:p>
        </w:tc>
        <w:tc>
          <w:tcPr>
            <w:tcW w:w="1462" w:type="dxa"/>
            <w:noWrap w:val="0"/>
            <w:vAlign w:val="center"/>
          </w:tcPr>
          <w:p w14:paraId="10D7643B">
            <w:pPr>
              <w:spacing w:line="400" w:lineRule="exact"/>
              <w:jc w:val="center"/>
              <w:rPr>
                <w:rFonts w:hint="eastAsia" w:ascii="宋体" w:hAnsi="宋体" w:cs="宋体"/>
                <w:color w:val="auto"/>
                <w:sz w:val="24"/>
                <w:szCs w:val="24"/>
              </w:rPr>
            </w:pPr>
          </w:p>
        </w:tc>
        <w:tc>
          <w:tcPr>
            <w:tcW w:w="1213" w:type="dxa"/>
            <w:noWrap w:val="0"/>
            <w:vAlign w:val="center"/>
          </w:tcPr>
          <w:p w14:paraId="3A8F37B0">
            <w:pPr>
              <w:spacing w:line="400" w:lineRule="exact"/>
              <w:jc w:val="center"/>
              <w:rPr>
                <w:rFonts w:hint="eastAsia" w:ascii="宋体" w:hAnsi="宋体" w:cs="宋体"/>
                <w:color w:val="auto"/>
                <w:sz w:val="24"/>
                <w:szCs w:val="24"/>
              </w:rPr>
            </w:pPr>
          </w:p>
        </w:tc>
        <w:tc>
          <w:tcPr>
            <w:tcW w:w="762" w:type="dxa"/>
            <w:noWrap w:val="0"/>
            <w:vAlign w:val="center"/>
          </w:tcPr>
          <w:p w14:paraId="49997C78">
            <w:pPr>
              <w:spacing w:line="400" w:lineRule="exact"/>
              <w:jc w:val="center"/>
              <w:rPr>
                <w:rFonts w:hint="eastAsia" w:ascii="宋体" w:hAnsi="宋体" w:cs="宋体"/>
                <w:color w:val="auto"/>
                <w:sz w:val="24"/>
                <w:szCs w:val="24"/>
              </w:rPr>
            </w:pPr>
          </w:p>
        </w:tc>
        <w:tc>
          <w:tcPr>
            <w:tcW w:w="850" w:type="dxa"/>
            <w:noWrap w:val="0"/>
            <w:vAlign w:val="center"/>
          </w:tcPr>
          <w:p w14:paraId="2AB1E48B">
            <w:pPr>
              <w:spacing w:line="400" w:lineRule="exact"/>
              <w:jc w:val="center"/>
              <w:rPr>
                <w:rFonts w:hint="eastAsia" w:ascii="宋体" w:hAnsi="宋体" w:cs="宋体"/>
                <w:color w:val="auto"/>
                <w:sz w:val="24"/>
                <w:szCs w:val="24"/>
              </w:rPr>
            </w:pPr>
          </w:p>
        </w:tc>
        <w:tc>
          <w:tcPr>
            <w:tcW w:w="1138" w:type="dxa"/>
            <w:noWrap w:val="0"/>
            <w:vAlign w:val="center"/>
          </w:tcPr>
          <w:p w14:paraId="3FE6F1D9">
            <w:pPr>
              <w:spacing w:line="400" w:lineRule="exact"/>
              <w:jc w:val="center"/>
              <w:rPr>
                <w:rFonts w:hint="eastAsia" w:ascii="宋体" w:hAnsi="宋体" w:cs="宋体"/>
                <w:color w:val="auto"/>
                <w:sz w:val="24"/>
                <w:szCs w:val="24"/>
              </w:rPr>
            </w:pPr>
          </w:p>
        </w:tc>
        <w:tc>
          <w:tcPr>
            <w:tcW w:w="950" w:type="dxa"/>
            <w:noWrap w:val="0"/>
            <w:vAlign w:val="center"/>
          </w:tcPr>
          <w:p w14:paraId="1E294B79">
            <w:pPr>
              <w:spacing w:line="400" w:lineRule="exact"/>
              <w:jc w:val="center"/>
              <w:rPr>
                <w:rFonts w:hint="eastAsia" w:ascii="宋体" w:hAnsi="宋体" w:cs="宋体"/>
                <w:color w:val="auto"/>
                <w:sz w:val="24"/>
                <w:szCs w:val="24"/>
              </w:rPr>
            </w:pPr>
          </w:p>
        </w:tc>
      </w:tr>
      <w:tr w14:paraId="0ADCF7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4" w:hRule="atLeast"/>
        </w:trPr>
        <w:tc>
          <w:tcPr>
            <w:tcW w:w="687" w:type="dxa"/>
            <w:noWrap w:val="0"/>
            <w:vAlign w:val="center"/>
          </w:tcPr>
          <w:p w14:paraId="1B03098E">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w:t>
            </w:r>
          </w:p>
        </w:tc>
        <w:tc>
          <w:tcPr>
            <w:tcW w:w="1065" w:type="dxa"/>
            <w:noWrap w:val="0"/>
            <w:vAlign w:val="center"/>
          </w:tcPr>
          <w:p w14:paraId="513CAFC4">
            <w:pPr>
              <w:spacing w:line="400" w:lineRule="exact"/>
              <w:jc w:val="center"/>
              <w:rPr>
                <w:rFonts w:hint="eastAsia" w:ascii="宋体" w:hAnsi="宋体" w:cs="宋体"/>
                <w:color w:val="auto"/>
                <w:sz w:val="24"/>
                <w:szCs w:val="24"/>
              </w:rPr>
            </w:pPr>
          </w:p>
        </w:tc>
        <w:tc>
          <w:tcPr>
            <w:tcW w:w="698" w:type="dxa"/>
            <w:noWrap w:val="0"/>
            <w:vAlign w:val="center"/>
          </w:tcPr>
          <w:p w14:paraId="1440E5FF">
            <w:pPr>
              <w:spacing w:line="400" w:lineRule="exact"/>
              <w:jc w:val="center"/>
              <w:rPr>
                <w:rFonts w:hint="eastAsia" w:ascii="宋体" w:hAnsi="宋体" w:cs="宋体"/>
                <w:color w:val="auto"/>
                <w:sz w:val="24"/>
                <w:szCs w:val="24"/>
              </w:rPr>
            </w:pPr>
          </w:p>
        </w:tc>
        <w:tc>
          <w:tcPr>
            <w:tcW w:w="1462" w:type="dxa"/>
            <w:noWrap w:val="0"/>
            <w:vAlign w:val="center"/>
          </w:tcPr>
          <w:p w14:paraId="202EA76E">
            <w:pPr>
              <w:spacing w:line="400" w:lineRule="exact"/>
              <w:jc w:val="center"/>
              <w:rPr>
                <w:rFonts w:hint="eastAsia" w:ascii="宋体" w:hAnsi="宋体" w:cs="宋体"/>
                <w:color w:val="auto"/>
                <w:sz w:val="24"/>
                <w:szCs w:val="24"/>
              </w:rPr>
            </w:pPr>
          </w:p>
        </w:tc>
        <w:tc>
          <w:tcPr>
            <w:tcW w:w="1213" w:type="dxa"/>
            <w:noWrap w:val="0"/>
            <w:vAlign w:val="center"/>
          </w:tcPr>
          <w:p w14:paraId="116FA44B">
            <w:pPr>
              <w:spacing w:line="400" w:lineRule="exact"/>
              <w:jc w:val="center"/>
              <w:rPr>
                <w:rFonts w:hint="eastAsia" w:ascii="宋体" w:hAnsi="宋体" w:cs="宋体"/>
                <w:color w:val="auto"/>
                <w:sz w:val="24"/>
                <w:szCs w:val="24"/>
              </w:rPr>
            </w:pPr>
          </w:p>
        </w:tc>
        <w:tc>
          <w:tcPr>
            <w:tcW w:w="762" w:type="dxa"/>
            <w:noWrap w:val="0"/>
            <w:vAlign w:val="center"/>
          </w:tcPr>
          <w:p w14:paraId="730A7F87">
            <w:pPr>
              <w:spacing w:line="400" w:lineRule="exact"/>
              <w:jc w:val="center"/>
              <w:rPr>
                <w:rFonts w:hint="eastAsia" w:ascii="宋体" w:hAnsi="宋体" w:cs="宋体"/>
                <w:color w:val="auto"/>
                <w:sz w:val="24"/>
                <w:szCs w:val="24"/>
              </w:rPr>
            </w:pPr>
          </w:p>
        </w:tc>
        <w:tc>
          <w:tcPr>
            <w:tcW w:w="850" w:type="dxa"/>
            <w:noWrap w:val="0"/>
            <w:vAlign w:val="center"/>
          </w:tcPr>
          <w:p w14:paraId="61E481AB">
            <w:pPr>
              <w:spacing w:line="400" w:lineRule="exact"/>
              <w:jc w:val="center"/>
              <w:rPr>
                <w:rFonts w:hint="eastAsia" w:ascii="宋体" w:hAnsi="宋体" w:cs="宋体"/>
                <w:color w:val="auto"/>
                <w:sz w:val="24"/>
                <w:szCs w:val="24"/>
              </w:rPr>
            </w:pPr>
          </w:p>
        </w:tc>
        <w:tc>
          <w:tcPr>
            <w:tcW w:w="1138" w:type="dxa"/>
            <w:noWrap w:val="0"/>
            <w:vAlign w:val="center"/>
          </w:tcPr>
          <w:p w14:paraId="35A9CAF1">
            <w:pPr>
              <w:spacing w:line="400" w:lineRule="exact"/>
              <w:jc w:val="center"/>
              <w:rPr>
                <w:rFonts w:hint="eastAsia" w:ascii="宋体" w:hAnsi="宋体" w:cs="宋体"/>
                <w:color w:val="auto"/>
                <w:sz w:val="24"/>
                <w:szCs w:val="24"/>
              </w:rPr>
            </w:pPr>
          </w:p>
        </w:tc>
        <w:tc>
          <w:tcPr>
            <w:tcW w:w="950" w:type="dxa"/>
            <w:noWrap w:val="0"/>
            <w:vAlign w:val="center"/>
          </w:tcPr>
          <w:p w14:paraId="5C43B1DA">
            <w:pPr>
              <w:spacing w:line="400" w:lineRule="exact"/>
              <w:jc w:val="center"/>
              <w:rPr>
                <w:rFonts w:hint="eastAsia" w:ascii="宋体" w:hAnsi="宋体" w:cs="宋体"/>
                <w:color w:val="auto"/>
                <w:sz w:val="24"/>
                <w:szCs w:val="24"/>
              </w:rPr>
            </w:pPr>
          </w:p>
        </w:tc>
      </w:tr>
    </w:tbl>
    <w:p w14:paraId="3BCC8E61">
      <w:pPr>
        <w:spacing w:line="400" w:lineRule="exact"/>
        <w:ind w:firstLine="480"/>
        <w:rPr>
          <w:rFonts w:hint="eastAsia" w:ascii="宋体" w:hAnsi="宋体" w:cs="宋体"/>
          <w:color w:val="auto"/>
          <w:sz w:val="24"/>
          <w:szCs w:val="24"/>
        </w:rPr>
      </w:pPr>
      <w:r>
        <w:rPr>
          <w:rFonts w:hint="eastAsia" w:ascii="宋体" w:hAnsi="宋体" w:cs="宋体"/>
          <w:color w:val="auto"/>
          <w:sz w:val="24"/>
          <w:szCs w:val="24"/>
        </w:rPr>
        <w:t>说明：</w:t>
      </w:r>
    </w:p>
    <w:p w14:paraId="3497B560">
      <w:pPr>
        <w:spacing w:line="400" w:lineRule="exact"/>
        <w:ind w:firstLine="480"/>
        <w:rPr>
          <w:rFonts w:hint="eastAsia" w:ascii="宋体" w:hAnsi="宋体" w:cs="宋体"/>
          <w:color w:val="auto"/>
          <w:sz w:val="24"/>
          <w:szCs w:val="24"/>
        </w:rPr>
      </w:pPr>
      <w:r>
        <w:rPr>
          <w:rFonts w:hint="eastAsia" w:ascii="宋体" w:hAnsi="宋体" w:cs="宋体"/>
          <w:color w:val="auto"/>
          <w:sz w:val="24"/>
          <w:szCs w:val="24"/>
        </w:rPr>
        <w:t>1.“采购文件规定的技术和服务要求”项下填写的内容应与招标文件中采购需求的“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2B9AFCD8">
      <w:pPr>
        <w:spacing w:line="400" w:lineRule="exact"/>
        <w:ind w:firstLine="480"/>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rPr>
        <w:tab/>
      </w:r>
      <w:r>
        <w:rPr>
          <w:rFonts w:hint="eastAsia" w:ascii="宋体" w:hAnsi="宋体" w:cs="宋体"/>
          <w:color w:val="auto"/>
          <w:sz w:val="24"/>
          <w:szCs w:val="24"/>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349320FA">
      <w:pPr>
        <w:spacing w:line="400" w:lineRule="exact"/>
        <w:ind w:firstLine="480"/>
        <w:rPr>
          <w:rFonts w:hint="eastAsia" w:ascii="宋体" w:hAnsi="宋体" w:cs="宋体"/>
          <w:color w:val="auto"/>
          <w:sz w:val="24"/>
          <w:szCs w:val="24"/>
        </w:rPr>
      </w:pPr>
      <w:r>
        <w:rPr>
          <w:rFonts w:hint="eastAsia" w:ascii="宋体" w:hAnsi="宋体" w:cs="宋体"/>
          <w:color w:val="auto"/>
          <w:sz w:val="24"/>
          <w:szCs w:val="24"/>
        </w:rPr>
        <w:t>3.“是否偏离”项下应按下列规定填写：优于的，填写“正偏离”；符合的，填写“无偏离”；低于的，填写“负偏离”。</w:t>
      </w:r>
    </w:p>
    <w:p w14:paraId="664D2365">
      <w:pPr>
        <w:spacing w:line="400" w:lineRule="exact"/>
        <w:ind w:firstLine="480"/>
        <w:rPr>
          <w:rFonts w:hint="eastAsia" w:ascii="宋体" w:hAnsi="宋体" w:cs="宋体"/>
          <w:color w:val="auto"/>
          <w:sz w:val="24"/>
          <w:szCs w:val="24"/>
        </w:rPr>
      </w:pPr>
      <w:r>
        <w:rPr>
          <w:rFonts w:hint="eastAsia" w:ascii="宋体" w:hAnsi="宋体" w:cs="宋体"/>
          <w:color w:val="auto"/>
          <w:sz w:val="24"/>
          <w:szCs w:val="24"/>
        </w:rPr>
        <w:t>4.“备注”处可填写偏离情况的说明。</w:t>
      </w:r>
    </w:p>
    <w:p w14:paraId="2CEF8883">
      <w:pPr>
        <w:pStyle w:val="162"/>
        <w:spacing w:line="400" w:lineRule="exact"/>
        <w:rPr>
          <w:rFonts w:hint="eastAsia" w:ascii="宋体" w:hAnsi="宋体" w:cs="宋体"/>
          <w:b/>
          <w:color w:val="auto"/>
          <w:sz w:val="24"/>
          <w:lang w:val="en-GB"/>
        </w:rPr>
      </w:pPr>
    </w:p>
    <w:p w14:paraId="1F535012">
      <w:pPr>
        <w:jc w:val="center"/>
        <w:rPr>
          <w:rFonts w:hint="eastAsia" w:ascii="宋体" w:hAnsi="宋体" w:cs="宋体"/>
          <w:bCs/>
          <w:color w:val="auto"/>
          <w:sz w:val="44"/>
          <w:szCs w:val="44"/>
        </w:rPr>
      </w:pPr>
      <w:r>
        <w:rPr>
          <w:rFonts w:hint="eastAsia" w:ascii="宋体" w:hAnsi="宋体" w:cs="宋体"/>
          <w:b/>
          <w:color w:val="auto"/>
          <w:sz w:val="24"/>
          <w:szCs w:val="24"/>
        </w:rPr>
        <w:br w:type="page"/>
      </w:r>
      <w:r>
        <w:rPr>
          <w:rFonts w:hint="eastAsia" w:ascii="宋体" w:hAnsi="宋体" w:cs="宋体"/>
          <w:bCs/>
          <w:color w:val="auto"/>
          <w:sz w:val="44"/>
          <w:szCs w:val="44"/>
        </w:rPr>
        <w:t>商务条件响应表</w:t>
      </w:r>
    </w:p>
    <w:tbl>
      <w:tblPr>
        <w:tblStyle w:val="4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06"/>
        <w:gridCol w:w="1225"/>
        <w:gridCol w:w="1838"/>
        <w:gridCol w:w="1787"/>
        <w:gridCol w:w="888"/>
        <w:gridCol w:w="1400"/>
        <w:gridCol w:w="1312"/>
      </w:tblGrid>
      <w:tr w14:paraId="051402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6" w:type="dxa"/>
            <w:noWrap w:val="0"/>
            <w:vAlign w:val="top"/>
          </w:tcPr>
          <w:p w14:paraId="6A96F457">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序号</w:t>
            </w:r>
          </w:p>
        </w:tc>
        <w:tc>
          <w:tcPr>
            <w:tcW w:w="1225" w:type="dxa"/>
            <w:noWrap w:val="0"/>
            <w:vAlign w:val="top"/>
          </w:tcPr>
          <w:p w14:paraId="5CEBE08C">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参数性质</w:t>
            </w:r>
          </w:p>
        </w:tc>
        <w:tc>
          <w:tcPr>
            <w:tcW w:w="1838" w:type="dxa"/>
            <w:noWrap w:val="0"/>
            <w:vAlign w:val="top"/>
          </w:tcPr>
          <w:p w14:paraId="68FFEA2D">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采购文件规定的商务条件</w:t>
            </w:r>
          </w:p>
        </w:tc>
        <w:tc>
          <w:tcPr>
            <w:tcW w:w="1787" w:type="dxa"/>
            <w:noWrap w:val="0"/>
            <w:vAlign w:val="top"/>
          </w:tcPr>
          <w:p w14:paraId="4E2528D7">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投标文件响应的具体内容</w:t>
            </w:r>
          </w:p>
        </w:tc>
        <w:tc>
          <w:tcPr>
            <w:tcW w:w="888" w:type="dxa"/>
            <w:noWrap w:val="0"/>
            <w:vAlign w:val="top"/>
          </w:tcPr>
          <w:p w14:paraId="045E413F">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是否偏离</w:t>
            </w:r>
          </w:p>
        </w:tc>
        <w:tc>
          <w:tcPr>
            <w:tcW w:w="1400" w:type="dxa"/>
            <w:noWrap w:val="0"/>
            <w:vAlign w:val="top"/>
          </w:tcPr>
          <w:p w14:paraId="3FCB5331">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证明文件所在位置</w:t>
            </w:r>
          </w:p>
        </w:tc>
        <w:tc>
          <w:tcPr>
            <w:tcW w:w="1312" w:type="dxa"/>
            <w:noWrap w:val="0"/>
            <w:vAlign w:val="top"/>
          </w:tcPr>
          <w:p w14:paraId="2C340008">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备注</w:t>
            </w:r>
          </w:p>
        </w:tc>
      </w:tr>
      <w:tr w14:paraId="4F1C2F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4" w:hRule="atLeast"/>
        </w:trPr>
        <w:tc>
          <w:tcPr>
            <w:tcW w:w="506" w:type="dxa"/>
            <w:noWrap w:val="0"/>
            <w:vAlign w:val="top"/>
          </w:tcPr>
          <w:p w14:paraId="0EFCC28B">
            <w:pPr>
              <w:rPr>
                <w:rFonts w:hint="eastAsia" w:ascii="宋体" w:hAnsi="宋体" w:cs="宋体"/>
                <w:color w:val="auto"/>
                <w:sz w:val="24"/>
                <w:szCs w:val="24"/>
              </w:rPr>
            </w:pPr>
            <w:r>
              <w:rPr>
                <w:rFonts w:hint="eastAsia" w:ascii="宋体" w:hAnsi="宋体" w:cs="宋体"/>
                <w:color w:val="auto"/>
                <w:sz w:val="24"/>
                <w:szCs w:val="24"/>
              </w:rPr>
              <w:t>1</w:t>
            </w:r>
          </w:p>
        </w:tc>
        <w:tc>
          <w:tcPr>
            <w:tcW w:w="1225" w:type="dxa"/>
            <w:noWrap w:val="0"/>
            <w:vAlign w:val="top"/>
          </w:tcPr>
          <w:p w14:paraId="12FF2B1A">
            <w:pPr>
              <w:rPr>
                <w:rFonts w:hint="eastAsia" w:ascii="宋体" w:hAnsi="宋体" w:cs="宋体"/>
                <w:color w:val="auto"/>
                <w:sz w:val="24"/>
                <w:szCs w:val="24"/>
              </w:rPr>
            </w:pPr>
          </w:p>
        </w:tc>
        <w:tc>
          <w:tcPr>
            <w:tcW w:w="1838" w:type="dxa"/>
            <w:noWrap w:val="0"/>
            <w:vAlign w:val="top"/>
          </w:tcPr>
          <w:p w14:paraId="2F199FE7">
            <w:pPr>
              <w:rPr>
                <w:rFonts w:hint="eastAsia" w:ascii="宋体" w:hAnsi="宋体" w:cs="宋体"/>
                <w:color w:val="auto"/>
                <w:sz w:val="24"/>
                <w:szCs w:val="24"/>
              </w:rPr>
            </w:pPr>
          </w:p>
        </w:tc>
        <w:tc>
          <w:tcPr>
            <w:tcW w:w="1787" w:type="dxa"/>
            <w:noWrap w:val="0"/>
            <w:vAlign w:val="top"/>
          </w:tcPr>
          <w:p w14:paraId="73BFF5BD">
            <w:pPr>
              <w:rPr>
                <w:rFonts w:hint="eastAsia" w:ascii="宋体" w:hAnsi="宋体" w:cs="宋体"/>
                <w:color w:val="auto"/>
                <w:sz w:val="24"/>
                <w:szCs w:val="24"/>
              </w:rPr>
            </w:pPr>
          </w:p>
        </w:tc>
        <w:tc>
          <w:tcPr>
            <w:tcW w:w="888" w:type="dxa"/>
            <w:noWrap w:val="0"/>
            <w:vAlign w:val="top"/>
          </w:tcPr>
          <w:p w14:paraId="1BF0E59C">
            <w:pPr>
              <w:rPr>
                <w:rFonts w:hint="eastAsia" w:ascii="宋体" w:hAnsi="宋体" w:cs="宋体"/>
                <w:color w:val="auto"/>
                <w:sz w:val="24"/>
                <w:szCs w:val="24"/>
              </w:rPr>
            </w:pPr>
          </w:p>
        </w:tc>
        <w:tc>
          <w:tcPr>
            <w:tcW w:w="1400" w:type="dxa"/>
            <w:noWrap w:val="0"/>
            <w:vAlign w:val="top"/>
          </w:tcPr>
          <w:p w14:paraId="008A950D">
            <w:pPr>
              <w:rPr>
                <w:rFonts w:hint="eastAsia" w:ascii="宋体" w:hAnsi="宋体" w:cs="宋体"/>
                <w:color w:val="auto"/>
                <w:sz w:val="24"/>
                <w:szCs w:val="24"/>
              </w:rPr>
            </w:pPr>
          </w:p>
        </w:tc>
        <w:tc>
          <w:tcPr>
            <w:tcW w:w="1312" w:type="dxa"/>
            <w:noWrap w:val="0"/>
            <w:vAlign w:val="top"/>
          </w:tcPr>
          <w:p w14:paraId="6711E2BD">
            <w:pPr>
              <w:rPr>
                <w:rFonts w:hint="eastAsia" w:ascii="宋体" w:hAnsi="宋体" w:cs="宋体"/>
                <w:color w:val="auto"/>
                <w:sz w:val="24"/>
                <w:szCs w:val="24"/>
              </w:rPr>
            </w:pPr>
          </w:p>
        </w:tc>
      </w:tr>
      <w:tr w14:paraId="04CF71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4" w:hRule="atLeast"/>
        </w:trPr>
        <w:tc>
          <w:tcPr>
            <w:tcW w:w="506" w:type="dxa"/>
            <w:noWrap w:val="0"/>
            <w:vAlign w:val="top"/>
          </w:tcPr>
          <w:p w14:paraId="2B9D8106">
            <w:pPr>
              <w:rPr>
                <w:rFonts w:hint="eastAsia" w:ascii="宋体" w:hAnsi="宋体" w:cs="宋体"/>
                <w:color w:val="auto"/>
                <w:sz w:val="24"/>
                <w:szCs w:val="24"/>
              </w:rPr>
            </w:pPr>
            <w:r>
              <w:rPr>
                <w:rFonts w:hint="eastAsia" w:ascii="宋体" w:hAnsi="宋体" w:cs="宋体"/>
                <w:color w:val="auto"/>
                <w:sz w:val="24"/>
                <w:szCs w:val="24"/>
              </w:rPr>
              <w:t>2</w:t>
            </w:r>
          </w:p>
        </w:tc>
        <w:tc>
          <w:tcPr>
            <w:tcW w:w="1225" w:type="dxa"/>
            <w:noWrap w:val="0"/>
            <w:vAlign w:val="top"/>
          </w:tcPr>
          <w:p w14:paraId="69BADDA4">
            <w:pPr>
              <w:rPr>
                <w:rFonts w:hint="eastAsia" w:ascii="宋体" w:hAnsi="宋体" w:cs="宋体"/>
                <w:color w:val="auto"/>
                <w:sz w:val="24"/>
                <w:szCs w:val="24"/>
              </w:rPr>
            </w:pPr>
          </w:p>
        </w:tc>
        <w:tc>
          <w:tcPr>
            <w:tcW w:w="1838" w:type="dxa"/>
            <w:noWrap w:val="0"/>
            <w:vAlign w:val="top"/>
          </w:tcPr>
          <w:p w14:paraId="3EA1B1DC">
            <w:pPr>
              <w:rPr>
                <w:rFonts w:hint="eastAsia" w:ascii="宋体" w:hAnsi="宋体" w:cs="宋体"/>
                <w:color w:val="auto"/>
                <w:sz w:val="24"/>
                <w:szCs w:val="24"/>
              </w:rPr>
            </w:pPr>
          </w:p>
        </w:tc>
        <w:tc>
          <w:tcPr>
            <w:tcW w:w="1787" w:type="dxa"/>
            <w:noWrap w:val="0"/>
            <w:vAlign w:val="top"/>
          </w:tcPr>
          <w:p w14:paraId="2596669C">
            <w:pPr>
              <w:rPr>
                <w:rFonts w:hint="eastAsia" w:ascii="宋体" w:hAnsi="宋体" w:cs="宋体"/>
                <w:color w:val="auto"/>
                <w:sz w:val="24"/>
                <w:szCs w:val="24"/>
              </w:rPr>
            </w:pPr>
          </w:p>
        </w:tc>
        <w:tc>
          <w:tcPr>
            <w:tcW w:w="888" w:type="dxa"/>
            <w:noWrap w:val="0"/>
            <w:vAlign w:val="top"/>
          </w:tcPr>
          <w:p w14:paraId="4EB8D924">
            <w:pPr>
              <w:rPr>
                <w:rFonts w:hint="eastAsia" w:ascii="宋体" w:hAnsi="宋体" w:cs="宋体"/>
                <w:color w:val="auto"/>
                <w:sz w:val="24"/>
                <w:szCs w:val="24"/>
              </w:rPr>
            </w:pPr>
          </w:p>
        </w:tc>
        <w:tc>
          <w:tcPr>
            <w:tcW w:w="1400" w:type="dxa"/>
            <w:noWrap w:val="0"/>
            <w:vAlign w:val="top"/>
          </w:tcPr>
          <w:p w14:paraId="289AAAF3">
            <w:pPr>
              <w:rPr>
                <w:rFonts w:hint="eastAsia" w:ascii="宋体" w:hAnsi="宋体" w:cs="宋体"/>
                <w:color w:val="auto"/>
                <w:sz w:val="24"/>
                <w:szCs w:val="24"/>
              </w:rPr>
            </w:pPr>
          </w:p>
        </w:tc>
        <w:tc>
          <w:tcPr>
            <w:tcW w:w="1312" w:type="dxa"/>
            <w:noWrap w:val="0"/>
            <w:vAlign w:val="top"/>
          </w:tcPr>
          <w:p w14:paraId="1C86EF96">
            <w:pPr>
              <w:rPr>
                <w:rFonts w:hint="eastAsia" w:ascii="宋体" w:hAnsi="宋体" w:cs="宋体"/>
                <w:color w:val="auto"/>
                <w:sz w:val="24"/>
                <w:szCs w:val="24"/>
              </w:rPr>
            </w:pPr>
          </w:p>
        </w:tc>
      </w:tr>
      <w:tr w14:paraId="4DC487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4" w:hRule="atLeast"/>
        </w:trPr>
        <w:tc>
          <w:tcPr>
            <w:tcW w:w="506" w:type="dxa"/>
            <w:noWrap w:val="0"/>
            <w:vAlign w:val="top"/>
          </w:tcPr>
          <w:p w14:paraId="059CF71B">
            <w:pPr>
              <w:rPr>
                <w:rFonts w:hint="eastAsia" w:ascii="宋体" w:hAnsi="宋体" w:cs="宋体"/>
                <w:color w:val="auto"/>
                <w:sz w:val="24"/>
                <w:szCs w:val="24"/>
              </w:rPr>
            </w:pPr>
            <w:r>
              <w:rPr>
                <w:rFonts w:hint="eastAsia" w:ascii="宋体" w:hAnsi="宋体" w:cs="宋体"/>
                <w:color w:val="auto"/>
                <w:sz w:val="24"/>
                <w:szCs w:val="24"/>
              </w:rPr>
              <w:t>3</w:t>
            </w:r>
          </w:p>
        </w:tc>
        <w:tc>
          <w:tcPr>
            <w:tcW w:w="1225" w:type="dxa"/>
            <w:noWrap w:val="0"/>
            <w:vAlign w:val="top"/>
          </w:tcPr>
          <w:p w14:paraId="06AB910D">
            <w:pPr>
              <w:rPr>
                <w:rFonts w:hint="eastAsia" w:ascii="宋体" w:hAnsi="宋体" w:cs="宋体"/>
                <w:color w:val="auto"/>
                <w:sz w:val="24"/>
                <w:szCs w:val="24"/>
              </w:rPr>
            </w:pPr>
          </w:p>
        </w:tc>
        <w:tc>
          <w:tcPr>
            <w:tcW w:w="1838" w:type="dxa"/>
            <w:noWrap w:val="0"/>
            <w:vAlign w:val="top"/>
          </w:tcPr>
          <w:p w14:paraId="56434CD4">
            <w:pPr>
              <w:rPr>
                <w:rFonts w:hint="eastAsia" w:ascii="宋体" w:hAnsi="宋体" w:cs="宋体"/>
                <w:color w:val="auto"/>
                <w:sz w:val="24"/>
                <w:szCs w:val="24"/>
              </w:rPr>
            </w:pPr>
          </w:p>
        </w:tc>
        <w:tc>
          <w:tcPr>
            <w:tcW w:w="1787" w:type="dxa"/>
            <w:noWrap w:val="0"/>
            <w:vAlign w:val="top"/>
          </w:tcPr>
          <w:p w14:paraId="43BEB0E2">
            <w:pPr>
              <w:rPr>
                <w:rFonts w:hint="eastAsia" w:ascii="宋体" w:hAnsi="宋体" w:cs="宋体"/>
                <w:color w:val="auto"/>
                <w:sz w:val="24"/>
                <w:szCs w:val="24"/>
              </w:rPr>
            </w:pPr>
          </w:p>
        </w:tc>
        <w:tc>
          <w:tcPr>
            <w:tcW w:w="888" w:type="dxa"/>
            <w:noWrap w:val="0"/>
            <w:vAlign w:val="top"/>
          </w:tcPr>
          <w:p w14:paraId="0DE34061">
            <w:pPr>
              <w:rPr>
                <w:rFonts w:hint="eastAsia" w:ascii="宋体" w:hAnsi="宋体" w:cs="宋体"/>
                <w:color w:val="auto"/>
                <w:sz w:val="24"/>
                <w:szCs w:val="24"/>
              </w:rPr>
            </w:pPr>
          </w:p>
        </w:tc>
        <w:tc>
          <w:tcPr>
            <w:tcW w:w="1400" w:type="dxa"/>
            <w:noWrap w:val="0"/>
            <w:vAlign w:val="top"/>
          </w:tcPr>
          <w:p w14:paraId="6236228B">
            <w:pPr>
              <w:rPr>
                <w:rFonts w:hint="eastAsia" w:ascii="宋体" w:hAnsi="宋体" w:cs="宋体"/>
                <w:color w:val="auto"/>
                <w:sz w:val="24"/>
                <w:szCs w:val="24"/>
              </w:rPr>
            </w:pPr>
          </w:p>
        </w:tc>
        <w:tc>
          <w:tcPr>
            <w:tcW w:w="1312" w:type="dxa"/>
            <w:noWrap w:val="0"/>
            <w:vAlign w:val="top"/>
          </w:tcPr>
          <w:p w14:paraId="25926029">
            <w:pPr>
              <w:rPr>
                <w:rFonts w:hint="eastAsia" w:ascii="宋体" w:hAnsi="宋体" w:cs="宋体"/>
                <w:color w:val="auto"/>
                <w:sz w:val="24"/>
                <w:szCs w:val="24"/>
              </w:rPr>
            </w:pPr>
          </w:p>
        </w:tc>
      </w:tr>
      <w:tr w14:paraId="672C28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4" w:hRule="atLeast"/>
        </w:trPr>
        <w:tc>
          <w:tcPr>
            <w:tcW w:w="506" w:type="dxa"/>
            <w:noWrap w:val="0"/>
            <w:vAlign w:val="top"/>
          </w:tcPr>
          <w:p w14:paraId="331E7106">
            <w:pPr>
              <w:rPr>
                <w:rFonts w:hint="eastAsia" w:ascii="宋体" w:hAnsi="宋体" w:cs="宋体"/>
                <w:color w:val="auto"/>
                <w:sz w:val="24"/>
                <w:szCs w:val="24"/>
              </w:rPr>
            </w:pPr>
            <w:r>
              <w:rPr>
                <w:rFonts w:hint="eastAsia" w:ascii="宋体" w:hAnsi="宋体" w:cs="宋体"/>
                <w:color w:val="auto"/>
                <w:sz w:val="24"/>
                <w:szCs w:val="24"/>
              </w:rPr>
              <w:t>4</w:t>
            </w:r>
          </w:p>
        </w:tc>
        <w:tc>
          <w:tcPr>
            <w:tcW w:w="1225" w:type="dxa"/>
            <w:noWrap w:val="0"/>
            <w:vAlign w:val="top"/>
          </w:tcPr>
          <w:p w14:paraId="086D8D70">
            <w:pPr>
              <w:rPr>
                <w:rFonts w:hint="eastAsia" w:ascii="宋体" w:hAnsi="宋体" w:cs="宋体"/>
                <w:color w:val="auto"/>
                <w:sz w:val="24"/>
                <w:szCs w:val="24"/>
              </w:rPr>
            </w:pPr>
          </w:p>
        </w:tc>
        <w:tc>
          <w:tcPr>
            <w:tcW w:w="1838" w:type="dxa"/>
            <w:noWrap w:val="0"/>
            <w:vAlign w:val="top"/>
          </w:tcPr>
          <w:p w14:paraId="2F54AB6D">
            <w:pPr>
              <w:rPr>
                <w:rFonts w:hint="eastAsia" w:ascii="宋体" w:hAnsi="宋体" w:cs="宋体"/>
                <w:color w:val="auto"/>
                <w:sz w:val="24"/>
                <w:szCs w:val="24"/>
              </w:rPr>
            </w:pPr>
          </w:p>
        </w:tc>
        <w:tc>
          <w:tcPr>
            <w:tcW w:w="1787" w:type="dxa"/>
            <w:noWrap w:val="0"/>
            <w:vAlign w:val="top"/>
          </w:tcPr>
          <w:p w14:paraId="21B2731B">
            <w:pPr>
              <w:rPr>
                <w:rFonts w:hint="eastAsia" w:ascii="宋体" w:hAnsi="宋体" w:cs="宋体"/>
                <w:color w:val="auto"/>
                <w:sz w:val="24"/>
                <w:szCs w:val="24"/>
              </w:rPr>
            </w:pPr>
          </w:p>
        </w:tc>
        <w:tc>
          <w:tcPr>
            <w:tcW w:w="888" w:type="dxa"/>
            <w:noWrap w:val="0"/>
            <w:vAlign w:val="top"/>
          </w:tcPr>
          <w:p w14:paraId="3143931E">
            <w:pPr>
              <w:rPr>
                <w:rFonts w:hint="eastAsia" w:ascii="宋体" w:hAnsi="宋体" w:cs="宋体"/>
                <w:color w:val="auto"/>
                <w:sz w:val="24"/>
                <w:szCs w:val="24"/>
              </w:rPr>
            </w:pPr>
          </w:p>
        </w:tc>
        <w:tc>
          <w:tcPr>
            <w:tcW w:w="1400" w:type="dxa"/>
            <w:noWrap w:val="0"/>
            <w:vAlign w:val="top"/>
          </w:tcPr>
          <w:p w14:paraId="1C669FCF">
            <w:pPr>
              <w:rPr>
                <w:rFonts w:hint="eastAsia" w:ascii="宋体" w:hAnsi="宋体" w:cs="宋体"/>
                <w:color w:val="auto"/>
                <w:sz w:val="24"/>
                <w:szCs w:val="24"/>
              </w:rPr>
            </w:pPr>
          </w:p>
        </w:tc>
        <w:tc>
          <w:tcPr>
            <w:tcW w:w="1312" w:type="dxa"/>
            <w:noWrap w:val="0"/>
            <w:vAlign w:val="top"/>
          </w:tcPr>
          <w:p w14:paraId="52F20AAF">
            <w:pPr>
              <w:rPr>
                <w:rFonts w:hint="eastAsia" w:ascii="宋体" w:hAnsi="宋体" w:cs="宋体"/>
                <w:color w:val="auto"/>
                <w:sz w:val="24"/>
                <w:szCs w:val="24"/>
              </w:rPr>
            </w:pPr>
          </w:p>
        </w:tc>
      </w:tr>
      <w:tr w14:paraId="65B2F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4" w:hRule="atLeast"/>
        </w:trPr>
        <w:tc>
          <w:tcPr>
            <w:tcW w:w="506" w:type="dxa"/>
            <w:noWrap w:val="0"/>
            <w:vAlign w:val="top"/>
          </w:tcPr>
          <w:p w14:paraId="33B1A59A">
            <w:pPr>
              <w:rPr>
                <w:rFonts w:hint="eastAsia" w:ascii="宋体" w:hAnsi="宋体" w:cs="宋体"/>
                <w:color w:val="auto"/>
                <w:sz w:val="24"/>
                <w:szCs w:val="24"/>
              </w:rPr>
            </w:pPr>
            <w:r>
              <w:rPr>
                <w:rFonts w:hint="eastAsia" w:ascii="宋体" w:hAnsi="宋体" w:cs="宋体"/>
                <w:color w:val="auto"/>
                <w:sz w:val="24"/>
                <w:szCs w:val="24"/>
              </w:rPr>
              <w:t>5</w:t>
            </w:r>
          </w:p>
        </w:tc>
        <w:tc>
          <w:tcPr>
            <w:tcW w:w="1225" w:type="dxa"/>
            <w:noWrap w:val="0"/>
            <w:vAlign w:val="top"/>
          </w:tcPr>
          <w:p w14:paraId="166323F5">
            <w:pPr>
              <w:rPr>
                <w:rFonts w:hint="eastAsia" w:ascii="宋体" w:hAnsi="宋体" w:cs="宋体"/>
                <w:color w:val="auto"/>
                <w:sz w:val="24"/>
                <w:szCs w:val="24"/>
              </w:rPr>
            </w:pPr>
          </w:p>
        </w:tc>
        <w:tc>
          <w:tcPr>
            <w:tcW w:w="1838" w:type="dxa"/>
            <w:noWrap w:val="0"/>
            <w:vAlign w:val="top"/>
          </w:tcPr>
          <w:p w14:paraId="77624054">
            <w:pPr>
              <w:rPr>
                <w:rFonts w:hint="eastAsia" w:ascii="宋体" w:hAnsi="宋体" w:cs="宋体"/>
                <w:color w:val="auto"/>
                <w:sz w:val="24"/>
                <w:szCs w:val="24"/>
              </w:rPr>
            </w:pPr>
          </w:p>
        </w:tc>
        <w:tc>
          <w:tcPr>
            <w:tcW w:w="1787" w:type="dxa"/>
            <w:noWrap w:val="0"/>
            <w:vAlign w:val="top"/>
          </w:tcPr>
          <w:p w14:paraId="20AE47D7">
            <w:pPr>
              <w:rPr>
                <w:rFonts w:hint="eastAsia" w:ascii="宋体" w:hAnsi="宋体" w:cs="宋体"/>
                <w:color w:val="auto"/>
                <w:sz w:val="24"/>
                <w:szCs w:val="24"/>
              </w:rPr>
            </w:pPr>
          </w:p>
        </w:tc>
        <w:tc>
          <w:tcPr>
            <w:tcW w:w="888" w:type="dxa"/>
            <w:noWrap w:val="0"/>
            <w:vAlign w:val="top"/>
          </w:tcPr>
          <w:p w14:paraId="271CCEAB">
            <w:pPr>
              <w:rPr>
                <w:rFonts w:hint="eastAsia" w:ascii="宋体" w:hAnsi="宋体" w:cs="宋体"/>
                <w:color w:val="auto"/>
                <w:sz w:val="24"/>
                <w:szCs w:val="24"/>
              </w:rPr>
            </w:pPr>
          </w:p>
        </w:tc>
        <w:tc>
          <w:tcPr>
            <w:tcW w:w="1400" w:type="dxa"/>
            <w:noWrap w:val="0"/>
            <w:vAlign w:val="top"/>
          </w:tcPr>
          <w:p w14:paraId="41055395">
            <w:pPr>
              <w:rPr>
                <w:rFonts w:hint="eastAsia" w:ascii="宋体" w:hAnsi="宋体" w:cs="宋体"/>
                <w:color w:val="auto"/>
                <w:sz w:val="24"/>
                <w:szCs w:val="24"/>
              </w:rPr>
            </w:pPr>
          </w:p>
        </w:tc>
        <w:tc>
          <w:tcPr>
            <w:tcW w:w="1312" w:type="dxa"/>
            <w:noWrap w:val="0"/>
            <w:vAlign w:val="top"/>
          </w:tcPr>
          <w:p w14:paraId="1760F6D6">
            <w:pPr>
              <w:rPr>
                <w:rFonts w:hint="eastAsia" w:ascii="宋体" w:hAnsi="宋体" w:cs="宋体"/>
                <w:color w:val="auto"/>
                <w:sz w:val="24"/>
                <w:szCs w:val="24"/>
              </w:rPr>
            </w:pPr>
          </w:p>
        </w:tc>
      </w:tr>
      <w:tr w14:paraId="1037C2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4" w:hRule="atLeast"/>
        </w:trPr>
        <w:tc>
          <w:tcPr>
            <w:tcW w:w="506" w:type="dxa"/>
            <w:noWrap w:val="0"/>
            <w:vAlign w:val="top"/>
          </w:tcPr>
          <w:p w14:paraId="17A0C6AA">
            <w:pPr>
              <w:rPr>
                <w:rFonts w:hint="eastAsia" w:ascii="宋体" w:hAnsi="宋体" w:cs="宋体"/>
                <w:color w:val="auto"/>
                <w:sz w:val="24"/>
                <w:szCs w:val="24"/>
              </w:rPr>
            </w:pPr>
            <w:r>
              <w:rPr>
                <w:rFonts w:hint="eastAsia" w:ascii="宋体" w:hAnsi="宋体" w:cs="宋体"/>
                <w:color w:val="auto"/>
                <w:sz w:val="24"/>
                <w:szCs w:val="24"/>
              </w:rPr>
              <w:t>6</w:t>
            </w:r>
          </w:p>
        </w:tc>
        <w:tc>
          <w:tcPr>
            <w:tcW w:w="1225" w:type="dxa"/>
            <w:noWrap w:val="0"/>
            <w:vAlign w:val="top"/>
          </w:tcPr>
          <w:p w14:paraId="1117C14F">
            <w:pPr>
              <w:rPr>
                <w:rFonts w:hint="eastAsia" w:ascii="宋体" w:hAnsi="宋体" w:cs="宋体"/>
                <w:color w:val="auto"/>
                <w:sz w:val="24"/>
                <w:szCs w:val="24"/>
              </w:rPr>
            </w:pPr>
          </w:p>
        </w:tc>
        <w:tc>
          <w:tcPr>
            <w:tcW w:w="1838" w:type="dxa"/>
            <w:noWrap w:val="0"/>
            <w:vAlign w:val="top"/>
          </w:tcPr>
          <w:p w14:paraId="398F324D">
            <w:pPr>
              <w:rPr>
                <w:rFonts w:hint="eastAsia" w:ascii="宋体" w:hAnsi="宋体" w:cs="宋体"/>
                <w:color w:val="auto"/>
                <w:sz w:val="24"/>
                <w:szCs w:val="24"/>
              </w:rPr>
            </w:pPr>
          </w:p>
        </w:tc>
        <w:tc>
          <w:tcPr>
            <w:tcW w:w="1787" w:type="dxa"/>
            <w:noWrap w:val="0"/>
            <w:vAlign w:val="top"/>
          </w:tcPr>
          <w:p w14:paraId="3B7C02D2">
            <w:pPr>
              <w:rPr>
                <w:rFonts w:hint="eastAsia" w:ascii="宋体" w:hAnsi="宋体" w:cs="宋体"/>
                <w:color w:val="auto"/>
                <w:sz w:val="24"/>
                <w:szCs w:val="24"/>
              </w:rPr>
            </w:pPr>
          </w:p>
        </w:tc>
        <w:tc>
          <w:tcPr>
            <w:tcW w:w="888" w:type="dxa"/>
            <w:noWrap w:val="0"/>
            <w:vAlign w:val="top"/>
          </w:tcPr>
          <w:p w14:paraId="30C9D094">
            <w:pPr>
              <w:rPr>
                <w:rFonts w:hint="eastAsia" w:ascii="宋体" w:hAnsi="宋体" w:cs="宋体"/>
                <w:color w:val="auto"/>
                <w:sz w:val="24"/>
                <w:szCs w:val="24"/>
              </w:rPr>
            </w:pPr>
          </w:p>
        </w:tc>
        <w:tc>
          <w:tcPr>
            <w:tcW w:w="1400" w:type="dxa"/>
            <w:noWrap w:val="0"/>
            <w:vAlign w:val="top"/>
          </w:tcPr>
          <w:p w14:paraId="71F863A1">
            <w:pPr>
              <w:rPr>
                <w:rFonts w:hint="eastAsia" w:ascii="宋体" w:hAnsi="宋体" w:cs="宋体"/>
                <w:color w:val="auto"/>
                <w:sz w:val="24"/>
                <w:szCs w:val="24"/>
              </w:rPr>
            </w:pPr>
          </w:p>
        </w:tc>
        <w:tc>
          <w:tcPr>
            <w:tcW w:w="1312" w:type="dxa"/>
            <w:noWrap w:val="0"/>
            <w:vAlign w:val="top"/>
          </w:tcPr>
          <w:p w14:paraId="6B7F0C55">
            <w:pPr>
              <w:rPr>
                <w:rFonts w:hint="eastAsia" w:ascii="宋体" w:hAnsi="宋体" w:cs="宋体"/>
                <w:color w:val="auto"/>
                <w:sz w:val="24"/>
                <w:szCs w:val="24"/>
              </w:rPr>
            </w:pPr>
          </w:p>
        </w:tc>
      </w:tr>
      <w:tr w14:paraId="488766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4" w:hRule="atLeast"/>
        </w:trPr>
        <w:tc>
          <w:tcPr>
            <w:tcW w:w="506" w:type="dxa"/>
            <w:noWrap w:val="0"/>
            <w:vAlign w:val="top"/>
          </w:tcPr>
          <w:p w14:paraId="18F5D2FD">
            <w:pPr>
              <w:rPr>
                <w:rFonts w:hint="eastAsia" w:ascii="宋体" w:hAnsi="宋体" w:cs="宋体"/>
                <w:color w:val="auto"/>
                <w:sz w:val="24"/>
                <w:szCs w:val="24"/>
              </w:rPr>
            </w:pPr>
            <w:r>
              <w:rPr>
                <w:rFonts w:hint="eastAsia" w:ascii="宋体" w:hAnsi="宋体" w:cs="宋体"/>
                <w:color w:val="auto"/>
                <w:sz w:val="24"/>
                <w:szCs w:val="24"/>
              </w:rPr>
              <w:t>7</w:t>
            </w:r>
          </w:p>
        </w:tc>
        <w:tc>
          <w:tcPr>
            <w:tcW w:w="1225" w:type="dxa"/>
            <w:noWrap w:val="0"/>
            <w:vAlign w:val="top"/>
          </w:tcPr>
          <w:p w14:paraId="20F27E1F">
            <w:pPr>
              <w:rPr>
                <w:rFonts w:hint="eastAsia" w:ascii="宋体" w:hAnsi="宋体" w:cs="宋体"/>
                <w:color w:val="auto"/>
                <w:sz w:val="24"/>
                <w:szCs w:val="24"/>
              </w:rPr>
            </w:pPr>
          </w:p>
        </w:tc>
        <w:tc>
          <w:tcPr>
            <w:tcW w:w="1838" w:type="dxa"/>
            <w:noWrap w:val="0"/>
            <w:vAlign w:val="top"/>
          </w:tcPr>
          <w:p w14:paraId="69C31198">
            <w:pPr>
              <w:rPr>
                <w:rFonts w:hint="eastAsia" w:ascii="宋体" w:hAnsi="宋体" w:cs="宋体"/>
                <w:color w:val="auto"/>
                <w:sz w:val="24"/>
                <w:szCs w:val="24"/>
              </w:rPr>
            </w:pPr>
          </w:p>
        </w:tc>
        <w:tc>
          <w:tcPr>
            <w:tcW w:w="1787" w:type="dxa"/>
            <w:noWrap w:val="0"/>
            <w:vAlign w:val="top"/>
          </w:tcPr>
          <w:p w14:paraId="1E2AD8AE">
            <w:pPr>
              <w:rPr>
                <w:rFonts w:hint="eastAsia" w:ascii="宋体" w:hAnsi="宋体" w:cs="宋体"/>
                <w:color w:val="auto"/>
                <w:sz w:val="24"/>
                <w:szCs w:val="24"/>
              </w:rPr>
            </w:pPr>
          </w:p>
        </w:tc>
        <w:tc>
          <w:tcPr>
            <w:tcW w:w="888" w:type="dxa"/>
            <w:noWrap w:val="0"/>
            <w:vAlign w:val="top"/>
          </w:tcPr>
          <w:p w14:paraId="58FC3290">
            <w:pPr>
              <w:rPr>
                <w:rFonts w:hint="eastAsia" w:ascii="宋体" w:hAnsi="宋体" w:cs="宋体"/>
                <w:color w:val="auto"/>
                <w:sz w:val="24"/>
                <w:szCs w:val="24"/>
              </w:rPr>
            </w:pPr>
          </w:p>
        </w:tc>
        <w:tc>
          <w:tcPr>
            <w:tcW w:w="1400" w:type="dxa"/>
            <w:noWrap w:val="0"/>
            <w:vAlign w:val="top"/>
          </w:tcPr>
          <w:p w14:paraId="54B9353A">
            <w:pPr>
              <w:rPr>
                <w:rFonts w:hint="eastAsia" w:ascii="宋体" w:hAnsi="宋体" w:cs="宋体"/>
                <w:color w:val="auto"/>
                <w:sz w:val="24"/>
                <w:szCs w:val="24"/>
              </w:rPr>
            </w:pPr>
          </w:p>
        </w:tc>
        <w:tc>
          <w:tcPr>
            <w:tcW w:w="1312" w:type="dxa"/>
            <w:noWrap w:val="0"/>
            <w:vAlign w:val="top"/>
          </w:tcPr>
          <w:p w14:paraId="51CCEDF2">
            <w:pPr>
              <w:rPr>
                <w:rFonts w:hint="eastAsia" w:ascii="宋体" w:hAnsi="宋体" w:cs="宋体"/>
                <w:color w:val="auto"/>
                <w:sz w:val="24"/>
                <w:szCs w:val="24"/>
              </w:rPr>
            </w:pPr>
          </w:p>
        </w:tc>
      </w:tr>
      <w:tr w14:paraId="11273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4" w:hRule="atLeast"/>
        </w:trPr>
        <w:tc>
          <w:tcPr>
            <w:tcW w:w="506" w:type="dxa"/>
            <w:noWrap w:val="0"/>
            <w:vAlign w:val="top"/>
          </w:tcPr>
          <w:p w14:paraId="16A123F0">
            <w:pPr>
              <w:rPr>
                <w:rFonts w:hint="eastAsia" w:ascii="宋体" w:hAnsi="宋体" w:cs="宋体"/>
                <w:color w:val="auto"/>
                <w:sz w:val="24"/>
                <w:szCs w:val="24"/>
              </w:rPr>
            </w:pPr>
            <w:r>
              <w:rPr>
                <w:rFonts w:hint="eastAsia" w:ascii="宋体" w:hAnsi="宋体" w:cs="宋体"/>
                <w:color w:val="auto"/>
                <w:sz w:val="24"/>
                <w:szCs w:val="24"/>
              </w:rPr>
              <w:t>8</w:t>
            </w:r>
          </w:p>
        </w:tc>
        <w:tc>
          <w:tcPr>
            <w:tcW w:w="1225" w:type="dxa"/>
            <w:noWrap w:val="0"/>
            <w:vAlign w:val="top"/>
          </w:tcPr>
          <w:p w14:paraId="22501231">
            <w:pPr>
              <w:rPr>
                <w:rFonts w:hint="eastAsia" w:ascii="宋体" w:hAnsi="宋体" w:cs="宋体"/>
                <w:color w:val="auto"/>
                <w:sz w:val="24"/>
                <w:szCs w:val="24"/>
              </w:rPr>
            </w:pPr>
          </w:p>
        </w:tc>
        <w:tc>
          <w:tcPr>
            <w:tcW w:w="1838" w:type="dxa"/>
            <w:noWrap w:val="0"/>
            <w:vAlign w:val="top"/>
          </w:tcPr>
          <w:p w14:paraId="199D5C64">
            <w:pPr>
              <w:rPr>
                <w:rFonts w:hint="eastAsia" w:ascii="宋体" w:hAnsi="宋体" w:cs="宋体"/>
                <w:color w:val="auto"/>
                <w:sz w:val="24"/>
                <w:szCs w:val="24"/>
              </w:rPr>
            </w:pPr>
          </w:p>
        </w:tc>
        <w:tc>
          <w:tcPr>
            <w:tcW w:w="1787" w:type="dxa"/>
            <w:noWrap w:val="0"/>
            <w:vAlign w:val="top"/>
          </w:tcPr>
          <w:p w14:paraId="6834B128">
            <w:pPr>
              <w:rPr>
                <w:rFonts w:hint="eastAsia" w:ascii="宋体" w:hAnsi="宋体" w:cs="宋体"/>
                <w:color w:val="auto"/>
                <w:sz w:val="24"/>
                <w:szCs w:val="24"/>
              </w:rPr>
            </w:pPr>
          </w:p>
        </w:tc>
        <w:tc>
          <w:tcPr>
            <w:tcW w:w="888" w:type="dxa"/>
            <w:noWrap w:val="0"/>
            <w:vAlign w:val="top"/>
          </w:tcPr>
          <w:p w14:paraId="18223D3C">
            <w:pPr>
              <w:rPr>
                <w:rFonts w:hint="eastAsia" w:ascii="宋体" w:hAnsi="宋体" w:cs="宋体"/>
                <w:color w:val="auto"/>
                <w:sz w:val="24"/>
                <w:szCs w:val="24"/>
              </w:rPr>
            </w:pPr>
          </w:p>
        </w:tc>
        <w:tc>
          <w:tcPr>
            <w:tcW w:w="1400" w:type="dxa"/>
            <w:noWrap w:val="0"/>
            <w:vAlign w:val="top"/>
          </w:tcPr>
          <w:p w14:paraId="320584C4">
            <w:pPr>
              <w:rPr>
                <w:rFonts w:hint="eastAsia" w:ascii="宋体" w:hAnsi="宋体" w:cs="宋体"/>
                <w:color w:val="auto"/>
                <w:sz w:val="24"/>
                <w:szCs w:val="24"/>
              </w:rPr>
            </w:pPr>
          </w:p>
        </w:tc>
        <w:tc>
          <w:tcPr>
            <w:tcW w:w="1312" w:type="dxa"/>
            <w:noWrap w:val="0"/>
            <w:vAlign w:val="top"/>
          </w:tcPr>
          <w:p w14:paraId="348A51DD">
            <w:pPr>
              <w:rPr>
                <w:rFonts w:hint="eastAsia" w:ascii="宋体" w:hAnsi="宋体" w:cs="宋体"/>
                <w:color w:val="auto"/>
                <w:sz w:val="24"/>
                <w:szCs w:val="24"/>
              </w:rPr>
            </w:pPr>
          </w:p>
        </w:tc>
      </w:tr>
      <w:tr w14:paraId="4A8087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4" w:hRule="atLeast"/>
        </w:trPr>
        <w:tc>
          <w:tcPr>
            <w:tcW w:w="506" w:type="dxa"/>
            <w:noWrap w:val="0"/>
            <w:vAlign w:val="top"/>
          </w:tcPr>
          <w:p w14:paraId="12FC736E">
            <w:pPr>
              <w:rPr>
                <w:rFonts w:hint="eastAsia" w:ascii="宋体" w:hAnsi="宋体" w:cs="宋体"/>
                <w:color w:val="auto"/>
                <w:sz w:val="24"/>
                <w:szCs w:val="24"/>
              </w:rPr>
            </w:pPr>
            <w:r>
              <w:rPr>
                <w:rFonts w:hint="eastAsia" w:ascii="宋体" w:hAnsi="宋体" w:cs="宋体"/>
                <w:color w:val="auto"/>
                <w:sz w:val="24"/>
                <w:szCs w:val="24"/>
              </w:rPr>
              <w:t>9</w:t>
            </w:r>
          </w:p>
        </w:tc>
        <w:tc>
          <w:tcPr>
            <w:tcW w:w="1225" w:type="dxa"/>
            <w:noWrap w:val="0"/>
            <w:vAlign w:val="top"/>
          </w:tcPr>
          <w:p w14:paraId="56B19EBA">
            <w:pPr>
              <w:rPr>
                <w:rFonts w:hint="eastAsia" w:ascii="宋体" w:hAnsi="宋体" w:cs="宋体"/>
                <w:color w:val="auto"/>
                <w:sz w:val="24"/>
                <w:szCs w:val="24"/>
              </w:rPr>
            </w:pPr>
          </w:p>
        </w:tc>
        <w:tc>
          <w:tcPr>
            <w:tcW w:w="1838" w:type="dxa"/>
            <w:noWrap w:val="0"/>
            <w:vAlign w:val="top"/>
          </w:tcPr>
          <w:p w14:paraId="3A61EB47">
            <w:pPr>
              <w:rPr>
                <w:rFonts w:hint="eastAsia" w:ascii="宋体" w:hAnsi="宋体" w:cs="宋体"/>
                <w:color w:val="auto"/>
                <w:sz w:val="24"/>
                <w:szCs w:val="24"/>
              </w:rPr>
            </w:pPr>
          </w:p>
        </w:tc>
        <w:tc>
          <w:tcPr>
            <w:tcW w:w="1787" w:type="dxa"/>
            <w:noWrap w:val="0"/>
            <w:vAlign w:val="top"/>
          </w:tcPr>
          <w:p w14:paraId="44CD3CF0">
            <w:pPr>
              <w:rPr>
                <w:rFonts w:hint="eastAsia" w:ascii="宋体" w:hAnsi="宋体" w:cs="宋体"/>
                <w:color w:val="auto"/>
                <w:sz w:val="24"/>
                <w:szCs w:val="24"/>
              </w:rPr>
            </w:pPr>
          </w:p>
        </w:tc>
        <w:tc>
          <w:tcPr>
            <w:tcW w:w="888" w:type="dxa"/>
            <w:noWrap w:val="0"/>
            <w:vAlign w:val="top"/>
          </w:tcPr>
          <w:p w14:paraId="0356ED39">
            <w:pPr>
              <w:rPr>
                <w:rFonts w:hint="eastAsia" w:ascii="宋体" w:hAnsi="宋体" w:cs="宋体"/>
                <w:color w:val="auto"/>
                <w:sz w:val="24"/>
                <w:szCs w:val="24"/>
              </w:rPr>
            </w:pPr>
          </w:p>
        </w:tc>
        <w:tc>
          <w:tcPr>
            <w:tcW w:w="1400" w:type="dxa"/>
            <w:noWrap w:val="0"/>
            <w:vAlign w:val="top"/>
          </w:tcPr>
          <w:p w14:paraId="6C00B368">
            <w:pPr>
              <w:rPr>
                <w:rFonts w:hint="eastAsia" w:ascii="宋体" w:hAnsi="宋体" w:cs="宋体"/>
                <w:color w:val="auto"/>
                <w:sz w:val="24"/>
                <w:szCs w:val="24"/>
              </w:rPr>
            </w:pPr>
          </w:p>
        </w:tc>
        <w:tc>
          <w:tcPr>
            <w:tcW w:w="1312" w:type="dxa"/>
            <w:noWrap w:val="0"/>
            <w:vAlign w:val="top"/>
          </w:tcPr>
          <w:p w14:paraId="072932F4">
            <w:pPr>
              <w:rPr>
                <w:rFonts w:hint="eastAsia" w:ascii="宋体" w:hAnsi="宋体" w:cs="宋体"/>
                <w:color w:val="auto"/>
                <w:sz w:val="24"/>
                <w:szCs w:val="24"/>
              </w:rPr>
            </w:pPr>
          </w:p>
        </w:tc>
      </w:tr>
      <w:tr w14:paraId="40B98B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4" w:hRule="atLeast"/>
        </w:trPr>
        <w:tc>
          <w:tcPr>
            <w:tcW w:w="506" w:type="dxa"/>
            <w:noWrap w:val="0"/>
            <w:vAlign w:val="top"/>
          </w:tcPr>
          <w:p w14:paraId="74E8FD3D">
            <w:pPr>
              <w:rPr>
                <w:rFonts w:hint="eastAsia" w:ascii="宋体" w:hAnsi="宋体" w:cs="宋体"/>
                <w:color w:val="auto"/>
                <w:sz w:val="24"/>
                <w:szCs w:val="24"/>
              </w:rPr>
            </w:pPr>
            <w:r>
              <w:rPr>
                <w:rFonts w:hint="eastAsia" w:ascii="宋体" w:hAnsi="宋体" w:cs="宋体"/>
                <w:color w:val="auto"/>
                <w:sz w:val="24"/>
                <w:szCs w:val="24"/>
              </w:rPr>
              <w:t>……</w:t>
            </w:r>
          </w:p>
        </w:tc>
        <w:tc>
          <w:tcPr>
            <w:tcW w:w="1225" w:type="dxa"/>
            <w:noWrap w:val="0"/>
            <w:vAlign w:val="top"/>
          </w:tcPr>
          <w:p w14:paraId="3E60F222">
            <w:pPr>
              <w:rPr>
                <w:rFonts w:hint="eastAsia" w:ascii="宋体" w:hAnsi="宋体" w:cs="宋体"/>
                <w:color w:val="auto"/>
                <w:sz w:val="24"/>
                <w:szCs w:val="24"/>
              </w:rPr>
            </w:pPr>
          </w:p>
        </w:tc>
        <w:tc>
          <w:tcPr>
            <w:tcW w:w="1838" w:type="dxa"/>
            <w:noWrap w:val="0"/>
            <w:vAlign w:val="top"/>
          </w:tcPr>
          <w:p w14:paraId="4234C1DC">
            <w:pPr>
              <w:rPr>
                <w:rFonts w:hint="eastAsia" w:ascii="宋体" w:hAnsi="宋体" w:cs="宋体"/>
                <w:color w:val="auto"/>
                <w:sz w:val="24"/>
                <w:szCs w:val="24"/>
              </w:rPr>
            </w:pPr>
          </w:p>
        </w:tc>
        <w:tc>
          <w:tcPr>
            <w:tcW w:w="1787" w:type="dxa"/>
            <w:noWrap w:val="0"/>
            <w:vAlign w:val="top"/>
          </w:tcPr>
          <w:p w14:paraId="4E0952B0">
            <w:pPr>
              <w:rPr>
                <w:rFonts w:hint="eastAsia" w:ascii="宋体" w:hAnsi="宋体" w:cs="宋体"/>
                <w:color w:val="auto"/>
                <w:sz w:val="24"/>
                <w:szCs w:val="24"/>
              </w:rPr>
            </w:pPr>
          </w:p>
        </w:tc>
        <w:tc>
          <w:tcPr>
            <w:tcW w:w="888" w:type="dxa"/>
            <w:noWrap w:val="0"/>
            <w:vAlign w:val="top"/>
          </w:tcPr>
          <w:p w14:paraId="5ECA9506">
            <w:pPr>
              <w:rPr>
                <w:rFonts w:hint="eastAsia" w:ascii="宋体" w:hAnsi="宋体" w:cs="宋体"/>
                <w:color w:val="auto"/>
                <w:sz w:val="24"/>
                <w:szCs w:val="24"/>
              </w:rPr>
            </w:pPr>
          </w:p>
        </w:tc>
        <w:tc>
          <w:tcPr>
            <w:tcW w:w="1400" w:type="dxa"/>
            <w:noWrap w:val="0"/>
            <w:vAlign w:val="top"/>
          </w:tcPr>
          <w:p w14:paraId="20A65B3F">
            <w:pPr>
              <w:rPr>
                <w:rFonts w:hint="eastAsia" w:ascii="宋体" w:hAnsi="宋体" w:cs="宋体"/>
                <w:color w:val="auto"/>
                <w:sz w:val="24"/>
                <w:szCs w:val="24"/>
              </w:rPr>
            </w:pPr>
          </w:p>
        </w:tc>
        <w:tc>
          <w:tcPr>
            <w:tcW w:w="1312" w:type="dxa"/>
            <w:noWrap w:val="0"/>
            <w:vAlign w:val="top"/>
          </w:tcPr>
          <w:p w14:paraId="191C7705">
            <w:pPr>
              <w:rPr>
                <w:rFonts w:hint="eastAsia" w:ascii="宋体" w:hAnsi="宋体" w:cs="宋体"/>
                <w:color w:val="auto"/>
                <w:sz w:val="24"/>
                <w:szCs w:val="24"/>
              </w:rPr>
            </w:pPr>
          </w:p>
        </w:tc>
      </w:tr>
    </w:tbl>
    <w:p w14:paraId="0E9FBE4D">
      <w:pPr>
        <w:ind w:firstLine="480"/>
        <w:rPr>
          <w:rFonts w:hint="eastAsia" w:ascii="宋体" w:hAnsi="宋体" w:cs="宋体"/>
          <w:b/>
          <w:bCs/>
          <w:color w:val="auto"/>
          <w:sz w:val="24"/>
          <w:szCs w:val="24"/>
        </w:rPr>
      </w:pPr>
      <w:r>
        <w:rPr>
          <w:rFonts w:hint="eastAsia" w:ascii="宋体" w:hAnsi="宋体" w:cs="宋体"/>
          <w:b/>
          <w:bCs/>
          <w:color w:val="auto"/>
          <w:sz w:val="24"/>
          <w:szCs w:val="24"/>
        </w:rPr>
        <w:t>说明：</w:t>
      </w:r>
    </w:p>
    <w:p w14:paraId="46099ECA">
      <w:pPr>
        <w:ind w:firstLine="480"/>
        <w:rPr>
          <w:rFonts w:hint="eastAsia" w:ascii="宋体" w:hAnsi="宋体" w:cs="宋体"/>
          <w:color w:val="auto"/>
          <w:sz w:val="24"/>
          <w:szCs w:val="24"/>
        </w:rPr>
      </w:pPr>
      <w:r>
        <w:rPr>
          <w:rFonts w:hint="eastAsia" w:ascii="宋体" w:hAnsi="宋体" w:cs="宋体"/>
          <w:color w:val="auto"/>
          <w:sz w:val="24"/>
          <w:szCs w:val="24"/>
        </w:rPr>
        <w:t>1. “采购文件规定的商务条件”项下填写的内容应与招标文件中采购需求的 “商务要求”的内容保持一致。</w:t>
      </w:r>
    </w:p>
    <w:p w14:paraId="278591D9">
      <w:pPr>
        <w:ind w:firstLine="480"/>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rPr>
        <w:tab/>
      </w:r>
      <w:r>
        <w:rPr>
          <w:rFonts w:hint="eastAsia" w:ascii="宋体" w:hAnsi="宋体" w:cs="宋体"/>
          <w:color w:val="auto"/>
          <w:sz w:val="24"/>
          <w:szCs w:val="24"/>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14:paraId="76ECAA09">
      <w:pPr>
        <w:ind w:firstLine="480"/>
        <w:rPr>
          <w:rFonts w:hint="eastAsia"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rPr>
        <w:tab/>
      </w:r>
      <w:r>
        <w:rPr>
          <w:rFonts w:hint="eastAsia" w:ascii="宋体" w:hAnsi="宋体" w:cs="宋体"/>
          <w:color w:val="auto"/>
          <w:sz w:val="24"/>
          <w:szCs w:val="24"/>
        </w:rPr>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0358AC92">
      <w:pPr>
        <w:ind w:firstLine="480"/>
        <w:rPr>
          <w:rFonts w:hint="eastAsia" w:ascii="宋体" w:hAnsi="宋体" w:cs="宋体"/>
          <w:color w:val="auto"/>
          <w:sz w:val="24"/>
          <w:szCs w:val="24"/>
        </w:rPr>
      </w:pPr>
      <w:r>
        <w:rPr>
          <w:rFonts w:hint="eastAsia" w:ascii="宋体" w:hAnsi="宋体" w:cs="宋体"/>
          <w:color w:val="auto"/>
          <w:sz w:val="24"/>
          <w:szCs w:val="24"/>
        </w:rPr>
        <w:t>4. “是否偏离”项下应按下列规定填写：优于的，填写“正偏离”；符合的，填写“无偏离”；低于的，填写“负偏离”。</w:t>
      </w:r>
    </w:p>
    <w:p w14:paraId="3A245ABC">
      <w:pPr>
        <w:ind w:firstLine="480"/>
        <w:rPr>
          <w:rFonts w:hint="eastAsia" w:ascii="宋体" w:hAnsi="宋体" w:cs="宋体"/>
          <w:color w:val="auto"/>
          <w:sz w:val="24"/>
          <w:szCs w:val="24"/>
        </w:rPr>
      </w:pPr>
      <w:r>
        <w:rPr>
          <w:rFonts w:hint="eastAsia" w:ascii="宋体" w:hAnsi="宋体" w:cs="宋体"/>
          <w:color w:val="auto"/>
          <w:sz w:val="24"/>
          <w:szCs w:val="24"/>
        </w:rPr>
        <w:t>5.“备注”处可填写偏离情况的说明。</w:t>
      </w:r>
    </w:p>
    <w:p w14:paraId="19B91230">
      <w:pPr>
        <w:spacing w:line="500" w:lineRule="exact"/>
        <w:rPr>
          <w:rFonts w:hint="eastAsia" w:ascii="宋体" w:hAnsi="宋体" w:cs="宋体"/>
          <w:color w:val="auto"/>
          <w:sz w:val="24"/>
          <w:szCs w:val="24"/>
        </w:rPr>
      </w:pPr>
      <w:r>
        <w:rPr>
          <w:rFonts w:hint="eastAsia" w:ascii="宋体" w:hAnsi="宋体" w:cs="宋体"/>
          <w:color w:val="auto"/>
          <w:sz w:val="24"/>
          <w:szCs w:val="24"/>
        </w:rPr>
        <w:t>（以下格式文件由供应商根据需要选用）</w:t>
      </w:r>
    </w:p>
    <w:p w14:paraId="787EBD8F">
      <w:pPr>
        <w:pStyle w:val="161"/>
        <w:ind w:firstLine="420"/>
        <w:rPr>
          <w:rFonts w:hint="eastAsia" w:ascii="宋体" w:hAnsi="宋体" w:cs="宋体"/>
          <w:color w:val="auto"/>
        </w:rPr>
      </w:pPr>
    </w:p>
    <w:p w14:paraId="365C9A41">
      <w:pPr>
        <w:jc w:val="center"/>
        <w:rPr>
          <w:rFonts w:hint="eastAsia" w:ascii="宋体" w:hAnsi="宋体" w:cs="宋体"/>
          <w:b/>
          <w:color w:val="auto"/>
          <w:sz w:val="44"/>
          <w:szCs w:val="44"/>
        </w:rPr>
      </w:pPr>
      <w:r>
        <w:rPr>
          <w:rFonts w:hint="eastAsia" w:ascii="宋体" w:hAnsi="宋体" w:cs="宋体"/>
          <w:bCs/>
          <w:color w:val="auto"/>
          <w:sz w:val="44"/>
          <w:szCs w:val="44"/>
        </w:rPr>
        <w:t>投标人业绩情况表</w:t>
      </w:r>
    </w:p>
    <w:tbl>
      <w:tblPr>
        <w:tblStyle w:val="44"/>
        <w:tblW w:w="0" w:type="auto"/>
        <w:tblInd w:w="9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12"/>
        <w:gridCol w:w="1625"/>
        <w:gridCol w:w="1721"/>
        <w:gridCol w:w="1384"/>
        <w:gridCol w:w="1384"/>
        <w:gridCol w:w="1974"/>
      </w:tblGrid>
      <w:tr w14:paraId="44B706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2" w:type="dxa"/>
            <w:noWrap w:val="0"/>
            <w:vAlign w:val="center"/>
          </w:tcPr>
          <w:p w14:paraId="4A8915AE">
            <w:pPr>
              <w:jc w:val="center"/>
              <w:rPr>
                <w:rFonts w:hint="eastAsia" w:ascii="宋体" w:hAnsi="宋体" w:cs="宋体"/>
                <w:color w:val="auto"/>
                <w:sz w:val="24"/>
                <w:szCs w:val="24"/>
              </w:rPr>
            </w:pPr>
            <w:r>
              <w:rPr>
                <w:rFonts w:hint="eastAsia" w:ascii="宋体" w:hAnsi="宋体" w:cs="宋体"/>
                <w:color w:val="auto"/>
                <w:sz w:val="24"/>
                <w:szCs w:val="24"/>
              </w:rPr>
              <w:t>序号</w:t>
            </w:r>
          </w:p>
        </w:tc>
        <w:tc>
          <w:tcPr>
            <w:tcW w:w="1625" w:type="dxa"/>
            <w:noWrap w:val="0"/>
            <w:vAlign w:val="center"/>
          </w:tcPr>
          <w:p w14:paraId="67064139">
            <w:pPr>
              <w:jc w:val="center"/>
              <w:rPr>
                <w:rFonts w:hint="eastAsia" w:ascii="宋体" w:hAnsi="宋体" w:cs="宋体"/>
                <w:color w:val="auto"/>
                <w:sz w:val="24"/>
                <w:szCs w:val="24"/>
              </w:rPr>
            </w:pPr>
            <w:r>
              <w:rPr>
                <w:rFonts w:hint="eastAsia" w:ascii="宋体" w:hAnsi="宋体" w:cs="宋体"/>
                <w:color w:val="auto"/>
                <w:sz w:val="24"/>
                <w:szCs w:val="24"/>
              </w:rPr>
              <w:t>客户名称</w:t>
            </w:r>
          </w:p>
        </w:tc>
        <w:tc>
          <w:tcPr>
            <w:tcW w:w="1721" w:type="dxa"/>
            <w:noWrap w:val="0"/>
            <w:vAlign w:val="center"/>
          </w:tcPr>
          <w:p w14:paraId="196485BE">
            <w:pPr>
              <w:jc w:val="center"/>
              <w:rPr>
                <w:rFonts w:hint="eastAsia" w:ascii="宋体" w:hAnsi="宋体" w:cs="宋体"/>
                <w:color w:val="auto"/>
                <w:sz w:val="24"/>
                <w:szCs w:val="24"/>
              </w:rPr>
            </w:pPr>
            <w:r>
              <w:rPr>
                <w:rFonts w:hint="eastAsia" w:ascii="宋体" w:hAnsi="宋体" w:cs="宋体"/>
                <w:color w:val="auto"/>
                <w:sz w:val="24"/>
                <w:szCs w:val="24"/>
              </w:rPr>
              <w:t>项目名称及合同金额（万元）</w:t>
            </w:r>
          </w:p>
        </w:tc>
        <w:tc>
          <w:tcPr>
            <w:tcW w:w="1384" w:type="dxa"/>
            <w:noWrap w:val="0"/>
            <w:vAlign w:val="center"/>
          </w:tcPr>
          <w:p w14:paraId="317159E4">
            <w:pPr>
              <w:jc w:val="center"/>
              <w:rPr>
                <w:rFonts w:hint="eastAsia" w:ascii="宋体" w:hAnsi="宋体" w:cs="宋体"/>
                <w:color w:val="auto"/>
                <w:sz w:val="24"/>
                <w:szCs w:val="24"/>
              </w:rPr>
            </w:pPr>
            <w:r>
              <w:rPr>
                <w:rFonts w:hint="eastAsia" w:ascii="宋体" w:hAnsi="宋体" w:cs="宋体"/>
                <w:color w:val="auto"/>
                <w:sz w:val="24"/>
                <w:szCs w:val="24"/>
              </w:rPr>
              <w:t>签订合同时间</w:t>
            </w:r>
          </w:p>
        </w:tc>
        <w:tc>
          <w:tcPr>
            <w:tcW w:w="1384" w:type="dxa"/>
            <w:noWrap w:val="0"/>
            <w:vAlign w:val="center"/>
          </w:tcPr>
          <w:p w14:paraId="67A24AB7">
            <w:pPr>
              <w:jc w:val="center"/>
              <w:rPr>
                <w:rFonts w:hint="eastAsia" w:ascii="宋体" w:hAnsi="宋体" w:cs="宋体"/>
                <w:color w:val="auto"/>
                <w:sz w:val="24"/>
                <w:szCs w:val="24"/>
              </w:rPr>
            </w:pPr>
            <w:r>
              <w:rPr>
                <w:rFonts w:hint="eastAsia" w:ascii="宋体" w:hAnsi="宋体" w:cs="宋体"/>
                <w:color w:val="auto"/>
                <w:sz w:val="24"/>
                <w:szCs w:val="24"/>
              </w:rPr>
              <w:t>竣工验收报告时间</w:t>
            </w:r>
          </w:p>
        </w:tc>
        <w:tc>
          <w:tcPr>
            <w:tcW w:w="1974" w:type="dxa"/>
            <w:noWrap w:val="0"/>
            <w:vAlign w:val="center"/>
          </w:tcPr>
          <w:p w14:paraId="3B02BA74">
            <w:pPr>
              <w:jc w:val="center"/>
              <w:rPr>
                <w:rFonts w:hint="eastAsia" w:ascii="宋体" w:hAnsi="宋体" w:cs="宋体"/>
                <w:color w:val="auto"/>
                <w:sz w:val="24"/>
                <w:szCs w:val="24"/>
              </w:rPr>
            </w:pPr>
            <w:r>
              <w:rPr>
                <w:rFonts w:hint="eastAsia" w:ascii="宋体" w:hAnsi="宋体" w:cs="宋体"/>
                <w:color w:val="auto"/>
                <w:sz w:val="24"/>
                <w:szCs w:val="24"/>
              </w:rPr>
              <w:t>联系人及电话</w:t>
            </w:r>
          </w:p>
        </w:tc>
      </w:tr>
      <w:tr w14:paraId="7C2A6C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2" w:hRule="atLeast"/>
        </w:trPr>
        <w:tc>
          <w:tcPr>
            <w:tcW w:w="712" w:type="dxa"/>
            <w:noWrap w:val="0"/>
            <w:vAlign w:val="center"/>
          </w:tcPr>
          <w:p w14:paraId="0EBFB400">
            <w:pPr>
              <w:jc w:val="center"/>
              <w:rPr>
                <w:rFonts w:hint="eastAsia" w:ascii="宋体" w:hAnsi="宋体" w:cs="宋体"/>
                <w:color w:val="auto"/>
                <w:sz w:val="24"/>
                <w:szCs w:val="24"/>
              </w:rPr>
            </w:pPr>
            <w:r>
              <w:rPr>
                <w:rFonts w:hint="eastAsia" w:ascii="宋体" w:hAnsi="宋体" w:cs="宋体"/>
                <w:color w:val="auto"/>
                <w:sz w:val="24"/>
                <w:szCs w:val="24"/>
              </w:rPr>
              <w:t>1</w:t>
            </w:r>
          </w:p>
        </w:tc>
        <w:tc>
          <w:tcPr>
            <w:tcW w:w="1625" w:type="dxa"/>
            <w:noWrap w:val="0"/>
            <w:vAlign w:val="center"/>
          </w:tcPr>
          <w:p w14:paraId="2F78A4B1">
            <w:pPr>
              <w:jc w:val="left"/>
              <w:rPr>
                <w:rFonts w:hint="eastAsia" w:ascii="宋体" w:hAnsi="宋体" w:cs="宋体"/>
                <w:color w:val="auto"/>
                <w:sz w:val="24"/>
                <w:szCs w:val="24"/>
              </w:rPr>
            </w:pPr>
          </w:p>
        </w:tc>
        <w:tc>
          <w:tcPr>
            <w:tcW w:w="1721" w:type="dxa"/>
            <w:noWrap w:val="0"/>
            <w:vAlign w:val="center"/>
          </w:tcPr>
          <w:p w14:paraId="5996D854">
            <w:pPr>
              <w:jc w:val="left"/>
              <w:rPr>
                <w:rFonts w:hint="eastAsia" w:ascii="宋体" w:hAnsi="宋体" w:cs="宋体"/>
                <w:color w:val="auto"/>
                <w:sz w:val="24"/>
                <w:szCs w:val="24"/>
              </w:rPr>
            </w:pPr>
          </w:p>
        </w:tc>
        <w:tc>
          <w:tcPr>
            <w:tcW w:w="1384" w:type="dxa"/>
            <w:noWrap w:val="0"/>
            <w:vAlign w:val="center"/>
          </w:tcPr>
          <w:p w14:paraId="71D95C3B">
            <w:pPr>
              <w:jc w:val="left"/>
              <w:rPr>
                <w:rFonts w:hint="eastAsia" w:ascii="宋体" w:hAnsi="宋体" w:cs="宋体"/>
                <w:color w:val="auto"/>
                <w:sz w:val="24"/>
                <w:szCs w:val="24"/>
              </w:rPr>
            </w:pPr>
          </w:p>
        </w:tc>
        <w:tc>
          <w:tcPr>
            <w:tcW w:w="1384" w:type="dxa"/>
            <w:noWrap w:val="0"/>
            <w:vAlign w:val="center"/>
          </w:tcPr>
          <w:p w14:paraId="6A0D01B3">
            <w:pPr>
              <w:jc w:val="left"/>
              <w:rPr>
                <w:rFonts w:hint="eastAsia" w:ascii="宋体" w:hAnsi="宋体" w:cs="宋体"/>
                <w:color w:val="auto"/>
                <w:sz w:val="24"/>
                <w:szCs w:val="24"/>
              </w:rPr>
            </w:pPr>
          </w:p>
        </w:tc>
        <w:tc>
          <w:tcPr>
            <w:tcW w:w="1974" w:type="dxa"/>
            <w:noWrap w:val="0"/>
            <w:vAlign w:val="center"/>
          </w:tcPr>
          <w:p w14:paraId="30EEF453">
            <w:pPr>
              <w:jc w:val="left"/>
              <w:rPr>
                <w:rFonts w:hint="eastAsia" w:ascii="宋体" w:hAnsi="宋体" w:cs="宋体"/>
                <w:color w:val="auto"/>
                <w:sz w:val="24"/>
                <w:szCs w:val="24"/>
              </w:rPr>
            </w:pPr>
          </w:p>
        </w:tc>
      </w:tr>
      <w:tr w14:paraId="10C0C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2" w:hRule="atLeast"/>
        </w:trPr>
        <w:tc>
          <w:tcPr>
            <w:tcW w:w="712" w:type="dxa"/>
            <w:noWrap w:val="0"/>
            <w:vAlign w:val="center"/>
          </w:tcPr>
          <w:p w14:paraId="448952C2">
            <w:pPr>
              <w:jc w:val="center"/>
              <w:rPr>
                <w:rFonts w:hint="eastAsia" w:ascii="宋体" w:hAnsi="宋体" w:cs="宋体"/>
                <w:color w:val="auto"/>
                <w:sz w:val="24"/>
                <w:szCs w:val="24"/>
              </w:rPr>
            </w:pPr>
            <w:r>
              <w:rPr>
                <w:rFonts w:hint="eastAsia" w:ascii="宋体" w:hAnsi="宋体" w:cs="宋体"/>
                <w:color w:val="auto"/>
                <w:sz w:val="24"/>
                <w:szCs w:val="24"/>
              </w:rPr>
              <w:t>2</w:t>
            </w:r>
          </w:p>
        </w:tc>
        <w:tc>
          <w:tcPr>
            <w:tcW w:w="1625" w:type="dxa"/>
            <w:noWrap w:val="0"/>
            <w:vAlign w:val="center"/>
          </w:tcPr>
          <w:p w14:paraId="424611EB">
            <w:pPr>
              <w:jc w:val="left"/>
              <w:rPr>
                <w:rFonts w:hint="eastAsia" w:ascii="宋体" w:hAnsi="宋体" w:cs="宋体"/>
                <w:color w:val="auto"/>
                <w:sz w:val="24"/>
                <w:szCs w:val="24"/>
              </w:rPr>
            </w:pPr>
          </w:p>
        </w:tc>
        <w:tc>
          <w:tcPr>
            <w:tcW w:w="1721" w:type="dxa"/>
            <w:noWrap w:val="0"/>
            <w:vAlign w:val="center"/>
          </w:tcPr>
          <w:p w14:paraId="3771D4C5">
            <w:pPr>
              <w:jc w:val="left"/>
              <w:rPr>
                <w:rFonts w:hint="eastAsia" w:ascii="宋体" w:hAnsi="宋体" w:cs="宋体"/>
                <w:color w:val="auto"/>
                <w:sz w:val="24"/>
                <w:szCs w:val="24"/>
              </w:rPr>
            </w:pPr>
          </w:p>
        </w:tc>
        <w:tc>
          <w:tcPr>
            <w:tcW w:w="1384" w:type="dxa"/>
            <w:noWrap w:val="0"/>
            <w:vAlign w:val="center"/>
          </w:tcPr>
          <w:p w14:paraId="05B1DCA3">
            <w:pPr>
              <w:jc w:val="left"/>
              <w:rPr>
                <w:rFonts w:hint="eastAsia" w:ascii="宋体" w:hAnsi="宋体" w:cs="宋体"/>
                <w:color w:val="auto"/>
                <w:sz w:val="24"/>
                <w:szCs w:val="24"/>
              </w:rPr>
            </w:pPr>
          </w:p>
        </w:tc>
        <w:tc>
          <w:tcPr>
            <w:tcW w:w="1384" w:type="dxa"/>
            <w:noWrap w:val="0"/>
            <w:vAlign w:val="center"/>
          </w:tcPr>
          <w:p w14:paraId="0BB38CF7">
            <w:pPr>
              <w:jc w:val="left"/>
              <w:rPr>
                <w:rFonts w:hint="eastAsia" w:ascii="宋体" w:hAnsi="宋体" w:cs="宋体"/>
                <w:color w:val="auto"/>
                <w:sz w:val="24"/>
                <w:szCs w:val="24"/>
              </w:rPr>
            </w:pPr>
          </w:p>
        </w:tc>
        <w:tc>
          <w:tcPr>
            <w:tcW w:w="1974" w:type="dxa"/>
            <w:noWrap w:val="0"/>
            <w:vAlign w:val="center"/>
          </w:tcPr>
          <w:p w14:paraId="737FE80F">
            <w:pPr>
              <w:jc w:val="left"/>
              <w:rPr>
                <w:rFonts w:hint="eastAsia" w:ascii="宋体" w:hAnsi="宋体" w:cs="宋体"/>
                <w:color w:val="auto"/>
                <w:sz w:val="24"/>
                <w:szCs w:val="24"/>
              </w:rPr>
            </w:pPr>
          </w:p>
        </w:tc>
      </w:tr>
      <w:tr w14:paraId="19F2A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2" w:hRule="atLeast"/>
        </w:trPr>
        <w:tc>
          <w:tcPr>
            <w:tcW w:w="712" w:type="dxa"/>
            <w:noWrap w:val="0"/>
            <w:vAlign w:val="center"/>
          </w:tcPr>
          <w:p w14:paraId="46E7A2FE">
            <w:pPr>
              <w:jc w:val="center"/>
              <w:rPr>
                <w:rFonts w:hint="eastAsia" w:ascii="宋体" w:hAnsi="宋体" w:cs="宋体"/>
                <w:color w:val="auto"/>
                <w:sz w:val="24"/>
                <w:szCs w:val="24"/>
              </w:rPr>
            </w:pPr>
            <w:r>
              <w:rPr>
                <w:rFonts w:hint="eastAsia" w:ascii="宋体" w:hAnsi="宋体" w:cs="宋体"/>
                <w:color w:val="auto"/>
                <w:sz w:val="24"/>
                <w:szCs w:val="24"/>
              </w:rPr>
              <w:t>3</w:t>
            </w:r>
          </w:p>
        </w:tc>
        <w:tc>
          <w:tcPr>
            <w:tcW w:w="1625" w:type="dxa"/>
            <w:noWrap w:val="0"/>
            <w:vAlign w:val="center"/>
          </w:tcPr>
          <w:p w14:paraId="239891AA">
            <w:pPr>
              <w:jc w:val="left"/>
              <w:rPr>
                <w:rFonts w:hint="eastAsia" w:ascii="宋体" w:hAnsi="宋体" w:cs="宋体"/>
                <w:color w:val="auto"/>
                <w:sz w:val="24"/>
                <w:szCs w:val="24"/>
              </w:rPr>
            </w:pPr>
          </w:p>
        </w:tc>
        <w:tc>
          <w:tcPr>
            <w:tcW w:w="1721" w:type="dxa"/>
            <w:noWrap w:val="0"/>
            <w:vAlign w:val="center"/>
          </w:tcPr>
          <w:p w14:paraId="39268965">
            <w:pPr>
              <w:jc w:val="left"/>
              <w:rPr>
                <w:rFonts w:hint="eastAsia" w:ascii="宋体" w:hAnsi="宋体" w:cs="宋体"/>
                <w:color w:val="auto"/>
                <w:sz w:val="24"/>
                <w:szCs w:val="24"/>
              </w:rPr>
            </w:pPr>
          </w:p>
        </w:tc>
        <w:tc>
          <w:tcPr>
            <w:tcW w:w="1384" w:type="dxa"/>
            <w:noWrap w:val="0"/>
            <w:vAlign w:val="center"/>
          </w:tcPr>
          <w:p w14:paraId="2BFF2B1F">
            <w:pPr>
              <w:jc w:val="left"/>
              <w:rPr>
                <w:rFonts w:hint="eastAsia" w:ascii="宋体" w:hAnsi="宋体" w:cs="宋体"/>
                <w:color w:val="auto"/>
                <w:sz w:val="24"/>
                <w:szCs w:val="24"/>
              </w:rPr>
            </w:pPr>
          </w:p>
        </w:tc>
        <w:tc>
          <w:tcPr>
            <w:tcW w:w="1384" w:type="dxa"/>
            <w:noWrap w:val="0"/>
            <w:vAlign w:val="center"/>
          </w:tcPr>
          <w:p w14:paraId="13D8D177">
            <w:pPr>
              <w:jc w:val="left"/>
              <w:rPr>
                <w:rFonts w:hint="eastAsia" w:ascii="宋体" w:hAnsi="宋体" w:cs="宋体"/>
                <w:color w:val="auto"/>
                <w:sz w:val="24"/>
                <w:szCs w:val="24"/>
              </w:rPr>
            </w:pPr>
          </w:p>
        </w:tc>
        <w:tc>
          <w:tcPr>
            <w:tcW w:w="1974" w:type="dxa"/>
            <w:noWrap w:val="0"/>
            <w:vAlign w:val="center"/>
          </w:tcPr>
          <w:p w14:paraId="43108C9A">
            <w:pPr>
              <w:jc w:val="left"/>
              <w:rPr>
                <w:rFonts w:hint="eastAsia" w:ascii="宋体" w:hAnsi="宋体" w:cs="宋体"/>
                <w:color w:val="auto"/>
                <w:sz w:val="24"/>
                <w:szCs w:val="24"/>
              </w:rPr>
            </w:pPr>
          </w:p>
        </w:tc>
      </w:tr>
      <w:tr w14:paraId="709319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2" w:hRule="atLeast"/>
        </w:trPr>
        <w:tc>
          <w:tcPr>
            <w:tcW w:w="712" w:type="dxa"/>
            <w:noWrap w:val="0"/>
            <w:vAlign w:val="center"/>
          </w:tcPr>
          <w:p w14:paraId="6BA2736C">
            <w:pPr>
              <w:jc w:val="center"/>
              <w:rPr>
                <w:rFonts w:hint="eastAsia" w:ascii="宋体" w:hAnsi="宋体" w:cs="宋体"/>
                <w:color w:val="auto"/>
                <w:sz w:val="24"/>
                <w:szCs w:val="24"/>
              </w:rPr>
            </w:pPr>
            <w:r>
              <w:rPr>
                <w:rFonts w:hint="eastAsia" w:ascii="宋体" w:hAnsi="宋体" w:cs="宋体"/>
                <w:color w:val="auto"/>
                <w:sz w:val="24"/>
                <w:szCs w:val="24"/>
              </w:rPr>
              <w:t>4</w:t>
            </w:r>
          </w:p>
        </w:tc>
        <w:tc>
          <w:tcPr>
            <w:tcW w:w="1625" w:type="dxa"/>
            <w:noWrap w:val="0"/>
            <w:vAlign w:val="center"/>
          </w:tcPr>
          <w:p w14:paraId="126F24EC">
            <w:pPr>
              <w:jc w:val="left"/>
              <w:rPr>
                <w:rFonts w:hint="eastAsia" w:ascii="宋体" w:hAnsi="宋体" w:cs="宋体"/>
                <w:color w:val="auto"/>
                <w:sz w:val="24"/>
                <w:szCs w:val="24"/>
              </w:rPr>
            </w:pPr>
          </w:p>
        </w:tc>
        <w:tc>
          <w:tcPr>
            <w:tcW w:w="1721" w:type="dxa"/>
            <w:noWrap w:val="0"/>
            <w:vAlign w:val="center"/>
          </w:tcPr>
          <w:p w14:paraId="24064471">
            <w:pPr>
              <w:jc w:val="left"/>
              <w:rPr>
                <w:rFonts w:hint="eastAsia" w:ascii="宋体" w:hAnsi="宋体" w:cs="宋体"/>
                <w:color w:val="auto"/>
                <w:sz w:val="24"/>
                <w:szCs w:val="24"/>
              </w:rPr>
            </w:pPr>
          </w:p>
        </w:tc>
        <w:tc>
          <w:tcPr>
            <w:tcW w:w="1384" w:type="dxa"/>
            <w:noWrap w:val="0"/>
            <w:vAlign w:val="center"/>
          </w:tcPr>
          <w:p w14:paraId="6835138D">
            <w:pPr>
              <w:jc w:val="left"/>
              <w:rPr>
                <w:rFonts w:hint="eastAsia" w:ascii="宋体" w:hAnsi="宋体" w:cs="宋体"/>
                <w:color w:val="auto"/>
                <w:sz w:val="24"/>
                <w:szCs w:val="24"/>
              </w:rPr>
            </w:pPr>
          </w:p>
        </w:tc>
        <w:tc>
          <w:tcPr>
            <w:tcW w:w="1384" w:type="dxa"/>
            <w:noWrap w:val="0"/>
            <w:vAlign w:val="center"/>
          </w:tcPr>
          <w:p w14:paraId="420BBA1D">
            <w:pPr>
              <w:jc w:val="left"/>
              <w:rPr>
                <w:rFonts w:hint="eastAsia" w:ascii="宋体" w:hAnsi="宋体" w:cs="宋体"/>
                <w:color w:val="auto"/>
                <w:sz w:val="24"/>
                <w:szCs w:val="24"/>
              </w:rPr>
            </w:pPr>
          </w:p>
        </w:tc>
        <w:tc>
          <w:tcPr>
            <w:tcW w:w="1974" w:type="dxa"/>
            <w:noWrap w:val="0"/>
            <w:vAlign w:val="center"/>
          </w:tcPr>
          <w:p w14:paraId="56861EE2">
            <w:pPr>
              <w:jc w:val="left"/>
              <w:rPr>
                <w:rFonts w:hint="eastAsia" w:ascii="宋体" w:hAnsi="宋体" w:cs="宋体"/>
                <w:color w:val="auto"/>
                <w:sz w:val="24"/>
                <w:szCs w:val="24"/>
              </w:rPr>
            </w:pPr>
          </w:p>
        </w:tc>
      </w:tr>
      <w:tr w14:paraId="4EAA07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2" w:hRule="atLeast"/>
        </w:trPr>
        <w:tc>
          <w:tcPr>
            <w:tcW w:w="712" w:type="dxa"/>
            <w:noWrap w:val="0"/>
            <w:vAlign w:val="center"/>
          </w:tcPr>
          <w:p w14:paraId="687278C8">
            <w:pPr>
              <w:jc w:val="center"/>
              <w:rPr>
                <w:rFonts w:hint="eastAsia" w:ascii="宋体" w:hAnsi="宋体" w:cs="宋体"/>
                <w:color w:val="auto"/>
                <w:sz w:val="24"/>
                <w:szCs w:val="24"/>
              </w:rPr>
            </w:pPr>
            <w:r>
              <w:rPr>
                <w:rFonts w:hint="eastAsia" w:ascii="宋体" w:hAnsi="宋体" w:cs="宋体"/>
                <w:color w:val="auto"/>
                <w:sz w:val="24"/>
                <w:szCs w:val="24"/>
              </w:rPr>
              <w:t>…</w:t>
            </w:r>
          </w:p>
        </w:tc>
        <w:tc>
          <w:tcPr>
            <w:tcW w:w="1625" w:type="dxa"/>
            <w:noWrap w:val="0"/>
            <w:vAlign w:val="center"/>
          </w:tcPr>
          <w:p w14:paraId="44A61768">
            <w:pPr>
              <w:jc w:val="left"/>
              <w:rPr>
                <w:rFonts w:hint="eastAsia" w:ascii="宋体" w:hAnsi="宋体" w:cs="宋体"/>
                <w:color w:val="auto"/>
                <w:sz w:val="24"/>
                <w:szCs w:val="24"/>
              </w:rPr>
            </w:pPr>
          </w:p>
        </w:tc>
        <w:tc>
          <w:tcPr>
            <w:tcW w:w="1721" w:type="dxa"/>
            <w:noWrap w:val="0"/>
            <w:vAlign w:val="center"/>
          </w:tcPr>
          <w:p w14:paraId="123B6980">
            <w:pPr>
              <w:jc w:val="left"/>
              <w:rPr>
                <w:rFonts w:hint="eastAsia" w:ascii="宋体" w:hAnsi="宋体" w:cs="宋体"/>
                <w:color w:val="auto"/>
                <w:sz w:val="24"/>
                <w:szCs w:val="24"/>
              </w:rPr>
            </w:pPr>
          </w:p>
        </w:tc>
        <w:tc>
          <w:tcPr>
            <w:tcW w:w="1384" w:type="dxa"/>
            <w:noWrap w:val="0"/>
            <w:vAlign w:val="center"/>
          </w:tcPr>
          <w:p w14:paraId="1824C15C">
            <w:pPr>
              <w:jc w:val="left"/>
              <w:rPr>
                <w:rFonts w:hint="eastAsia" w:ascii="宋体" w:hAnsi="宋体" w:cs="宋体"/>
                <w:color w:val="auto"/>
                <w:sz w:val="24"/>
                <w:szCs w:val="24"/>
              </w:rPr>
            </w:pPr>
          </w:p>
        </w:tc>
        <w:tc>
          <w:tcPr>
            <w:tcW w:w="1384" w:type="dxa"/>
            <w:noWrap w:val="0"/>
            <w:vAlign w:val="center"/>
          </w:tcPr>
          <w:p w14:paraId="7C0229AB">
            <w:pPr>
              <w:jc w:val="left"/>
              <w:rPr>
                <w:rFonts w:hint="eastAsia" w:ascii="宋体" w:hAnsi="宋体" w:cs="宋体"/>
                <w:color w:val="auto"/>
                <w:sz w:val="24"/>
                <w:szCs w:val="24"/>
              </w:rPr>
            </w:pPr>
          </w:p>
        </w:tc>
        <w:tc>
          <w:tcPr>
            <w:tcW w:w="1974" w:type="dxa"/>
            <w:noWrap w:val="0"/>
            <w:vAlign w:val="center"/>
          </w:tcPr>
          <w:p w14:paraId="791713E7">
            <w:pPr>
              <w:jc w:val="left"/>
              <w:rPr>
                <w:rFonts w:hint="eastAsia" w:ascii="宋体" w:hAnsi="宋体" w:cs="宋体"/>
                <w:color w:val="auto"/>
                <w:sz w:val="24"/>
                <w:szCs w:val="24"/>
              </w:rPr>
            </w:pPr>
          </w:p>
        </w:tc>
      </w:tr>
    </w:tbl>
    <w:p w14:paraId="12FA87ED">
      <w:pPr>
        <w:spacing w:line="400" w:lineRule="exact"/>
        <w:ind w:firstLine="482"/>
        <w:rPr>
          <w:rFonts w:hint="eastAsia" w:ascii="宋体" w:hAnsi="宋体" w:cs="宋体"/>
          <w:color w:val="auto"/>
          <w:sz w:val="24"/>
          <w:szCs w:val="24"/>
        </w:rPr>
      </w:pPr>
    </w:p>
    <w:p w14:paraId="4EF7DFD5">
      <w:pPr>
        <w:spacing w:line="400" w:lineRule="exact"/>
        <w:ind w:firstLine="482"/>
        <w:rPr>
          <w:rFonts w:hint="eastAsia" w:ascii="宋体" w:hAnsi="宋体" w:cs="宋体"/>
          <w:color w:val="auto"/>
          <w:sz w:val="24"/>
          <w:szCs w:val="24"/>
        </w:rPr>
      </w:pPr>
      <w:r>
        <w:rPr>
          <w:rFonts w:hint="eastAsia" w:ascii="宋体" w:hAnsi="宋体" w:cs="宋体"/>
          <w:color w:val="auto"/>
          <w:sz w:val="24"/>
          <w:szCs w:val="24"/>
        </w:rPr>
        <w:t>根据上述业绩情况，按招标文件要求附销售或服务合同复印件及评审标准要求的证明材料。</w:t>
      </w:r>
    </w:p>
    <w:p w14:paraId="56D38150">
      <w:pPr>
        <w:spacing w:line="400" w:lineRule="exact"/>
        <w:ind w:firstLine="482"/>
        <w:rPr>
          <w:rFonts w:hint="eastAsia" w:ascii="宋体" w:hAnsi="宋体" w:cs="宋体"/>
          <w:color w:val="auto"/>
          <w:sz w:val="24"/>
          <w:szCs w:val="24"/>
        </w:rPr>
      </w:pPr>
    </w:p>
    <w:p w14:paraId="2823FF44">
      <w:pPr>
        <w:widowControl/>
        <w:jc w:val="left"/>
        <w:rPr>
          <w:rFonts w:hint="eastAsia" w:ascii="宋体" w:hAnsi="宋体" w:cs="宋体"/>
          <w:color w:val="auto"/>
          <w:kern w:val="0"/>
          <w:sz w:val="24"/>
          <w:szCs w:val="24"/>
        </w:rPr>
      </w:pPr>
    </w:p>
    <w:p w14:paraId="600F0655">
      <w:pPr>
        <w:pStyle w:val="209"/>
        <w:spacing w:line="560" w:lineRule="exact"/>
        <w:jc w:val="center"/>
        <w:rPr>
          <w:rFonts w:hint="eastAsia" w:ascii="宋体" w:hAnsi="宋体" w:cs="宋体"/>
          <w:b/>
          <w:color w:val="auto"/>
          <w:sz w:val="24"/>
          <w:szCs w:val="24"/>
        </w:rPr>
      </w:pPr>
    </w:p>
    <w:p w14:paraId="19499948">
      <w:pPr>
        <w:pStyle w:val="209"/>
        <w:spacing w:line="560" w:lineRule="exact"/>
        <w:jc w:val="center"/>
        <w:rPr>
          <w:rFonts w:hint="eastAsia" w:ascii="宋体" w:hAnsi="宋体" w:cs="宋体"/>
          <w:b/>
          <w:color w:val="auto"/>
          <w:sz w:val="24"/>
          <w:szCs w:val="24"/>
        </w:rPr>
      </w:pPr>
    </w:p>
    <w:p w14:paraId="459C53D0">
      <w:pPr>
        <w:pStyle w:val="209"/>
        <w:spacing w:line="560" w:lineRule="exact"/>
        <w:jc w:val="center"/>
        <w:rPr>
          <w:rFonts w:hint="eastAsia" w:ascii="宋体" w:hAnsi="宋体" w:cs="宋体"/>
          <w:b/>
          <w:color w:val="auto"/>
          <w:sz w:val="24"/>
          <w:szCs w:val="24"/>
        </w:rPr>
      </w:pPr>
    </w:p>
    <w:p w14:paraId="4D4334A3">
      <w:pPr>
        <w:pStyle w:val="209"/>
        <w:spacing w:line="560" w:lineRule="exact"/>
        <w:jc w:val="center"/>
        <w:rPr>
          <w:rFonts w:hint="eastAsia" w:ascii="宋体" w:hAnsi="宋体" w:cs="宋体"/>
          <w:b/>
          <w:color w:val="auto"/>
          <w:sz w:val="24"/>
          <w:szCs w:val="24"/>
        </w:rPr>
      </w:pPr>
    </w:p>
    <w:p w14:paraId="26BC1F8D">
      <w:pPr>
        <w:pStyle w:val="209"/>
        <w:spacing w:line="560" w:lineRule="exact"/>
        <w:jc w:val="center"/>
        <w:rPr>
          <w:rFonts w:hint="eastAsia" w:ascii="宋体" w:hAnsi="宋体" w:cs="宋体"/>
          <w:b/>
          <w:color w:val="auto"/>
          <w:sz w:val="24"/>
          <w:szCs w:val="24"/>
        </w:rPr>
      </w:pPr>
    </w:p>
    <w:p w14:paraId="28EE8A12">
      <w:pPr>
        <w:pStyle w:val="209"/>
        <w:spacing w:line="560" w:lineRule="exact"/>
        <w:jc w:val="center"/>
        <w:rPr>
          <w:rFonts w:hint="eastAsia" w:ascii="宋体" w:hAnsi="宋体" w:cs="宋体"/>
          <w:b/>
          <w:color w:val="auto"/>
          <w:sz w:val="24"/>
          <w:szCs w:val="24"/>
        </w:rPr>
      </w:pPr>
    </w:p>
    <w:p w14:paraId="1C394F11">
      <w:pPr>
        <w:pStyle w:val="209"/>
        <w:spacing w:line="560" w:lineRule="exact"/>
        <w:jc w:val="center"/>
        <w:rPr>
          <w:rFonts w:hint="eastAsia" w:ascii="宋体" w:hAnsi="宋体" w:cs="宋体"/>
          <w:b/>
          <w:color w:val="auto"/>
          <w:sz w:val="24"/>
          <w:szCs w:val="24"/>
        </w:rPr>
      </w:pPr>
    </w:p>
    <w:p w14:paraId="50EA4DDC">
      <w:pPr>
        <w:pStyle w:val="209"/>
        <w:spacing w:line="560" w:lineRule="exact"/>
        <w:jc w:val="center"/>
        <w:rPr>
          <w:rFonts w:hint="eastAsia" w:ascii="宋体" w:hAnsi="宋体" w:cs="宋体"/>
          <w:b/>
          <w:color w:val="auto"/>
          <w:sz w:val="24"/>
          <w:szCs w:val="24"/>
        </w:rPr>
      </w:pPr>
    </w:p>
    <w:p w14:paraId="0B4EA7A1">
      <w:pPr>
        <w:pStyle w:val="209"/>
        <w:spacing w:line="560" w:lineRule="exact"/>
        <w:jc w:val="center"/>
        <w:rPr>
          <w:rFonts w:hint="eastAsia" w:ascii="宋体" w:hAnsi="宋体" w:cs="宋体"/>
          <w:b/>
          <w:color w:val="auto"/>
          <w:sz w:val="24"/>
          <w:szCs w:val="24"/>
        </w:rPr>
      </w:pPr>
    </w:p>
    <w:p w14:paraId="168ECD07">
      <w:pPr>
        <w:spacing w:line="500" w:lineRule="exact"/>
        <w:ind w:firstLine="480"/>
        <w:rPr>
          <w:rFonts w:hint="eastAsia" w:ascii="宋体" w:hAnsi="宋体" w:cs="宋体"/>
          <w:color w:val="auto"/>
          <w:sz w:val="24"/>
          <w:szCs w:val="24"/>
        </w:rPr>
      </w:pPr>
      <w:r>
        <w:rPr>
          <w:rFonts w:hint="eastAsia" w:ascii="宋体" w:hAnsi="宋体" w:cs="宋体"/>
          <w:color w:val="auto"/>
          <w:sz w:val="24"/>
          <w:szCs w:val="24"/>
        </w:rPr>
        <w:t>（以下格式文件由供应商根据需要选用）</w:t>
      </w:r>
    </w:p>
    <w:p w14:paraId="42018149">
      <w:pPr>
        <w:pStyle w:val="161"/>
        <w:ind w:firstLine="420"/>
        <w:rPr>
          <w:rFonts w:hint="eastAsia" w:ascii="宋体" w:hAnsi="宋体" w:cs="宋体"/>
          <w:color w:val="auto"/>
        </w:rPr>
      </w:pPr>
    </w:p>
    <w:p w14:paraId="520C81B2">
      <w:pPr>
        <w:pStyle w:val="209"/>
        <w:spacing w:line="560" w:lineRule="exact"/>
        <w:jc w:val="center"/>
        <w:rPr>
          <w:rFonts w:hint="eastAsia" w:ascii="宋体" w:hAnsi="宋体" w:cs="宋体"/>
          <w:bCs/>
          <w:color w:val="auto"/>
          <w:sz w:val="44"/>
          <w:szCs w:val="44"/>
        </w:rPr>
      </w:pPr>
      <w:r>
        <w:rPr>
          <w:rFonts w:hint="eastAsia" w:ascii="宋体" w:hAnsi="宋体" w:cs="宋体"/>
          <w:bCs/>
          <w:color w:val="auto"/>
          <w:sz w:val="44"/>
          <w:szCs w:val="44"/>
        </w:rPr>
        <w:t>售后服务人员配置表</w:t>
      </w:r>
    </w:p>
    <w:p w14:paraId="07F6BC6E">
      <w:pPr>
        <w:pStyle w:val="209"/>
        <w:spacing w:line="560" w:lineRule="exact"/>
        <w:jc w:val="center"/>
        <w:rPr>
          <w:rFonts w:hint="eastAsia" w:ascii="宋体" w:hAnsi="宋体" w:cs="宋体"/>
          <w:b/>
          <w:color w:val="auto"/>
          <w:sz w:val="44"/>
          <w:szCs w:val="44"/>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09"/>
        <w:gridCol w:w="835"/>
        <w:gridCol w:w="834"/>
        <w:gridCol w:w="834"/>
        <w:gridCol w:w="1470"/>
        <w:gridCol w:w="1235"/>
        <w:gridCol w:w="876"/>
        <w:gridCol w:w="930"/>
      </w:tblGrid>
      <w:tr w14:paraId="27B0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00" w:type="dxa"/>
            <w:noWrap w:val="0"/>
            <w:vAlign w:val="center"/>
          </w:tcPr>
          <w:p w14:paraId="036DD20A">
            <w:pPr>
              <w:pStyle w:val="209"/>
              <w:spacing w:line="560" w:lineRule="exact"/>
              <w:jc w:val="center"/>
              <w:rPr>
                <w:rFonts w:hint="eastAsia" w:ascii="宋体" w:hAnsi="宋体" w:cs="宋体"/>
                <w:color w:val="auto"/>
                <w:sz w:val="24"/>
                <w:szCs w:val="24"/>
              </w:rPr>
            </w:pPr>
            <w:r>
              <w:rPr>
                <w:rFonts w:hint="eastAsia" w:ascii="宋体" w:hAnsi="宋体" w:cs="宋体"/>
                <w:color w:val="auto"/>
                <w:sz w:val="24"/>
                <w:szCs w:val="24"/>
              </w:rPr>
              <w:t>序号</w:t>
            </w:r>
          </w:p>
        </w:tc>
        <w:tc>
          <w:tcPr>
            <w:tcW w:w="1609" w:type="dxa"/>
            <w:noWrap w:val="0"/>
            <w:vAlign w:val="center"/>
          </w:tcPr>
          <w:p w14:paraId="542BD955">
            <w:pPr>
              <w:pStyle w:val="209"/>
              <w:spacing w:line="560" w:lineRule="exact"/>
              <w:jc w:val="center"/>
              <w:rPr>
                <w:rFonts w:hint="eastAsia" w:ascii="宋体" w:hAnsi="宋体" w:cs="宋体"/>
                <w:color w:val="auto"/>
                <w:sz w:val="24"/>
                <w:szCs w:val="24"/>
              </w:rPr>
            </w:pPr>
            <w:r>
              <w:rPr>
                <w:rFonts w:hint="eastAsia" w:ascii="宋体" w:hAnsi="宋体" w:cs="宋体"/>
                <w:color w:val="auto"/>
                <w:sz w:val="24"/>
                <w:szCs w:val="24"/>
              </w:rPr>
              <w:t>姓名</w:t>
            </w:r>
          </w:p>
        </w:tc>
        <w:tc>
          <w:tcPr>
            <w:tcW w:w="835" w:type="dxa"/>
            <w:noWrap w:val="0"/>
            <w:vAlign w:val="center"/>
          </w:tcPr>
          <w:p w14:paraId="4967EBD5">
            <w:pPr>
              <w:pStyle w:val="209"/>
              <w:spacing w:line="560" w:lineRule="exact"/>
              <w:jc w:val="center"/>
              <w:rPr>
                <w:rFonts w:hint="eastAsia" w:ascii="宋体" w:hAnsi="宋体" w:cs="宋体"/>
                <w:color w:val="auto"/>
                <w:sz w:val="24"/>
                <w:szCs w:val="24"/>
              </w:rPr>
            </w:pPr>
            <w:r>
              <w:rPr>
                <w:rFonts w:hint="eastAsia" w:ascii="宋体" w:hAnsi="宋体" w:cs="宋体"/>
                <w:color w:val="auto"/>
                <w:sz w:val="24"/>
                <w:szCs w:val="24"/>
              </w:rPr>
              <w:t>性别</w:t>
            </w:r>
          </w:p>
        </w:tc>
        <w:tc>
          <w:tcPr>
            <w:tcW w:w="834" w:type="dxa"/>
            <w:noWrap w:val="0"/>
            <w:vAlign w:val="center"/>
          </w:tcPr>
          <w:p w14:paraId="327E526C">
            <w:pPr>
              <w:pStyle w:val="209"/>
              <w:spacing w:line="560" w:lineRule="exact"/>
              <w:jc w:val="center"/>
              <w:rPr>
                <w:rFonts w:hint="eastAsia" w:ascii="宋体" w:hAnsi="宋体" w:cs="宋体"/>
                <w:color w:val="auto"/>
                <w:sz w:val="24"/>
                <w:szCs w:val="24"/>
              </w:rPr>
            </w:pPr>
            <w:r>
              <w:rPr>
                <w:rFonts w:hint="eastAsia" w:ascii="宋体" w:hAnsi="宋体" w:cs="宋体"/>
                <w:color w:val="auto"/>
                <w:sz w:val="24"/>
                <w:szCs w:val="24"/>
              </w:rPr>
              <w:t>年龄</w:t>
            </w:r>
          </w:p>
        </w:tc>
        <w:tc>
          <w:tcPr>
            <w:tcW w:w="834" w:type="dxa"/>
            <w:noWrap w:val="0"/>
            <w:vAlign w:val="center"/>
          </w:tcPr>
          <w:p w14:paraId="04547464">
            <w:pPr>
              <w:pStyle w:val="209"/>
              <w:spacing w:line="560" w:lineRule="exact"/>
              <w:jc w:val="center"/>
              <w:rPr>
                <w:rFonts w:hint="eastAsia" w:ascii="宋体" w:hAnsi="宋体" w:cs="宋体"/>
                <w:color w:val="auto"/>
                <w:sz w:val="24"/>
                <w:szCs w:val="24"/>
              </w:rPr>
            </w:pPr>
            <w:r>
              <w:rPr>
                <w:rFonts w:hint="eastAsia" w:ascii="宋体" w:hAnsi="宋体" w:cs="宋体"/>
                <w:color w:val="auto"/>
                <w:sz w:val="24"/>
                <w:szCs w:val="24"/>
              </w:rPr>
              <w:t>学历</w:t>
            </w:r>
          </w:p>
        </w:tc>
        <w:tc>
          <w:tcPr>
            <w:tcW w:w="1470" w:type="dxa"/>
            <w:noWrap w:val="0"/>
            <w:vAlign w:val="center"/>
          </w:tcPr>
          <w:p w14:paraId="6CFB6E87">
            <w:pPr>
              <w:pStyle w:val="209"/>
              <w:spacing w:line="560" w:lineRule="exact"/>
              <w:jc w:val="center"/>
              <w:rPr>
                <w:rFonts w:hint="eastAsia" w:ascii="宋体" w:hAnsi="宋体" w:cs="宋体"/>
                <w:color w:val="auto"/>
                <w:sz w:val="24"/>
                <w:szCs w:val="24"/>
              </w:rPr>
            </w:pPr>
            <w:r>
              <w:rPr>
                <w:rFonts w:hint="eastAsia" w:ascii="宋体" w:hAnsi="宋体" w:cs="宋体"/>
                <w:color w:val="auto"/>
                <w:sz w:val="24"/>
                <w:szCs w:val="24"/>
              </w:rPr>
              <w:t>职称/资格</w:t>
            </w:r>
          </w:p>
        </w:tc>
        <w:tc>
          <w:tcPr>
            <w:tcW w:w="1235" w:type="dxa"/>
            <w:noWrap w:val="0"/>
            <w:vAlign w:val="center"/>
          </w:tcPr>
          <w:p w14:paraId="7E51CEB9">
            <w:pPr>
              <w:pStyle w:val="209"/>
              <w:spacing w:line="560" w:lineRule="exact"/>
              <w:jc w:val="center"/>
              <w:rPr>
                <w:rFonts w:hint="eastAsia" w:ascii="宋体" w:hAnsi="宋体" w:cs="宋体"/>
                <w:color w:val="auto"/>
                <w:sz w:val="24"/>
                <w:szCs w:val="24"/>
              </w:rPr>
            </w:pPr>
            <w:r>
              <w:rPr>
                <w:rFonts w:hint="eastAsia" w:ascii="宋体" w:hAnsi="宋体" w:cs="宋体"/>
                <w:color w:val="auto"/>
                <w:sz w:val="24"/>
                <w:szCs w:val="24"/>
              </w:rPr>
              <w:t>专业</w:t>
            </w:r>
          </w:p>
        </w:tc>
        <w:tc>
          <w:tcPr>
            <w:tcW w:w="876" w:type="dxa"/>
            <w:noWrap w:val="0"/>
            <w:vAlign w:val="center"/>
          </w:tcPr>
          <w:p w14:paraId="4827510D">
            <w:pPr>
              <w:pStyle w:val="209"/>
              <w:spacing w:line="560" w:lineRule="exact"/>
              <w:jc w:val="center"/>
              <w:rPr>
                <w:rFonts w:hint="eastAsia" w:ascii="宋体" w:hAnsi="宋体" w:cs="宋体"/>
                <w:color w:val="auto"/>
                <w:sz w:val="24"/>
                <w:szCs w:val="24"/>
              </w:rPr>
            </w:pPr>
            <w:r>
              <w:rPr>
                <w:rFonts w:hint="eastAsia" w:ascii="宋体" w:hAnsi="宋体" w:cs="宋体"/>
                <w:color w:val="auto"/>
                <w:sz w:val="24"/>
                <w:szCs w:val="24"/>
              </w:rPr>
              <w:t>经验</w:t>
            </w:r>
          </w:p>
          <w:p w14:paraId="64BCAD0D">
            <w:pPr>
              <w:pStyle w:val="209"/>
              <w:spacing w:line="560" w:lineRule="exact"/>
              <w:jc w:val="center"/>
              <w:rPr>
                <w:rFonts w:hint="eastAsia" w:ascii="宋体" w:hAnsi="宋体" w:cs="宋体"/>
                <w:color w:val="auto"/>
                <w:sz w:val="24"/>
                <w:szCs w:val="24"/>
              </w:rPr>
            </w:pPr>
            <w:r>
              <w:rPr>
                <w:rFonts w:hint="eastAsia" w:ascii="宋体" w:hAnsi="宋体" w:cs="宋体"/>
                <w:color w:val="auto"/>
                <w:sz w:val="24"/>
                <w:szCs w:val="24"/>
              </w:rPr>
              <w:t>年限</w:t>
            </w:r>
          </w:p>
        </w:tc>
        <w:tc>
          <w:tcPr>
            <w:tcW w:w="930" w:type="dxa"/>
            <w:noWrap w:val="0"/>
            <w:vAlign w:val="center"/>
          </w:tcPr>
          <w:p w14:paraId="490B8162">
            <w:pPr>
              <w:pStyle w:val="209"/>
              <w:spacing w:line="560" w:lineRule="exact"/>
              <w:jc w:val="center"/>
              <w:rPr>
                <w:rFonts w:hint="eastAsia" w:ascii="宋体" w:hAnsi="宋体" w:cs="宋体"/>
                <w:color w:val="auto"/>
                <w:sz w:val="24"/>
                <w:szCs w:val="24"/>
              </w:rPr>
            </w:pPr>
            <w:r>
              <w:rPr>
                <w:rFonts w:hint="eastAsia" w:ascii="宋体" w:hAnsi="宋体" w:cs="宋体"/>
                <w:color w:val="auto"/>
                <w:sz w:val="24"/>
                <w:szCs w:val="24"/>
              </w:rPr>
              <w:t>担任职务</w:t>
            </w:r>
          </w:p>
        </w:tc>
      </w:tr>
      <w:tr w14:paraId="54EF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00" w:type="dxa"/>
            <w:noWrap w:val="0"/>
            <w:vAlign w:val="center"/>
          </w:tcPr>
          <w:p w14:paraId="42514882">
            <w:pPr>
              <w:pStyle w:val="209"/>
              <w:spacing w:line="560" w:lineRule="exact"/>
              <w:jc w:val="center"/>
              <w:rPr>
                <w:rFonts w:hint="eastAsia" w:ascii="宋体" w:hAnsi="宋体" w:cs="宋体"/>
                <w:color w:val="auto"/>
                <w:sz w:val="24"/>
                <w:szCs w:val="24"/>
              </w:rPr>
            </w:pPr>
            <w:r>
              <w:rPr>
                <w:rFonts w:hint="eastAsia" w:ascii="宋体" w:hAnsi="宋体" w:cs="宋体"/>
                <w:color w:val="auto"/>
                <w:sz w:val="24"/>
                <w:szCs w:val="24"/>
              </w:rPr>
              <w:t>1</w:t>
            </w:r>
          </w:p>
        </w:tc>
        <w:tc>
          <w:tcPr>
            <w:tcW w:w="1609" w:type="dxa"/>
            <w:noWrap w:val="0"/>
            <w:vAlign w:val="center"/>
          </w:tcPr>
          <w:p w14:paraId="73E4220E">
            <w:pPr>
              <w:pStyle w:val="209"/>
              <w:spacing w:line="560" w:lineRule="exact"/>
              <w:rPr>
                <w:rFonts w:hint="eastAsia" w:ascii="宋体" w:hAnsi="宋体" w:cs="宋体"/>
                <w:color w:val="auto"/>
                <w:sz w:val="24"/>
                <w:szCs w:val="24"/>
              </w:rPr>
            </w:pPr>
          </w:p>
        </w:tc>
        <w:tc>
          <w:tcPr>
            <w:tcW w:w="835" w:type="dxa"/>
            <w:noWrap w:val="0"/>
            <w:vAlign w:val="center"/>
          </w:tcPr>
          <w:p w14:paraId="34886898">
            <w:pPr>
              <w:pStyle w:val="209"/>
              <w:spacing w:line="560" w:lineRule="exact"/>
              <w:rPr>
                <w:rFonts w:hint="eastAsia" w:ascii="宋体" w:hAnsi="宋体" w:cs="宋体"/>
                <w:color w:val="auto"/>
                <w:sz w:val="24"/>
                <w:szCs w:val="24"/>
              </w:rPr>
            </w:pPr>
          </w:p>
        </w:tc>
        <w:tc>
          <w:tcPr>
            <w:tcW w:w="834" w:type="dxa"/>
            <w:noWrap w:val="0"/>
            <w:vAlign w:val="center"/>
          </w:tcPr>
          <w:p w14:paraId="7B640A73">
            <w:pPr>
              <w:pStyle w:val="209"/>
              <w:spacing w:line="560" w:lineRule="exact"/>
              <w:rPr>
                <w:rFonts w:hint="eastAsia" w:ascii="宋体" w:hAnsi="宋体" w:cs="宋体"/>
                <w:color w:val="auto"/>
                <w:sz w:val="24"/>
                <w:szCs w:val="24"/>
              </w:rPr>
            </w:pPr>
          </w:p>
        </w:tc>
        <w:tc>
          <w:tcPr>
            <w:tcW w:w="834" w:type="dxa"/>
            <w:noWrap w:val="0"/>
            <w:vAlign w:val="center"/>
          </w:tcPr>
          <w:p w14:paraId="1CCE0B69">
            <w:pPr>
              <w:pStyle w:val="209"/>
              <w:spacing w:line="560" w:lineRule="exact"/>
              <w:rPr>
                <w:rFonts w:hint="eastAsia" w:ascii="宋体" w:hAnsi="宋体" w:cs="宋体"/>
                <w:color w:val="auto"/>
                <w:sz w:val="24"/>
                <w:szCs w:val="24"/>
              </w:rPr>
            </w:pPr>
          </w:p>
        </w:tc>
        <w:tc>
          <w:tcPr>
            <w:tcW w:w="1470" w:type="dxa"/>
            <w:noWrap w:val="0"/>
            <w:vAlign w:val="center"/>
          </w:tcPr>
          <w:p w14:paraId="287048C5">
            <w:pPr>
              <w:pStyle w:val="209"/>
              <w:spacing w:line="560" w:lineRule="exact"/>
              <w:rPr>
                <w:rFonts w:hint="eastAsia" w:ascii="宋体" w:hAnsi="宋体" w:cs="宋体"/>
                <w:color w:val="auto"/>
                <w:sz w:val="24"/>
                <w:szCs w:val="24"/>
              </w:rPr>
            </w:pPr>
          </w:p>
        </w:tc>
        <w:tc>
          <w:tcPr>
            <w:tcW w:w="1235" w:type="dxa"/>
            <w:noWrap w:val="0"/>
            <w:vAlign w:val="center"/>
          </w:tcPr>
          <w:p w14:paraId="227C26AE">
            <w:pPr>
              <w:pStyle w:val="209"/>
              <w:spacing w:line="560" w:lineRule="exact"/>
              <w:rPr>
                <w:rFonts w:hint="eastAsia" w:ascii="宋体" w:hAnsi="宋体" w:cs="宋体"/>
                <w:color w:val="auto"/>
                <w:sz w:val="24"/>
                <w:szCs w:val="24"/>
              </w:rPr>
            </w:pPr>
          </w:p>
        </w:tc>
        <w:tc>
          <w:tcPr>
            <w:tcW w:w="876" w:type="dxa"/>
            <w:noWrap w:val="0"/>
            <w:vAlign w:val="center"/>
          </w:tcPr>
          <w:p w14:paraId="7DA86964">
            <w:pPr>
              <w:pStyle w:val="209"/>
              <w:spacing w:line="560" w:lineRule="exact"/>
              <w:rPr>
                <w:rFonts w:hint="eastAsia" w:ascii="宋体" w:hAnsi="宋体" w:cs="宋体"/>
                <w:color w:val="auto"/>
                <w:sz w:val="24"/>
                <w:szCs w:val="24"/>
              </w:rPr>
            </w:pPr>
          </w:p>
        </w:tc>
        <w:tc>
          <w:tcPr>
            <w:tcW w:w="930" w:type="dxa"/>
            <w:noWrap w:val="0"/>
            <w:vAlign w:val="center"/>
          </w:tcPr>
          <w:p w14:paraId="1ED8D9AF">
            <w:pPr>
              <w:pStyle w:val="209"/>
              <w:spacing w:line="560" w:lineRule="exact"/>
              <w:rPr>
                <w:rFonts w:hint="eastAsia" w:ascii="宋体" w:hAnsi="宋体" w:cs="宋体"/>
                <w:color w:val="auto"/>
                <w:sz w:val="24"/>
                <w:szCs w:val="24"/>
              </w:rPr>
            </w:pPr>
          </w:p>
        </w:tc>
      </w:tr>
      <w:tr w14:paraId="35382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center"/>
          </w:tcPr>
          <w:p w14:paraId="1ACE03A8">
            <w:pPr>
              <w:pStyle w:val="209"/>
              <w:spacing w:line="560" w:lineRule="exact"/>
              <w:jc w:val="center"/>
              <w:rPr>
                <w:rFonts w:hint="eastAsia" w:ascii="宋体" w:hAnsi="宋体" w:cs="宋体"/>
                <w:color w:val="auto"/>
                <w:sz w:val="24"/>
                <w:szCs w:val="24"/>
              </w:rPr>
            </w:pPr>
            <w:r>
              <w:rPr>
                <w:rFonts w:hint="eastAsia" w:ascii="宋体" w:hAnsi="宋体" w:cs="宋体"/>
                <w:color w:val="auto"/>
                <w:sz w:val="24"/>
                <w:szCs w:val="24"/>
              </w:rPr>
              <w:t>2</w:t>
            </w:r>
          </w:p>
        </w:tc>
        <w:tc>
          <w:tcPr>
            <w:tcW w:w="1609" w:type="dxa"/>
            <w:noWrap w:val="0"/>
            <w:vAlign w:val="center"/>
          </w:tcPr>
          <w:p w14:paraId="24C582B8">
            <w:pPr>
              <w:pStyle w:val="209"/>
              <w:spacing w:line="560" w:lineRule="exact"/>
              <w:rPr>
                <w:rFonts w:hint="eastAsia" w:ascii="宋体" w:hAnsi="宋体" w:cs="宋体"/>
                <w:color w:val="auto"/>
                <w:sz w:val="24"/>
                <w:szCs w:val="24"/>
              </w:rPr>
            </w:pPr>
          </w:p>
        </w:tc>
        <w:tc>
          <w:tcPr>
            <w:tcW w:w="835" w:type="dxa"/>
            <w:noWrap w:val="0"/>
            <w:vAlign w:val="center"/>
          </w:tcPr>
          <w:p w14:paraId="22FF0555">
            <w:pPr>
              <w:pStyle w:val="209"/>
              <w:spacing w:line="560" w:lineRule="exact"/>
              <w:rPr>
                <w:rFonts w:hint="eastAsia" w:ascii="宋体" w:hAnsi="宋体" w:cs="宋体"/>
                <w:color w:val="auto"/>
                <w:sz w:val="24"/>
                <w:szCs w:val="24"/>
              </w:rPr>
            </w:pPr>
          </w:p>
        </w:tc>
        <w:tc>
          <w:tcPr>
            <w:tcW w:w="834" w:type="dxa"/>
            <w:noWrap w:val="0"/>
            <w:vAlign w:val="center"/>
          </w:tcPr>
          <w:p w14:paraId="1635F8A0">
            <w:pPr>
              <w:pStyle w:val="209"/>
              <w:spacing w:line="560" w:lineRule="exact"/>
              <w:rPr>
                <w:rFonts w:hint="eastAsia" w:ascii="宋体" w:hAnsi="宋体" w:cs="宋体"/>
                <w:color w:val="auto"/>
                <w:sz w:val="24"/>
                <w:szCs w:val="24"/>
              </w:rPr>
            </w:pPr>
          </w:p>
        </w:tc>
        <w:tc>
          <w:tcPr>
            <w:tcW w:w="834" w:type="dxa"/>
            <w:noWrap w:val="0"/>
            <w:vAlign w:val="center"/>
          </w:tcPr>
          <w:p w14:paraId="5FB096FF">
            <w:pPr>
              <w:pStyle w:val="209"/>
              <w:spacing w:line="560" w:lineRule="exact"/>
              <w:rPr>
                <w:rFonts w:hint="eastAsia" w:ascii="宋体" w:hAnsi="宋体" w:cs="宋体"/>
                <w:color w:val="auto"/>
                <w:sz w:val="24"/>
                <w:szCs w:val="24"/>
              </w:rPr>
            </w:pPr>
          </w:p>
        </w:tc>
        <w:tc>
          <w:tcPr>
            <w:tcW w:w="1470" w:type="dxa"/>
            <w:noWrap w:val="0"/>
            <w:vAlign w:val="center"/>
          </w:tcPr>
          <w:p w14:paraId="20660BBE">
            <w:pPr>
              <w:pStyle w:val="209"/>
              <w:spacing w:line="560" w:lineRule="exact"/>
              <w:rPr>
                <w:rFonts w:hint="eastAsia" w:ascii="宋体" w:hAnsi="宋体" w:cs="宋体"/>
                <w:color w:val="auto"/>
                <w:sz w:val="24"/>
                <w:szCs w:val="24"/>
              </w:rPr>
            </w:pPr>
          </w:p>
        </w:tc>
        <w:tc>
          <w:tcPr>
            <w:tcW w:w="1235" w:type="dxa"/>
            <w:noWrap w:val="0"/>
            <w:vAlign w:val="center"/>
          </w:tcPr>
          <w:p w14:paraId="69BAE4BB">
            <w:pPr>
              <w:pStyle w:val="209"/>
              <w:spacing w:line="560" w:lineRule="exact"/>
              <w:rPr>
                <w:rFonts w:hint="eastAsia" w:ascii="宋体" w:hAnsi="宋体" w:cs="宋体"/>
                <w:color w:val="auto"/>
                <w:sz w:val="24"/>
                <w:szCs w:val="24"/>
              </w:rPr>
            </w:pPr>
          </w:p>
        </w:tc>
        <w:tc>
          <w:tcPr>
            <w:tcW w:w="876" w:type="dxa"/>
            <w:noWrap w:val="0"/>
            <w:vAlign w:val="center"/>
          </w:tcPr>
          <w:p w14:paraId="35B13758">
            <w:pPr>
              <w:pStyle w:val="209"/>
              <w:spacing w:line="560" w:lineRule="exact"/>
              <w:rPr>
                <w:rFonts w:hint="eastAsia" w:ascii="宋体" w:hAnsi="宋体" w:cs="宋体"/>
                <w:color w:val="auto"/>
                <w:sz w:val="24"/>
                <w:szCs w:val="24"/>
              </w:rPr>
            </w:pPr>
          </w:p>
        </w:tc>
        <w:tc>
          <w:tcPr>
            <w:tcW w:w="930" w:type="dxa"/>
            <w:noWrap w:val="0"/>
            <w:vAlign w:val="center"/>
          </w:tcPr>
          <w:p w14:paraId="7E404D1C">
            <w:pPr>
              <w:pStyle w:val="209"/>
              <w:spacing w:line="560" w:lineRule="exact"/>
              <w:rPr>
                <w:rFonts w:hint="eastAsia" w:ascii="宋体" w:hAnsi="宋体" w:cs="宋体"/>
                <w:color w:val="auto"/>
                <w:sz w:val="24"/>
                <w:szCs w:val="24"/>
              </w:rPr>
            </w:pPr>
          </w:p>
        </w:tc>
      </w:tr>
      <w:tr w14:paraId="0FC2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00" w:type="dxa"/>
            <w:noWrap w:val="0"/>
            <w:vAlign w:val="center"/>
          </w:tcPr>
          <w:p w14:paraId="16A6AE45">
            <w:pPr>
              <w:pStyle w:val="209"/>
              <w:spacing w:line="560" w:lineRule="exact"/>
              <w:jc w:val="center"/>
              <w:rPr>
                <w:rFonts w:hint="eastAsia" w:ascii="宋体" w:hAnsi="宋体" w:cs="宋体"/>
                <w:color w:val="auto"/>
                <w:sz w:val="24"/>
                <w:szCs w:val="24"/>
              </w:rPr>
            </w:pPr>
            <w:r>
              <w:rPr>
                <w:rFonts w:hint="eastAsia" w:ascii="宋体" w:hAnsi="宋体" w:cs="宋体"/>
                <w:color w:val="auto"/>
                <w:sz w:val="24"/>
                <w:szCs w:val="24"/>
              </w:rPr>
              <w:t>3</w:t>
            </w:r>
          </w:p>
        </w:tc>
        <w:tc>
          <w:tcPr>
            <w:tcW w:w="1609" w:type="dxa"/>
            <w:noWrap w:val="0"/>
            <w:vAlign w:val="center"/>
          </w:tcPr>
          <w:p w14:paraId="7A04F748">
            <w:pPr>
              <w:pStyle w:val="209"/>
              <w:spacing w:line="560" w:lineRule="exact"/>
              <w:rPr>
                <w:rFonts w:hint="eastAsia" w:ascii="宋体" w:hAnsi="宋体" w:cs="宋体"/>
                <w:color w:val="auto"/>
                <w:sz w:val="24"/>
                <w:szCs w:val="24"/>
              </w:rPr>
            </w:pPr>
          </w:p>
        </w:tc>
        <w:tc>
          <w:tcPr>
            <w:tcW w:w="835" w:type="dxa"/>
            <w:noWrap w:val="0"/>
            <w:vAlign w:val="center"/>
          </w:tcPr>
          <w:p w14:paraId="03622232">
            <w:pPr>
              <w:pStyle w:val="209"/>
              <w:spacing w:line="560" w:lineRule="exact"/>
              <w:rPr>
                <w:rFonts w:hint="eastAsia" w:ascii="宋体" w:hAnsi="宋体" w:cs="宋体"/>
                <w:color w:val="auto"/>
                <w:sz w:val="24"/>
                <w:szCs w:val="24"/>
              </w:rPr>
            </w:pPr>
          </w:p>
        </w:tc>
        <w:tc>
          <w:tcPr>
            <w:tcW w:w="834" w:type="dxa"/>
            <w:noWrap w:val="0"/>
            <w:vAlign w:val="center"/>
          </w:tcPr>
          <w:p w14:paraId="0FF332A1">
            <w:pPr>
              <w:pStyle w:val="209"/>
              <w:spacing w:line="560" w:lineRule="exact"/>
              <w:rPr>
                <w:rFonts w:hint="eastAsia" w:ascii="宋体" w:hAnsi="宋体" w:cs="宋体"/>
                <w:color w:val="auto"/>
                <w:sz w:val="24"/>
                <w:szCs w:val="24"/>
              </w:rPr>
            </w:pPr>
          </w:p>
        </w:tc>
        <w:tc>
          <w:tcPr>
            <w:tcW w:w="834" w:type="dxa"/>
            <w:noWrap w:val="0"/>
            <w:vAlign w:val="center"/>
          </w:tcPr>
          <w:p w14:paraId="5E4095D6">
            <w:pPr>
              <w:pStyle w:val="209"/>
              <w:spacing w:line="560" w:lineRule="exact"/>
              <w:rPr>
                <w:rFonts w:hint="eastAsia" w:ascii="宋体" w:hAnsi="宋体" w:cs="宋体"/>
                <w:color w:val="auto"/>
                <w:sz w:val="24"/>
                <w:szCs w:val="24"/>
              </w:rPr>
            </w:pPr>
          </w:p>
        </w:tc>
        <w:tc>
          <w:tcPr>
            <w:tcW w:w="1470" w:type="dxa"/>
            <w:noWrap w:val="0"/>
            <w:vAlign w:val="center"/>
          </w:tcPr>
          <w:p w14:paraId="59FC5283">
            <w:pPr>
              <w:pStyle w:val="209"/>
              <w:spacing w:line="560" w:lineRule="exact"/>
              <w:rPr>
                <w:rFonts w:hint="eastAsia" w:ascii="宋体" w:hAnsi="宋体" w:cs="宋体"/>
                <w:color w:val="auto"/>
                <w:sz w:val="24"/>
                <w:szCs w:val="24"/>
              </w:rPr>
            </w:pPr>
          </w:p>
        </w:tc>
        <w:tc>
          <w:tcPr>
            <w:tcW w:w="1235" w:type="dxa"/>
            <w:noWrap w:val="0"/>
            <w:vAlign w:val="center"/>
          </w:tcPr>
          <w:p w14:paraId="1DDE9375">
            <w:pPr>
              <w:pStyle w:val="209"/>
              <w:spacing w:line="560" w:lineRule="exact"/>
              <w:rPr>
                <w:rFonts w:hint="eastAsia" w:ascii="宋体" w:hAnsi="宋体" w:cs="宋体"/>
                <w:color w:val="auto"/>
                <w:sz w:val="24"/>
                <w:szCs w:val="24"/>
              </w:rPr>
            </w:pPr>
          </w:p>
        </w:tc>
        <w:tc>
          <w:tcPr>
            <w:tcW w:w="876" w:type="dxa"/>
            <w:noWrap w:val="0"/>
            <w:vAlign w:val="center"/>
          </w:tcPr>
          <w:p w14:paraId="013EDDBB">
            <w:pPr>
              <w:pStyle w:val="209"/>
              <w:spacing w:line="560" w:lineRule="exact"/>
              <w:rPr>
                <w:rFonts w:hint="eastAsia" w:ascii="宋体" w:hAnsi="宋体" w:cs="宋体"/>
                <w:color w:val="auto"/>
                <w:sz w:val="24"/>
                <w:szCs w:val="24"/>
              </w:rPr>
            </w:pPr>
          </w:p>
        </w:tc>
        <w:tc>
          <w:tcPr>
            <w:tcW w:w="930" w:type="dxa"/>
            <w:noWrap w:val="0"/>
            <w:vAlign w:val="center"/>
          </w:tcPr>
          <w:p w14:paraId="40FE9EB6">
            <w:pPr>
              <w:pStyle w:val="209"/>
              <w:spacing w:line="560" w:lineRule="exact"/>
              <w:rPr>
                <w:rFonts w:hint="eastAsia" w:ascii="宋体" w:hAnsi="宋体" w:cs="宋体"/>
                <w:color w:val="auto"/>
                <w:sz w:val="24"/>
                <w:szCs w:val="24"/>
              </w:rPr>
            </w:pPr>
          </w:p>
        </w:tc>
      </w:tr>
      <w:tr w14:paraId="557B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00" w:type="dxa"/>
            <w:noWrap w:val="0"/>
            <w:vAlign w:val="center"/>
          </w:tcPr>
          <w:p w14:paraId="504F2F68">
            <w:pPr>
              <w:pStyle w:val="209"/>
              <w:spacing w:line="560" w:lineRule="exact"/>
              <w:ind w:firstLine="120" w:firstLineChars="50"/>
              <w:rPr>
                <w:rFonts w:hint="eastAsia" w:ascii="宋体" w:hAnsi="宋体" w:cs="宋体"/>
                <w:color w:val="auto"/>
                <w:sz w:val="24"/>
                <w:szCs w:val="24"/>
              </w:rPr>
            </w:pPr>
            <w:r>
              <w:rPr>
                <w:rFonts w:hint="eastAsia" w:ascii="宋体" w:hAnsi="宋体" w:cs="宋体"/>
                <w:color w:val="auto"/>
                <w:sz w:val="24"/>
                <w:szCs w:val="24"/>
              </w:rPr>
              <w:t>…</w:t>
            </w:r>
          </w:p>
        </w:tc>
        <w:tc>
          <w:tcPr>
            <w:tcW w:w="1609" w:type="dxa"/>
            <w:noWrap w:val="0"/>
            <w:vAlign w:val="center"/>
          </w:tcPr>
          <w:p w14:paraId="3853607B">
            <w:pPr>
              <w:pStyle w:val="209"/>
              <w:spacing w:line="560" w:lineRule="exact"/>
              <w:rPr>
                <w:rFonts w:hint="eastAsia" w:ascii="宋体" w:hAnsi="宋体" w:cs="宋体"/>
                <w:color w:val="auto"/>
                <w:sz w:val="24"/>
                <w:szCs w:val="24"/>
              </w:rPr>
            </w:pPr>
          </w:p>
        </w:tc>
        <w:tc>
          <w:tcPr>
            <w:tcW w:w="835" w:type="dxa"/>
            <w:noWrap w:val="0"/>
            <w:vAlign w:val="center"/>
          </w:tcPr>
          <w:p w14:paraId="10DC1396">
            <w:pPr>
              <w:pStyle w:val="209"/>
              <w:spacing w:line="560" w:lineRule="exact"/>
              <w:rPr>
                <w:rFonts w:hint="eastAsia" w:ascii="宋体" w:hAnsi="宋体" w:cs="宋体"/>
                <w:color w:val="auto"/>
                <w:sz w:val="24"/>
                <w:szCs w:val="24"/>
              </w:rPr>
            </w:pPr>
          </w:p>
        </w:tc>
        <w:tc>
          <w:tcPr>
            <w:tcW w:w="834" w:type="dxa"/>
            <w:noWrap w:val="0"/>
            <w:vAlign w:val="center"/>
          </w:tcPr>
          <w:p w14:paraId="32C3F07D">
            <w:pPr>
              <w:pStyle w:val="209"/>
              <w:spacing w:line="560" w:lineRule="exact"/>
              <w:rPr>
                <w:rFonts w:hint="eastAsia" w:ascii="宋体" w:hAnsi="宋体" w:cs="宋体"/>
                <w:color w:val="auto"/>
                <w:sz w:val="24"/>
                <w:szCs w:val="24"/>
              </w:rPr>
            </w:pPr>
          </w:p>
        </w:tc>
        <w:tc>
          <w:tcPr>
            <w:tcW w:w="834" w:type="dxa"/>
            <w:noWrap w:val="0"/>
            <w:vAlign w:val="center"/>
          </w:tcPr>
          <w:p w14:paraId="7C94CC13">
            <w:pPr>
              <w:pStyle w:val="209"/>
              <w:spacing w:line="560" w:lineRule="exact"/>
              <w:rPr>
                <w:rFonts w:hint="eastAsia" w:ascii="宋体" w:hAnsi="宋体" w:cs="宋体"/>
                <w:color w:val="auto"/>
                <w:sz w:val="24"/>
                <w:szCs w:val="24"/>
              </w:rPr>
            </w:pPr>
          </w:p>
        </w:tc>
        <w:tc>
          <w:tcPr>
            <w:tcW w:w="1470" w:type="dxa"/>
            <w:noWrap w:val="0"/>
            <w:vAlign w:val="center"/>
          </w:tcPr>
          <w:p w14:paraId="5EEF76E0">
            <w:pPr>
              <w:pStyle w:val="209"/>
              <w:spacing w:line="560" w:lineRule="exact"/>
              <w:rPr>
                <w:rFonts w:hint="eastAsia" w:ascii="宋体" w:hAnsi="宋体" w:cs="宋体"/>
                <w:color w:val="auto"/>
                <w:sz w:val="24"/>
                <w:szCs w:val="24"/>
              </w:rPr>
            </w:pPr>
          </w:p>
        </w:tc>
        <w:tc>
          <w:tcPr>
            <w:tcW w:w="1235" w:type="dxa"/>
            <w:noWrap w:val="0"/>
            <w:vAlign w:val="center"/>
          </w:tcPr>
          <w:p w14:paraId="61CF8DA8">
            <w:pPr>
              <w:pStyle w:val="209"/>
              <w:spacing w:line="560" w:lineRule="exact"/>
              <w:rPr>
                <w:rFonts w:hint="eastAsia" w:ascii="宋体" w:hAnsi="宋体" w:cs="宋体"/>
                <w:color w:val="auto"/>
                <w:sz w:val="24"/>
                <w:szCs w:val="24"/>
              </w:rPr>
            </w:pPr>
          </w:p>
        </w:tc>
        <w:tc>
          <w:tcPr>
            <w:tcW w:w="876" w:type="dxa"/>
            <w:noWrap w:val="0"/>
            <w:vAlign w:val="center"/>
          </w:tcPr>
          <w:p w14:paraId="7391A7A2">
            <w:pPr>
              <w:pStyle w:val="209"/>
              <w:spacing w:line="560" w:lineRule="exact"/>
              <w:rPr>
                <w:rFonts w:hint="eastAsia" w:ascii="宋体" w:hAnsi="宋体" w:cs="宋体"/>
                <w:color w:val="auto"/>
                <w:sz w:val="24"/>
                <w:szCs w:val="24"/>
              </w:rPr>
            </w:pPr>
          </w:p>
        </w:tc>
        <w:tc>
          <w:tcPr>
            <w:tcW w:w="930" w:type="dxa"/>
            <w:noWrap w:val="0"/>
            <w:vAlign w:val="center"/>
          </w:tcPr>
          <w:p w14:paraId="74E811DC">
            <w:pPr>
              <w:pStyle w:val="209"/>
              <w:spacing w:line="560" w:lineRule="exact"/>
              <w:rPr>
                <w:rFonts w:hint="eastAsia" w:ascii="宋体" w:hAnsi="宋体" w:cs="宋体"/>
                <w:color w:val="auto"/>
                <w:sz w:val="24"/>
                <w:szCs w:val="24"/>
              </w:rPr>
            </w:pPr>
          </w:p>
        </w:tc>
      </w:tr>
      <w:tr w14:paraId="53F5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00" w:type="dxa"/>
            <w:noWrap w:val="0"/>
            <w:vAlign w:val="center"/>
          </w:tcPr>
          <w:p w14:paraId="51FC775C">
            <w:pPr>
              <w:pStyle w:val="209"/>
              <w:spacing w:line="560" w:lineRule="exact"/>
              <w:rPr>
                <w:rFonts w:hint="eastAsia" w:ascii="宋体" w:hAnsi="宋体" w:cs="宋体"/>
                <w:color w:val="auto"/>
                <w:sz w:val="24"/>
                <w:szCs w:val="24"/>
              </w:rPr>
            </w:pPr>
          </w:p>
        </w:tc>
        <w:tc>
          <w:tcPr>
            <w:tcW w:w="1609" w:type="dxa"/>
            <w:noWrap w:val="0"/>
            <w:vAlign w:val="center"/>
          </w:tcPr>
          <w:p w14:paraId="46945C45">
            <w:pPr>
              <w:pStyle w:val="209"/>
              <w:spacing w:line="560" w:lineRule="exact"/>
              <w:rPr>
                <w:rFonts w:hint="eastAsia" w:ascii="宋体" w:hAnsi="宋体" w:cs="宋体"/>
                <w:color w:val="auto"/>
                <w:sz w:val="24"/>
                <w:szCs w:val="24"/>
              </w:rPr>
            </w:pPr>
          </w:p>
        </w:tc>
        <w:tc>
          <w:tcPr>
            <w:tcW w:w="835" w:type="dxa"/>
            <w:noWrap w:val="0"/>
            <w:vAlign w:val="center"/>
          </w:tcPr>
          <w:p w14:paraId="2050581F">
            <w:pPr>
              <w:pStyle w:val="209"/>
              <w:spacing w:line="560" w:lineRule="exact"/>
              <w:rPr>
                <w:rFonts w:hint="eastAsia" w:ascii="宋体" w:hAnsi="宋体" w:cs="宋体"/>
                <w:color w:val="auto"/>
                <w:sz w:val="24"/>
                <w:szCs w:val="24"/>
              </w:rPr>
            </w:pPr>
          </w:p>
        </w:tc>
        <w:tc>
          <w:tcPr>
            <w:tcW w:w="834" w:type="dxa"/>
            <w:noWrap w:val="0"/>
            <w:vAlign w:val="center"/>
          </w:tcPr>
          <w:p w14:paraId="4853C43F">
            <w:pPr>
              <w:pStyle w:val="209"/>
              <w:spacing w:line="560" w:lineRule="exact"/>
              <w:rPr>
                <w:rFonts w:hint="eastAsia" w:ascii="宋体" w:hAnsi="宋体" w:cs="宋体"/>
                <w:color w:val="auto"/>
                <w:sz w:val="24"/>
                <w:szCs w:val="24"/>
              </w:rPr>
            </w:pPr>
          </w:p>
        </w:tc>
        <w:tc>
          <w:tcPr>
            <w:tcW w:w="834" w:type="dxa"/>
            <w:noWrap w:val="0"/>
            <w:vAlign w:val="center"/>
          </w:tcPr>
          <w:p w14:paraId="6C36577A">
            <w:pPr>
              <w:pStyle w:val="209"/>
              <w:spacing w:line="560" w:lineRule="exact"/>
              <w:rPr>
                <w:rFonts w:hint="eastAsia" w:ascii="宋体" w:hAnsi="宋体" w:cs="宋体"/>
                <w:color w:val="auto"/>
                <w:sz w:val="24"/>
                <w:szCs w:val="24"/>
              </w:rPr>
            </w:pPr>
          </w:p>
        </w:tc>
        <w:tc>
          <w:tcPr>
            <w:tcW w:w="1470" w:type="dxa"/>
            <w:noWrap w:val="0"/>
            <w:vAlign w:val="center"/>
          </w:tcPr>
          <w:p w14:paraId="6BBB92C9">
            <w:pPr>
              <w:pStyle w:val="209"/>
              <w:spacing w:line="560" w:lineRule="exact"/>
              <w:rPr>
                <w:rFonts w:hint="eastAsia" w:ascii="宋体" w:hAnsi="宋体" w:cs="宋体"/>
                <w:color w:val="auto"/>
                <w:sz w:val="24"/>
                <w:szCs w:val="24"/>
              </w:rPr>
            </w:pPr>
          </w:p>
        </w:tc>
        <w:tc>
          <w:tcPr>
            <w:tcW w:w="1235" w:type="dxa"/>
            <w:noWrap w:val="0"/>
            <w:vAlign w:val="center"/>
          </w:tcPr>
          <w:p w14:paraId="4A3CE8DC">
            <w:pPr>
              <w:pStyle w:val="209"/>
              <w:spacing w:line="560" w:lineRule="exact"/>
              <w:rPr>
                <w:rFonts w:hint="eastAsia" w:ascii="宋体" w:hAnsi="宋体" w:cs="宋体"/>
                <w:color w:val="auto"/>
                <w:sz w:val="24"/>
                <w:szCs w:val="24"/>
              </w:rPr>
            </w:pPr>
          </w:p>
        </w:tc>
        <w:tc>
          <w:tcPr>
            <w:tcW w:w="876" w:type="dxa"/>
            <w:noWrap w:val="0"/>
            <w:vAlign w:val="center"/>
          </w:tcPr>
          <w:p w14:paraId="6EFE6B6E">
            <w:pPr>
              <w:pStyle w:val="209"/>
              <w:spacing w:line="560" w:lineRule="exact"/>
              <w:rPr>
                <w:rFonts w:hint="eastAsia" w:ascii="宋体" w:hAnsi="宋体" w:cs="宋体"/>
                <w:color w:val="auto"/>
                <w:sz w:val="24"/>
                <w:szCs w:val="24"/>
              </w:rPr>
            </w:pPr>
          </w:p>
        </w:tc>
        <w:tc>
          <w:tcPr>
            <w:tcW w:w="930" w:type="dxa"/>
            <w:noWrap w:val="0"/>
            <w:vAlign w:val="center"/>
          </w:tcPr>
          <w:p w14:paraId="618408AA">
            <w:pPr>
              <w:pStyle w:val="209"/>
              <w:spacing w:line="560" w:lineRule="exact"/>
              <w:rPr>
                <w:rFonts w:hint="eastAsia" w:ascii="宋体" w:hAnsi="宋体" w:cs="宋体"/>
                <w:color w:val="auto"/>
                <w:sz w:val="24"/>
                <w:szCs w:val="24"/>
              </w:rPr>
            </w:pPr>
          </w:p>
        </w:tc>
      </w:tr>
    </w:tbl>
    <w:p w14:paraId="400E68B2">
      <w:pPr>
        <w:pStyle w:val="209"/>
        <w:spacing w:line="560" w:lineRule="exact"/>
        <w:rPr>
          <w:rFonts w:hint="eastAsia" w:ascii="宋体" w:hAnsi="宋体" w:cs="宋体"/>
          <w:color w:val="auto"/>
          <w:sz w:val="24"/>
          <w:szCs w:val="24"/>
        </w:rPr>
      </w:pPr>
      <w:r>
        <w:rPr>
          <w:rFonts w:hint="eastAsia" w:ascii="宋体" w:hAnsi="宋体" w:cs="宋体"/>
          <w:color w:val="auto"/>
          <w:sz w:val="24"/>
          <w:szCs w:val="24"/>
        </w:rPr>
        <w:t>填报要求：</w:t>
      </w:r>
    </w:p>
    <w:p w14:paraId="5E3E9863">
      <w:pPr>
        <w:pStyle w:val="209"/>
        <w:numPr>
          <w:ilvl w:val="0"/>
          <w:numId w:val="18"/>
        </w:numPr>
        <w:spacing w:line="56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上表列出的人员，需附其资格证书的复印件。</w:t>
      </w:r>
    </w:p>
    <w:p w14:paraId="548F4CD6">
      <w:pPr>
        <w:pStyle w:val="209"/>
        <w:numPr>
          <w:ilvl w:val="0"/>
          <w:numId w:val="18"/>
        </w:numPr>
        <w:spacing w:line="56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提供上述人员在本单位服务的外部证明材料，如投标截止日之前六个月以内的代缴个税税单或参加社会保险的《投保单》或《社会保险参保人员证明》等。</w:t>
      </w:r>
    </w:p>
    <w:p w14:paraId="3D73B458">
      <w:pPr>
        <w:rPr>
          <w:rFonts w:hint="eastAsia" w:ascii="宋体" w:hAnsi="宋体" w:cs="宋体"/>
          <w:color w:val="auto"/>
          <w:sz w:val="24"/>
          <w:szCs w:val="24"/>
        </w:rPr>
      </w:pPr>
    </w:p>
    <w:p w14:paraId="00DA531A">
      <w:pPr>
        <w:pStyle w:val="19"/>
        <w:rPr>
          <w:rFonts w:hint="eastAsia" w:ascii="宋体" w:hAnsi="宋体" w:cs="宋体"/>
          <w:color w:val="auto"/>
          <w:sz w:val="24"/>
          <w:szCs w:val="24"/>
        </w:rPr>
      </w:pPr>
    </w:p>
    <w:p w14:paraId="4E739739">
      <w:pPr>
        <w:pStyle w:val="19"/>
        <w:rPr>
          <w:rFonts w:hint="eastAsia" w:ascii="宋体" w:hAnsi="宋体" w:cs="宋体"/>
          <w:color w:val="auto"/>
          <w:sz w:val="24"/>
          <w:szCs w:val="24"/>
        </w:rPr>
      </w:pPr>
    </w:p>
    <w:p w14:paraId="0EC9C962">
      <w:pPr>
        <w:pStyle w:val="19"/>
        <w:rPr>
          <w:rFonts w:hint="eastAsia" w:ascii="宋体" w:hAnsi="宋体" w:cs="宋体"/>
          <w:color w:val="auto"/>
          <w:sz w:val="24"/>
          <w:szCs w:val="24"/>
        </w:rPr>
      </w:pPr>
    </w:p>
    <w:p w14:paraId="60A0A674">
      <w:pPr>
        <w:spacing w:line="560" w:lineRule="exact"/>
        <w:jc w:val="center"/>
        <w:rPr>
          <w:rFonts w:hint="eastAsia" w:ascii="宋体" w:hAnsi="宋体" w:cs="宋体"/>
          <w:b/>
          <w:color w:val="auto"/>
          <w:sz w:val="24"/>
          <w:szCs w:val="24"/>
          <w:lang w:val="en-GB"/>
        </w:rPr>
        <w:sectPr>
          <w:pgSz w:w="11906" w:h="16838"/>
          <w:pgMar w:top="2098" w:right="1474" w:bottom="1984" w:left="1587" w:header="851" w:footer="992" w:gutter="0"/>
          <w:cols w:space="720" w:num="1"/>
          <w:docGrid w:type="lines" w:linePitch="312" w:charSpace="0"/>
        </w:sectPr>
      </w:pPr>
    </w:p>
    <w:p w14:paraId="06E4B4FB">
      <w:pPr>
        <w:spacing w:line="500" w:lineRule="exact"/>
        <w:ind w:firstLine="480"/>
        <w:rPr>
          <w:rFonts w:hint="eastAsia" w:ascii="宋体" w:hAnsi="宋体" w:cs="宋体"/>
          <w:color w:val="auto"/>
          <w:sz w:val="24"/>
          <w:szCs w:val="24"/>
        </w:rPr>
      </w:pPr>
      <w:r>
        <w:rPr>
          <w:rFonts w:hint="eastAsia" w:ascii="宋体" w:hAnsi="宋体" w:cs="宋体"/>
          <w:color w:val="auto"/>
          <w:sz w:val="24"/>
          <w:szCs w:val="24"/>
        </w:rPr>
        <w:t>（以下格式文件由供应商根据需要选用）</w:t>
      </w:r>
    </w:p>
    <w:p w14:paraId="565E7A08">
      <w:pPr>
        <w:pStyle w:val="161"/>
        <w:ind w:firstLine="420"/>
        <w:rPr>
          <w:rFonts w:hint="eastAsia" w:ascii="宋体" w:hAnsi="宋体" w:cs="宋体"/>
          <w:color w:val="auto"/>
        </w:rPr>
      </w:pPr>
    </w:p>
    <w:p w14:paraId="344E2F2E">
      <w:pPr>
        <w:spacing w:line="500" w:lineRule="exact"/>
        <w:jc w:val="center"/>
        <w:rPr>
          <w:rFonts w:hint="eastAsia" w:ascii="宋体" w:hAnsi="宋体" w:cs="宋体"/>
          <w:bCs/>
          <w:color w:val="auto"/>
          <w:sz w:val="44"/>
          <w:szCs w:val="44"/>
        </w:rPr>
      </w:pPr>
      <w:r>
        <w:rPr>
          <w:rFonts w:hint="eastAsia" w:ascii="宋体" w:hAnsi="宋体" w:cs="宋体"/>
          <w:bCs/>
          <w:color w:val="auto"/>
          <w:sz w:val="44"/>
          <w:szCs w:val="44"/>
        </w:rPr>
        <w:t>各类证明材料</w:t>
      </w:r>
    </w:p>
    <w:p w14:paraId="264E4B84">
      <w:pPr>
        <w:spacing w:line="500" w:lineRule="exact"/>
        <w:ind w:firstLine="480"/>
        <w:rPr>
          <w:rFonts w:hint="eastAsia" w:ascii="宋体" w:hAnsi="宋体" w:cs="宋体"/>
          <w:color w:val="auto"/>
          <w:sz w:val="24"/>
          <w:szCs w:val="24"/>
        </w:rPr>
      </w:pPr>
    </w:p>
    <w:p w14:paraId="68F16804">
      <w:pPr>
        <w:spacing w:line="500" w:lineRule="exact"/>
        <w:ind w:firstLine="480"/>
        <w:rPr>
          <w:rFonts w:hint="eastAsia" w:ascii="宋体" w:hAnsi="宋体" w:cs="宋体"/>
          <w:color w:val="auto"/>
          <w:sz w:val="24"/>
          <w:szCs w:val="24"/>
        </w:rPr>
      </w:pPr>
      <w:r>
        <w:rPr>
          <w:rFonts w:hint="eastAsia" w:ascii="宋体" w:hAnsi="宋体" w:cs="宋体"/>
          <w:color w:val="auto"/>
          <w:sz w:val="24"/>
          <w:szCs w:val="24"/>
        </w:rPr>
        <w:t>1.招标文件要求提供的其他资料。</w:t>
      </w:r>
    </w:p>
    <w:p w14:paraId="0881DE6D">
      <w:pPr>
        <w:spacing w:line="500" w:lineRule="exact"/>
        <w:ind w:firstLine="480"/>
        <w:rPr>
          <w:rFonts w:hint="eastAsia" w:ascii="宋体" w:hAnsi="宋体" w:cs="宋体"/>
          <w:color w:val="auto"/>
          <w:sz w:val="24"/>
          <w:szCs w:val="24"/>
        </w:rPr>
      </w:pPr>
      <w:r>
        <w:rPr>
          <w:rFonts w:hint="eastAsia" w:ascii="宋体" w:hAnsi="宋体" w:cs="宋体"/>
          <w:color w:val="auto"/>
          <w:sz w:val="24"/>
          <w:szCs w:val="24"/>
        </w:rPr>
        <w:t>2.投标人认为需提供的其他资料。</w:t>
      </w:r>
    </w:p>
    <w:p w14:paraId="18789F5E">
      <w:pPr>
        <w:spacing w:line="560" w:lineRule="exact"/>
        <w:rPr>
          <w:rFonts w:hint="eastAsia" w:ascii="宋体" w:hAnsi="宋体" w:cs="宋体"/>
          <w:b/>
          <w:color w:val="auto"/>
          <w:sz w:val="24"/>
          <w:szCs w:val="24"/>
          <w:lang w:val="en-GB"/>
        </w:rPr>
      </w:pPr>
    </w:p>
    <w:p w14:paraId="752CF165">
      <w:pPr>
        <w:pStyle w:val="225"/>
        <w:pageBreakBefore/>
        <w:spacing w:line="360" w:lineRule="auto"/>
        <w:jc w:val="center"/>
        <w:rPr>
          <w:rFonts w:hint="eastAsia" w:ascii="宋体" w:hAnsi="宋体" w:cs="宋体"/>
          <w:color w:val="auto"/>
          <w:sz w:val="28"/>
          <w:szCs w:val="28"/>
        </w:rPr>
      </w:pPr>
      <w:r>
        <w:rPr>
          <w:rFonts w:hint="eastAsia" w:ascii="宋体" w:hAnsi="宋体" w:cs="宋体"/>
          <w:bCs/>
          <w:color w:val="auto"/>
          <w:sz w:val="44"/>
          <w:szCs w:val="44"/>
          <w:lang w:val="en-GB"/>
        </w:rPr>
        <w:t>中小企业声明函（货物）</w:t>
      </w:r>
      <w:r>
        <w:rPr>
          <w:rFonts w:hint="eastAsia" w:ascii="宋体" w:hAnsi="宋体" w:cs="宋体"/>
          <w:bCs/>
          <w:color w:val="auto"/>
          <w:sz w:val="44"/>
          <w:szCs w:val="44"/>
        </w:rPr>
        <w:t>（如有）</w:t>
      </w:r>
    </w:p>
    <w:p w14:paraId="0DE4A6A3">
      <w:pPr>
        <w:spacing w:line="400" w:lineRule="exact"/>
        <w:ind w:firstLine="480" w:firstLineChars="200"/>
        <w:rPr>
          <w:rFonts w:hint="eastAsia" w:ascii="宋体" w:hAnsi="宋体" w:cs="宋体"/>
          <w:color w:val="auto"/>
          <w:sz w:val="24"/>
          <w:szCs w:val="24"/>
        </w:rPr>
      </w:pPr>
    </w:p>
    <w:p w14:paraId="3528ACFC">
      <w:pPr>
        <w:spacing w:line="4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本公司（联合体）郑重声明，根据《政府采购促进中小企业发展管理办法》（财库﹝2020﹞46号）的规定，本公司（联合体）参加</w:t>
      </w:r>
      <w:r>
        <w:rPr>
          <w:rFonts w:hint="eastAsia" w:ascii="宋体" w:hAnsi="宋体" w:cs="宋体"/>
          <w:i/>
          <w:iCs/>
          <w:color w:val="auto"/>
          <w:sz w:val="28"/>
          <w:szCs w:val="28"/>
          <w:u w:val="single"/>
        </w:rPr>
        <w:t>（单位名称）</w:t>
      </w:r>
      <w:r>
        <w:rPr>
          <w:rFonts w:hint="eastAsia" w:ascii="宋体" w:hAnsi="宋体" w:cs="宋体"/>
          <w:color w:val="auto"/>
          <w:sz w:val="28"/>
          <w:szCs w:val="28"/>
        </w:rPr>
        <w:t>的</w:t>
      </w:r>
      <w:r>
        <w:rPr>
          <w:rFonts w:hint="eastAsia" w:ascii="宋体" w:hAnsi="宋体" w:cs="宋体"/>
          <w:i/>
          <w:iCs/>
          <w:color w:val="auto"/>
          <w:sz w:val="28"/>
          <w:szCs w:val="28"/>
          <w:u w:val="single"/>
        </w:rPr>
        <w:t>（项目名称）</w:t>
      </w:r>
      <w:r>
        <w:rPr>
          <w:rFonts w:hint="eastAsia" w:ascii="宋体" w:hAnsi="宋体" w:cs="宋体"/>
          <w:color w:val="auto"/>
          <w:sz w:val="28"/>
          <w:szCs w:val="28"/>
        </w:rPr>
        <w:t>采购活动，提供的货物全部由符合政策要求的中小企业制造。相关企业 （含联合体中的中小企业、签订分包意向协议的中小企业）的具体情况如下：</w:t>
      </w:r>
    </w:p>
    <w:p w14:paraId="27617B29">
      <w:pPr>
        <w:spacing w:line="4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w:t>
      </w:r>
      <w:r>
        <w:rPr>
          <w:rFonts w:hint="eastAsia" w:ascii="宋体" w:hAnsi="宋体" w:cs="宋体"/>
          <w:i/>
          <w:iCs/>
          <w:color w:val="auto"/>
          <w:sz w:val="28"/>
          <w:szCs w:val="28"/>
          <w:u w:val="single"/>
        </w:rPr>
        <w:t>（标的名称）</w:t>
      </w:r>
      <w:r>
        <w:rPr>
          <w:rFonts w:hint="eastAsia" w:ascii="宋体" w:hAnsi="宋体" w:cs="宋体"/>
          <w:color w:val="auto"/>
          <w:sz w:val="28"/>
          <w:szCs w:val="28"/>
        </w:rPr>
        <w:t>，属于</w:t>
      </w:r>
      <w:r>
        <w:rPr>
          <w:rFonts w:hint="eastAsia" w:ascii="宋体" w:hAnsi="宋体" w:cs="宋体"/>
          <w:i/>
          <w:iCs/>
          <w:color w:val="auto"/>
          <w:sz w:val="28"/>
          <w:szCs w:val="28"/>
          <w:u w:val="single"/>
        </w:rPr>
        <w:t>（采购文件中明确的所属行业）</w:t>
      </w:r>
      <w:r>
        <w:rPr>
          <w:rFonts w:hint="eastAsia" w:ascii="宋体" w:hAnsi="宋体" w:cs="宋体"/>
          <w:color w:val="auto"/>
          <w:sz w:val="28"/>
          <w:szCs w:val="28"/>
        </w:rPr>
        <w:t>行业；制造商为</w:t>
      </w:r>
      <w:r>
        <w:rPr>
          <w:rFonts w:hint="eastAsia" w:ascii="宋体" w:hAnsi="宋体" w:cs="宋体"/>
          <w:i/>
          <w:iCs/>
          <w:color w:val="auto"/>
          <w:sz w:val="28"/>
          <w:szCs w:val="28"/>
          <w:u w:val="single"/>
        </w:rPr>
        <w:t>（企业名称）</w:t>
      </w:r>
      <w:r>
        <w:rPr>
          <w:rFonts w:hint="eastAsia" w:ascii="宋体" w:hAnsi="宋体" w:cs="宋体"/>
          <w:color w:val="auto"/>
          <w:sz w:val="28"/>
          <w:szCs w:val="28"/>
        </w:rPr>
        <w:t>，从业人员</w:t>
      </w:r>
      <w:r>
        <w:rPr>
          <w:rFonts w:hint="eastAsia" w:ascii="宋体" w:hAnsi="宋体" w:cs="宋体"/>
          <w:color w:val="auto"/>
          <w:sz w:val="28"/>
          <w:szCs w:val="28"/>
          <w:u w:val="single"/>
        </w:rPr>
        <w:t xml:space="preserve">       </w:t>
      </w:r>
      <w:r>
        <w:rPr>
          <w:rFonts w:hint="eastAsia" w:ascii="宋体" w:hAnsi="宋体" w:cs="宋体"/>
          <w:color w:val="auto"/>
          <w:sz w:val="28"/>
          <w:szCs w:val="28"/>
        </w:rPr>
        <w:t>人，营业收入为</w:t>
      </w:r>
      <w:r>
        <w:rPr>
          <w:rFonts w:hint="eastAsia" w:ascii="宋体" w:hAnsi="宋体" w:cs="宋体"/>
          <w:color w:val="auto"/>
          <w:sz w:val="28"/>
          <w:szCs w:val="28"/>
          <w:u w:val="single"/>
        </w:rPr>
        <w:t xml:space="preserve">      </w:t>
      </w:r>
      <w:r>
        <w:rPr>
          <w:rFonts w:hint="eastAsia" w:ascii="宋体" w:hAnsi="宋体" w:cs="宋体"/>
          <w:color w:val="auto"/>
          <w:sz w:val="28"/>
          <w:szCs w:val="28"/>
        </w:rPr>
        <w:t>万元，资产总额为</w:t>
      </w:r>
      <w:r>
        <w:rPr>
          <w:rFonts w:hint="eastAsia" w:ascii="宋体" w:hAnsi="宋体" w:cs="宋体"/>
          <w:color w:val="auto"/>
          <w:sz w:val="28"/>
          <w:szCs w:val="28"/>
          <w:u w:val="single"/>
        </w:rPr>
        <w:t xml:space="preserve">     </w:t>
      </w:r>
      <w:r>
        <w:rPr>
          <w:rFonts w:hint="eastAsia" w:ascii="宋体" w:hAnsi="宋体" w:cs="宋体"/>
          <w:color w:val="auto"/>
          <w:sz w:val="28"/>
          <w:szCs w:val="28"/>
        </w:rPr>
        <w:t>万元，属于</w:t>
      </w:r>
      <w:r>
        <w:rPr>
          <w:rFonts w:hint="eastAsia" w:ascii="宋体" w:hAnsi="宋体" w:cs="宋体"/>
          <w:i/>
          <w:iCs/>
          <w:color w:val="auto"/>
          <w:sz w:val="28"/>
          <w:szCs w:val="28"/>
          <w:u w:val="single"/>
        </w:rPr>
        <w:t>（中型企业、小型企业、微型企业）</w:t>
      </w:r>
      <w:r>
        <w:rPr>
          <w:rFonts w:hint="eastAsia" w:ascii="宋体" w:hAnsi="宋体" w:cs="宋体"/>
          <w:color w:val="auto"/>
          <w:sz w:val="28"/>
          <w:szCs w:val="28"/>
        </w:rPr>
        <w:t xml:space="preserve">； </w:t>
      </w:r>
    </w:p>
    <w:p w14:paraId="7E42557E">
      <w:pPr>
        <w:spacing w:line="4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w:t>
      </w:r>
      <w:r>
        <w:rPr>
          <w:rFonts w:hint="eastAsia" w:ascii="宋体" w:hAnsi="宋体" w:cs="宋体"/>
          <w:i/>
          <w:iCs/>
          <w:color w:val="auto"/>
          <w:sz w:val="28"/>
          <w:szCs w:val="28"/>
          <w:u w:val="single"/>
        </w:rPr>
        <w:t>（标的名称）</w:t>
      </w:r>
      <w:r>
        <w:rPr>
          <w:rFonts w:hint="eastAsia" w:ascii="宋体" w:hAnsi="宋体" w:cs="宋体"/>
          <w:color w:val="auto"/>
          <w:sz w:val="28"/>
          <w:szCs w:val="28"/>
        </w:rPr>
        <w:t>，属于</w:t>
      </w:r>
      <w:r>
        <w:rPr>
          <w:rFonts w:hint="eastAsia" w:ascii="宋体" w:hAnsi="宋体" w:cs="宋体"/>
          <w:i/>
          <w:iCs/>
          <w:color w:val="auto"/>
          <w:sz w:val="28"/>
          <w:szCs w:val="28"/>
          <w:u w:val="single"/>
        </w:rPr>
        <w:t>（采购文件中明确的所属行业）</w:t>
      </w:r>
      <w:r>
        <w:rPr>
          <w:rFonts w:hint="eastAsia" w:ascii="宋体" w:hAnsi="宋体" w:cs="宋体"/>
          <w:color w:val="auto"/>
          <w:sz w:val="28"/>
          <w:szCs w:val="28"/>
        </w:rPr>
        <w:t>行业；制造商为</w:t>
      </w:r>
      <w:r>
        <w:rPr>
          <w:rFonts w:hint="eastAsia" w:ascii="宋体" w:hAnsi="宋体" w:cs="宋体"/>
          <w:i/>
          <w:iCs/>
          <w:color w:val="auto"/>
          <w:sz w:val="28"/>
          <w:szCs w:val="28"/>
          <w:u w:val="single"/>
        </w:rPr>
        <w:t>（企业名称）</w:t>
      </w:r>
      <w:r>
        <w:rPr>
          <w:rFonts w:hint="eastAsia" w:ascii="宋体" w:hAnsi="宋体" w:cs="宋体"/>
          <w:color w:val="auto"/>
          <w:sz w:val="28"/>
          <w:szCs w:val="28"/>
        </w:rPr>
        <w:t>，从业人员</w:t>
      </w:r>
      <w:r>
        <w:rPr>
          <w:rFonts w:hint="eastAsia" w:ascii="宋体" w:hAnsi="宋体" w:cs="宋体"/>
          <w:color w:val="auto"/>
          <w:sz w:val="28"/>
          <w:szCs w:val="28"/>
          <w:u w:val="single"/>
        </w:rPr>
        <w:t xml:space="preserve">       </w:t>
      </w:r>
      <w:r>
        <w:rPr>
          <w:rFonts w:hint="eastAsia" w:ascii="宋体" w:hAnsi="宋体" w:cs="宋体"/>
          <w:color w:val="auto"/>
          <w:sz w:val="28"/>
          <w:szCs w:val="28"/>
        </w:rPr>
        <w:t>人，营业收入为</w:t>
      </w:r>
      <w:r>
        <w:rPr>
          <w:rFonts w:hint="eastAsia" w:ascii="宋体" w:hAnsi="宋体" w:cs="宋体"/>
          <w:color w:val="auto"/>
          <w:sz w:val="28"/>
          <w:szCs w:val="28"/>
          <w:u w:val="single"/>
        </w:rPr>
        <w:t xml:space="preserve">      </w:t>
      </w:r>
      <w:r>
        <w:rPr>
          <w:rFonts w:hint="eastAsia" w:ascii="宋体" w:hAnsi="宋体" w:cs="宋体"/>
          <w:color w:val="auto"/>
          <w:sz w:val="28"/>
          <w:szCs w:val="28"/>
        </w:rPr>
        <w:t>万元，资产总额为</w:t>
      </w:r>
      <w:r>
        <w:rPr>
          <w:rFonts w:hint="eastAsia" w:ascii="宋体" w:hAnsi="宋体" w:cs="宋体"/>
          <w:color w:val="auto"/>
          <w:sz w:val="28"/>
          <w:szCs w:val="28"/>
          <w:u w:val="single"/>
        </w:rPr>
        <w:t xml:space="preserve">    </w:t>
      </w:r>
      <w:r>
        <w:rPr>
          <w:rFonts w:hint="eastAsia" w:ascii="宋体" w:hAnsi="宋体" w:cs="宋体"/>
          <w:color w:val="auto"/>
          <w:sz w:val="28"/>
          <w:szCs w:val="28"/>
        </w:rPr>
        <w:t>万元，属于</w:t>
      </w:r>
      <w:r>
        <w:rPr>
          <w:rFonts w:hint="eastAsia" w:ascii="宋体" w:hAnsi="宋体" w:cs="宋体"/>
          <w:i/>
          <w:iCs/>
          <w:color w:val="auto"/>
          <w:sz w:val="28"/>
          <w:szCs w:val="28"/>
          <w:u w:val="single"/>
        </w:rPr>
        <w:t>（中型企业、小型企业、微型企业）</w:t>
      </w:r>
      <w:r>
        <w:rPr>
          <w:rFonts w:hint="eastAsia" w:ascii="宋体" w:hAnsi="宋体" w:cs="宋体"/>
          <w:color w:val="auto"/>
          <w:sz w:val="28"/>
          <w:szCs w:val="28"/>
        </w:rPr>
        <w:t>；</w:t>
      </w:r>
    </w:p>
    <w:p w14:paraId="57ED1A42">
      <w:pPr>
        <w:spacing w:line="4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 xml:space="preserve"> …… </w:t>
      </w:r>
    </w:p>
    <w:p w14:paraId="2EF65B99">
      <w:pPr>
        <w:spacing w:line="4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以上企业，不属于大企业的分支机构，不存在控股股东为大企业的情形，也不存在与大企业的负责人为同一人的情形。</w:t>
      </w:r>
    </w:p>
    <w:p w14:paraId="2010D5DF">
      <w:pPr>
        <w:spacing w:line="4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 xml:space="preserve">本企业对上述声明内容的真实性负责。如有虚假，将依法承担相应责任。 </w:t>
      </w:r>
    </w:p>
    <w:p w14:paraId="6CB4FC02">
      <w:pPr>
        <w:spacing w:line="400" w:lineRule="exact"/>
        <w:rPr>
          <w:rFonts w:hint="eastAsia" w:ascii="宋体" w:hAnsi="宋体" w:cs="宋体"/>
          <w:color w:val="auto"/>
          <w:sz w:val="24"/>
          <w:szCs w:val="24"/>
        </w:rPr>
      </w:pPr>
    </w:p>
    <w:p w14:paraId="575B28C5">
      <w:pPr>
        <w:spacing w:line="400" w:lineRule="exact"/>
        <w:rPr>
          <w:rFonts w:hint="eastAsia" w:ascii="宋体" w:hAnsi="宋体" w:cs="宋体"/>
          <w:color w:val="auto"/>
          <w:sz w:val="24"/>
          <w:szCs w:val="24"/>
        </w:rPr>
      </w:pPr>
      <w:r>
        <w:rPr>
          <w:rFonts w:hint="eastAsia" w:ascii="宋体" w:hAnsi="宋体" w:cs="宋体"/>
          <w:color w:val="auto"/>
          <w:sz w:val="24"/>
          <w:szCs w:val="24"/>
        </w:rPr>
        <w:t>（注：从业人员、营业收入、资产总额填报上一年度数据，无上一年度数据的新成立企业可不填报。）</w:t>
      </w:r>
    </w:p>
    <w:p w14:paraId="5F315B21">
      <w:pPr>
        <w:spacing w:line="400" w:lineRule="exact"/>
        <w:rPr>
          <w:rFonts w:hint="eastAsia" w:ascii="宋体" w:hAnsi="宋体" w:cs="宋体"/>
          <w:color w:val="auto"/>
          <w:sz w:val="28"/>
          <w:szCs w:val="28"/>
        </w:rPr>
      </w:pPr>
    </w:p>
    <w:p w14:paraId="389F3166">
      <w:pPr>
        <w:pStyle w:val="161"/>
        <w:ind w:firstLine="420"/>
        <w:rPr>
          <w:rFonts w:hint="eastAsia" w:ascii="宋体" w:hAnsi="宋体" w:cs="宋体"/>
          <w:color w:val="auto"/>
        </w:rPr>
      </w:pPr>
    </w:p>
    <w:p w14:paraId="1BC84721">
      <w:pPr>
        <w:spacing w:line="400" w:lineRule="exact"/>
        <w:ind w:firstLine="3640" w:firstLineChars="1300"/>
        <w:rPr>
          <w:rFonts w:hint="eastAsia" w:ascii="宋体" w:hAnsi="宋体" w:cs="宋体"/>
          <w:color w:val="auto"/>
          <w:sz w:val="28"/>
          <w:szCs w:val="28"/>
          <w:u w:val="single"/>
        </w:rPr>
      </w:pPr>
      <w:r>
        <w:rPr>
          <w:rFonts w:hint="eastAsia" w:ascii="宋体" w:hAnsi="宋体" w:cs="宋体"/>
          <w:color w:val="auto"/>
          <w:sz w:val="28"/>
          <w:szCs w:val="28"/>
        </w:rPr>
        <w:t>企业名称（盖章）：</w:t>
      </w:r>
      <w:r>
        <w:rPr>
          <w:rFonts w:hint="eastAsia" w:ascii="宋体" w:hAnsi="宋体" w:cs="宋体"/>
          <w:color w:val="auto"/>
          <w:sz w:val="28"/>
          <w:szCs w:val="28"/>
          <w:u w:val="single"/>
        </w:rPr>
        <w:t xml:space="preserve">                  </w:t>
      </w:r>
    </w:p>
    <w:p w14:paraId="3A386257">
      <w:pPr>
        <w:spacing w:line="400" w:lineRule="exact"/>
        <w:ind w:firstLine="5320" w:firstLineChars="1900"/>
        <w:jc w:val="left"/>
        <w:rPr>
          <w:rFonts w:hint="eastAsia" w:ascii="宋体" w:hAnsi="宋体" w:cs="宋体"/>
          <w:color w:val="auto"/>
          <w:sz w:val="28"/>
          <w:szCs w:val="28"/>
        </w:rPr>
      </w:pPr>
      <w:r>
        <w:rPr>
          <w:rFonts w:hint="eastAsia" w:ascii="宋体" w:hAnsi="宋体" w:cs="宋体"/>
          <w:color w:val="auto"/>
          <w:sz w:val="28"/>
          <w:szCs w:val="28"/>
        </w:rPr>
        <w:t>日 期：</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日 </w:t>
      </w:r>
    </w:p>
    <w:p w14:paraId="3CB47653">
      <w:pPr>
        <w:pStyle w:val="161"/>
        <w:spacing w:line="400" w:lineRule="exact"/>
        <w:ind w:firstLine="420"/>
        <w:rPr>
          <w:rFonts w:hint="eastAsia" w:ascii="宋体" w:hAnsi="宋体" w:cs="宋体"/>
          <w:color w:val="auto"/>
        </w:rPr>
      </w:pPr>
    </w:p>
    <w:p w14:paraId="656DF02B">
      <w:pPr>
        <w:pStyle w:val="161"/>
        <w:spacing w:line="400" w:lineRule="exact"/>
        <w:ind w:firstLine="420"/>
        <w:rPr>
          <w:rFonts w:hint="eastAsia" w:ascii="宋体" w:hAnsi="宋体" w:cs="宋体"/>
          <w:color w:val="auto"/>
        </w:rPr>
      </w:pPr>
    </w:p>
    <w:p w14:paraId="63572D64">
      <w:pPr>
        <w:pStyle w:val="254"/>
        <w:ind w:firstLine="504" w:firstLineChars="200"/>
        <w:rPr>
          <w:rFonts w:hint="eastAsia" w:ascii="宋体" w:hAnsi="宋体" w:cs="宋体"/>
          <w:bCs/>
          <w:color w:val="auto"/>
          <w:spacing w:val="6"/>
          <w:sz w:val="24"/>
          <w:szCs w:val="24"/>
        </w:rPr>
      </w:pPr>
      <w:r>
        <w:rPr>
          <w:rFonts w:hint="eastAsia" w:ascii="宋体" w:hAnsi="宋体" w:cs="宋体"/>
          <w:bCs/>
          <w:color w:val="auto"/>
          <w:spacing w:val="6"/>
          <w:sz w:val="24"/>
          <w:szCs w:val="24"/>
        </w:rPr>
        <w:t>备注：1.请根据《关于印发中小企业划型标准规定的通知》（工信部联企业﹝2011﹞300号）填写；2.供应商可以登录国务院客户端或工业和信息化部网站，运用“中小企业规模类型自测小程序”，辨别企业规模类型。</w:t>
      </w:r>
    </w:p>
    <w:p w14:paraId="3D51848F">
      <w:pPr>
        <w:pStyle w:val="254"/>
        <w:jc w:val="center"/>
        <w:rPr>
          <w:rFonts w:hint="eastAsia" w:ascii="宋体" w:hAnsi="宋体" w:cs="宋体"/>
          <w:bCs/>
          <w:color w:val="auto"/>
          <w:spacing w:val="6"/>
          <w:sz w:val="44"/>
          <w:szCs w:val="44"/>
        </w:rPr>
      </w:pPr>
      <w:r>
        <w:rPr>
          <w:rFonts w:hint="eastAsia" w:ascii="宋体" w:hAnsi="宋体" w:cs="宋体"/>
          <w:b/>
          <w:color w:val="auto"/>
          <w:spacing w:val="6"/>
          <w:sz w:val="24"/>
          <w:szCs w:val="24"/>
        </w:rPr>
        <w:br w:type="page"/>
      </w:r>
      <w:r>
        <w:rPr>
          <w:rFonts w:hint="eastAsia" w:ascii="宋体" w:hAnsi="宋体" w:cs="宋体"/>
          <w:bCs/>
          <w:color w:val="auto"/>
          <w:spacing w:val="6"/>
          <w:sz w:val="44"/>
          <w:szCs w:val="44"/>
        </w:rPr>
        <w:t>残疾人福利性单位声明函（如有）</w:t>
      </w:r>
    </w:p>
    <w:p w14:paraId="37BB2720">
      <w:pPr>
        <w:pStyle w:val="254"/>
        <w:spacing w:line="400" w:lineRule="exact"/>
        <w:ind w:firstLine="584" w:firstLineChars="200"/>
        <w:rPr>
          <w:rFonts w:hint="eastAsia" w:ascii="宋体" w:hAnsi="宋体" w:cs="宋体"/>
          <w:color w:val="auto"/>
          <w:spacing w:val="6"/>
          <w:sz w:val="28"/>
          <w:szCs w:val="28"/>
        </w:rPr>
      </w:pPr>
    </w:p>
    <w:p w14:paraId="04F9A7A7">
      <w:pPr>
        <w:pStyle w:val="254"/>
        <w:spacing w:line="400" w:lineRule="exact"/>
        <w:ind w:firstLine="584" w:firstLineChars="200"/>
        <w:rPr>
          <w:rFonts w:hint="eastAsia" w:ascii="宋体" w:hAnsi="宋体" w:cs="宋体"/>
          <w:color w:val="auto"/>
          <w:spacing w:val="6"/>
          <w:sz w:val="28"/>
          <w:szCs w:val="28"/>
        </w:rPr>
      </w:pPr>
      <w:r>
        <w:rPr>
          <w:rFonts w:hint="eastAsia" w:ascii="宋体" w:hAnsi="宋体" w:cs="宋体"/>
          <w:color w:val="auto"/>
          <w:spacing w:val="6"/>
          <w:sz w:val="28"/>
          <w:szCs w:val="28"/>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pacing w:val="6"/>
          <w:sz w:val="28"/>
          <w:szCs w:val="28"/>
          <w:u w:val="single"/>
        </w:rPr>
        <w:t xml:space="preserve">            </w:t>
      </w:r>
      <w:r>
        <w:rPr>
          <w:rFonts w:hint="eastAsia" w:ascii="宋体" w:hAnsi="宋体" w:cs="宋体"/>
          <w:color w:val="auto"/>
          <w:spacing w:val="6"/>
          <w:sz w:val="28"/>
          <w:szCs w:val="28"/>
        </w:rPr>
        <w:t>单位的</w:t>
      </w:r>
      <w:r>
        <w:rPr>
          <w:rFonts w:hint="eastAsia" w:ascii="宋体" w:hAnsi="宋体" w:cs="宋体"/>
          <w:color w:val="auto"/>
          <w:spacing w:val="6"/>
          <w:sz w:val="28"/>
          <w:szCs w:val="28"/>
          <w:u w:val="single"/>
        </w:rPr>
        <w:t xml:space="preserve">               </w:t>
      </w:r>
      <w:r>
        <w:rPr>
          <w:rFonts w:hint="eastAsia" w:ascii="宋体" w:hAnsi="宋体" w:cs="宋体"/>
          <w:color w:val="auto"/>
          <w:spacing w:val="6"/>
          <w:sz w:val="28"/>
          <w:szCs w:val="28"/>
        </w:rPr>
        <w:t>项目采购活动提供本单位制造的货物（由本单位承担工程/提供货物、服务），或者提供其他残疾人福利性单位制造的货物（不包括使用非残疾人福利性单位注册商标的货物）。</w:t>
      </w:r>
    </w:p>
    <w:p w14:paraId="47DFEBC5">
      <w:pPr>
        <w:pStyle w:val="254"/>
        <w:spacing w:line="400" w:lineRule="exact"/>
        <w:ind w:firstLine="584" w:firstLineChars="200"/>
        <w:rPr>
          <w:rFonts w:hint="eastAsia" w:ascii="宋体" w:hAnsi="宋体" w:cs="宋体"/>
          <w:color w:val="auto"/>
          <w:spacing w:val="6"/>
          <w:sz w:val="28"/>
          <w:szCs w:val="28"/>
        </w:rPr>
      </w:pPr>
      <w:r>
        <w:rPr>
          <w:rFonts w:hint="eastAsia" w:ascii="宋体" w:hAnsi="宋体" w:cs="宋体"/>
          <w:color w:val="auto"/>
          <w:spacing w:val="6"/>
          <w:sz w:val="28"/>
          <w:szCs w:val="28"/>
        </w:rPr>
        <w:t>本单位对上述声明的真实性负责。如有虚假，将依法承担相应责任。</w:t>
      </w:r>
    </w:p>
    <w:p w14:paraId="644E1A6B">
      <w:pPr>
        <w:pStyle w:val="254"/>
        <w:tabs>
          <w:tab w:val="left" w:pos="4860"/>
        </w:tabs>
        <w:spacing w:line="400" w:lineRule="exact"/>
        <w:ind w:right="1560" w:firstLine="560" w:firstLineChars="200"/>
        <w:jc w:val="both"/>
        <w:rPr>
          <w:rFonts w:hint="eastAsia" w:ascii="宋体" w:hAnsi="宋体" w:cs="宋体"/>
          <w:color w:val="auto"/>
          <w:sz w:val="28"/>
          <w:szCs w:val="28"/>
        </w:rPr>
      </w:pPr>
    </w:p>
    <w:p w14:paraId="31EEC692">
      <w:pPr>
        <w:pStyle w:val="254"/>
        <w:tabs>
          <w:tab w:val="left" w:pos="4860"/>
        </w:tabs>
        <w:spacing w:line="400" w:lineRule="exact"/>
        <w:ind w:right="1560" w:firstLine="560" w:firstLineChars="200"/>
        <w:jc w:val="both"/>
        <w:rPr>
          <w:rFonts w:hint="eastAsia" w:ascii="宋体" w:hAnsi="宋体" w:cs="宋体"/>
          <w:color w:val="auto"/>
          <w:sz w:val="28"/>
          <w:szCs w:val="28"/>
        </w:rPr>
      </w:pPr>
    </w:p>
    <w:p w14:paraId="589EE653">
      <w:pPr>
        <w:ind w:firstLine="1400" w:firstLineChars="500"/>
        <w:rPr>
          <w:rFonts w:hint="eastAsia" w:ascii="宋体" w:hAnsi="宋体" w:cs="宋体"/>
          <w:color w:val="auto"/>
          <w:sz w:val="28"/>
          <w:szCs w:val="28"/>
        </w:rPr>
      </w:pPr>
    </w:p>
    <w:p w14:paraId="3E326850">
      <w:pPr>
        <w:ind w:firstLine="1400" w:firstLineChars="500"/>
        <w:rPr>
          <w:rFonts w:hint="eastAsia" w:ascii="宋体" w:hAnsi="宋体" w:cs="宋体"/>
          <w:color w:val="auto"/>
          <w:sz w:val="28"/>
          <w:szCs w:val="28"/>
        </w:rPr>
      </w:pPr>
      <w:r>
        <w:rPr>
          <w:rFonts w:hint="eastAsia" w:ascii="宋体" w:hAnsi="宋体" w:cs="宋体"/>
          <w:color w:val="auto"/>
          <w:sz w:val="28"/>
          <w:szCs w:val="28"/>
        </w:rPr>
        <w:t>企业名称（盖公章）：</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p>
    <w:p w14:paraId="694FAD2C">
      <w:pPr>
        <w:ind w:firstLine="3360" w:firstLineChars="1200"/>
        <w:rPr>
          <w:rFonts w:hint="eastAsia" w:ascii="宋体" w:hAnsi="宋体" w:cs="宋体"/>
          <w:color w:val="auto"/>
          <w:sz w:val="28"/>
          <w:szCs w:val="28"/>
        </w:rPr>
      </w:pPr>
      <w:r>
        <w:rPr>
          <w:rFonts w:hint="eastAsia" w:ascii="宋体" w:hAnsi="宋体" w:cs="宋体"/>
          <w:color w:val="auto"/>
          <w:sz w:val="28"/>
          <w:szCs w:val="28"/>
        </w:rPr>
        <w:t>日  期：</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日                    </w:t>
      </w:r>
    </w:p>
    <w:p w14:paraId="1A6A56A8">
      <w:pPr>
        <w:rPr>
          <w:rFonts w:hint="eastAsia" w:ascii="宋体" w:hAnsi="宋体" w:cs="宋体"/>
          <w:color w:val="auto"/>
          <w:sz w:val="28"/>
          <w:szCs w:val="28"/>
        </w:rPr>
      </w:pPr>
    </w:p>
    <w:p w14:paraId="27AEB0FC">
      <w:pPr>
        <w:pStyle w:val="161"/>
        <w:ind w:firstLine="420"/>
        <w:rPr>
          <w:rFonts w:hint="eastAsia" w:ascii="宋体" w:hAnsi="宋体" w:cs="宋体"/>
          <w:color w:val="auto"/>
        </w:rPr>
      </w:pPr>
    </w:p>
    <w:p w14:paraId="54CA9B43">
      <w:pPr>
        <w:pStyle w:val="254"/>
        <w:spacing w:line="320" w:lineRule="exact"/>
        <w:ind w:firstLine="420" w:firstLineChars="200"/>
        <w:rPr>
          <w:rFonts w:hint="eastAsia" w:ascii="宋体" w:hAnsi="宋体" w:cs="宋体"/>
          <w:color w:val="auto"/>
          <w:szCs w:val="21"/>
        </w:rPr>
      </w:pPr>
      <w:r>
        <w:rPr>
          <w:rFonts w:hint="eastAsia" w:ascii="宋体" w:hAnsi="宋体" w:cs="宋体"/>
          <w:color w:val="auto"/>
          <w:szCs w:val="21"/>
        </w:rPr>
        <w:t>注：（1）根据《财政部 民政部 中国残疾人联合会关于促进残疾人就业政府采购政策的通知》（财库〔2017〕 141 号）的规定，享受政府采购支持政策的残疾人福利性单位应当同时满足以下条件：①安置的残疾人占本单位在职职工人数的比例不低于 25%（含 25%），并且安置的残疾人人数不少于 10 人（含 10 人）；② 依法与安置的每位残疾人签订了一年以上（含一年）的劳动合同或服务协议；③ 为安置的每位残疾人按月足额缴纳了基本养老保险、基本医疗保险、失业保险、工伤保险和生育保险等社会保险费；④通过银行等金融机构向安置的每位残疾人，按月支付了不低于单位所在区县适用的经省级人民政府批准的月最低工资标准的工资；⑤提供本单位制造的货物、承担的工程或者服务（以下简称产品），或者提供其他残疾人福利性单位制造的货物（不包括使用非残疾人福利性单位注册商标的货物）。</w:t>
      </w:r>
    </w:p>
    <w:p w14:paraId="5901DEAD">
      <w:pPr>
        <w:pStyle w:val="254"/>
        <w:spacing w:line="320" w:lineRule="exact"/>
        <w:ind w:firstLine="420" w:firstLineChars="200"/>
        <w:rPr>
          <w:rFonts w:hint="eastAsia" w:ascii="宋体" w:hAnsi="宋体" w:cs="宋体"/>
          <w:color w:val="auto"/>
          <w:szCs w:val="21"/>
        </w:rPr>
      </w:pPr>
      <w:r>
        <w:rPr>
          <w:rFonts w:hint="eastAsia" w:ascii="宋体" w:hAnsi="宋体" w:cs="宋体"/>
          <w:color w:val="auto"/>
          <w:szCs w:val="21"/>
        </w:rPr>
        <w:t>（2）在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E8600B5">
      <w:pPr>
        <w:pStyle w:val="254"/>
        <w:spacing w:line="400" w:lineRule="exact"/>
        <w:rPr>
          <w:rFonts w:hint="eastAsia" w:ascii="宋体" w:hAnsi="宋体" w:cs="宋体"/>
          <w:color w:val="auto"/>
          <w:sz w:val="24"/>
          <w:szCs w:val="24"/>
        </w:rPr>
      </w:pPr>
    </w:p>
    <w:p w14:paraId="0ABCF61B">
      <w:pPr>
        <w:pStyle w:val="254"/>
        <w:spacing w:line="400" w:lineRule="exact"/>
        <w:jc w:val="center"/>
        <w:rPr>
          <w:rFonts w:hint="eastAsia" w:ascii="宋体" w:hAnsi="宋体" w:cs="宋体"/>
          <w:b/>
          <w:color w:val="auto"/>
          <w:spacing w:val="6"/>
          <w:sz w:val="24"/>
          <w:szCs w:val="24"/>
        </w:rPr>
        <w:sectPr>
          <w:pgSz w:w="11906" w:h="16838"/>
          <w:pgMar w:top="2098" w:right="1474" w:bottom="1984" w:left="1587" w:header="851" w:footer="992" w:gutter="0"/>
          <w:cols w:space="720" w:num="1"/>
          <w:titlePg/>
          <w:docGrid w:type="lines" w:linePitch="312" w:charSpace="0"/>
        </w:sectPr>
      </w:pPr>
    </w:p>
    <w:p w14:paraId="6D6E983A">
      <w:pPr>
        <w:pStyle w:val="254"/>
        <w:spacing w:line="560" w:lineRule="exact"/>
        <w:jc w:val="center"/>
        <w:rPr>
          <w:rFonts w:hint="eastAsia" w:ascii="宋体" w:hAnsi="宋体" w:cs="宋体"/>
          <w:bCs/>
          <w:color w:val="auto"/>
          <w:spacing w:val="6"/>
          <w:sz w:val="44"/>
          <w:szCs w:val="44"/>
        </w:rPr>
      </w:pPr>
      <w:r>
        <w:rPr>
          <w:rFonts w:hint="eastAsia" w:ascii="宋体" w:hAnsi="宋体" w:cs="宋体"/>
          <w:bCs/>
          <w:color w:val="auto"/>
          <w:spacing w:val="6"/>
          <w:sz w:val="44"/>
          <w:szCs w:val="44"/>
        </w:rPr>
        <w:t>监狱企业（如有）</w:t>
      </w:r>
    </w:p>
    <w:p w14:paraId="1D7053D6">
      <w:pPr>
        <w:pStyle w:val="254"/>
        <w:spacing w:line="400" w:lineRule="exact"/>
        <w:jc w:val="center"/>
        <w:rPr>
          <w:rFonts w:hint="eastAsia" w:ascii="宋体" w:hAnsi="宋体" w:cs="宋体"/>
          <w:b/>
          <w:color w:val="auto"/>
          <w:spacing w:val="6"/>
          <w:sz w:val="44"/>
          <w:szCs w:val="44"/>
        </w:rPr>
      </w:pPr>
    </w:p>
    <w:p w14:paraId="4C81DD88">
      <w:pPr>
        <w:spacing w:line="400" w:lineRule="exact"/>
        <w:ind w:firstLine="480"/>
        <w:rPr>
          <w:rFonts w:hint="eastAsia" w:ascii="宋体" w:hAnsi="宋体" w:cs="宋体"/>
          <w:color w:val="auto"/>
          <w:sz w:val="24"/>
          <w:szCs w:val="24"/>
        </w:rPr>
      </w:pPr>
      <w:r>
        <w:rPr>
          <w:rFonts w:ascii="宋体" w:hAnsi="宋体" w:cs="宋体"/>
          <w:color w:val="auto"/>
          <w:sz w:val="24"/>
          <w:szCs w:val="24"/>
        </w:rPr>
        <w:t>监狱企业参加政府采购活动时，应当提供由省级以上监狱管理局、戒毒管理局(含新疆生产建设兵团)出具的属于监狱企业的证明文件。</w:t>
      </w:r>
    </w:p>
    <w:p w14:paraId="1D309F96">
      <w:pPr>
        <w:pStyle w:val="254"/>
        <w:spacing w:line="400" w:lineRule="exact"/>
        <w:jc w:val="center"/>
        <w:rPr>
          <w:rFonts w:hint="eastAsia" w:ascii="宋体" w:hAnsi="宋体" w:cs="宋体"/>
          <w:b/>
          <w:color w:val="auto"/>
          <w:spacing w:val="6"/>
          <w:sz w:val="24"/>
          <w:szCs w:val="24"/>
        </w:rPr>
      </w:pPr>
    </w:p>
    <w:p w14:paraId="3B07841E">
      <w:pPr>
        <w:pStyle w:val="254"/>
        <w:spacing w:line="400" w:lineRule="exact"/>
        <w:jc w:val="center"/>
        <w:rPr>
          <w:rFonts w:hint="eastAsia" w:ascii="宋体" w:hAnsi="宋体" w:cs="宋体"/>
          <w:b/>
          <w:color w:val="auto"/>
          <w:spacing w:val="6"/>
          <w:sz w:val="24"/>
          <w:szCs w:val="24"/>
        </w:rPr>
      </w:pPr>
    </w:p>
    <w:p w14:paraId="3CD70C9D">
      <w:pPr>
        <w:pStyle w:val="254"/>
        <w:spacing w:line="400" w:lineRule="exact"/>
        <w:jc w:val="center"/>
        <w:rPr>
          <w:rFonts w:hint="eastAsia" w:ascii="宋体" w:hAnsi="宋体" w:cs="宋体"/>
          <w:b/>
          <w:color w:val="auto"/>
          <w:spacing w:val="6"/>
          <w:sz w:val="24"/>
          <w:szCs w:val="24"/>
        </w:rPr>
      </w:pPr>
    </w:p>
    <w:p w14:paraId="74194E0C">
      <w:pPr>
        <w:pStyle w:val="254"/>
        <w:spacing w:line="560" w:lineRule="exact"/>
        <w:jc w:val="center"/>
        <w:rPr>
          <w:rFonts w:hint="eastAsia" w:ascii="宋体" w:hAnsi="宋体" w:cs="宋体"/>
          <w:b/>
          <w:color w:val="auto"/>
          <w:spacing w:val="6"/>
          <w:sz w:val="24"/>
          <w:szCs w:val="24"/>
        </w:rPr>
      </w:pPr>
    </w:p>
    <w:p w14:paraId="660342BA">
      <w:pPr>
        <w:pStyle w:val="254"/>
        <w:spacing w:line="560" w:lineRule="exact"/>
        <w:jc w:val="center"/>
        <w:rPr>
          <w:rFonts w:hint="eastAsia" w:ascii="宋体" w:hAnsi="宋体" w:cs="宋体"/>
          <w:b/>
          <w:color w:val="auto"/>
          <w:spacing w:val="6"/>
          <w:sz w:val="24"/>
          <w:szCs w:val="24"/>
        </w:rPr>
      </w:pPr>
    </w:p>
    <w:p w14:paraId="3E09A41A">
      <w:pPr>
        <w:pStyle w:val="254"/>
        <w:spacing w:line="560" w:lineRule="exact"/>
        <w:jc w:val="center"/>
        <w:rPr>
          <w:rFonts w:hint="eastAsia" w:ascii="宋体" w:hAnsi="宋体" w:cs="宋体"/>
          <w:b/>
          <w:color w:val="auto"/>
          <w:spacing w:val="6"/>
          <w:sz w:val="24"/>
          <w:szCs w:val="24"/>
        </w:rPr>
      </w:pPr>
    </w:p>
    <w:p w14:paraId="56CB2DF7">
      <w:pPr>
        <w:pStyle w:val="254"/>
        <w:spacing w:line="560" w:lineRule="exact"/>
        <w:jc w:val="center"/>
        <w:rPr>
          <w:rFonts w:hint="eastAsia" w:ascii="宋体" w:hAnsi="宋体" w:cs="宋体"/>
          <w:b/>
          <w:color w:val="auto"/>
          <w:spacing w:val="6"/>
          <w:sz w:val="24"/>
          <w:szCs w:val="24"/>
        </w:rPr>
      </w:pPr>
    </w:p>
    <w:p w14:paraId="197ADEAB">
      <w:pPr>
        <w:pStyle w:val="254"/>
        <w:spacing w:line="560" w:lineRule="exact"/>
        <w:jc w:val="center"/>
        <w:rPr>
          <w:rFonts w:hint="eastAsia" w:ascii="宋体" w:hAnsi="宋体" w:cs="宋体"/>
          <w:b/>
          <w:color w:val="auto"/>
          <w:spacing w:val="6"/>
          <w:sz w:val="24"/>
          <w:szCs w:val="24"/>
        </w:rPr>
      </w:pPr>
    </w:p>
    <w:p w14:paraId="23668738">
      <w:pPr>
        <w:pStyle w:val="254"/>
        <w:spacing w:line="560" w:lineRule="exact"/>
        <w:jc w:val="center"/>
        <w:rPr>
          <w:rFonts w:hint="eastAsia" w:ascii="宋体" w:hAnsi="宋体" w:cs="宋体"/>
          <w:b/>
          <w:color w:val="auto"/>
          <w:spacing w:val="6"/>
          <w:sz w:val="24"/>
          <w:szCs w:val="24"/>
        </w:rPr>
      </w:pPr>
    </w:p>
    <w:p w14:paraId="2E808094">
      <w:pPr>
        <w:pStyle w:val="254"/>
        <w:spacing w:line="560" w:lineRule="exact"/>
        <w:jc w:val="center"/>
        <w:rPr>
          <w:rFonts w:hint="eastAsia" w:ascii="宋体" w:hAnsi="宋体" w:cs="宋体"/>
          <w:b/>
          <w:color w:val="auto"/>
          <w:spacing w:val="6"/>
          <w:sz w:val="24"/>
          <w:szCs w:val="24"/>
        </w:rPr>
      </w:pPr>
    </w:p>
    <w:p w14:paraId="7F47EF18">
      <w:pPr>
        <w:pStyle w:val="254"/>
        <w:spacing w:line="560" w:lineRule="exact"/>
        <w:jc w:val="center"/>
        <w:rPr>
          <w:rFonts w:hint="eastAsia" w:ascii="宋体" w:hAnsi="宋体" w:cs="宋体"/>
          <w:b/>
          <w:color w:val="auto"/>
          <w:spacing w:val="6"/>
          <w:sz w:val="24"/>
          <w:szCs w:val="24"/>
        </w:rPr>
      </w:pPr>
    </w:p>
    <w:p w14:paraId="15B4A4A8">
      <w:pPr>
        <w:pStyle w:val="254"/>
        <w:spacing w:line="560" w:lineRule="exact"/>
        <w:jc w:val="center"/>
        <w:rPr>
          <w:rFonts w:hint="eastAsia" w:ascii="宋体" w:hAnsi="宋体" w:cs="宋体"/>
          <w:b/>
          <w:color w:val="auto"/>
          <w:spacing w:val="6"/>
          <w:sz w:val="24"/>
          <w:szCs w:val="24"/>
        </w:rPr>
      </w:pPr>
    </w:p>
    <w:p w14:paraId="736955A6">
      <w:pPr>
        <w:pStyle w:val="254"/>
        <w:spacing w:line="560" w:lineRule="exact"/>
        <w:jc w:val="center"/>
        <w:rPr>
          <w:rFonts w:hint="eastAsia" w:ascii="宋体" w:hAnsi="宋体" w:cs="宋体"/>
          <w:b/>
          <w:color w:val="auto"/>
          <w:spacing w:val="6"/>
          <w:sz w:val="24"/>
          <w:szCs w:val="24"/>
        </w:rPr>
      </w:pPr>
    </w:p>
    <w:p w14:paraId="5E427E59">
      <w:pPr>
        <w:pStyle w:val="254"/>
        <w:spacing w:line="560" w:lineRule="exact"/>
        <w:jc w:val="center"/>
        <w:rPr>
          <w:rFonts w:hint="eastAsia" w:ascii="宋体" w:hAnsi="宋体" w:cs="宋体"/>
          <w:b/>
          <w:color w:val="auto"/>
          <w:spacing w:val="6"/>
          <w:sz w:val="24"/>
          <w:szCs w:val="24"/>
        </w:rPr>
      </w:pPr>
    </w:p>
    <w:p w14:paraId="4BF98A58">
      <w:pPr>
        <w:pStyle w:val="254"/>
        <w:spacing w:line="560" w:lineRule="exact"/>
        <w:jc w:val="center"/>
        <w:rPr>
          <w:rFonts w:hint="eastAsia" w:ascii="宋体" w:hAnsi="宋体" w:cs="宋体"/>
          <w:b/>
          <w:color w:val="auto"/>
          <w:spacing w:val="6"/>
          <w:sz w:val="24"/>
          <w:szCs w:val="24"/>
        </w:rPr>
      </w:pPr>
    </w:p>
    <w:p w14:paraId="0B2A9002">
      <w:pPr>
        <w:pStyle w:val="254"/>
        <w:spacing w:line="560" w:lineRule="exact"/>
        <w:jc w:val="center"/>
        <w:rPr>
          <w:rFonts w:hint="eastAsia" w:ascii="宋体" w:hAnsi="宋体" w:cs="宋体"/>
          <w:b/>
          <w:color w:val="auto"/>
          <w:spacing w:val="6"/>
          <w:sz w:val="24"/>
          <w:szCs w:val="24"/>
        </w:rPr>
      </w:pPr>
    </w:p>
    <w:p w14:paraId="1ECC706D">
      <w:pPr>
        <w:pStyle w:val="254"/>
        <w:spacing w:line="560" w:lineRule="exact"/>
        <w:jc w:val="center"/>
        <w:rPr>
          <w:rFonts w:hint="eastAsia" w:ascii="宋体" w:hAnsi="宋体" w:cs="宋体"/>
          <w:b/>
          <w:color w:val="auto"/>
          <w:spacing w:val="6"/>
          <w:sz w:val="24"/>
          <w:szCs w:val="24"/>
        </w:rPr>
      </w:pPr>
    </w:p>
    <w:p w14:paraId="02E3E3B0">
      <w:pPr>
        <w:pStyle w:val="254"/>
        <w:spacing w:line="560" w:lineRule="exact"/>
        <w:jc w:val="center"/>
        <w:rPr>
          <w:rFonts w:hint="eastAsia" w:ascii="宋体" w:hAnsi="宋体" w:cs="宋体"/>
          <w:b/>
          <w:color w:val="auto"/>
          <w:spacing w:val="6"/>
          <w:sz w:val="24"/>
          <w:szCs w:val="24"/>
        </w:rPr>
      </w:pPr>
    </w:p>
    <w:p w14:paraId="75D6DCD3">
      <w:pPr>
        <w:pStyle w:val="254"/>
        <w:spacing w:line="560" w:lineRule="exact"/>
        <w:jc w:val="center"/>
        <w:rPr>
          <w:rFonts w:hint="eastAsia" w:ascii="宋体" w:hAnsi="宋体" w:cs="宋体"/>
          <w:b/>
          <w:color w:val="auto"/>
          <w:spacing w:val="6"/>
          <w:sz w:val="24"/>
          <w:szCs w:val="24"/>
        </w:rPr>
      </w:pPr>
    </w:p>
    <w:p w14:paraId="65D3FD93">
      <w:pPr>
        <w:pStyle w:val="161"/>
        <w:ind w:left="0" w:leftChars="0" w:firstLine="0" w:firstLineChars="0"/>
        <w:rPr>
          <w:rFonts w:hint="eastAsia" w:ascii="宋体" w:hAnsi="宋体" w:cs="宋体"/>
          <w:color w:val="auto"/>
          <w:sz w:val="24"/>
          <w:szCs w:val="24"/>
        </w:rPr>
      </w:pPr>
    </w:p>
    <w:p w14:paraId="7CCB595C">
      <w:pPr>
        <w:pStyle w:val="254"/>
        <w:spacing w:line="560" w:lineRule="exact"/>
        <w:jc w:val="both"/>
        <w:rPr>
          <w:rFonts w:hint="eastAsia" w:ascii="宋体" w:hAnsi="宋体" w:cs="宋体"/>
          <w:b/>
          <w:color w:val="auto"/>
          <w:spacing w:val="6"/>
          <w:sz w:val="24"/>
          <w:szCs w:val="24"/>
        </w:rPr>
      </w:pPr>
      <w:bookmarkStart w:id="288" w:name="_Toc394307583"/>
    </w:p>
    <w:bookmarkEnd w:id="288"/>
    <w:p w14:paraId="608C1D87">
      <w:pPr>
        <w:jc w:val="center"/>
        <w:rPr>
          <w:rFonts w:hint="eastAsia" w:ascii="宋体" w:hAnsi="宋体" w:cs="宋体"/>
          <w:bCs/>
          <w:color w:val="auto"/>
          <w:sz w:val="44"/>
          <w:szCs w:val="44"/>
        </w:rPr>
      </w:pPr>
      <w:r>
        <w:rPr>
          <w:rFonts w:hint="eastAsia" w:ascii="宋体" w:hAnsi="宋体" w:cs="宋体"/>
          <w:bCs/>
          <w:color w:val="auto"/>
          <w:sz w:val="44"/>
          <w:szCs w:val="44"/>
        </w:rPr>
        <w:t>政策适用性说明</w:t>
      </w:r>
    </w:p>
    <w:p w14:paraId="435441B6">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按照政府采购有关政策的要求，在本次的技术方案中，采用符合政策的小型或微型企业产品、节能产品、环保标志产品，主要产品与核心技术介绍说明如下：</w:t>
      </w:r>
    </w:p>
    <w:tbl>
      <w:tblPr>
        <w:tblStyle w:val="44"/>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76"/>
        <w:gridCol w:w="1793"/>
        <w:gridCol w:w="1250"/>
        <w:gridCol w:w="1237"/>
        <w:gridCol w:w="700"/>
        <w:gridCol w:w="1090"/>
        <w:gridCol w:w="1073"/>
        <w:gridCol w:w="1342"/>
      </w:tblGrid>
      <w:tr w14:paraId="4CE80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76" w:type="dxa"/>
            <w:noWrap w:val="0"/>
            <w:vAlign w:val="center"/>
          </w:tcPr>
          <w:p w14:paraId="78C445C5">
            <w:pPr>
              <w:spacing w:line="320" w:lineRule="exact"/>
              <w:jc w:val="center"/>
              <w:rPr>
                <w:rFonts w:hint="eastAsia" w:ascii="宋体" w:hAnsi="宋体" w:cs="宋体"/>
                <w:color w:val="auto"/>
                <w:szCs w:val="21"/>
              </w:rPr>
            </w:pPr>
            <w:r>
              <w:rPr>
                <w:rFonts w:hint="eastAsia" w:ascii="宋体" w:hAnsi="宋体" w:cs="宋体"/>
                <w:color w:val="auto"/>
                <w:szCs w:val="21"/>
              </w:rPr>
              <w:t>序号</w:t>
            </w:r>
          </w:p>
        </w:tc>
        <w:tc>
          <w:tcPr>
            <w:tcW w:w="1793" w:type="dxa"/>
            <w:noWrap w:val="0"/>
            <w:vAlign w:val="center"/>
          </w:tcPr>
          <w:p w14:paraId="4AC040D1">
            <w:pPr>
              <w:spacing w:line="320" w:lineRule="exact"/>
              <w:jc w:val="center"/>
              <w:rPr>
                <w:rFonts w:hint="eastAsia" w:ascii="宋体" w:hAnsi="宋体" w:cs="宋体"/>
                <w:color w:val="auto"/>
                <w:szCs w:val="21"/>
              </w:rPr>
            </w:pPr>
            <w:r>
              <w:rPr>
                <w:rFonts w:hint="eastAsia" w:ascii="宋体" w:hAnsi="宋体" w:cs="宋体"/>
                <w:color w:val="auto"/>
                <w:szCs w:val="21"/>
              </w:rPr>
              <w:t>主要产品/技术名称（规格型号、注册商标）</w:t>
            </w:r>
          </w:p>
        </w:tc>
        <w:tc>
          <w:tcPr>
            <w:tcW w:w="1250" w:type="dxa"/>
            <w:noWrap w:val="0"/>
            <w:vAlign w:val="center"/>
          </w:tcPr>
          <w:p w14:paraId="31F87C40">
            <w:pPr>
              <w:spacing w:line="320" w:lineRule="exact"/>
              <w:jc w:val="center"/>
              <w:rPr>
                <w:rFonts w:hint="eastAsia" w:ascii="宋体" w:hAnsi="宋体" w:cs="宋体"/>
                <w:color w:val="auto"/>
                <w:szCs w:val="21"/>
              </w:rPr>
            </w:pPr>
            <w:r>
              <w:rPr>
                <w:rFonts w:hint="eastAsia" w:ascii="宋体" w:hAnsi="宋体" w:cs="宋体"/>
                <w:color w:val="auto"/>
                <w:szCs w:val="21"/>
              </w:rPr>
              <w:t>制造商</w:t>
            </w:r>
          </w:p>
          <w:p w14:paraId="26AAD5D7">
            <w:pPr>
              <w:spacing w:line="320" w:lineRule="exact"/>
              <w:jc w:val="center"/>
              <w:rPr>
                <w:rFonts w:hint="eastAsia" w:ascii="宋体" w:hAnsi="宋体" w:cs="宋体"/>
                <w:color w:val="auto"/>
                <w:szCs w:val="21"/>
              </w:rPr>
            </w:pPr>
            <w:r>
              <w:rPr>
                <w:rFonts w:hint="eastAsia" w:ascii="宋体" w:hAnsi="宋体" w:cs="宋体"/>
                <w:color w:val="auto"/>
                <w:szCs w:val="21"/>
              </w:rPr>
              <w:t>(开发商)</w:t>
            </w:r>
          </w:p>
        </w:tc>
        <w:tc>
          <w:tcPr>
            <w:tcW w:w="1237" w:type="dxa"/>
            <w:noWrap w:val="0"/>
            <w:vAlign w:val="center"/>
          </w:tcPr>
          <w:p w14:paraId="2476E080">
            <w:pPr>
              <w:spacing w:line="320" w:lineRule="exact"/>
              <w:jc w:val="center"/>
              <w:rPr>
                <w:rFonts w:hint="eastAsia" w:ascii="宋体" w:hAnsi="宋体" w:cs="宋体"/>
                <w:color w:val="auto"/>
                <w:szCs w:val="21"/>
              </w:rPr>
            </w:pPr>
            <w:r>
              <w:rPr>
                <w:rFonts w:hint="eastAsia" w:ascii="宋体" w:hAnsi="宋体" w:cs="宋体"/>
                <w:color w:val="auto"/>
                <w:szCs w:val="21"/>
              </w:rPr>
              <w:t>制造商</w:t>
            </w:r>
          </w:p>
          <w:p w14:paraId="7589BB17">
            <w:pPr>
              <w:spacing w:line="320" w:lineRule="exact"/>
              <w:jc w:val="center"/>
              <w:rPr>
                <w:rFonts w:hint="eastAsia" w:ascii="宋体" w:hAnsi="宋体" w:cs="宋体"/>
                <w:color w:val="auto"/>
                <w:szCs w:val="21"/>
              </w:rPr>
            </w:pPr>
            <w:r>
              <w:rPr>
                <w:rFonts w:hint="eastAsia" w:ascii="宋体" w:hAnsi="宋体" w:cs="宋体"/>
                <w:color w:val="auto"/>
                <w:szCs w:val="21"/>
              </w:rPr>
              <w:t>企业类型</w:t>
            </w:r>
          </w:p>
        </w:tc>
        <w:tc>
          <w:tcPr>
            <w:tcW w:w="700" w:type="dxa"/>
            <w:noWrap w:val="0"/>
            <w:vAlign w:val="center"/>
          </w:tcPr>
          <w:p w14:paraId="1A0D37BC">
            <w:pPr>
              <w:spacing w:line="320" w:lineRule="exact"/>
              <w:jc w:val="center"/>
              <w:rPr>
                <w:rFonts w:hint="eastAsia" w:ascii="宋体" w:hAnsi="宋体" w:cs="宋体"/>
                <w:color w:val="auto"/>
                <w:szCs w:val="21"/>
              </w:rPr>
            </w:pPr>
            <w:r>
              <w:rPr>
                <w:rFonts w:hint="eastAsia" w:ascii="宋体" w:hAnsi="宋体" w:cs="宋体"/>
                <w:color w:val="auto"/>
                <w:szCs w:val="21"/>
              </w:rPr>
              <w:t>节能产品</w:t>
            </w:r>
          </w:p>
        </w:tc>
        <w:tc>
          <w:tcPr>
            <w:tcW w:w="1090" w:type="dxa"/>
            <w:noWrap w:val="0"/>
            <w:vAlign w:val="center"/>
          </w:tcPr>
          <w:p w14:paraId="6661EC5C">
            <w:pPr>
              <w:spacing w:line="320" w:lineRule="exact"/>
              <w:jc w:val="center"/>
              <w:rPr>
                <w:rFonts w:hint="eastAsia" w:ascii="宋体" w:hAnsi="宋体" w:cs="宋体"/>
                <w:color w:val="auto"/>
                <w:szCs w:val="21"/>
              </w:rPr>
            </w:pPr>
            <w:r>
              <w:rPr>
                <w:rFonts w:hint="eastAsia" w:ascii="宋体" w:hAnsi="宋体" w:cs="宋体"/>
                <w:color w:val="auto"/>
                <w:szCs w:val="21"/>
              </w:rPr>
              <w:t>环保</w:t>
            </w:r>
          </w:p>
          <w:p w14:paraId="3BFB2C02">
            <w:pPr>
              <w:spacing w:line="320" w:lineRule="exact"/>
              <w:jc w:val="center"/>
              <w:rPr>
                <w:rFonts w:hint="eastAsia" w:ascii="宋体" w:hAnsi="宋体" w:cs="宋体"/>
                <w:color w:val="auto"/>
                <w:szCs w:val="21"/>
              </w:rPr>
            </w:pPr>
            <w:r>
              <w:rPr>
                <w:rFonts w:hint="eastAsia" w:ascii="宋体" w:hAnsi="宋体" w:cs="宋体"/>
                <w:color w:val="auto"/>
                <w:szCs w:val="21"/>
              </w:rPr>
              <w:t>标志产品</w:t>
            </w:r>
          </w:p>
        </w:tc>
        <w:tc>
          <w:tcPr>
            <w:tcW w:w="1073" w:type="dxa"/>
            <w:noWrap w:val="0"/>
            <w:vAlign w:val="center"/>
          </w:tcPr>
          <w:p w14:paraId="6CFEAEF6">
            <w:pPr>
              <w:spacing w:line="320" w:lineRule="exact"/>
              <w:jc w:val="center"/>
              <w:rPr>
                <w:rFonts w:hint="eastAsia" w:ascii="宋体" w:hAnsi="宋体" w:cs="宋体"/>
                <w:color w:val="auto"/>
                <w:szCs w:val="21"/>
              </w:rPr>
            </w:pPr>
            <w:r>
              <w:rPr>
                <w:rFonts w:hint="eastAsia" w:ascii="宋体" w:hAnsi="宋体" w:cs="宋体"/>
                <w:color w:val="auto"/>
                <w:szCs w:val="21"/>
              </w:rPr>
              <w:t>认证</w:t>
            </w:r>
          </w:p>
          <w:p w14:paraId="507F9C84">
            <w:pPr>
              <w:spacing w:line="320" w:lineRule="exact"/>
              <w:jc w:val="center"/>
              <w:rPr>
                <w:rFonts w:hint="eastAsia" w:ascii="宋体" w:hAnsi="宋体" w:cs="宋体"/>
                <w:color w:val="auto"/>
                <w:szCs w:val="21"/>
              </w:rPr>
            </w:pPr>
            <w:r>
              <w:rPr>
                <w:rFonts w:hint="eastAsia" w:ascii="宋体" w:hAnsi="宋体" w:cs="宋体"/>
                <w:color w:val="auto"/>
                <w:szCs w:val="21"/>
              </w:rPr>
              <w:t>证书编号</w:t>
            </w:r>
          </w:p>
        </w:tc>
        <w:tc>
          <w:tcPr>
            <w:tcW w:w="1342" w:type="dxa"/>
            <w:noWrap w:val="0"/>
            <w:vAlign w:val="center"/>
          </w:tcPr>
          <w:p w14:paraId="6064F66F">
            <w:pPr>
              <w:spacing w:line="320" w:lineRule="exact"/>
              <w:jc w:val="center"/>
              <w:rPr>
                <w:rFonts w:hint="eastAsia" w:ascii="宋体" w:hAnsi="宋体" w:cs="宋体"/>
                <w:color w:val="auto"/>
                <w:szCs w:val="21"/>
              </w:rPr>
            </w:pPr>
            <w:r>
              <w:rPr>
                <w:rFonts w:hint="eastAsia" w:ascii="宋体" w:hAnsi="宋体" w:cs="宋体"/>
                <w:color w:val="auto"/>
                <w:szCs w:val="21"/>
              </w:rPr>
              <w:t>该产品报价在总报价中占比（%）</w:t>
            </w:r>
          </w:p>
        </w:tc>
      </w:tr>
      <w:tr w14:paraId="1B6C4E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5" w:hRule="atLeast"/>
          <w:jc w:val="center"/>
        </w:trPr>
        <w:tc>
          <w:tcPr>
            <w:tcW w:w="576" w:type="dxa"/>
            <w:noWrap w:val="0"/>
            <w:vAlign w:val="center"/>
          </w:tcPr>
          <w:p w14:paraId="49E9A5A6">
            <w:pPr>
              <w:spacing w:line="320" w:lineRule="exact"/>
              <w:jc w:val="center"/>
              <w:rPr>
                <w:rFonts w:hint="eastAsia" w:ascii="宋体" w:hAnsi="宋体" w:cs="宋体"/>
                <w:color w:val="auto"/>
                <w:szCs w:val="21"/>
              </w:rPr>
            </w:pPr>
            <w:r>
              <w:rPr>
                <w:rFonts w:hint="eastAsia" w:ascii="宋体" w:hAnsi="宋体" w:cs="宋体"/>
                <w:color w:val="auto"/>
                <w:szCs w:val="21"/>
              </w:rPr>
              <w:t>1</w:t>
            </w:r>
          </w:p>
        </w:tc>
        <w:tc>
          <w:tcPr>
            <w:tcW w:w="1793" w:type="dxa"/>
            <w:noWrap w:val="0"/>
            <w:vAlign w:val="center"/>
          </w:tcPr>
          <w:p w14:paraId="31FB9DA5">
            <w:pPr>
              <w:spacing w:line="320" w:lineRule="exact"/>
              <w:jc w:val="center"/>
              <w:rPr>
                <w:rFonts w:hint="eastAsia" w:ascii="宋体" w:hAnsi="宋体" w:cs="宋体"/>
                <w:color w:val="auto"/>
                <w:szCs w:val="21"/>
              </w:rPr>
            </w:pPr>
          </w:p>
        </w:tc>
        <w:tc>
          <w:tcPr>
            <w:tcW w:w="1250" w:type="dxa"/>
            <w:noWrap w:val="0"/>
            <w:vAlign w:val="center"/>
          </w:tcPr>
          <w:p w14:paraId="1F92E63F">
            <w:pPr>
              <w:spacing w:line="320" w:lineRule="exact"/>
              <w:jc w:val="center"/>
              <w:rPr>
                <w:rFonts w:hint="eastAsia" w:ascii="宋体" w:hAnsi="宋体" w:cs="宋体"/>
                <w:color w:val="auto"/>
                <w:szCs w:val="21"/>
              </w:rPr>
            </w:pPr>
          </w:p>
        </w:tc>
        <w:tc>
          <w:tcPr>
            <w:tcW w:w="1237" w:type="dxa"/>
            <w:noWrap w:val="0"/>
            <w:vAlign w:val="center"/>
          </w:tcPr>
          <w:p w14:paraId="7A20939D">
            <w:pPr>
              <w:spacing w:line="320" w:lineRule="exact"/>
              <w:jc w:val="center"/>
              <w:rPr>
                <w:rFonts w:hint="eastAsia" w:ascii="宋体" w:hAnsi="宋体" w:cs="宋体"/>
                <w:color w:val="auto"/>
                <w:szCs w:val="21"/>
              </w:rPr>
            </w:pPr>
          </w:p>
        </w:tc>
        <w:tc>
          <w:tcPr>
            <w:tcW w:w="700" w:type="dxa"/>
            <w:noWrap w:val="0"/>
            <w:vAlign w:val="center"/>
          </w:tcPr>
          <w:p w14:paraId="3FF9C995">
            <w:pPr>
              <w:spacing w:line="320" w:lineRule="exact"/>
              <w:jc w:val="center"/>
              <w:rPr>
                <w:rFonts w:hint="eastAsia" w:ascii="宋体" w:hAnsi="宋体" w:cs="宋体"/>
                <w:color w:val="auto"/>
                <w:szCs w:val="21"/>
              </w:rPr>
            </w:pPr>
          </w:p>
        </w:tc>
        <w:tc>
          <w:tcPr>
            <w:tcW w:w="1090" w:type="dxa"/>
            <w:noWrap w:val="0"/>
            <w:vAlign w:val="center"/>
          </w:tcPr>
          <w:p w14:paraId="7EE57C33">
            <w:pPr>
              <w:spacing w:line="320" w:lineRule="exact"/>
              <w:jc w:val="center"/>
              <w:rPr>
                <w:rFonts w:hint="eastAsia" w:ascii="宋体" w:hAnsi="宋体" w:cs="宋体"/>
                <w:color w:val="auto"/>
                <w:szCs w:val="21"/>
              </w:rPr>
            </w:pPr>
          </w:p>
        </w:tc>
        <w:tc>
          <w:tcPr>
            <w:tcW w:w="1073" w:type="dxa"/>
            <w:noWrap w:val="0"/>
            <w:vAlign w:val="center"/>
          </w:tcPr>
          <w:p w14:paraId="250EE064">
            <w:pPr>
              <w:spacing w:line="320" w:lineRule="exact"/>
              <w:jc w:val="center"/>
              <w:rPr>
                <w:rFonts w:hint="eastAsia" w:ascii="宋体" w:hAnsi="宋体" w:cs="宋体"/>
                <w:color w:val="auto"/>
                <w:szCs w:val="21"/>
              </w:rPr>
            </w:pPr>
          </w:p>
        </w:tc>
        <w:tc>
          <w:tcPr>
            <w:tcW w:w="1342" w:type="dxa"/>
            <w:noWrap w:val="0"/>
            <w:vAlign w:val="center"/>
          </w:tcPr>
          <w:p w14:paraId="6E485E95">
            <w:pPr>
              <w:spacing w:line="320" w:lineRule="exact"/>
              <w:jc w:val="center"/>
              <w:rPr>
                <w:rFonts w:hint="eastAsia" w:ascii="宋体" w:hAnsi="宋体" w:cs="宋体"/>
                <w:color w:val="auto"/>
                <w:szCs w:val="21"/>
              </w:rPr>
            </w:pPr>
          </w:p>
        </w:tc>
      </w:tr>
      <w:tr w14:paraId="1996BF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5" w:hRule="atLeast"/>
          <w:jc w:val="center"/>
        </w:trPr>
        <w:tc>
          <w:tcPr>
            <w:tcW w:w="576" w:type="dxa"/>
            <w:noWrap w:val="0"/>
            <w:vAlign w:val="center"/>
          </w:tcPr>
          <w:p w14:paraId="796BCC37">
            <w:pPr>
              <w:spacing w:line="320" w:lineRule="exact"/>
              <w:jc w:val="center"/>
              <w:rPr>
                <w:rFonts w:hint="eastAsia" w:ascii="宋体" w:hAnsi="宋体" w:cs="宋体"/>
                <w:color w:val="auto"/>
                <w:szCs w:val="21"/>
              </w:rPr>
            </w:pPr>
            <w:r>
              <w:rPr>
                <w:rFonts w:hint="eastAsia" w:ascii="宋体" w:hAnsi="宋体" w:cs="宋体"/>
                <w:color w:val="auto"/>
                <w:szCs w:val="21"/>
              </w:rPr>
              <w:t>2</w:t>
            </w:r>
          </w:p>
        </w:tc>
        <w:tc>
          <w:tcPr>
            <w:tcW w:w="1793" w:type="dxa"/>
            <w:noWrap w:val="0"/>
            <w:vAlign w:val="center"/>
          </w:tcPr>
          <w:p w14:paraId="3A09B35E">
            <w:pPr>
              <w:spacing w:line="320" w:lineRule="exact"/>
              <w:jc w:val="center"/>
              <w:rPr>
                <w:rFonts w:hint="eastAsia" w:ascii="宋体" w:hAnsi="宋体" w:cs="宋体"/>
                <w:color w:val="auto"/>
                <w:szCs w:val="21"/>
              </w:rPr>
            </w:pPr>
          </w:p>
        </w:tc>
        <w:tc>
          <w:tcPr>
            <w:tcW w:w="1250" w:type="dxa"/>
            <w:noWrap w:val="0"/>
            <w:vAlign w:val="center"/>
          </w:tcPr>
          <w:p w14:paraId="334F119B">
            <w:pPr>
              <w:spacing w:line="320" w:lineRule="exact"/>
              <w:jc w:val="center"/>
              <w:rPr>
                <w:rFonts w:hint="eastAsia" w:ascii="宋体" w:hAnsi="宋体" w:cs="宋体"/>
                <w:color w:val="auto"/>
                <w:szCs w:val="21"/>
              </w:rPr>
            </w:pPr>
          </w:p>
        </w:tc>
        <w:tc>
          <w:tcPr>
            <w:tcW w:w="1237" w:type="dxa"/>
            <w:noWrap w:val="0"/>
            <w:vAlign w:val="center"/>
          </w:tcPr>
          <w:p w14:paraId="27A1EA4E">
            <w:pPr>
              <w:spacing w:line="320" w:lineRule="exact"/>
              <w:jc w:val="center"/>
              <w:rPr>
                <w:rFonts w:hint="eastAsia" w:ascii="宋体" w:hAnsi="宋体" w:cs="宋体"/>
                <w:color w:val="auto"/>
                <w:szCs w:val="21"/>
              </w:rPr>
            </w:pPr>
          </w:p>
        </w:tc>
        <w:tc>
          <w:tcPr>
            <w:tcW w:w="700" w:type="dxa"/>
            <w:noWrap w:val="0"/>
            <w:vAlign w:val="center"/>
          </w:tcPr>
          <w:p w14:paraId="339F80D1">
            <w:pPr>
              <w:spacing w:line="320" w:lineRule="exact"/>
              <w:jc w:val="center"/>
              <w:rPr>
                <w:rFonts w:hint="eastAsia" w:ascii="宋体" w:hAnsi="宋体" w:cs="宋体"/>
                <w:color w:val="auto"/>
                <w:szCs w:val="21"/>
              </w:rPr>
            </w:pPr>
          </w:p>
        </w:tc>
        <w:tc>
          <w:tcPr>
            <w:tcW w:w="1090" w:type="dxa"/>
            <w:noWrap w:val="0"/>
            <w:vAlign w:val="center"/>
          </w:tcPr>
          <w:p w14:paraId="097E6FC1">
            <w:pPr>
              <w:spacing w:line="320" w:lineRule="exact"/>
              <w:jc w:val="center"/>
              <w:rPr>
                <w:rFonts w:hint="eastAsia" w:ascii="宋体" w:hAnsi="宋体" w:cs="宋体"/>
                <w:color w:val="auto"/>
                <w:szCs w:val="21"/>
              </w:rPr>
            </w:pPr>
          </w:p>
        </w:tc>
        <w:tc>
          <w:tcPr>
            <w:tcW w:w="1073" w:type="dxa"/>
            <w:noWrap w:val="0"/>
            <w:vAlign w:val="center"/>
          </w:tcPr>
          <w:p w14:paraId="3CE59297">
            <w:pPr>
              <w:spacing w:line="320" w:lineRule="exact"/>
              <w:jc w:val="center"/>
              <w:rPr>
                <w:rFonts w:hint="eastAsia" w:ascii="宋体" w:hAnsi="宋体" w:cs="宋体"/>
                <w:color w:val="auto"/>
                <w:szCs w:val="21"/>
              </w:rPr>
            </w:pPr>
          </w:p>
        </w:tc>
        <w:tc>
          <w:tcPr>
            <w:tcW w:w="1342" w:type="dxa"/>
            <w:noWrap w:val="0"/>
            <w:vAlign w:val="center"/>
          </w:tcPr>
          <w:p w14:paraId="4EF220A5">
            <w:pPr>
              <w:spacing w:line="320" w:lineRule="exact"/>
              <w:jc w:val="center"/>
              <w:rPr>
                <w:rFonts w:hint="eastAsia" w:ascii="宋体" w:hAnsi="宋体" w:cs="宋体"/>
                <w:color w:val="auto"/>
                <w:szCs w:val="21"/>
              </w:rPr>
            </w:pPr>
          </w:p>
        </w:tc>
      </w:tr>
      <w:tr w14:paraId="7D353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5" w:hRule="atLeast"/>
          <w:jc w:val="center"/>
        </w:trPr>
        <w:tc>
          <w:tcPr>
            <w:tcW w:w="576" w:type="dxa"/>
            <w:noWrap w:val="0"/>
            <w:vAlign w:val="center"/>
          </w:tcPr>
          <w:p w14:paraId="09FAB713">
            <w:pPr>
              <w:spacing w:line="320" w:lineRule="exact"/>
              <w:jc w:val="center"/>
              <w:rPr>
                <w:rFonts w:hint="eastAsia" w:ascii="宋体" w:hAnsi="宋体" w:cs="宋体"/>
                <w:color w:val="auto"/>
                <w:szCs w:val="21"/>
              </w:rPr>
            </w:pPr>
            <w:r>
              <w:rPr>
                <w:rFonts w:hint="eastAsia" w:ascii="宋体" w:hAnsi="宋体" w:cs="宋体"/>
                <w:color w:val="auto"/>
                <w:szCs w:val="21"/>
              </w:rPr>
              <w:t>3</w:t>
            </w:r>
          </w:p>
        </w:tc>
        <w:tc>
          <w:tcPr>
            <w:tcW w:w="1793" w:type="dxa"/>
            <w:noWrap w:val="0"/>
            <w:vAlign w:val="center"/>
          </w:tcPr>
          <w:p w14:paraId="71D8D4B1">
            <w:pPr>
              <w:spacing w:line="320" w:lineRule="exact"/>
              <w:jc w:val="center"/>
              <w:rPr>
                <w:rFonts w:hint="eastAsia" w:ascii="宋体" w:hAnsi="宋体" w:cs="宋体"/>
                <w:color w:val="auto"/>
                <w:szCs w:val="21"/>
              </w:rPr>
            </w:pPr>
          </w:p>
        </w:tc>
        <w:tc>
          <w:tcPr>
            <w:tcW w:w="1250" w:type="dxa"/>
            <w:noWrap w:val="0"/>
            <w:vAlign w:val="center"/>
          </w:tcPr>
          <w:p w14:paraId="74879662">
            <w:pPr>
              <w:spacing w:line="320" w:lineRule="exact"/>
              <w:jc w:val="center"/>
              <w:rPr>
                <w:rFonts w:hint="eastAsia" w:ascii="宋体" w:hAnsi="宋体" w:cs="宋体"/>
                <w:color w:val="auto"/>
                <w:szCs w:val="21"/>
              </w:rPr>
            </w:pPr>
          </w:p>
        </w:tc>
        <w:tc>
          <w:tcPr>
            <w:tcW w:w="1237" w:type="dxa"/>
            <w:noWrap w:val="0"/>
            <w:vAlign w:val="center"/>
          </w:tcPr>
          <w:p w14:paraId="0104BF12">
            <w:pPr>
              <w:spacing w:line="320" w:lineRule="exact"/>
              <w:jc w:val="center"/>
              <w:rPr>
                <w:rFonts w:hint="eastAsia" w:ascii="宋体" w:hAnsi="宋体" w:cs="宋体"/>
                <w:color w:val="auto"/>
                <w:szCs w:val="21"/>
              </w:rPr>
            </w:pPr>
          </w:p>
        </w:tc>
        <w:tc>
          <w:tcPr>
            <w:tcW w:w="700" w:type="dxa"/>
            <w:noWrap w:val="0"/>
            <w:vAlign w:val="center"/>
          </w:tcPr>
          <w:p w14:paraId="7786AD73">
            <w:pPr>
              <w:spacing w:line="320" w:lineRule="exact"/>
              <w:jc w:val="center"/>
              <w:rPr>
                <w:rFonts w:hint="eastAsia" w:ascii="宋体" w:hAnsi="宋体" w:cs="宋体"/>
                <w:color w:val="auto"/>
                <w:szCs w:val="21"/>
              </w:rPr>
            </w:pPr>
          </w:p>
        </w:tc>
        <w:tc>
          <w:tcPr>
            <w:tcW w:w="1090" w:type="dxa"/>
            <w:noWrap w:val="0"/>
            <w:vAlign w:val="center"/>
          </w:tcPr>
          <w:p w14:paraId="19B24E36">
            <w:pPr>
              <w:spacing w:line="320" w:lineRule="exact"/>
              <w:jc w:val="center"/>
              <w:rPr>
                <w:rFonts w:hint="eastAsia" w:ascii="宋体" w:hAnsi="宋体" w:cs="宋体"/>
                <w:color w:val="auto"/>
                <w:szCs w:val="21"/>
              </w:rPr>
            </w:pPr>
          </w:p>
        </w:tc>
        <w:tc>
          <w:tcPr>
            <w:tcW w:w="1073" w:type="dxa"/>
            <w:noWrap w:val="0"/>
            <w:vAlign w:val="center"/>
          </w:tcPr>
          <w:p w14:paraId="688B3ABC">
            <w:pPr>
              <w:spacing w:line="320" w:lineRule="exact"/>
              <w:jc w:val="center"/>
              <w:rPr>
                <w:rFonts w:hint="eastAsia" w:ascii="宋体" w:hAnsi="宋体" w:cs="宋体"/>
                <w:color w:val="auto"/>
                <w:szCs w:val="21"/>
              </w:rPr>
            </w:pPr>
          </w:p>
        </w:tc>
        <w:tc>
          <w:tcPr>
            <w:tcW w:w="1342" w:type="dxa"/>
            <w:noWrap w:val="0"/>
            <w:vAlign w:val="center"/>
          </w:tcPr>
          <w:p w14:paraId="5AB969C2">
            <w:pPr>
              <w:spacing w:line="320" w:lineRule="exact"/>
              <w:jc w:val="center"/>
              <w:rPr>
                <w:rFonts w:hint="eastAsia" w:ascii="宋体" w:hAnsi="宋体" w:cs="宋体"/>
                <w:color w:val="auto"/>
                <w:szCs w:val="21"/>
              </w:rPr>
            </w:pPr>
          </w:p>
        </w:tc>
      </w:tr>
      <w:tr w14:paraId="37E165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5" w:hRule="atLeast"/>
          <w:jc w:val="center"/>
        </w:trPr>
        <w:tc>
          <w:tcPr>
            <w:tcW w:w="576" w:type="dxa"/>
            <w:noWrap w:val="0"/>
            <w:vAlign w:val="center"/>
          </w:tcPr>
          <w:p w14:paraId="722B31EC">
            <w:pPr>
              <w:spacing w:line="320" w:lineRule="exact"/>
              <w:jc w:val="center"/>
              <w:rPr>
                <w:rFonts w:hint="eastAsia" w:ascii="宋体" w:hAnsi="宋体" w:cs="宋体"/>
                <w:color w:val="auto"/>
                <w:szCs w:val="21"/>
              </w:rPr>
            </w:pPr>
            <w:r>
              <w:rPr>
                <w:rFonts w:hint="eastAsia" w:ascii="宋体" w:hAnsi="宋体" w:cs="宋体"/>
                <w:color w:val="auto"/>
                <w:szCs w:val="21"/>
              </w:rPr>
              <w:t>4</w:t>
            </w:r>
          </w:p>
        </w:tc>
        <w:tc>
          <w:tcPr>
            <w:tcW w:w="1793" w:type="dxa"/>
            <w:noWrap w:val="0"/>
            <w:vAlign w:val="center"/>
          </w:tcPr>
          <w:p w14:paraId="011843A9">
            <w:pPr>
              <w:spacing w:line="320" w:lineRule="exact"/>
              <w:jc w:val="center"/>
              <w:rPr>
                <w:rFonts w:hint="eastAsia" w:ascii="宋体" w:hAnsi="宋体" w:cs="宋体"/>
                <w:color w:val="auto"/>
                <w:szCs w:val="21"/>
              </w:rPr>
            </w:pPr>
          </w:p>
        </w:tc>
        <w:tc>
          <w:tcPr>
            <w:tcW w:w="1250" w:type="dxa"/>
            <w:noWrap w:val="0"/>
            <w:vAlign w:val="center"/>
          </w:tcPr>
          <w:p w14:paraId="74B64A09">
            <w:pPr>
              <w:spacing w:line="320" w:lineRule="exact"/>
              <w:jc w:val="center"/>
              <w:rPr>
                <w:rFonts w:hint="eastAsia" w:ascii="宋体" w:hAnsi="宋体" w:cs="宋体"/>
                <w:color w:val="auto"/>
                <w:szCs w:val="21"/>
              </w:rPr>
            </w:pPr>
          </w:p>
        </w:tc>
        <w:tc>
          <w:tcPr>
            <w:tcW w:w="1237" w:type="dxa"/>
            <w:noWrap w:val="0"/>
            <w:vAlign w:val="center"/>
          </w:tcPr>
          <w:p w14:paraId="5E204746">
            <w:pPr>
              <w:spacing w:line="320" w:lineRule="exact"/>
              <w:jc w:val="center"/>
              <w:rPr>
                <w:rFonts w:hint="eastAsia" w:ascii="宋体" w:hAnsi="宋体" w:cs="宋体"/>
                <w:color w:val="auto"/>
                <w:szCs w:val="21"/>
              </w:rPr>
            </w:pPr>
          </w:p>
        </w:tc>
        <w:tc>
          <w:tcPr>
            <w:tcW w:w="700" w:type="dxa"/>
            <w:noWrap w:val="0"/>
            <w:vAlign w:val="center"/>
          </w:tcPr>
          <w:p w14:paraId="496528CB">
            <w:pPr>
              <w:spacing w:line="320" w:lineRule="exact"/>
              <w:jc w:val="center"/>
              <w:rPr>
                <w:rFonts w:hint="eastAsia" w:ascii="宋体" w:hAnsi="宋体" w:cs="宋体"/>
                <w:color w:val="auto"/>
                <w:szCs w:val="21"/>
              </w:rPr>
            </w:pPr>
          </w:p>
        </w:tc>
        <w:tc>
          <w:tcPr>
            <w:tcW w:w="1090" w:type="dxa"/>
            <w:noWrap w:val="0"/>
            <w:vAlign w:val="center"/>
          </w:tcPr>
          <w:p w14:paraId="7A413DA5">
            <w:pPr>
              <w:spacing w:line="320" w:lineRule="exact"/>
              <w:jc w:val="center"/>
              <w:rPr>
                <w:rFonts w:hint="eastAsia" w:ascii="宋体" w:hAnsi="宋体" w:cs="宋体"/>
                <w:color w:val="auto"/>
                <w:szCs w:val="21"/>
              </w:rPr>
            </w:pPr>
          </w:p>
        </w:tc>
        <w:tc>
          <w:tcPr>
            <w:tcW w:w="1073" w:type="dxa"/>
            <w:noWrap w:val="0"/>
            <w:vAlign w:val="center"/>
          </w:tcPr>
          <w:p w14:paraId="6C4ACC01">
            <w:pPr>
              <w:spacing w:line="320" w:lineRule="exact"/>
              <w:jc w:val="center"/>
              <w:rPr>
                <w:rFonts w:hint="eastAsia" w:ascii="宋体" w:hAnsi="宋体" w:cs="宋体"/>
                <w:color w:val="auto"/>
                <w:szCs w:val="21"/>
              </w:rPr>
            </w:pPr>
          </w:p>
        </w:tc>
        <w:tc>
          <w:tcPr>
            <w:tcW w:w="1342" w:type="dxa"/>
            <w:noWrap w:val="0"/>
            <w:vAlign w:val="center"/>
          </w:tcPr>
          <w:p w14:paraId="79C96E19">
            <w:pPr>
              <w:spacing w:line="320" w:lineRule="exact"/>
              <w:jc w:val="center"/>
              <w:rPr>
                <w:rFonts w:hint="eastAsia" w:ascii="宋体" w:hAnsi="宋体" w:cs="宋体"/>
                <w:color w:val="auto"/>
                <w:szCs w:val="21"/>
              </w:rPr>
            </w:pPr>
          </w:p>
        </w:tc>
      </w:tr>
      <w:tr w14:paraId="47421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5" w:hRule="atLeast"/>
          <w:jc w:val="center"/>
        </w:trPr>
        <w:tc>
          <w:tcPr>
            <w:tcW w:w="576" w:type="dxa"/>
            <w:noWrap w:val="0"/>
            <w:vAlign w:val="center"/>
          </w:tcPr>
          <w:p w14:paraId="2B7B7025">
            <w:pPr>
              <w:spacing w:line="320" w:lineRule="exact"/>
              <w:jc w:val="center"/>
              <w:rPr>
                <w:rFonts w:hint="eastAsia" w:ascii="宋体" w:hAnsi="宋体" w:cs="宋体"/>
                <w:color w:val="auto"/>
                <w:szCs w:val="21"/>
              </w:rPr>
            </w:pPr>
            <w:r>
              <w:rPr>
                <w:rFonts w:hint="eastAsia" w:ascii="宋体" w:hAnsi="宋体" w:cs="宋体"/>
                <w:color w:val="auto"/>
                <w:szCs w:val="21"/>
              </w:rPr>
              <w:t>5</w:t>
            </w:r>
          </w:p>
        </w:tc>
        <w:tc>
          <w:tcPr>
            <w:tcW w:w="1793" w:type="dxa"/>
            <w:noWrap w:val="0"/>
            <w:vAlign w:val="center"/>
          </w:tcPr>
          <w:p w14:paraId="064464B9">
            <w:pPr>
              <w:spacing w:line="320" w:lineRule="exact"/>
              <w:jc w:val="center"/>
              <w:rPr>
                <w:rFonts w:hint="eastAsia" w:ascii="宋体" w:hAnsi="宋体" w:cs="宋体"/>
                <w:color w:val="auto"/>
                <w:szCs w:val="21"/>
              </w:rPr>
            </w:pPr>
          </w:p>
        </w:tc>
        <w:tc>
          <w:tcPr>
            <w:tcW w:w="1250" w:type="dxa"/>
            <w:noWrap w:val="0"/>
            <w:vAlign w:val="center"/>
          </w:tcPr>
          <w:p w14:paraId="29C01C9C">
            <w:pPr>
              <w:spacing w:line="320" w:lineRule="exact"/>
              <w:jc w:val="center"/>
              <w:rPr>
                <w:rFonts w:hint="eastAsia" w:ascii="宋体" w:hAnsi="宋体" w:cs="宋体"/>
                <w:color w:val="auto"/>
                <w:szCs w:val="21"/>
              </w:rPr>
            </w:pPr>
          </w:p>
        </w:tc>
        <w:tc>
          <w:tcPr>
            <w:tcW w:w="1237" w:type="dxa"/>
            <w:noWrap w:val="0"/>
            <w:vAlign w:val="center"/>
          </w:tcPr>
          <w:p w14:paraId="215FC84B">
            <w:pPr>
              <w:spacing w:line="320" w:lineRule="exact"/>
              <w:jc w:val="center"/>
              <w:rPr>
                <w:rFonts w:hint="eastAsia" w:ascii="宋体" w:hAnsi="宋体" w:cs="宋体"/>
                <w:color w:val="auto"/>
                <w:szCs w:val="21"/>
              </w:rPr>
            </w:pPr>
          </w:p>
        </w:tc>
        <w:tc>
          <w:tcPr>
            <w:tcW w:w="700" w:type="dxa"/>
            <w:noWrap w:val="0"/>
            <w:vAlign w:val="center"/>
          </w:tcPr>
          <w:p w14:paraId="70ABEB46">
            <w:pPr>
              <w:spacing w:line="320" w:lineRule="exact"/>
              <w:jc w:val="center"/>
              <w:rPr>
                <w:rFonts w:hint="eastAsia" w:ascii="宋体" w:hAnsi="宋体" w:cs="宋体"/>
                <w:color w:val="auto"/>
                <w:szCs w:val="21"/>
              </w:rPr>
            </w:pPr>
          </w:p>
        </w:tc>
        <w:tc>
          <w:tcPr>
            <w:tcW w:w="1090" w:type="dxa"/>
            <w:noWrap w:val="0"/>
            <w:vAlign w:val="center"/>
          </w:tcPr>
          <w:p w14:paraId="35BB949B">
            <w:pPr>
              <w:spacing w:line="320" w:lineRule="exact"/>
              <w:jc w:val="center"/>
              <w:rPr>
                <w:rFonts w:hint="eastAsia" w:ascii="宋体" w:hAnsi="宋体" w:cs="宋体"/>
                <w:color w:val="auto"/>
                <w:szCs w:val="21"/>
              </w:rPr>
            </w:pPr>
          </w:p>
        </w:tc>
        <w:tc>
          <w:tcPr>
            <w:tcW w:w="1073" w:type="dxa"/>
            <w:noWrap w:val="0"/>
            <w:vAlign w:val="center"/>
          </w:tcPr>
          <w:p w14:paraId="3F07D1F3">
            <w:pPr>
              <w:spacing w:line="320" w:lineRule="exact"/>
              <w:jc w:val="center"/>
              <w:rPr>
                <w:rFonts w:hint="eastAsia" w:ascii="宋体" w:hAnsi="宋体" w:cs="宋体"/>
                <w:color w:val="auto"/>
                <w:szCs w:val="21"/>
              </w:rPr>
            </w:pPr>
          </w:p>
        </w:tc>
        <w:tc>
          <w:tcPr>
            <w:tcW w:w="1342" w:type="dxa"/>
            <w:noWrap w:val="0"/>
            <w:vAlign w:val="center"/>
          </w:tcPr>
          <w:p w14:paraId="4EDD8655">
            <w:pPr>
              <w:spacing w:line="320" w:lineRule="exact"/>
              <w:jc w:val="center"/>
              <w:rPr>
                <w:rFonts w:hint="eastAsia" w:ascii="宋体" w:hAnsi="宋体" w:cs="宋体"/>
                <w:color w:val="auto"/>
                <w:szCs w:val="21"/>
              </w:rPr>
            </w:pPr>
          </w:p>
        </w:tc>
      </w:tr>
      <w:tr w14:paraId="28E77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5" w:hRule="atLeast"/>
          <w:jc w:val="center"/>
        </w:trPr>
        <w:tc>
          <w:tcPr>
            <w:tcW w:w="576" w:type="dxa"/>
            <w:noWrap w:val="0"/>
            <w:vAlign w:val="center"/>
          </w:tcPr>
          <w:p w14:paraId="4A3E457E">
            <w:pPr>
              <w:spacing w:line="320" w:lineRule="exact"/>
              <w:jc w:val="center"/>
              <w:rPr>
                <w:rFonts w:hint="eastAsia" w:ascii="宋体" w:hAnsi="宋体" w:cs="宋体"/>
                <w:color w:val="auto"/>
                <w:szCs w:val="21"/>
              </w:rPr>
            </w:pPr>
            <w:r>
              <w:rPr>
                <w:rFonts w:hint="eastAsia" w:ascii="宋体" w:hAnsi="宋体" w:cs="宋体"/>
                <w:color w:val="auto"/>
                <w:szCs w:val="21"/>
              </w:rPr>
              <w:t>...</w:t>
            </w:r>
          </w:p>
        </w:tc>
        <w:tc>
          <w:tcPr>
            <w:tcW w:w="1793" w:type="dxa"/>
            <w:noWrap w:val="0"/>
            <w:vAlign w:val="center"/>
          </w:tcPr>
          <w:p w14:paraId="182BFBDB">
            <w:pPr>
              <w:spacing w:line="320" w:lineRule="exact"/>
              <w:jc w:val="center"/>
              <w:rPr>
                <w:rFonts w:hint="eastAsia" w:ascii="宋体" w:hAnsi="宋体" w:cs="宋体"/>
                <w:color w:val="auto"/>
                <w:szCs w:val="21"/>
              </w:rPr>
            </w:pPr>
          </w:p>
        </w:tc>
        <w:tc>
          <w:tcPr>
            <w:tcW w:w="1250" w:type="dxa"/>
            <w:noWrap w:val="0"/>
            <w:vAlign w:val="center"/>
          </w:tcPr>
          <w:p w14:paraId="1DFC777F">
            <w:pPr>
              <w:spacing w:line="320" w:lineRule="exact"/>
              <w:jc w:val="center"/>
              <w:rPr>
                <w:rFonts w:hint="eastAsia" w:ascii="宋体" w:hAnsi="宋体" w:cs="宋体"/>
                <w:color w:val="auto"/>
                <w:szCs w:val="21"/>
              </w:rPr>
            </w:pPr>
          </w:p>
        </w:tc>
        <w:tc>
          <w:tcPr>
            <w:tcW w:w="1237" w:type="dxa"/>
            <w:noWrap w:val="0"/>
            <w:vAlign w:val="center"/>
          </w:tcPr>
          <w:p w14:paraId="1CB6A117">
            <w:pPr>
              <w:spacing w:line="320" w:lineRule="exact"/>
              <w:jc w:val="center"/>
              <w:rPr>
                <w:rFonts w:hint="eastAsia" w:ascii="宋体" w:hAnsi="宋体" w:cs="宋体"/>
                <w:color w:val="auto"/>
                <w:szCs w:val="21"/>
              </w:rPr>
            </w:pPr>
          </w:p>
        </w:tc>
        <w:tc>
          <w:tcPr>
            <w:tcW w:w="700" w:type="dxa"/>
            <w:noWrap w:val="0"/>
            <w:vAlign w:val="center"/>
          </w:tcPr>
          <w:p w14:paraId="5DF0268B">
            <w:pPr>
              <w:spacing w:line="320" w:lineRule="exact"/>
              <w:jc w:val="center"/>
              <w:rPr>
                <w:rFonts w:hint="eastAsia" w:ascii="宋体" w:hAnsi="宋体" w:cs="宋体"/>
                <w:color w:val="auto"/>
                <w:szCs w:val="21"/>
              </w:rPr>
            </w:pPr>
          </w:p>
        </w:tc>
        <w:tc>
          <w:tcPr>
            <w:tcW w:w="1090" w:type="dxa"/>
            <w:noWrap w:val="0"/>
            <w:vAlign w:val="center"/>
          </w:tcPr>
          <w:p w14:paraId="7BF2D61C">
            <w:pPr>
              <w:spacing w:line="320" w:lineRule="exact"/>
              <w:jc w:val="center"/>
              <w:rPr>
                <w:rFonts w:hint="eastAsia" w:ascii="宋体" w:hAnsi="宋体" w:cs="宋体"/>
                <w:color w:val="auto"/>
                <w:szCs w:val="21"/>
              </w:rPr>
            </w:pPr>
          </w:p>
        </w:tc>
        <w:tc>
          <w:tcPr>
            <w:tcW w:w="1073" w:type="dxa"/>
            <w:noWrap w:val="0"/>
            <w:vAlign w:val="center"/>
          </w:tcPr>
          <w:p w14:paraId="6942A80B">
            <w:pPr>
              <w:spacing w:line="320" w:lineRule="exact"/>
              <w:jc w:val="center"/>
              <w:rPr>
                <w:rFonts w:hint="eastAsia" w:ascii="宋体" w:hAnsi="宋体" w:cs="宋体"/>
                <w:color w:val="auto"/>
                <w:szCs w:val="21"/>
              </w:rPr>
            </w:pPr>
          </w:p>
        </w:tc>
        <w:tc>
          <w:tcPr>
            <w:tcW w:w="1342" w:type="dxa"/>
            <w:noWrap w:val="0"/>
            <w:vAlign w:val="center"/>
          </w:tcPr>
          <w:p w14:paraId="42CFCA11">
            <w:pPr>
              <w:spacing w:line="320" w:lineRule="exact"/>
              <w:jc w:val="center"/>
              <w:rPr>
                <w:rFonts w:hint="eastAsia" w:ascii="宋体" w:hAnsi="宋体" w:cs="宋体"/>
                <w:color w:val="auto"/>
                <w:szCs w:val="21"/>
              </w:rPr>
            </w:pPr>
          </w:p>
        </w:tc>
      </w:tr>
    </w:tbl>
    <w:p w14:paraId="312DE948">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注：1.制造商为小型或微型企业时才需要填“制造商企业类型”栏,填写内容为“小型”或“微型”；</w:t>
      </w:r>
    </w:p>
    <w:p w14:paraId="383905A5">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2.“节能产品、环保标志产品”须填写认证证书编号，并在对应“节能产品”、“环保标志产品”栏中勾选，同时提供有效期内的证书复印件（加盖投标人公章）</w:t>
      </w:r>
    </w:p>
    <w:p w14:paraId="26B71B94">
      <w:pPr>
        <w:spacing w:line="400" w:lineRule="exact"/>
        <w:jc w:val="right"/>
        <w:rPr>
          <w:rFonts w:hint="eastAsia" w:ascii="宋体" w:hAnsi="宋体" w:cs="宋体"/>
          <w:color w:val="auto"/>
          <w:sz w:val="24"/>
          <w:szCs w:val="24"/>
        </w:rPr>
      </w:pPr>
    </w:p>
    <w:p w14:paraId="7E5A3830">
      <w:pPr>
        <w:spacing w:line="400" w:lineRule="exact"/>
        <w:jc w:val="right"/>
        <w:rPr>
          <w:rFonts w:hint="eastAsia" w:ascii="宋体" w:hAnsi="宋体" w:cs="宋体"/>
          <w:color w:val="auto"/>
          <w:sz w:val="24"/>
          <w:szCs w:val="24"/>
        </w:rPr>
      </w:pPr>
    </w:p>
    <w:p w14:paraId="3202ADCF">
      <w:pPr>
        <w:spacing w:line="400" w:lineRule="exact"/>
        <w:jc w:val="right"/>
        <w:rPr>
          <w:rFonts w:hint="eastAsia" w:ascii="宋体" w:hAnsi="宋体" w:cs="宋体"/>
          <w:color w:val="auto"/>
          <w:sz w:val="24"/>
          <w:szCs w:val="24"/>
        </w:rPr>
      </w:pPr>
      <w:r>
        <w:rPr>
          <w:rFonts w:hint="eastAsia" w:ascii="宋体" w:hAnsi="宋体" w:cs="宋体"/>
          <w:color w:val="auto"/>
          <w:sz w:val="24"/>
          <w:szCs w:val="24"/>
        </w:rPr>
        <w:t xml:space="preserve"> 投标人名称（盖章）：__________________</w:t>
      </w:r>
    </w:p>
    <w:p w14:paraId="2C00F40C">
      <w:pPr>
        <w:spacing w:line="400" w:lineRule="exact"/>
        <w:jc w:val="right"/>
        <w:rPr>
          <w:rFonts w:hint="eastAsia" w:ascii="宋体" w:hAnsi="宋体" w:cs="宋体"/>
          <w:color w:val="auto"/>
          <w:sz w:val="24"/>
          <w:szCs w:val="24"/>
        </w:rPr>
      </w:pPr>
      <w:r>
        <w:rPr>
          <w:rFonts w:hint="eastAsia" w:ascii="宋体" w:hAnsi="宋体" w:cs="宋体"/>
          <w:color w:val="auto"/>
          <w:sz w:val="24"/>
          <w:szCs w:val="24"/>
        </w:rPr>
        <w:t xml:space="preserve">              日  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77EEED6F">
      <w:pPr>
        <w:spacing w:line="400" w:lineRule="exact"/>
        <w:ind w:firstLine="480"/>
        <w:rPr>
          <w:rFonts w:hint="eastAsia" w:ascii="宋体" w:hAnsi="宋体" w:cs="宋体"/>
          <w:color w:val="auto"/>
          <w:sz w:val="24"/>
          <w:szCs w:val="24"/>
        </w:rPr>
      </w:pPr>
    </w:p>
    <w:p w14:paraId="0557719D">
      <w:pPr>
        <w:spacing w:line="400" w:lineRule="exact"/>
        <w:ind w:firstLine="480"/>
        <w:rPr>
          <w:rFonts w:hint="eastAsia" w:ascii="宋体" w:hAnsi="宋体" w:cs="宋体"/>
          <w:color w:val="auto"/>
          <w:sz w:val="24"/>
          <w:szCs w:val="24"/>
        </w:rPr>
      </w:pPr>
    </w:p>
    <w:p w14:paraId="3C89651B">
      <w:pPr>
        <w:spacing w:line="400" w:lineRule="exact"/>
        <w:ind w:firstLine="480"/>
        <w:rPr>
          <w:rFonts w:hint="eastAsia" w:ascii="宋体" w:hAnsi="宋体" w:cs="宋体"/>
          <w:color w:val="auto"/>
          <w:sz w:val="24"/>
          <w:szCs w:val="24"/>
        </w:rPr>
      </w:pPr>
    </w:p>
    <w:p w14:paraId="633DE078">
      <w:pPr>
        <w:spacing w:line="400" w:lineRule="exact"/>
        <w:ind w:firstLine="480"/>
        <w:rPr>
          <w:rFonts w:hint="eastAsia" w:ascii="宋体" w:hAnsi="宋体" w:cs="宋体"/>
          <w:color w:val="auto"/>
          <w:sz w:val="24"/>
          <w:szCs w:val="24"/>
        </w:rPr>
      </w:pPr>
    </w:p>
    <w:p w14:paraId="3DB010DF">
      <w:pPr>
        <w:spacing w:line="400" w:lineRule="exact"/>
        <w:ind w:firstLine="480"/>
        <w:rPr>
          <w:rFonts w:hint="eastAsia" w:ascii="宋体" w:hAnsi="宋体" w:cs="宋体"/>
          <w:color w:val="auto"/>
          <w:sz w:val="24"/>
          <w:szCs w:val="24"/>
        </w:rPr>
      </w:pPr>
    </w:p>
    <w:p w14:paraId="65B323D8">
      <w:pPr>
        <w:spacing w:line="400" w:lineRule="exact"/>
        <w:ind w:firstLine="480"/>
        <w:rPr>
          <w:rFonts w:hint="eastAsia" w:ascii="宋体" w:hAnsi="宋体" w:cs="宋体"/>
          <w:color w:val="auto"/>
          <w:sz w:val="24"/>
          <w:szCs w:val="24"/>
        </w:rPr>
      </w:pPr>
    </w:p>
    <w:p w14:paraId="40415E3A">
      <w:pPr>
        <w:pStyle w:val="161"/>
        <w:ind w:firstLine="420"/>
        <w:rPr>
          <w:rFonts w:hint="eastAsia" w:ascii="宋体" w:hAnsi="宋体" w:cs="宋体"/>
          <w:color w:val="auto"/>
        </w:rPr>
      </w:pPr>
    </w:p>
    <w:p w14:paraId="671A1C57">
      <w:pPr>
        <w:spacing w:line="400" w:lineRule="exact"/>
        <w:ind w:firstLine="480"/>
        <w:rPr>
          <w:rFonts w:hint="eastAsia" w:ascii="宋体" w:hAnsi="宋体" w:cs="宋体"/>
          <w:color w:val="auto"/>
          <w:sz w:val="24"/>
          <w:szCs w:val="24"/>
        </w:rPr>
      </w:pPr>
    </w:p>
    <w:p w14:paraId="3E97DEE7">
      <w:pPr>
        <w:pStyle w:val="161"/>
        <w:ind w:firstLine="420"/>
        <w:rPr>
          <w:rFonts w:hint="eastAsia"/>
          <w:color w:val="auto"/>
        </w:rPr>
      </w:pPr>
    </w:p>
    <w:p w14:paraId="3723797C">
      <w:pPr>
        <w:spacing w:line="400" w:lineRule="exact"/>
        <w:ind w:firstLine="480"/>
        <w:rPr>
          <w:rFonts w:hint="eastAsia" w:ascii="宋体" w:hAnsi="宋体" w:cs="宋体"/>
          <w:color w:val="auto"/>
          <w:sz w:val="24"/>
          <w:szCs w:val="24"/>
        </w:rPr>
      </w:pPr>
    </w:p>
    <w:p w14:paraId="3D46F99D">
      <w:pPr>
        <w:jc w:val="center"/>
        <w:rPr>
          <w:rFonts w:hint="eastAsia" w:ascii="宋体" w:hAnsi="宋体" w:cs="宋体"/>
          <w:bCs/>
          <w:color w:val="auto"/>
          <w:sz w:val="44"/>
          <w:szCs w:val="44"/>
        </w:rPr>
      </w:pPr>
      <w:r>
        <w:rPr>
          <w:rFonts w:hint="eastAsia" w:ascii="宋体" w:hAnsi="宋体" w:cs="宋体"/>
          <w:bCs/>
          <w:color w:val="auto"/>
          <w:sz w:val="44"/>
          <w:szCs w:val="44"/>
        </w:rPr>
        <w:t>联合体共同投标协议书</w:t>
      </w:r>
    </w:p>
    <w:p w14:paraId="6844CF9B">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立约方：</w:t>
      </w:r>
      <w:r>
        <w:rPr>
          <w:rFonts w:hint="eastAsia" w:ascii="宋体" w:hAnsi="宋体" w:cs="宋体"/>
          <w:color w:val="auto"/>
          <w:sz w:val="24"/>
          <w:szCs w:val="24"/>
          <w:u w:val="single"/>
        </w:rPr>
        <w:t xml:space="preserve">（甲公司全称）            </w:t>
      </w:r>
    </w:p>
    <w:p w14:paraId="07F59EB8">
      <w:pPr>
        <w:spacing w:line="400" w:lineRule="exact"/>
        <w:ind w:firstLine="1440" w:firstLineChars="600"/>
        <w:rPr>
          <w:rFonts w:hint="eastAsia" w:ascii="宋体" w:hAnsi="宋体" w:cs="宋体"/>
          <w:color w:val="auto"/>
          <w:sz w:val="24"/>
          <w:szCs w:val="24"/>
        </w:rPr>
      </w:pPr>
      <w:r>
        <w:rPr>
          <w:rFonts w:hint="eastAsia" w:ascii="宋体" w:hAnsi="宋体" w:cs="宋体"/>
          <w:color w:val="auto"/>
          <w:sz w:val="24"/>
          <w:szCs w:val="24"/>
          <w:u w:val="single"/>
        </w:rPr>
        <w:t xml:space="preserve">（乙公司全称）            </w:t>
      </w:r>
    </w:p>
    <w:p w14:paraId="1F32DA17">
      <w:pPr>
        <w:spacing w:line="400" w:lineRule="exact"/>
        <w:ind w:firstLine="1440" w:firstLineChars="600"/>
        <w:rPr>
          <w:rFonts w:hint="eastAsia" w:ascii="宋体" w:hAnsi="宋体" w:cs="宋体"/>
          <w:color w:val="auto"/>
          <w:sz w:val="24"/>
          <w:szCs w:val="24"/>
        </w:rPr>
      </w:pPr>
      <w:r>
        <w:rPr>
          <w:rFonts w:hint="eastAsia" w:ascii="宋体" w:hAnsi="宋体" w:cs="宋体"/>
          <w:color w:val="auto"/>
          <w:sz w:val="24"/>
          <w:szCs w:val="24"/>
          <w:u w:val="single"/>
        </w:rPr>
        <w:t xml:space="preserve">（……公司全称）          </w:t>
      </w:r>
    </w:p>
    <w:p w14:paraId="50764B80">
      <w:pPr>
        <w:spacing w:line="400" w:lineRule="exact"/>
        <w:ind w:firstLine="480"/>
        <w:rPr>
          <w:rFonts w:hint="eastAsia" w:ascii="宋体" w:hAnsi="宋体" w:cs="宋体"/>
          <w:color w:val="auto"/>
          <w:sz w:val="24"/>
          <w:szCs w:val="24"/>
          <w:u w:val="single"/>
        </w:rPr>
      </w:pPr>
    </w:p>
    <w:p w14:paraId="5DCCA27B">
      <w:pPr>
        <w:spacing w:line="400" w:lineRule="exact"/>
        <w:ind w:firstLine="480"/>
        <w:rPr>
          <w:rFonts w:hint="eastAsia" w:ascii="宋体" w:hAnsi="宋体" w:cs="宋体"/>
          <w:color w:val="auto"/>
          <w:sz w:val="24"/>
          <w:szCs w:val="24"/>
        </w:rPr>
      </w:pPr>
      <w:r>
        <w:rPr>
          <w:rFonts w:hint="eastAsia" w:ascii="宋体" w:hAnsi="宋体" w:cs="宋体"/>
          <w:color w:val="auto"/>
          <w:sz w:val="24"/>
          <w:szCs w:val="24"/>
          <w:u w:val="single"/>
        </w:rPr>
        <w:t xml:space="preserve">（甲公司全称）、（乙公司全称）、（……公司全称） </w:t>
      </w:r>
      <w:r>
        <w:rPr>
          <w:rFonts w:hint="eastAsia" w:ascii="宋体" w:hAnsi="宋体" w:cs="宋体"/>
          <w:color w:val="auto"/>
          <w:sz w:val="24"/>
          <w:szCs w:val="24"/>
        </w:rPr>
        <w:t>自愿组成联合体，以一个投标人的身份共同参加</w:t>
      </w:r>
      <w:r>
        <w:rPr>
          <w:rFonts w:hint="eastAsia" w:ascii="宋体" w:hAnsi="宋体" w:cs="宋体"/>
          <w:color w:val="auto"/>
          <w:sz w:val="24"/>
          <w:szCs w:val="24"/>
          <w:u w:val="single"/>
        </w:rPr>
        <w:t xml:space="preserve">（采购项目名称）         </w:t>
      </w:r>
      <w:r>
        <w:rPr>
          <w:rFonts w:hint="eastAsia" w:ascii="宋体" w:hAnsi="宋体" w:cs="宋体"/>
          <w:color w:val="auto"/>
          <w:sz w:val="24"/>
          <w:szCs w:val="24"/>
        </w:rPr>
        <w:t>，</w:t>
      </w:r>
      <w:r>
        <w:rPr>
          <w:rFonts w:hint="eastAsia" w:ascii="宋体" w:hAnsi="宋体" w:cs="宋体"/>
          <w:color w:val="auto"/>
          <w:sz w:val="24"/>
          <w:szCs w:val="24"/>
          <w:u w:val="single"/>
        </w:rPr>
        <w:t xml:space="preserve">（采购项目编号）        </w:t>
      </w:r>
      <w:r>
        <w:rPr>
          <w:rFonts w:hint="eastAsia" w:ascii="宋体" w:hAnsi="宋体" w:cs="宋体"/>
          <w:color w:val="auto"/>
          <w:sz w:val="24"/>
          <w:szCs w:val="24"/>
        </w:rPr>
        <w:t>的响应活动。经各方充分协商一致，就项目的响应和合同实施阶段的有关事务协商一致订立协议如下：</w:t>
      </w:r>
    </w:p>
    <w:p w14:paraId="28439275">
      <w:pPr>
        <w:spacing w:line="400" w:lineRule="exact"/>
        <w:ind w:firstLine="480"/>
        <w:rPr>
          <w:rFonts w:hint="eastAsia" w:ascii="宋体" w:hAnsi="宋体" w:cs="宋体"/>
          <w:color w:val="auto"/>
          <w:sz w:val="24"/>
          <w:szCs w:val="24"/>
        </w:rPr>
      </w:pPr>
      <w:r>
        <w:rPr>
          <w:rFonts w:hint="eastAsia" w:ascii="宋体" w:hAnsi="宋体" w:cs="宋体"/>
          <w:color w:val="auto"/>
          <w:sz w:val="24"/>
          <w:szCs w:val="24"/>
        </w:rPr>
        <w:t>一、联合体各方关系</w:t>
      </w:r>
    </w:p>
    <w:p w14:paraId="4BCE0704">
      <w:pPr>
        <w:spacing w:line="400" w:lineRule="exact"/>
        <w:ind w:firstLine="480"/>
        <w:rPr>
          <w:rFonts w:hint="eastAsia" w:ascii="宋体" w:hAnsi="宋体" w:cs="宋体"/>
          <w:color w:val="auto"/>
          <w:sz w:val="24"/>
          <w:szCs w:val="24"/>
        </w:rPr>
      </w:pPr>
      <w:r>
        <w:rPr>
          <w:rFonts w:hint="eastAsia" w:ascii="宋体" w:hAnsi="宋体" w:cs="宋体"/>
          <w:color w:val="auto"/>
          <w:sz w:val="24"/>
          <w:szCs w:val="24"/>
          <w:u w:val="single"/>
        </w:rPr>
        <w:t xml:space="preserve">（甲公司全称）、（乙公司全称）、（……公司全称） </w:t>
      </w:r>
      <w:r>
        <w:rPr>
          <w:rFonts w:hint="eastAsia" w:ascii="宋体" w:hAnsi="宋体" w:cs="宋体"/>
          <w:color w:val="auto"/>
          <w:sz w:val="24"/>
          <w:szCs w:val="24"/>
        </w:rPr>
        <w:t>共同组成一个联合体，以一个投标人的身份共同参加本项目的响应。（甲公司全称）、（乙公司全称）、（……公司全称）作为联合体成员，若中标，联合体各方共同与签订政府采购合同。</w:t>
      </w:r>
    </w:p>
    <w:p w14:paraId="62CC5A58">
      <w:pPr>
        <w:spacing w:line="400" w:lineRule="exact"/>
        <w:ind w:firstLine="480"/>
        <w:rPr>
          <w:rFonts w:hint="eastAsia" w:ascii="宋体" w:hAnsi="宋体" w:cs="宋体"/>
          <w:color w:val="auto"/>
          <w:sz w:val="24"/>
          <w:szCs w:val="24"/>
        </w:rPr>
      </w:pPr>
      <w:r>
        <w:rPr>
          <w:rFonts w:hint="eastAsia" w:ascii="宋体" w:hAnsi="宋体" w:cs="宋体"/>
          <w:color w:val="auto"/>
          <w:sz w:val="24"/>
          <w:szCs w:val="24"/>
        </w:rPr>
        <w:t>二、联合体内部有关事项约定如下：</w:t>
      </w:r>
    </w:p>
    <w:p w14:paraId="10651167">
      <w:pPr>
        <w:spacing w:line="400" w:lineRule="exact"/>
        <w:ind w:firstLine="480"/>
        <w:rPr>
          <w:rFonts w:hint="eastAsia" w:ascii="宋体" w:hAnsi="宋体" w:cs="宋体"/>
          <w:color w:val="auto"/>
          <w:sz w:val="24"/>
          <w:szCs w:val="24"/>
        </w:rPr>
      </w:pPr>
      <w:r>
        <w:rPr>
          <w:rFonts w:hint="eastAsia" w:ascii="宋体" w:hAnsi="宋体" w:cs="宋体"/>
          <w:color w:val="auto"/>
          <w:sz w:val="24"/>
          <w:szCs w:val="24"/>
        </w:rPr>
        <w:t>1.（甲公司全称）</w:t>
      </w:r>
      <w:r>
        <w:rPr>
          <w:rFonts w:hint="eastAsia" w:ascii="宋体" w:hAnsi="宋体" w:cs="宋体"/>
          <w:color w:val="auto"/>
          <w:sz w:val="24"/>
          <w:szCs w:val="24"/>
          <w:u w:val="single"/>
        </w:rPr>
        <w:t xml:space="preserve">       </w:t>
      </w:r>
      <w:r>
        <w:rPr>
          <w:rFonts w:hint="eastAsia" w:ascii="宋体" w:hAnsi="宋体" w:cs="宋体"/>
          <w:color w:val="auto"/>
          <w:sz w:val="24"/>
          <w:szCs w:val="24"/>
        </w:rPr>
        <w:t>作为联合体的牵头单位，代表联合体双方负责投标和合同实施阶段的主办、协调工作。</w:t>
      </w:r>
    </w:p>
    <w:p w14:paraId="438D21A5">
      <w:pPr>
        <w:spacing w:line="400" w:lineRule="exact"/>
        <w:ind w:firstLine="480"/>
        <w:rPr>
          <w:rFonts w:hint="eastAsia" w:ascii="宋体" w:hAnsi="宋体" w:cs="宋体"/>
          <w:color w:val="auto"/>
          <w:sz w:val="24"/>
          <w:szCs w:val="24"/>
        </w:rPr>
      </w:pPr>
      <w:r>
        <w:rPr>
          <w:rFonts w:hint="eastAsia" w:ascii="宋体" w:hAnsi="宋体" w:cs="宋体"/>
          <w:color w:val="auto"/>
          <w:sz w:val="24"/>
          <w:szCs w:val="24"/>
        </w:rPr>
        <w:t>2.联合体将严格按照文件的各项要求，递交投标文件，切实执行一切合同文件，共同承担合同规定的一切义务和责任，同时按照内部职责的划分，承担自身所负的责任和风险，在法律在承担连带责任。</w:t>
      </w:r>
    </w:p>
    <w:p w14:paraId="4D3C1DD8">
      <w:pPr>
        <w:spacing w:line="400" w:lineRule="exact"/>
        <w:ind w:firstLine="480"/>
        <w:rPr>
          <w:rFonts w:hint="eastAsia" w:ascii="宋体" w:hAnsi="宋体" w:cs="宋体"/>
          <w:color w:val="auto"/>
          <w:sz w:val="24"/>
          <w:szCs w:val="24"/>
        </w:rPr>
      </w:pPr>
      <w:r>
        <w:rPr>
          <w:rFonts w:hint="eastAsia" w:ascii="宋体" w:hAnsi="宋体" w:cs="宋体"/>
          <w:color w:val="auto"/>
          <w:sz w:val="24"/>
          <w:szCs w:val="24"/>
        </w:rPr>
        <w:t>3.如果本联合体中标，</w:t>
      </w:r>
      <w:r>
        <w:rPr>
          <w:rFonts w:hint="eastAsia" w:ascii="宋体" w:hAnsi="宋体" w:cs="宋体"/>
          <w:color w:val="auto"/>
          <w:sz w:val="24"/>
          <w:szCs w:val="24"/>
          <w:u w:val="single"/>
        </w:rPr>
        <w:t xml:space="preserve">（甲公司全称）  </w:t>
      </w:r>
      <w:r>
        <w:rPr>
          <w:rFonts w:hint="eastAsia" w:ascii="宋体" w:hAnsi="宋体" w:cs="宋体"/>
          <w:color w:val="auto"/>
          <w:sz w:val="24"/>
          <w:szCs w:val="24"/>
        </w:rPr>
        <w:t>负责本项目</w:t>
      </w:r>
      <w:r>
        <w:rPr>
          <w:rFonts w:hint="eastAsia" w:ascii="宋体" w:hAnsi="宋体" w:cs="宋体"/>
          <w:color w:val="auto"/>
          <w:sz w:val="24"/>
          <w:szCs w:val="24"/>
          <w:u w:val="single"/>
        </w:rPr>
        <w:t xml:space="preserve">           </w:t>
      </w:r>
      <w:r>
        <w:rPr>
          <w:rFonts w:hint="eastAsia" w:ascii="宋体" w:hAnsi="宋体" w:cs="宋体"/>
          <w:color w:val="auto"/>
          <w:sz w:val="24"/>
          <w:szCs w:val="24"/>
        </w:rPr>
        <w:t>部分，</w:t>
      </w:r>
      <w:r>
        <w:rPr>
          <w:rFonts w:hint="eastAsia" w:ascii="宋体" w:hAnsi="宋体" w:cs="宋体"/>
          <w:color w:val="auto"/>
          <w:sz w:val="24"/>
          <w:szCs w:val="24"/>
          <w:u w:val="single"/>
        </w:rPr>
        <w:t>（乙公司全称）</w:t>
      </w:r>
      <w:r>
        <w:rPr>
          <w:rFonts w:hint="eastAsia" w:ascii="宋体" w:hAnsi="宋体" w:cs="宋体"/>
          <w:color w:val="auto"/>
          <w:sz w:val="24"/>
          <w:szCs w:val="24"/>
        </w:rPr>
        <w:t>负责本项目</w:t>
      </w:r>
      <w:r>
        <w:rPr>
          <w:rFonts w:hint="eastAsia" w:ascii="宋体" w:hAnsi="宋体" w:cs="宋体"/>
          <w:color w:val="auto"/>
          <w:sz w:val="24"/>
          <w:szCs w:val="24"/>
          <w:u w:val="single"/>
        </w:rPr>
        <w:t xml:space="preserve">          </w:t>
      </w:r>
      <w:r>
        <w:rPr>
          <w:rFonts w:hint="eastAsia" w:ascii="宋体" w:hAnsi="宋体" w:cs="宋体"/>
          <w:color w:val="auto"/>
          <w:sz w:val="24"/>
          <w:szCs w:val="24"/>
        </w:rPr>
        <w:t>部分。</w:t>
      </w:r>
    </w:p>
    <w:p w14:paraId="7771FBFF">
      <w:pPr>
        <w:spacing w:line="400" w:lineRule="exact"/>
        <w:ind w:firstLine="480"/>
        <w:rPr>
          <w:rFonts w:hint="eastAsia" w:ascii="宋体" w:hAnsi="宋体" w:cs="宋体"/>
          <w:color w:val="auto"/>
          <w:sz w:val="24"/>
          <w:szCs w:val="24"/>
        </w:rPr>
      </w:pPr>
      <w:r>
        <w:rPr>
          <w:rFonts w:hint="eastAsia" w:ascii="宋体" w:hAnsi="宋体" w:cs="宋体"/>
          <w:color w:val="auto"/>
          <w:sz w:val="24"/>
          <w:szCs w:val="24"/>
        </w:rPr>
        <w:t>4.如中标，联合体各方共同与</w:t>
      </w:r>
      <w:r>
        <w:rPr>
          <w:rFonts w:hint="eastAsia" w:ascii="宋体" w:hAnsi="宋体" w:cs="宋体"/>
          <w:color w:val="auto"/>
          <w:sz w:val="24"/>
          <w:szCs w:val="24"/>
          <w:u w:val="single"/>
        </w:rPr>
        <w:t xml:space="preserve">（采购人） </w:t>
      </w:r>
      <w:r>
        <w:rPr>
          <w:rFonts w:hint="eastAsia" w:ascii="宋体" w:hAnsi="宋体" w:cs="宋体"/>
          <w:color w:val="auto"/>
          <w:sz w:val="24"/>
          <w:szCs w:val="24"/>
        </w:rPr>
        <w:t>签订合同书，并就中标项目向采购人负责有连带的和各自的法律责任；</w:t>
      </w:r>
    </w:p>
    <w:p w14:paraId="29AC5211">
      <w:pPr>
        <w:spacing w:line="400" w:lineRule="exact"/>
        <w:ind w:firstLine="480"/>
        <w:rPr>
          <w:rFonts w:hint="eastAsia" w:ascii="宋体" w:hAnsi="宋体" w:cs="宋体"/>
          <w:color w:val="auto"/>
          <w:sz w:val="24"/>
          <w:szCs w:val="24"/>
        </w:rPr>
      </w:pPr>
      <w:r>
        <w:rPr>
          <w:rFonts w:hint="eastAsia" w:ascii="宋体" w:hAnsi="宋体" w:cs="宋体"/>
          <w:color w:val="auto"/>
          <w:sz w:val="24"/>
          <w:szCs w:val="24"/>
        </w:rPr>
        <w:t>5.联合体成员</w:t>
      </w:r>
      <w:r>
        <w:rPr>
          <w:rFonts w:hint="eastAsia" w:ascii="宋体" w:hAnsi="宋体" w:cs="宋体"/>
          <w:color w:val="auto"/>
          <w:sz w:val="24"/>
          <w:szCs w:val="24"/>
          <w:u w:val="single"/>
        </w:rPr>
        <w:t xml:space="preserve">（公司全称）        </w:t>
      </w:r>
      <w:r>
        <w:rPr>
          <w:rFonts w:hint="eastAsia" w:ascii="宋体" w:hAnsi="宋体" w:cs="宋体"/>
          <w:color w:val="auto"/>
          <w:sz w:val="24"/>
          <w:szCs w:val="24"/>
        </w:rPr>
        <w:t>为（请填写：小型、微型）企业，将承担合同总金额</w:t>
      </w:r>
      <w:r>
        <w:rPr>
          <w:rFonts w:hint="eastAsia" w:ascii="宋体" w:hAnsi="宋体" w:cs="宋体"/>
          <w:color w:val="auto"/>
          <w:sz w:val="24"/>
          <w:szCs w:val="24"/>
          <w:u w:val="single"/>
        </w:rPr>
        <w:t xml:space="preserve">   </w:t>
      </w:r>
      <w:r>
        <w:rPr>
          <w:rFonts w:hint="eastAsia" w:ascii="宋体" w:hAnsi="宋体" w:cs="宋体"/>
          <w:color w:val="auto"/>
          <w:sz w:val="24"/>
          <w:szCs w:val="24"/>
        </w:rPr>
        <w:t>的工作内容（联合体成员中有小型、微型企业时适用）。</w:t>
      </w:r>
    </w:p>
    <w:p w14:paraId="4524EC83">
      <w:pPr>
        <w:spacing w:line="400" w:lineRule="exact"/>
        <w:ind w:firstLine="480"/>
        <w:rPr>
          <w:rFonts w:hint="eastAsia" w:ascii="宋体" w:hAnsi="宋体" w:cs="宋体"/>
          <w:color w:val="auto"/>
          <w:sz w:val="24"/>
          <w:szCs w:val="24"/>
        </w:rPr>
      </w:pPr>
      <w:r>
        <w:rPr>
          <w:rFonts w:hint="eastAsia" w:ascii="宋体" w:hAnsi="宋体" w:cs="宋体"/>
          <w:color w:val="auto"/>
          <w:sz w:val="24"/>
          <w:szCs w:val="24"/>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15198318">
      <w:pPr>
        <w:spacing w:line="400" w:lineRule="exact"/>
        <w:ind w:firstLine="480"/>
        <w:rPr>
          <w:rFonts w:hint="eastAsia" w:ascii="宋体" w:hAnsi="宋体" w:cs="宋体"/>
          <w:color w:val="auto"/>
          <w:sz w:val="24"/>
          <w:szCs w:val="24"/>
        </w:rPr>
      </w:pPr>
      <w:r>
        <w:rPr>
          <w:rFonts w:hint="eastAsia" w:ascii="宋体" w:hAnsi="宋体" w:cs="宋体"/>
          <w:color w:val="auto"/>
          <w:sz w:val="24"/>
          <w:szCs w:val="24"/>
        </w:rPr>
        <w:t>四、联合体如因违约过失责任而导致采购人经济损失或被索赔时，本联合体任何一方均同意无条件优先清偿采购人的一切债务和经济赔偿。</w:t>
      </w:r>
    </w:p>
    <w:p w14:paraId="43D56483">
      <w:pPr>
        <w:spacing w:line="400" w:lineRule="exact"/>
        <w:ind w:firstLine="480"/>
        <w:rPr>
          <w:rFonts w:hint="eastAsia" w:ascii="宋体" w:hAnsi="宋体" w:cs="宋体"/>
          <w:color w:val="auto"/>
          <w:sz w:val="24"/>
          <w:szCs w:val="24"/>
        </w:rPr>
      </w:pPr>
      <w:r>
        <w:rPr>
          <w:rFonts w:hint="eastAsia" w:ascii="宋体" w:hAnsi="宋体" w:cs="宋体"/>
          <w:color w:val="auto"/>
          <w:sz w:val="24"/>
          <w:szCs w:val="24"/>
        </w:rPr>
        <w:t>五、本协议在自签署之日起生效，有效期内有效，如获中标资格，合同有效期延续至合同履行完毕之日。</w:t>
      </w:r>
    </w:p>
    <w:p w14:paraId="05FD8974">
      <w:pPr>
        <w:spacing w:line="400" w:lineRule="exact"/>
        <w:ind w:firstLine="480"/>
        <w:rPr>
          <w:rFonts w:hint="eastAsia" w:ascii="宋体" w:hAnsi="宋体" w:cs="宋体"/>
          <w:color w:val="auto"/>
          <w:sz w:val="24"/>
          <w:szCs w:val="24"/>
        </w:rPr>
      </w:pPr>
      <w:r>
        <w:rPr>
          <w:rFonts w:hint="eastAsia" w:ascii="宋体" w:hAnsi="宋体" w:cs="宋体"/>
          <w:color w:val="auto"/>
          <w:sz w:val="24"/>
          <w:szCs w:val="24"/>
        </w:rPr>
        <w:t>六、本协议书正本一式</w:t>
      </w:r>
      <w:r>
        <w:rPr>
          <w:rFonts w:hint="eastAsia" w:ascii="宋体" w:hAnsi="宋体" w:cs="宋体"/>
          <w:color w:val="auto"/>
          <w:sz w:val="24"/>
          <w:szCs w:val="24"/>
          <w:u w:val="single"/>
        </w:rPr>
        <w:t xml:space="preserve">    </w:t>
      </w:r>
      <w:r>
        <w:rPr>
          <w:rFonts w:hint="eastAsia" w:ascii="宋体" w:hAnsi="宋体" w:cs="宋体"/>
          <w:color w:val="auto"/>
          <w:sz w:val="24"/>
          <w:szCs w:val="24"/>
        </w:rPr>
        <w:t>份，随投标文件装订</w:t>
      </w:r>
      <w:r>
        <w:rPr>
          <w:rFonts w:hint="eastAsia" w:ascii="宋体" w:hAnsi="宋体" w:cs="宋体"/>
          <w:color w:val="auto"/>
          <w:sz w:val="24"/>
          <w:szCs w:val="24"/>
          <w:u w:val="single"/>
        </w:rPr>
        <w:t xml:space="preserve">    </w:t>
      </w:r>
      <w:r>
        <w:rPr>
          <w:rFonts w:hint="eastAsia" w:ascii="宋体" w:hAnsi="宋体" w:cs="宋体"/>
          <w:color w:val="auto"/>
          <w:sz w:val="24"/>
          <w:szCs w:val="24"/>
        </w:rPr>
        <w:t>份，送采购人</w:t>
      </w:r>
      <w:r>
        <w:rPr>
          <w:rFonts w:hint="eastAsia" w:ascii="宋体" w:hAnsi="宋体" w:cs="宋体"/>
          <w:color w:val="auto"/>
          <w:sz w:val="24"/>
          <w:szCs w:val="24"/>
          <w:u w:val="single"/>
        </w:rPr>
        <w:t xml:space="preserve">    </w:t>
      </w:r>
      <w:r>
        <w:rPr>
          <w:rFonts w:hint="eastAsia" w:ascii="宋体" w:hAnsi="宋体" w:cs="宋体"/>
          <w:color w:val="auto"/>
          <w:sz w:val="24"/>
          <w:szCs w:val="24"/>
        </w:rPr>
        <w:t>份，联合体成员各一份；副本一式</w:t>
      </w:r>
      <w:r>
        <w:rPr>
          <w:rFonts w:hint="eastAsia" w:ascii="宋体" w:hAnsi="宋体" w:cs="宋体"/>
          <w:color w:val="auto"/>
          <w:sz w:val="24"/>
          <w:szCs w:val="24"/>
          <w:u w:val="single"/>
        </w:rPr>
        <w:t xml:space="preserve">    </w:t>
      </w:r>
      <w:r>
        <w:rPr>
          <w:rFonts w:hint="eastAsia" w:ascii="宋体" w:hAnsi="宋体" w:cs="宋体"/>
          <w:color w:val="auto"/>
          <w:sz w:val="24"/>
          <w:szCs w:val="24"/>
        </w:rPr>
        <w:t>份，联合体成员各执</w:t>
      </w:r>
      <w:r>
        <w:rPr>
          <w:rFonts w:hint="eastAsia" w:ascii="宋体" w:hAnsi="宋体" w:cs="宋体"/>
          <w:color w:val="auto"/>
          <w:sz w:val="24"/>
          <w:szCs w:val="24"/>
          <w:u w:val="single"/>
        </w:rPr>
        <w:t xml:space="preserve">    </w:t>
      </w:r>
      <w:r>
        <w:rPr>
          <w:rFonts w:hint="eastAsia" w:ascii="宋体" w:hAnsi="宋体" w:cs="宋体"/>
          <w:color w:val="auto"/>
          <w:sz w:val="24"/>
          <w:szCs w:val="24"/>
        </w:rPr>
        <w:t>份。</w:t>
      </w:r>
    </w:p>
    <w:p w14:paraId="10F7FD10">
      <w:pPr>
        <w:spacing w:line="400" w:lineRule="exact"/>
        <w:rPr>
          <w:rFonts w:hint="eastAsia" w:ascii="宋体" w:hAnsi="宋体" w:cs="宋体"/>
          <w:color w:val="auto"/>
          <w:sz w:val="24"/>
          <w:szCs w:val="24"/>
        </w:rPr>
      </w:pPr>
      <w:r>
        <w:rPr>
          <w:rFonts w:hint="eastAsia" w:ascii="宋体" w:hAnsi="宋体" w:cs="宋体"/>
          <w:color w:val="auto"/>
          <w:sz w:val="24"/>
          <w:szCs w:val="24"/>
        </w:rPr>
        <w:t xml:space="preserve"> </w:t>
      </w:r>
    </w:p>
    <w:p w14:paraId="5F8D9819">
      <w:pPr>
        <w:spacing w:line="400" w:lineRule="exact"/>
        <w:rPr>
          <w:rFonts w:hint="eastAsia" w:ascii="宋体" w:hAnsi="宋体" w:cs="宋体"/>
          <w:color w:val="auto"/>
          <w:sz w:val="24"/>
          <w:szCs w:val="24"/>
        </w:rPr>
      </w:pPr>
      <w:r>
        <w:rPr>
          <w:rFonts w:hint="eastAsia" w:ascii="宋体" w:hAnsi="宋体" w:cs="宋体"/>
          <w:color w:val="auto"/>
          <w:sz w:val="24"/>
          <w:szCs w:val="24"/>
        </w:rPr>
        <w:t>甲公司全称（盖章）：</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14:paraId="05F66F63">
      <w:pPr>
        <w:spacing w:line="400" w:lineRule="exact"/>
        <w:ind w:firstLine="1680" w:firstLineChars="700"/>
        <w:rPr>
          <w:rFonts w:hint="eastAsia" w:ascii="宋体" w:hAnsi="宋体" w:cs="宋体"/>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1B90E469">
      <w:pPr>
        <w:pStyle w:val="161"/>
        <w:ind w:firstLine="480"/>
        <w:rPr>
          <w:rFonts w:hint="eastAsia" w:ascii="宋体" w:hAnsi="宋体" w:cs="宋体"/>
          <w:color w:val="auto"/>
          <w:sz w:val="24"/>
          <w:szCs w:val="24"/>
        </w:rPr>
      </w:pPr>
    </w:p>
    <w:p w14:paraId="696B10C8">
      <w:pPr>
        <w:spacing w:line="400" w:lineRule="exact"/>
        <w:rPr>
          <w:rFonts w:hint="eastAsia" w:ascii="宋体" w:hAnsi="宋体" w:cs="宋体"/>
          <w:color w:val="auto"/>
          <w:sz w:val="24"/>
          <w:szCs w:val="24"/>
        </w:rPr>
      </w:pPr>
      <w:r>
        <w:rPr>
          <w:rFonts w:hint="eastAsia" w:ascii="宋体" w:hAnsi="宋体" w:cs="宋体"/>
          <w:color w:val="auto"/>
          <w:sz w:val="24"/>
          <w:szCs w:val="24"/>
        </w:rPr>
        <w:t>乙公司全称（盖章）：</w:t>
      </w:r>
      <w:r>
        <w:rPr>
          <w:rFonts w:hint="eastAsia" w:ascii="宋体" w:hAnsi="宋体" w:cs="宋体"/>
          <w:color w:val="auto"/>
          <w:sz w:val="24"/>
          <w:szCs w:val="24"/>
          <w:u w:val="single"/>
        </w:rPr>
        <w:t xml:space="preserve">                      </w:t>
      </w:r>
      <w:r>
        <w:rPr>
          <w:rFonts w:hint="eastAsia" w:ascii="宋体" w:hAnsi="宋体" w:cs="宋体"/>
          <w:i/>
          <w:iCs/>
          <w:color w:val="auto"/>
          <w:sz w:val="24"/>
          <w:szCs w:val="24"/>
        </w:rPr>
        <w:t xml:space="preserve">  </w:t>
      </w:r>
    </w:p>
    <w:p w14:paraId="3A3DDA5E">
      <w:pPr>
        <w:spacing w:line="400" w:lineRule="exact"/>
        <w:ind w:firstLine="1680" w:firstLineChars="700"/>
        <w:rPr>
          <w:rFonts w:hint="eastAsia" w:ascii="宋体" w:hAnsi="宋体" w:cs="宋体"/>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日 </w:t>
      </w:r>
    </w:p>
    <w:p w14:paraId="6B70833D">
      <w:pPr>
        <w:spacing w:line="400" w:lineRule="exact"/>
        <w:rPr>
          <w:rFonts w:hint="eastAsia" w:ascii="宋体" w:hAnsi="宋体" w:cs="宋体"/>
          <w:color w:val="auto"/>
          <w:sz w:val="24"/>
          <w:szCs w:val="24"/>
        </w:rPr>
      </w:pPr>
      <w:r>
        <w:rPr>
          <w:rFonts w:hint="eastAsia" w:ascii="宋体" w:hAnsi="宋体" w:cs="宋体"/>
          <w:color w:val="auto"/>
          <w:sz w:val="24"/>
          <w:szCs w:val="24"/>
        </w:rPr>
        <w:t xml:space="preserve"> </w:t>
      </w:r>
    </w:p>
    <w:p w14:paraId="5822DC10">
      <w:pPr>
        <w:spacing w:line="400" w:lineRule="exact"/>
        <w:rPr>
          <w:rFonts w:hint="eastAsia" w:ascii="宋体" w:hAnsi="宋体" w:cs="宋体"/>
          <w:color w:val="auto"/>
          <w:sz w:val="24"/>
          <w:szCs w:val="24"/>
        </w:rPr>
      </w:pPr>
    </w:p>
    <w:p w14:paraId="79F1EFC5">
      <w:pPr>
        <w:spacing w:line="400" w:lineRule="exact"/>
        <w:rPr>
          <w:rFonts w:hint="eastAsia" w:ascii="宋体" w:hAnsi="宋体" w:cs="宋体"/>
          <w:color w:val="auto"/>
          <w:sz w:val="24"/>
          <w:szCs w:val="24"/>
        </w:rPr>
      </w:pPr>
      <w:r>
        <w:rPr>
          <w:rFonts w:hint="eastAsia" w:ascii="宋体" w:hAnsi="宋体" w:cs="宋体"/>
          <w:color w:val="auto"/>
          <w:sz w:val="24"/>
          <w:szCs w:val="24"/>
        </w:rPr>
        <w:t>…公司全称（盖章）：</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14:paraId="08B2329A">
      <w:pPr>
        <w:spacing w:line="400" w:lineRule="exact"/>
        <w:ind w:firstLine="1680" w:firstLineChars="700"/>
        <w:rPr>
          <w:rFonts w:hint="eastAsia" w:ascii="宋体" w:hAnsi="宋体" w:cs="宋体"/>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67267830">
      <w:pPr>
        <w:pStyle w:val="161"/>
        <w:spacing w:line="400" w:lineRule="exact"/>
        <w:ind w:firstLine="0" w:firstLineChars="0"/>
        <w:rPr>
          <w:rFonts w:hint="eastAsia" w:ascii="宋体" w:hAnsi="宋体" w:cs="宋体"/>
          <w:color w:val="auto"/>
          <w:sz w:val="24"/>
          <w:szCs w:val="24"/>
        </w:rPr>
      </w:pPr>
    </w:p>
    <w:p w14:paraId="3816E890">
      <w:pPr>
        <w:spacing w:line="400" w:lineRule="exact"/>
        <w:ind w:firstLine="480"/>
        <w:rPr>
          <w:rFonts w:hint="eastAsia" w:ascii="宋体" w:hAnsi="宋体" w:cs="宋体"/>
          <w:color w:val="auto"/>
          <w:sz w:val="24"/>
          <w:szCs w:val="24"/>
        </w:rPr>
      </w:pPr>
    </w:p>
    <w:p w14:paraId="1A2DCABE">
      <w:pPr>
        <w:spacing w:line="400" w:lineRule="exact"/>
        <w:rPr>
          <w:rFonts w:hint="eastAsia" w:ascii="宋体" w:hAnsi="宋体" w:cs="宋体"/>
          <w:b/>
          <w:bCs/>
          <w:color w:val="auto"/>
          <w:sz w:val="24"/>
          <w:szCs w:val="24"/>
        </w:rPr>
      </w:pPr>
      <w:r>
        <w:rPr>
          <w:rFonts w:hint="eastAsia" w:ascii="宋体" w:hAnsi="宋体" w:cs="宋体"/>
          <w:b/>
          <w:bCs/>
          <w:color w:val="auto"/>
          <w:sz w:val="24"/>
          <w:szCs w:val="24"/>
        </w:rPr>
        <w:t>注：</w:t>
      </w:r>
    </w:p>
    <w:p w14:paraId="3BDBBA8C">
      <w:pPr>
        <w:spacing w:line="400" w:lineRule="exact"/>
        <w:rPr>
          <w:rFonts w:hint="eastAsia" w:ascii="宋体" w:hAnsi="宋体" w:cs="宋体"/>
          <w:b/>
          <w:bCs/>
          <w:color w:val="auto"/>
          <w:sz w:val="24"/>
          <w:szCs w:val="24"/>
        </w:rPr>
      </w:pPr>
      <w:r>
        <w:rPr>
          <w:rFonts w:hint="eastAsia" w:ascii="宋体" w:hAnsi="宋体" w:cs="宋体"/>
          <w:b/>
          <w:bCs/>
          <w:color w:val="auto"/>
          <w:sz w:val="24"/>
          <w:szCs w:val="24"/>
        </w:rPr>
        <w:t>1．联合响应时需签本协议，联合体各方成员应在本协议上共同盖章确认。</w:t>
      </w:r>
    </w:p>
    <w:p w14:paraId="2F830F4D">
      <w:pPr>
        <w:spacing w:line="400" w:lineRule="exact"/>
        <w:rPr>
          <w:rFonts w:hint="eastAsia" w:ascii="宋体" w:hAnsi="宋体" w:cs="宋体"/>
          <w:b/>
          <w:bCs/>
          <w:color w:val="auto"/>
          <w:sz w:val="24"/>
          <w:szCs w:val="24"/>
        </w:rPr>
      </w:pPr>
      <w:r>
        <w:rPr>
          <w:rFonts w:hint="eastAsia" w:ascii="宋体" w:hAnsi="宋体" w:cs="宋体"/>
          <w:b/>
          <w:bCs/>
          <w:color w:val="auto"/>
          <w:sz w:val="24"/>
          <w:szCs w:val="24"/>
        </w:rPr>
        <w:t>2．本协议内容作为参考，可自行调整，联合体协议将作为签订合同的附件之一。</w:t>
      </w:r>
    </w:p>
    <w:p w14:paraId="4085776B">
      <w:pPr>
        <w:pStyle w:val="19"/>
        <w:spacing w:after="0" w:line="280" w:lineRule="exact"/>
        <w:rPr>
          <w:rFonts w:hint="eastAsia" w:ascii="宋体" w:hAnsi="宋体" w:cs="宋体"/>
          <w:color w:val="auto"/>
          <w:szCs w:val="21"/>
        </w:rPr>
      </w:pPr>
    </w:p>
    <w:sectPr>
      <w:pgSz w:w="11906" w:h="16838"/>
      <w:pgMar w:top="2098" w:right="1474" w:bottom="1418"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ˎ̥">
    <w:altName w:val="微软雅黑"/>
    <w:panose1 w:val="00000000000000000000"/>
    <w:charset w:val="00"/>
    <w:family w:val="auto"/>
    <w:pitch w:val="default"/>
    <w:sig w:usb0="00000000" w:usb1="00000000" w:usb2="00000000" w:usb3="00000000" w:csb0="00040001" w:csb1="00000000"/>
  </w:font>
  <w:font w:name="长城仿宋">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altName w:val="AMGDT"/>
    <w:panose1 w:val="00000000000000000000"/>
    <w:charset w:val="00"/>
    <w:family w:val="roman"/>
    <w:pitch w:val="default"/>
    <w:sig w:usb0="00000000" w:usb1="00000000" w:usb2="00000000" w:usb3="00000000" w:csb0="00000001" w:csb1="00000000"/>
  </w:font>
  <w:font w:name="AMGDT">
    <w:panose1 w:val="02000400000000000000"/>
    <w:charset w:val="00"/>
    <w:family w:val="auto"/>
    <w:pitch w:val="default"/>
    <w:sig w:usb0="80000003" w:usb1="1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00"/>
    <w:family w:val="modern"/>
    <w:pitch w:val="default"/>
    <w:sig w:usb0="00000000" w:usb1="00000000" w:usb2="00000000" w:usb3="00000000" w:csb0="00040000" w:csb1="00000000"/>
  </w:font>
  <w:font w:name="_GB2312">
    <w:altName w:val="微软雅黑"/>
    <w:panose1 w:val="00000000000000000000"/>
    <w:charset w:val="00"/>
    <w:family w:val="roman"/>
    <w:pitch w:val="default"/>
    <w:sig w:usb0="00000000" w:usb1="00000000" w:usb2="00000000" w:usb3="00000000" w:csb0="00040001" w:csb1="0000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 w:name="方正小标宋简体">
    <w:altName w:val="黑体"/>
    <w:panose1 w:val="03000509000000000000"/>
    <w:charset w:val="00"/>
    <w:family w:val="auto"/>
    <w:pitch w:val="default"/>
    <w:sig w:usb0="00000000" w:usb1="0000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MicrosoftYaHei">
    <w:altName w:val="AMGD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60ECF">
    <w:pPr>
      <w:pStyle w:val="3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B260FE">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KoSmjLAQAAnAMAAA4AAAAAAAAAAQAgAAAAHgEAAGRycy9lMm9E&#10;b2MueG1sUEsFBgAAAAAGAAYAWQEAAFsFAAAAAA==&#10;">
              <v:fill on="f" focussize="0,0"/>
              <v:stroke on="f"/>
              <v:imagedata o:title=""/>
              <o:lock v:ext="edit" aspectratio="f"/>
              <v:textbox inset="0mm,0mm,0mm,0mm" style="mso-fit-shape-to-text:t;">
                <w:txbxContent>
                  <w:p w14:paraId="7AB260FE">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p w14:paraId="650C1B8D">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815A0">
    <w:pPr>
      <w:pStyle w:val="3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5570" cy="278765"/>
              <wp:effectExtent l="0" t="0" r="0" b="0"/>
              <wp:wrapNone/>
              <wp:docPr id="272" name="文本框 4"/>
              <wp:cNvGraphicFramePr/>
              <a:graphic xmlns:a="http://schemas.openxmlformats.org/drawingml/2006/main">
                <a:graphicData uri="http://schemas.microsoft.com/office/word/2010/wordprocessingShape">
                  <wps:wsp>
                    <wps:cNvSpPr txBox="1"/>
                    <wps:spPr>
                      <a:xfrm>
                        <a:off x="0" y="0"/>
                        <a:ext cx="115570" cy="278765"/>
                      </a:xfrm>
                      <a:prstGeom prst="rect">
                        <a:avLst/>
                      </a:prstGeom>
                      <a:noFill/>
                      <a:ln>
                        <a:noFill/>
                      </a:ln>
                    </wps:spPr>
                    <wps:txbx>
                      <w:txbxContent>
                        <w:p w14:paraId="1078B81E">
                          <w:pPr>
                            <w:pStyle w:val="3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83</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21.95pt;width:9.1pt;mso-position-horizontal:center;mso-position-horizontal-relative:margin;mso-wrap-style:none;z-index:251659264;mso-width-relative:page;mso-height-relative:page;" filled="f" stroked="f" coordsize="21600,21600" o:gfxdata="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algM30QAAAAMBAAAPAAAAAAAAAAEAIAAAACIAAABkcnMvZG93&#10;bnJldi54bWxQSwECFAAUAAAACACHTuJAD4O8DM4BAACZAwAADgAAAAAAAAABACAAAAAgAQAAZHJz&#10;L2Uyb0RvYy54bWxQSwUGAAAAAAYABgBZAQAAYAUAAAAA&#10;">
              <v:fill on="f" focussize="0,0"/>
              <v:stroke on="f"/>
              <v:imagedata o:title=""/>
              <o:lock v:ext="edit" aspectratio="f"/>
              <v:textbox inset="0mm,0mm,0mm,0mm" style="mso-fit-shape-to-text:t;">
                <w:txbxContent>
                  <w:p w14:paraId="1078B81E">
                    <w:pPr>
                      <w:pStyle w:val="3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83</w:t>
                    </w:r>
                    <w:r>
                      <w:rPr>
                        <w:rFonts w:hint="eastAsia"/>
                      </w:rPr>
                      <w:fldChar w:fldCharType="end"/>
                    </w:r>
                    <w:r>
                      <w:rPr>
                        <w:rFonts w:hint="eastAsia"/>
                      </w:rPr>
                      <w:t xml:space="preserve"> 页</w:t>
                    </w:r>
                  </w:p>
                </w:txbxContent>
              </v:textbox>
            </v:shape>
          </w:pict>
        </mc:Fallback>
      </mc:AlternateContent>
    </w:r>
  </w:p>
  <w:p w14:paraId="0FDF8011">
    <w:pPr>
      <w:pStyle w:val="30"/>
      <w:tabs>
        <w:tab w:val="center" w:pos="4143"/>
        <w:tab w:val="clear" w:pos="4153"/>
        <w:tab w:val="clear" w:pos="8306"/>
      </w:tabs>
      <w:ind w:right="360"/>
      <w:rPr>
        <w:rFonts w:hint="eastAsia"/>
      </w:rPr>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DE382">
    <w:pPr>
      <w:pStyle w:val="3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3092F1">
                          <w:pPr>
                            <w:pStyle w:val="30"/>
                            <w:jc w:val="center"/>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DiNfLAQAAmwMAAA4AAAAAAAAAAQAgAAAAHgEAAGRycy9lMm9E&#10;b2MueG1sUEsFBgAAAAAGAAYAWQEAAFsFAAAAAA==&#10;">
              <v:fill on="f" focussize="0,0"/>
              <v:stroke on="f"/>
              <v:imagedata o:title=""/>
              <o:lock v:ext="edit" aspectratio="f"/>
              <v:textbox inset="0mm,0mm,0mm,0mm" style="mso-fit-shape-to-text:t;">
                <w:txbxContent>
                  <w:p w14:paraId="633092F1">
                    <w:pPr>
                      <w:pStyle w:val="30"/>
                      <w:jc w:val="center"/>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2879C37F">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9E79B">
    <w:pPr>
      <w:pStyle w:val="3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278765"/>
              <wp:effectExtent l="0" t="0" r="0" b="0"/>
              <wp:wrapNone/>
              <wp:docPr id="273" name="文本框 10"/>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55673674">
                          <w:pPr>
                            <w:pStyle w:val="3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83</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21.95pt;width:9.15pt;mso-position-horizontal:center;mso-position-horizontal-relative:margin;mso-wrap-style:none;z-index:251660288;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42PWdEAAAADAQAADwAAAAAAAAABACAAAAAiAAAAZHJzL2Rv&#10;d25yZXYueG1sUEsBAhQAFAAAAAgAh07iQCn1IF7PAQAAmgMAAA4AAAAAAAAAAQAgAAAAIAEAAGRy&#10;cy9lMm9Eb2MueG1sUEsFBgAAAAAGAAYAWQEAAGEFAAAAAA==&#10;">
              <v:fill on="f" focussize="0,0"/>
              <v:stroke on="f"/>
              <v:imagedata o:title=""/>
              <o:lock v:ext="edit" aspectratio="f"/>
              <v:textbox inset="0mm,0mm,0mm,0mm" style="mso-fit-shape-to-text:t;">
                <w:txbxContent>
                  <w:p w14:paraId="55673674">
                    <w:pPr>
                      <w:pStyle w:val="3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83</w:t>
                    </w:r>
                    <w:r>
                      <w:rPr>
                        <w:rFonts w:hint="eastAsia"/>
                      </w:rPr>
                      <w:fldChar w:fldCharType="end"/>
                    </w:r>
                    <w:r>
                      <w:rPr>
                        <w:rFonts w:hint="eastAsia"/>
                      </w:rPr>
                      <w:t xml:space="preserve"> 页</w:t>
                    </w:r>
                  </w:p>
                </w:txbxContent>
              </v:textbox>
            </v:shape>
          </w:pict>
        </mc:Fallback>
      </mc:AlternateContent>
    </w:r>
    <w:r>
      <w:rPr>
        <w:rFonts w:hint="eastAsia"/>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ED158">
    <w:pPr>
      <w:pStyle w:val="3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274" name="文本框 5"/>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3CF9B04E">
                          <w:pPr>
                            <w:pStyle w:val="3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83</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uNj1nRAAAAAwEAAA8AAAAAAAAAAQAgAAAAIgAAAGRycy9k&#10;b3ducmV2LnhtbFBLAQIUABQAAAAIAIdO4kDWQcuf0AEAAJkDAAAOAAAAAAAAAAEAIAAAACABAABk&#10;cnMvZTJvRG9jLnhtbFBLBQYAAAAABgAGAFkBAABiBQAAAAA=&#10;">
              <v:fill on="f" focussize="0,0"/>
              <v:stroke on="f"/>
              <v:imagedata o:title=""/>
              <o:lock v:ext="edit" aspectratio="f"/>
              <v:textbox inset="0mm,0mm,0mm,0mm" style="mso-fit-shape-to-text:t;">
                <w:txbxContent>
                  <w:p w14:paraId="3CF9B04E">
                    <w:pPr>
                      <w:pStyle w:val="3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83</w:t>
                    </w:r>
                    <w:r>
                      <w:rPr>
                        <w:rFonts w:hint="eastAsia"/>
                      </w:rPr>
                      <w:fldChar w:fldCharType="end"/>
                    </w:r>
                    <w:r>
                      <w:rPr>
                        <w:rFonts w:hint="eastAsia"/>
                      </w:rPr>
                      <w:t xml:space="preserve"> 页</w:t>
                    </w:r>
                  </w:p>
                </w:txbxContent>
              </v:textbox>
            </v:shape>
          </w:pict>
        </mc:Fallback>
      </mc:AlternateContent>
    </w:r>
    <w:r>
      <w:rPr>
        <w:rFonts w:hint="eastAsia"/>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35B93">
    <w:pPr>
      <w:rPr>
        <w:rFonts w:hint="eastAsia"/>
      </w:rPr>
    </w:pPr>
    <w:r>
      <w:rPr>
        <w:rFonts w:hint="eastAsia"/>
      </w:rPr>
      <w:t xml:space="preserve">                                    </w:t>
    </w:r>
  </w:p>
  <w:p w14:paraId="79B6FDCA">
    <w:pPr>
      <w:rPr>
        <w:rFonts w:hint="eastAsia"/>
      </w:rPr>
    </w:pPr>
  </w:p>
  <w:p w14:paraId="29583D9B">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9000C">
    <w:pPr>
      <w:rPr>
        <w:rFonts w:hint="eastAsia"/>
      </w:rPr>
    </w:pPr>
    <w:r>
      <w:rPr>
        <w:rFonts w:hint="eastAsia"/>
      </w:rPr>
      <w:t xml:space="preserve">                   </w:t>
    </w:r>
  </w:p>
  <w:p w14:paraId="56950CB8">
    <w:pPr>
      <w:rPr>
        <w:rFonts w:hint="eastAsia"/>
      </w:rPr>
    </w:pPr>
  </w:p>
  <w:p w14:paraId="0AC0C719">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8391A">
    <w:pPr>
      <w:rPr>
        <w:rFonts w:hint="eastAsia"/>
      </w:rPr>
    </w:pPr>
    <w:r>
      <w:rPr>
        <w:rFonts w:hint="eastAsia"/>
      </w:rPr>
      <w:t xml:space="preserve">                                     </w:t>
    </w:r>
  </w:p>
  <w:p w14:paraId="6DBFF600">
    <w:pPr>
      <w:rPr>
        <w:rFonts w:hint="eastAsia"/>
      </w:rPr>
    </w:pPr>
  </w:p>
  <w:p w14:paraId="79199434">
    <w:pPr>
      <w:rPr>
        <w:rFonts w:hint="eastAsia"/>
      </w:rPr>
    </w:pPr>
    <w:r>
      <w:rPr>
        <w:rFonts w:hint="eastAsia"/>
      </w:rPr>
      <w:t xml:space="preserve">    </w:t>
    </w:r>
  </w:p>
  <w:p w14:paraId="1100F3A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FAF2A">
    <w:pP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DEE42">
    <w:pPr>
      <w:rPr>
        <w:rFonts w:hint="eastAsia"/>
      </w:rPr>
    </w:pPr>
    <w:r>
      <w:rPr>
        <w:rFonts w:hint="eastAsia"/>
      </w:rPr>
      <w:t xml:space="preserve">                                                 </w:t>
    </w:r>
  </w:p>
  <w:p w14:paraId="4028AF5C">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D5CD2"/>
    <w:multiLevelType w:val="singleLevel"/>
    <w:tmpl w:val="A74D5CD2"/>
    <w:lvl w:ilvl="0" w:tentative="0">
      <w:start w:val="2"/>
      <w:numFmt w:val="decimal"/>
      <w:suff w:val="nothing"/>
      <w:lvlText w:val="（%1）"/>
      <w:lvlJc w:val="left"/>
    </w:lvl>
  </w:abstractNum>
  <w:abstractNum w:abstractNumId="1">
    <w:nsid w:val="C43A557C"/>
    <w:multiLevelType w:val="singleLevel"/>
    <w:tmpl w:val="C43A557C"/>
    <w:lvl w:ilvl="0" w:tentative="0">
      <w:start w:val="1"/>
      <w:numFmt w:val="decimal"/>
      <w:lvlText w:val="%1."/>
      <w:lvlJc w:val="left"/>
      <w:pPr>
        <w:tabs>
          <w:tab w:val="left" w:pos="312"/>
        </w:tabs>
      </w:pPr>
    </w:lvl>
  </w:abstractNum>
  <w:abstractNum w:abstractNumId="2">
    <w:nsid w:val="00000004"/>
    <w:multiLevelType w:val="multilevel"/>
    <w:tmpl w:val="00000004"/>
    <w:lvl w:ilvl="0" w:tentative="0">
      <w:start w:val="1"/>
      <w:numFmt w:val="decimal"/>
      <w:pStyle w:val="238"/>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07503984"/>
    <w:multiLevelType w:val="multilevel"/>
    <w:tmpl w:val="07503984"/>
    <w:lvl w:ilvl="0" w:tentative="0">
      <w:start w:val="1"/>
      <w:numFmt w:val="decimal"/>
      <w:lvlText w:val="%1)"/>
      <w:lvlJc w:val="left"/>
      <w:pPr>
        <w:ind w:left="845" w:hanging="420"/>
      </w:pPr>
      <w:rPr>
        <w:rFonts w:hint="eastAsia"/>
      </w:rPr>
    </w:lvl>
    <w:lvl w:ilvl="1" w:tentative="0">
      <w:start w:val="1"/>
      <w:numFmt w:val="decimal"/>
      <w:lvlText w:val="(%2)"/>
      <w:lvlJc w:val="left"/>
      <w:pPr>
        <w:ind w:left="1265" w:hanging="420"/>
      </w:pPr>
      <w:rPr>
        <w:rFonts w:hint="eastAsia"/>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4">
    <w:nsid w:val="076F030B"/>
    <w:multiLevelType w:val="singleLevel"/>
    <w:tmpl w:val="076F030B"/>
    <w:lvl w:ilvl="0" w:tentative="0">
      <w:start w:val="3"/>
      <w:numFmt w:val="chineseCounting"/>
      <w:suff w:val="nothing"/>
      <w:lvlText w:val="（%1）"/>
      <w:lvlJc w:val="left"/>
      <w:rPr>
        <w:rFonts w:hint="eastAsia"/>
      </w:rPr>
    </w:lvl>
  </w:abstractNum>
  <w:abstractNum w:abstractNumId="5">
    <w:nsid w:val="0865D20B"/>
    <w:multiLevelType w:val="singleLevel"/>
    <w:tmpl w:val="0865D20B"/>
    <w:lvl w:ilvl="0" w:tentative="0">
      <w:start w:val="2"/>
      <w:numFmt w:val="decimal"/>
      <w:lvlText w:val="%1."/>
      <w:lvlJc w:val="left"/>
      <w:pPr>
        <w:tabs>
          <w:tab w:val="left" w:pos="312"/>
        </w:tabs>
      </w:pPr>
    </w:lvl>
  </w:abstractNum>
  <w:abstractNum w:abstractNumId="6">
    <w:nsid w:val="0A522CA8"/>
    <w:multiLevelType w:val="multilevel"/>
    <w:tmpl w:val="0A522CA8"/>
    <w:lvl w:ilvl="0" w:tentative="0">
      <w:start w:val="1"/>
      <w:numFmt w:val="decimal"/>
      <w:lvlText w:val="（%1）"/>
      <w:lvlJc w:val="left"/>
      <w:pPr>
        <w:ind w:left="2655" w:hanging="1635"/>
      </w:pPr>
      <w:rPr>
        <w:rFonts w:hint="default" w:ascii="宋体" w:hAnsi="宋体" w:eastAsia="宋体"/>
        <w:color w:val="000000"/>
      </w:rPr>
    </w:lvl>
    <w:lvl w:ilvl="1" w:tentative="0">
      <w:start w:val="1"/>
      <w:numFmt w:val="lowerLetter"/>
      <w:lvlText w:val="%2)"/>
      <w:lvlJc w:val="left"/>
      <w:pPr>
        <w:ind w:left="1860" w:hanging="420"/>
      </w:pPr>
    </w:lvl>
    <w:lvl w:ilvl="2" w:tentative="0">
      <w:start w:val="1"/>
      <w:numFmt w:val="lowerRoman"/>
      <w:lvlText w:val="%3."/>
      <w:lvlJc w:val="right"/>
      <w:pPr>
        <w:ind w:left="2280" w:hanging="420"/>
      </w:pPr>
    </w:lvl>
    <w:lvl w:ilvl="3" w:tentative="0">
      <w:start w:val="1"/>
      <w:numFmt w:val="decimal"/>
      <w:lvlText w:val="%4."/>
      <w:lvlJc w:val="left"/>
      <w:pPr>
        <w:ind w:left="2700" w:hanging="420"/>
      </w:pPr>
    </w:lvl>
    <w:lvl w:ilvl="4" w:tentative="0">
      <w:start w:val="1"/>
      <w:numFmt w:val="lowerLetter"/>
      <w:lvlText w:val="%5)"/>
      <w:lvlJc w:val="left"/>
      <w:pPr>
        <w:ind w:left="3120" w:hanging="420"/>
      </w:pPr>
    </w:lvl>
    <w:lvl w:ilvl="5" w:tentative="0">
      <w:start w:val="1"/>
      <w:numFmt w:val="lowerRoman"/>
      <w:lvlText w:val="%6."/>
      <w:lvlJc w:val="right"/>
      <w:pPr>
        <w:ind w:left="3540" w:hanging="420"/>
      </w:pPr>
    </w:lvl>
    <w:lvl w:ilvl="6" w:tentative="0">
      <w:start w:val="1"/>
      <w:numFmt w:val="decimal"/>
      <w:lvlText w:val="%7."/>
      <w:lvlJc w:val="left"/>
      <w:pPr>
        <w:ind w:left="3960" w:hanging="420"/>
      </w:pPr>
    </w:lvl>
    <w:lvl w:ilvl="7" w:tentative="0">
      <w:start w:val="1"/>
      <w:numFmt w:val="lowerLetter"/>
      <w:lvlText w:val="%8)"/>
      <w:lvlJc w:val="left"/>
      <w:pPr>
        <w:ind w:left="4380" w:hanging="420"/>
      </w:pPr>
    </w:lvl>
    <w:lvl w:ilvl="8" w:tentative="0">
      <w:start w:val="1"/>
      <w:numFmt w:val="lowerRoman"/>
      <w:lvlText w:val="%9."/>
      <w:lvlJc w:val="right"/>
      <w:pPr>
        <w:ind w:left="4800" w:hanging="420"/>
      </w:pPr>
    </w:lvl>
  </w:abstractNum>
  <w:abstractNum w:abstractNumId="7">
    <w:nsid w:val="0CBB2216"/>
    <w:multiLevelType w:val="multilevel"/>
    <w:tmpl w:val="0CBB2216"/>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sz w:val="24"/>
        <w:szCs w:val="24"/>
      </w:rPr>
    </w:lvl>
    <w:lvl w:ilvl="2" w:tentative="0">
      <w:start w:val="1"/>
      <w:numFmt w:val="decimal"/>
      <w:lvlText w:val="%3."/>
      <w:lvlJc w:val="left"/>
      <w:pPr>
        <w:ind w:left="1418" w:hanging="567"/>
      </w:pPr>
      <w:rPr>
        <w:rFonts w:hint="eastAsia" w:ascii="仿宋_GB2312" w:eastAsia="仿宋_GB2312"/>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0DE9669A"/>
    <w:multiLevelType w:val="multilevel"/>
    <w:tmpl w:val="0DE9669A"/>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color w:val="auto"/>
        <w:sz w:val="24"/>
        <w:szCs w:val="24"/>
      </w:rPr>
    </w:lvl>
    <w:lvl w:ilvl="2" w:tentative="0">
      <w:start w:val="1"/>
      <w:numFmt w:val="decimal"/>
      <w:lvlText w:val="%3."/>
      <w:lvlJc w:val="left"/>
      <w:pPr>
        <w:ind w:left="1418" w:hanging="567"/>
      </w:pPr>
      <w:rPr>
        <w:rFonts w:hint="eastAsia" w:ascii="仿宋_GB2312" w:eastAsia="仿宋_GB2312"/>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10D5BA17"/>
    <w:multiLevelType w:val="singleLevel"/>
    <w:tmpl w:val="10D5BA17"/>
    <w:lvl w:ilvl="0" w:tentative="0">
      <w:start w:val="1"/>
      <w:numFmt w:val="decimal"/>
      <w:suff w:val="nothing"/>
      <w:lvlText w:val="%1、"/>
      <w:lvlJc w:val="left"/>
    </w:lvl>
  </w:abstractNum>
  <w:abstractNum w:abstractNumId="10">
    <w:nsid w:val="208A7ABE"/>
    <w:multiLevelType w:val="multilevel"/>
    <w:tmpl w:val="208A7ABE"/>
    <w:lvl w:ilvl="0" w:tentative="0">
      <w:start w:val="1"/>
      <w:numFmt w:val="decimal"/>
      <w:pStyle w:val="171"/>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2D3B8637"/>
    <w:multiLevelType w:val="singleLevel"/>
    <w:tmpl w:val="2D3B8637"/>
    <w:lvl w:ilvl="0" w:tentative="0">
      <w:start w:val="1"/>
      <w:numFmt w:val="chineseCounting"/>
      <w:suff w:val="nothing"/>
      <w:lvlText w:val="（%1）"/>
      <w:lvlJc w:val="left"/>
      <w:pPr>
        <w:ind w:left="0" w:firstLine="420"/>
      </w:pPr>
      <w:rPr>
        <w:rFonts w:hint="eastAsia"/>
      </w:rPr>
    </w:lvl>
  </w:abstractNum>
  <w:abstractNum w:abstractNumId="12">
    <w:nsid w:val="2E246997"/>
    <w:multiLevelType w:val="multilevel"/>
    <w:tmpl w:val="2E246997"/>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仿宋_GB2312" w:eastAsia="仿宋_GB2312"/>
        <w:sz w:val="24"/>
        <w:szCs w:val="24"/>
      </w:rPr>
    </w:lvl>
    <w:lvl w:ilvl="2" w:tentative="0">
      <w:start w:val="1"/>
      <w:numFmt w:val="decimal"/>
      <w:lvlText w:val="%3."/>
      <w:lvlJc w:val="left"/>
      <w:pPr>
        <w:ind w:left="1418" w:hanging="567"/>
      </w:pPr>
      <w:rPr>
        <w:rFonts w:hint="eastAsia" w:ascii="宋体" w:hAnsi="宋体" w:eastAsia="宋体"/>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32411EB3"/>
    <w:multiLevelType w:val="multilevel"/>
    <w:tmpl w:val="32411EB3"/>
    <w:lvl w:ilvl="0" w:tentative="0">
      <w:start w:val="1"/>
      <w:numFmt w:val="chineseCountingThousand"/>
      <w:pStyle w:val="236"/>
      <w:lvlText w:val="%1、"/>
      <w:lvlJc w:val="left"/>
      <w:pPr>
        <w:ind w:left="30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3DAE7315"/>
    <w:multiLevelType w:val="multilevel"/>
    <w:tmpl w:val="3DAE7315"/>
    <w:lvl w:ilvl="0" w:tentative="0">
      <w:start w:val="1"/>
      <w:numFmt w:val="decimal"/>
      <w:pStyle w:val="249"/>
      <w:lvlText w:val="%1."/>
      <w:lvlJc w:val="left"/>
      <w:pPr>
        <w:tabs>
          <w:tab w:val="left" w:pos="965"/>
        </w:tabs>
        <w:ind w:left="965" w:hanging="425"/>
      </w:pPr>
      <w:rPr>
        <w:rFonts w:hint="eastAsia"/>
      </w:rPr>
    </w:lvl>
    <w:lvl w:ilvl="1" w:tentative="0">
      <w:start w:val="1"/>
      <w:numFmt w:val="decimal"/>
      <w:lvlText w:val="%1.%2."/>
      <w:lvlJc w:val="left"/>
      <w:pPr>
        <w:tabs>
          <w:tab w:val="left" w:pos="1107"/>
        </w:tabs>
        <w:ind w:left="1107" w:hanging="567"/>
      </w:pPr>
      <w:rPr>
        <w:rFonts w:hint="eastAsia"/>
      </w:rPr>
    </w:lvl>
    <w:lvl w:ilvl="2" w:tentative="0">
      <w:start w:val="1"/>
      <w:numFmt w:val="decimal"/>
      <w:lvlText w:val="%1.%2.%3."/>
      <w:lvlJc w:val="left"/>
      <w:pPr>
        <w:tabs>
          <w:tab w:val="left" w:pos="1249"/>
        </w:tabs>
        <w:ind w:left="1249" w:hanging="709"/>
      </w:pPr>
      <w:rPr>
        <w:rFonts w:hint="eastAsia"/>
      </w:rPr>
    </w:lvl>
    <w:lvl w:ilvl="3" w:tentative="0">
      <w:start w:val="1"/>
      <w:numFmt w:val="decimal"/>
      <w:lvlText w:val="%1.%2.%3.%4."/>
      <w:lvlJc w:val="left"/>
      <w:pPr>
        <w:tabs>
          <w:tab w:val="left" w:pos="1391"/>
        </w:tabs>
        <w:ind w:left="1391" w:hanging="851"/>
      </w:pPr>
      <w:rPr>
        <w:rFonts w:hint="eastAsia"/>
      </w:rPr>
    </w:lvl>
    <w:lvl w:ilvl="4" w:tentative="0">
      <w:start w:val="1"/>
      <w:numFmt w:val="decimal"/>
      <w:lvlText w:val="%1.%2.%3.%4.%5."/>
      <w:lvlJc w:val="left"/>
      <w:pPr>
        <w:tabs>
          <w:tab w:val="left" w:pos="1532"/>
        </w:tabs>
        <w:ind w:left="1532" w:hanging="992"/>
      </w:pPr>
      <w:rPr>
        <w:rFonts w:hint="eastAsia"/>
      </w:rPr>
    </w:lvl>
    <w:lvl w:ilvl="5" w:tentative="0">
      <w:start w:val="1"/>
      <w:numFmt w:val="decimal"/>
      <w:lvlText w:val="%1.%2.%3.%4.%5.%6."/>
      <w:lvlJc w:val="left"/>
      <w:pPr>
        <w:tabs>
          <w:tab w:val="left" w:pos="1674"/>
        </w:tabs>
        <w:ind w:left="1674" w:hanging="1134"/>
      </w:pPr>
      <w:rPr>
        <w:rFonts w:hint="eastAsia"/>
      </w:rPr>
    </w:lvl>
    <w:lvl w:ilvl="6" w:tentative="0">
      <w:start w:val="1"/>
      <w:numFmt w:val="decimal"/>
      <w:lvlText w:val="%1.%2.%3.%4.%5.%6.%7."/>
      <w:lvlJc w:val="left"/>
      <w:pPr>
        <w:tabs>
          <w:tab w:val="left" w:pos="1816"/>
        </w:tabs>
        <w:ind w:left="1816" w:hanging="1276"/>
      </w:pPr>
      <w:rPr>
        <w:rFonts w:hint="eastAsia"/>
      </w:rPr>
    </w:lvl>
    <w:lvl w:ilvl="7" w:tentative="0">
      <w:start w:val="1"/>
      <w:numFmt w:val="decimal"/>
      <w:lvlText w:val="%1.%2.%3.%4.%5.%6.%7.%8."/>
      <w:lvlJc w:val="left"/>
      <w:pPr>
        <w:tabs>
          <w:tab w:val="left" w:pos="1958"/>
        </w:tabs>
        <w:ind w:left="1958" w:hanging="1418"/>
      </w:pPr>
      <w:rPr>
        <w:rFonts w:hint="eastAsia"/>
      </w:rPr>
    </w:lvl>
    <w:lvl w:ilvl="8" w:tentative="0">
      <w:start w:val="1"/>
      <w:numFmt w:val="decimal"/>
      <w:lvlText w:val="%1.%2.%3.%4.%5.%6.%7.%8.%9."/>
      <w:lvlJc w:val="left"/>
      <w:pPr>
        <w:tabs>
          <w:tab w:val="left" w:pos="2099"/>
        </w:tabs>
        <w:ind w:left="2099" w:hanging="1559"/>
      </w:pPr>
      <w:rPr>
        <w:rFonts w:hint="eastAsia"/>
      </w:rPr>
    </w:lvl>
  </w:abstractNum>
  <w:abstractNum w:abstractNumId="15">
    <w:nsid w:val="56216BF3"/>
    <w:multiLevelType w:val="multilevel"/>
    <w:tmpl w:val="56216BF3"/>
    <w:lvl w:ilvl="0" w:tentative="0">
      <w:start w:val="2"/>
      <w:numFmt w:val="decimal"/>
      <w:lvlText w:val="%1."/>
      <w:lvlJc w:val="left"/>
      <w:pPr>
        <w:tabs>
          <w:tab w:val="left" w:pos="840"/>
        </w:tabs>
        <w:ind w:left="840" w:hanging="420"/>
      </w:pPr>
      <w:rPr>
        <w:rFonts w:hint="eastAsia"/>
        <w:color w:val="auto"/>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6">
    <w:nsid w:val="59A303B5"/>
    <w:multiLevelType w:val="singleLevel"/>
    <w:tmpl w:val="59A303B5"/>
    <w:lvl w:ilvl="0" w:tentative="0">
      <w:start w:val="1"/>
      <w:numFmt w:val="chineseCounting"/>
      <w:suff w:val="space"/>
      <w:lvlText w:val="第%1章"/>
      <w:lvlJc w:val="left"/>
      <w:rPr>
        <w:rFonts w:hint="eastAsia"/>
        <w:b/>
        <w:bCs/>
        <w:sz w:val="28"/>
        <w:szCs w:val="28"/>
      </w:rPr>
    </w:lvl>
  </w:abstractNum>
  <w:abstractNum w:abstractNumId="17">
    <w:nsid w:val="6E6F60E8"/>
    <w:multiLevelType w:val="multilevel"/>
    <w:tmpl w:val="6E6F60E8"/>
    <w:lvl w:ilvl="0" w:tentative="0">
      <w:start w:val="1"/>
      <w:numFmt w:val="decimal"/>
      <w:pStyle w:val="172"/>
      <w:lvlText w:val="%1"/>
      <w:lvlJc w:val="left"/>
      <w:pPr>
        <w:ind w:left="432" w:hanging="432"/>
      </w:pPr>
    </w:lvl>
    <w:lvl w:ilvl="1" w:tentative="0">
      <w:start w:val="1"/>
      <w:numFmt w:val="decimal"/>
      <w:pStyle w:val="121"/>
      <w:lvlText w:val="%1.%2"/>
      <w:lvlJc w:val="left"/>
      <w:pPr>
        <w:ind w:left="576" w:hanging="576"/>
      </w:pPr>
    </w:lvl>
    <w:lvl w:ilvl="2" w:tentative="0">
      <w:start w:val="1"/>
      <w:numFmt w:val="decimal"/>
      <w:pStyle w:val="105"/>
      <w:lvlText w:val="%1.%2.%3"/>
      <w:lvlJc w:val="left"/>
      <w:pPr>
        <w:ind w:left="720" w:hanging="720"/>
      </w:pPr>
    </w:lvl>
    <w:lvl w:ilvl="3" w:tentative="0">
      <w:start w:val="1"/>
      <w:numFmt w:val="decimal"/>
      <w:pStyle w:val="119"/>
      <w:lvlText w:val="%1.%2.%3.%4"/>
      <w:lvlJc w:val="left"/>
      <w:pPr>
        <w:ind w:left="864" w:hanging="864"/>
      </w:pPr>
    </w:lvl>
    <w:lvl w:ilvl="4" w:tentative="0">
      <w:start w:val="1"/>
      <w:numFmt w:val="decimal"/>
      <w:pStyle w:val="96"/>
      <w:lvlText w:val="%1.%2.%3.%4.%5"/>
      <w:lvlJc w:val="left"/>
      <w:pPr>
        <w:ind w:left="1008" w:hanging="1008"/>
      </w:pPr>
    </w:lvl>
    <w:lvl w:ilvl="5" w:tentative="0">
      <w:start w:val="1"/>
      <w:numFmt w:val="decimal"/>
      <w:pStyle w:val="75"/>
      <w:lvlText w:val="%1.%2.%3.%4.%5.%6"/>
      <w:lvlJc w:val="left"/>
      <w:pPr>
        <w:ind w:left="1152" w:hanging="1152"/>
      </w:pPr>
    </w:lvl>
    <w:lvl w:ilvl="6" w:tentative="0">
      <w:start w:val="1"/>
      <w:numFmt w:val="decimal"/>
      <w:pStyle w:val="131"/>
      <w:lvlText w:val="%1.%2.%3.%4.%5.%6.%7"/>
      <w:lvlJc w:val="left"/>
      <w:pPr>
        <w:ind w:left="1296" w:hanging="1296"/>
      </w:pPr>
    </w:lvl>
    <w:lvl w:ilvl="7" w:tentative="0">
      <w:start w:val="1"/>
      <w:numFmt w:val="decimal"/>
      <w:pStyle w:val="85"/>
      <w:lvlText w:val="%1.%2.%3.%4.%5.%6.%7.%8"/>
      <w:lvlJc w:val="left"/>
      <w:pPr>
        <w:ind w:left="1440" w:hanging="1440"/>
      </w:pPr>
    </w:lvl>
    <w:lvl w:ilvl="8" w:tentative="0">
      <w:start w:val="1"/>
      <w:numFmt w:val="decimal"/>
      <w:pStyle w:val="126"/>
      <w:lvlText w:val="%1.%2.%3.%4.%5.%6.%7.%8.%9"/>
      <w:lvlJc w:val="left"/>
      <w:pPr>
        <w:ind w:left="1584" w:hanging="1584"/>
      </w:pPr>
    </w:lvl>
  </w:abstractNum>
  <w:num w:numId="1">
    <w:abstractNumId w:val="17"/>
  </w:num>
  <w:num w:numId="2">
    <w:abstractNumId w:val="10"/>
  </w:num>
  <w:num w:numId="3">
    <w:abstractNumId w:val="13"/>
  </w:num>
  <w:num w:numId="4">
    <w:abstractNumId w:val="2"/>
  </w:num>
  <w:num w:numId="5">
    <w:abstractNumId w:val="14"/>
  </w:num>
  <w:num w:numId="6">
    <w:abstractNumId w:val="16"/>
  </w:num>
  <w:num w:numId="7">
    <w:abstractNumId w:val="11"/>
  </w:num>
  <w:num w:numId="8">
    <w:abstractNumId w:val="6"/>
  </w:num>
  <w:num w:numId="9">
    <w:abstractNumId w:val="9"/>
  </w:num>
  <w:num w:numId="10">
    <w:abstractNumId w:val="0"/>
  </w:num>
  <w:num w:numId="11">
    <w:abstractNumId w:val="5"/>
  </w:num>
  <w:num w:numId="12">
    <w:abstractNumId w:val="3"/>
  </w:num>
  <w:num w:numId="13">
    <w:abstractNumId w:val="15"/>
  </w:num>
  <w:num w:numId="14">
    <w:abstractNumId w:val="8"/>
  </w:num>
  <w:num w:numId="15">
    <w:abstractNumId w:val="12"/>
  </w:num>
  <w:num w:numId="16">
    <w:abstractNumId w:val="7"/>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mM2YmM3MTZjZDAwNDYxYmJlMTcxOGQxNjA2NWUifQ=="/>
  </w:docVars>
  <w:rsids>
    <w:rsidRoot w:val="00172A27"/>
    <w:rsid w:val="000A0B95"/>
    <w:rsid w:val="000D2E1E"/>
    <w:rsid w:val="000E7AF4"/>
    <w:rsid w:val="00113722"/>
    <w:rsid w:val="00136C89"/>
    <w:rsid w:val="001C048E"/>
    <w:rsid w:val="001E3F7F"/>
    <w:rsid w:val="001F07C6"/>
    <w:rsid w:val="00351550"/>
    <w:rsid w:val="00377A43"/>
    <w:rsid w:val="004070E3"/>
    <w:rsid w:val="004B08D6"/>
    <w:rsid w:val="005631B2"/>
    <w:rsid w:val="00577718"/>
    <w:rsid w:val="005D51F3"/>
    <w:rsid w:val="0061509F"/>
    <w:rsid w:val="00616383"/>
    <w:rsid w:val="00645E5E"/>
    <w:rsid w:val="00674ED3"/>
    <w:rsid w:val="007424DB"/>
    <w:rsid w:val="007D42B3"/>
    <w:rsid w:val="008D65F2"/>
    <w:rsid w:val="008E683E"/>
    <w:rsid w:val="0091694C"/>
    <w:rsid w:val="009B1188"/>
    <w:rsid w:val="009D5139"/>
    <w:rsid w:val="00AA6254"/>
    <w:rsid w:val="00AF3974"/>
    <w:rsid w:val="00AF5723"/>
    <w:rsid w:val="00B315B3"/>
    <w:rsid w:val="00CE4F62"/>
    <w:rsid w:val="00CF257F"/>
    <w:rsid w:val="00D40D69"/>
    <w:rsid w:val="00D627A2"/>
    <w:rsid w:val="00D9050A"/>
    <w:rsid w:val="00E2555C"/>
    <w:rsid w:val="00E80370"/>
    <w:rsid w:val="00E87356"/>
    <w:rsid w:val="00F50CDF"/>
    <w:rsid w:val="00FD2070"/>
    <w:rsid w:val="010303B2"/>
    <w:rsid w:val="013730A5"/>
    <w:rsid w:val="01464059"/>
    <w:rsid w:val="014A102B"/>
    <w:rsid w:val="01514167"/>
    <w:rsid w:val="0176597C"/>
    <w:rsid w:val="017D31AE"/>
    <w:rsid w:val="018A7679"/>
    <w:rsid w:val="01A3073B"/>
    <w:rsid w:val="01CA216C"/>
    <w:rsid w:val="01DE20EA"/>
    <w:rsid w:val="01E46D89"/>
    <w:rsid w:val="01EA636A"/>
    <w:rsid w:val="02193E6C"/>
    <w:rsid w:val="02203B3A"/>
    <w:rsid w:val="0224362A"/>
    <w:rsid w:val="02481162"/>
    <w:rsid w:val="025C7268"/>
    <w:rsid w:val="02691984"/>
    <w:rsid w:val="02704AC1"/>
    <w:rsid w:val="027E26C8"/>
    <w:rsid w:val="02832A46"/>
    <w:rsid w:val="029159B3"/>
    <w:rsid w:val="02A31045"/>
    <w:rsid w:val="02B966E2"/>
    <w:rsid w:val="02C72207"/>
    <w:rsid w:val="02D432A2"/>
    <w:rsid w:val="02FE3E7B"/>
    <w:rsid w:val="02FF3DAA"/>
    <w:rsid w:val="030671D3"/>
    <w:rsid w:val="030D2310"/>
    <w:rsid w:val="031E65F4"/>
    <w:rsid w:val="032F4483"/>
    <w:rsid w:val="033755DF"/>
    <w:rsid w:val="034D23D3"/>
    <w:rsid w:val="037C7496"/>
    <w:rsid w:val="0383189F"/>
    <w:rsid w:val="0394658D"/>
    <w:rsid w:val="03A26EFC"/>
    <w:rsid w:val="03AA5DB1"/>
    <w:rsid w:val="03B15391"/>
    <w:rsid w:val="03B73450"/>
    <w:rsid w:val="03B86145"/>
    <w:rsid w:val="03BD5AE4"/>
    <w:rsid w:val="03D35307"/>
    <w:rsid w:val="03E272F9"/>
    <w:rsid w:val="03E33071"/>
    <w:rsid w:val="03EE0393"/>
    <w:rsid w:val="03FF7DBF"/>
    <w:rsid w:val="04067072"/>
    <w:rsid w:val="04194CE4"/>
    <w:rsid w:val="04253689"/>
    <w:rsid w:val="0428323A"/>
    <w:rsid w:val="0463501A"/>
    <w:rsid w:val="0465118C"/>
    <w:rsid w:val="047B14FB"/>
    <w:rsid w:val="04880257"/>
    <w:rsid w:val="04A22F2C"/>
    <w:rsid w:val="04AA02F5"/>
    <w:rsid w:val="04AE7B23"/>
    <w:rsid w:val="04BA64C7"/>
    <w:rsid w:val="04E470A0"/>
    <w:rsid w:val="04EB042F"/>
    <w:rsid w:val="04F72C40"/>
    <w:rsid w:val="04FD0F75"/>
    <w:rsid w:val="051536FE"/>
    <w:rsid w:val="0534627A"/>
    <w:rsid w:val="05435095"/>
    <w:rsid w:val="05526700"/>
    <w:rsid w:val="05544226"/>
    <w:rsid w:val="055B5FF5"/>
    <w:rsid w:val="057B775B"/>
    <w:rsid w:val="05924D4E"/>
    <w:rsid w:val="05956E9C"/>
    <w:rsid w:val="059F5A42"/>
    <w:rsid w:val="05BD2FFC"/>
    <w:rsid w:val="05E732EC"/>
    <w:rsid w:val="05FE1051"/>
    <w:rsid w:val="06107D65"/>
    <w:rsid w:val="061D0ABC"/>
    <w:rsid w:val="0620783D"/>
    <w:rsid w:val="0627261B"/>
    <w:rsid w:val="062736E9"/>
    <w:rsid w:val="06436049"/>
    <w:rsid w:val="064E5119"/>
    <w:rsid w:val="06645BD6"/>
    <w:rsid w:val="06681DD9"/>
    <w:rsid w:val="06762EB6"/>
    <w:rsid w:val="067F1777"/>
    <w:rsid w:val="06944AF3"/>
    <w:rsid w:val="06993239"/>
    <w:rsid w:val="06B121CE"/>
    <w:rsid w:val="06BA455D"/>
    <w:rsid w:val="06C27B4C"/>
    <w:rsid w:val="06DF3FC3"/>
    <w:rsid w:val="06EE2458"/>
    <w:rsid w:val="07073B09"/>
    <w:rsid w:val="07153E89"/>
    <w:rsid w:val="07155C37"/>
    <w:rsid w:val="071F6AB6"/>
    <w:rsid w:val="07352BCC"/>
    <w:rsid w:val="073A569E"/>
    <w:rsid w:val="07A56FBB"/>
    <w:rsid w:val="07AB20F7"/>
    <w:rsid w:val="07B7320E"/>
    <w:rsid w:val="07D4680E"/>
    <w:rsid w:val="07D93108"/>
    <w:rsid w:val="07E5385B"/>
    <w:rsid w:val="07FE669E"/>
    <w:rsid w:val="08362309"/>
    <w:rsid w:val="08365B44"/>
    <w:rsid w:val="087D5842"/>
    <w:rsid w:val="08962DA7"/>
    <w:rsid w:val="089B46AC"/>
    <w:rsid w:val="08A37C0E"/>
    <w:rsid w:val="08B029E1"/>
    <w:rsid w:val="08C2226A"/>
    <w:rsid w:val="08CC0577"/>
    <w:rsid w:val="08D66710"/>
    <w:rsid w:val="08D81758"/>
    <w:rsid w:val="08D926D2"/>
    <w:rsid w:val="08DB0835"/>
    <w:rsid w:val="090221EB"/>
    <w:rsid w:val="09052E6E"/>
    <w:rsid w:val="09120680"/>
    <w:rsid w:val="09203F73"/>
    <w:rsid w:val="092969FC"/>
    <w:rsid w:val="09410F65"/>
    <w:rsid w:val="09655430"/>
    <w:rsid w:val="09811362"/>
    <w:rsid w:val="098F7F23"/>
    <w:rsid w:val="09A72A9A"/>
    <w:rsid w:val="09CD1640"/>
    <w:rsid w:val="09CE71D7"/>
    <w:rsid w:val="09D771D4"/>
    <w:rsid w:val="09F00295"/>
    <w:rsid w:val="0A0B125D"/>
    <w:rsid w:val="0A122902"/>
    <w:rsid w:val="0A1503F6"/>
    <w:rsid w:val="0A275AF1"/>
    <w:rsid w:val="0A4A0C41"/>
    <w:rsid w:val="0A530F50"/>
    <w:rsid w:val="0A56459C"/>
    <w:rsid w:val="0A690774"/>
    <w:rsid w:val="0A742C74"/>
    <w:rsid w:val="0A84735B"/>
    <w:rsid w:val="0A8E1F88"/>
    <w:rsid w:val="0A9C3C66"/>
    <w:rsid w:val="0AA95F32"/>
    <w:rsid w:val="0ABA43A4"/>
    <w:rsid w:val="0ABD286D"/>
    <w:rsid w:val="0AD55E09"/>
    <w:rsid w:val="0ADD4CBE"/>
    <w:rsid w:val="0ADF0A36"/>
    <w:rsid w:val="0AEE2A27"/>
    <w:rsid w:val="0AF56886"/>
    <w:rsid w:val="0AFC119D"/>
    <w:rsid w:val="0B2621C1"/>
    <w:rsid w:val="0B310A80"/>
    <w:rsid w:val="0B457607"/>
    <w:rsid w:val="0B4765DB"/>
    <w:rsid w:val="0B492353"/>
    <w:rsid w:val="0B6270BD"/>
    <w:rsid w:val="0B947FD2"/>
    <w:rsid w:val="0B9C2483"/>
    <w:rsid w:val="0BC854C9"/>
    <w:rsid w:val="0BDE1D0F"/>
    <w:rsid w:val="0BDE2A9B"/>
    <w:rsid w:val="0BE45BD8"/>
    <w:rsid w:val="0C120997"/>
    <w:rsid w:val="0C15627F"/>
    <w:rsid w:val="0C48260B"/>
    <w:rsid w:val="0C57284E"/>
    <w:rsid w:val="0C774C9E"/>
    <w:rsid w:val="0C782A72"/>
    <w:rsid w:val="0C7D0506"/>
    <w:rsid w:val="0C7D5712"/>
    <w:rsid w:val="0C806A6A"/>
    <w:rsid w:val="0C9618D0"/>
    <w:rsid w:val="0CA737D5"/>
    <w:rsid w:val="0CB0405C"/>
    <w:rsid w:val="0CBA2B69"/>
    <w:rsid w:val="0CBA3508"/>
    <w:rsid w:val="0CBD4DA7"/>
    <w:rsid w:val="0D467709"/>
    <w:rsid w:val="0D5A25F6"/>
    <w:rsid w:val="0D5B38CD"/>
    <w:rsid w:val="0D674D12"/>
    <w:rsid w:val="0D6D057B"/>
    <w:rsid w:val="0D8633EB"/>
    <w:rsid w:val="0D874808"/>
    <w:rsid w:val="0D897EDF"/>
    <w:rsid w:val="0D904269"/>
    <w:rsid w:val="0D9755F8"/>
    <w:rsid w:val="0D9C49BC"/>
    <w:rsid w:val="0DA63A8D"/>
    <w:rsid w:val="0DDA4074"/>
    <w:rsid w:val="0DE87C01"/>
    <w:rsid w:val="0DF02F5A"/>
    <w:rsid w:val="0E266CF7"/>
    <w:rsid w:val="0E323572"/>
    <w:rsid w:val="0E3D390F"/>
    <w:rsid w:val="0E5339EA"/>
    <w:rsid w:val="0E7771D7"/>
    <w:rsid w:val="0E7867FA"/>
    <w:rsid w:val="0E886205"/>
    <w:rsid w:val="0E947D89"/>
    <w:rsid w:val="0EB977F0"/>
    <w:rsid w:val="0EBE4E06"/>
    <w:rsid w:val="0EC56195"/>
    <w:rsid w:val="0EE04D7C"/>
    <w:rsid w:val="0F0942D3"/>
    <w:rsid w:val="0F182768"/>
    <w:rsid w:val="0F212E80"/>
    <w:rsid w:val="0F3375A2"/>
    <w:rsid w:val="0F3D7500"/>
    <w:rsid w:val="0F6634D4"/>
    <w:rsid w:val="0F7F6343"/>
    <w:rsid w:val="0FA91612"/>
    <w:rsid w:val="0FE96965"/>
    <w:rsid w:val="0FF13AD1"/>
    <w:rsid w:val="103758C5"/>
    <w:rsid w:val="10737C2F"/>
    <w:rsid w:val="1077526D"/>
    <w:rsid w:val="107E65FB"/>
    <w:rsid w:val="108C703D"/>
    <w:rsid w:val="108D2CE2"/>
    <w:rsid w:val="10AB0A18"/>
    <w:rsid w:val="10D26649"/>
    <w:rsid w:val="10DA295A"/>
    <w:rsid w:val="10F048B0"/>
    <w:rsid w:val="110A60E1"/>
    <w:rsid w:val="11131439"/>
    <w:rsid w:val="111451B1"/>
    <w:rsid w:val="11146A80"/>
    <w:rsid w:val="1122342A"/>
    <w:rsid w:val="112519A8"/>
    <w:rsid w:val="114710E3"/>
    <w:rsid w:val="11496C09"/>
    <w:rsid w:val="114C04A7"/>
    <w:rsid w:val="115455AE"/>
    <w:rsid w:val="115663CB"/>
    <w:rsid w:val="11800568"/>
    <w:rsid w:val="119A3908"/>
    <w:rsid w:val="11A2456B"/>
    <w:rsid w:val="11A71E76"/>
    <w:rsid w:val="11B5604C"/>
    <w:rsid w:val="11C47B72"/>
    <w:rsid w:val="11CE6B81"/>
    <w:rsid w:val="11DD55A3"/>
    <w:rsid w:val="120E5E65"/>
    <w:rsid w:val="122B7CDB"/>
    <w:rsid w:val="123E24E6"/>
    <w:rsid w:val="12457677"/>
    <w:rsid w:val="12541D09"/>
    <w:rsid w:val="125935A3"/>
    <w:rsid w:val="126A1DD0"/>
    <w:rsid w:val="127D550B"/>
    <w:rsid w:val="12891287"/>
    <w:rsid w:val="1291150E"/>
    <w:rsid w:val="129245E0"/>
    <w:rsid w:val="12AB516B"/>
    <w:rsid w:val="12B26A30"/>
    <w:rsid w:val="12E34E3B"/>
    <w:rsid w:val="12F4754D"/>
    <w:rsid w:val="130673D1"/>
    <w:rsid w:val="13166FBF"/>
    <w:rsid w:val="131F6E64"/>
    <w:rsid w:val="13225964"/>
    <w:rsid w:val="13345697"/>
    <w:rsid w:val="13477178"/>
    <w:rsid w:val="135875D7"/>
    <w:rsid w:val="135962A2"/>
    <w:rsid w:val="13645F7C"/>
    <w:rsid w:val="13646610"/>
    <w:rsid w:val="13657902"/>
    <w:rsid w:val="13697858"/>
    <w:rsid w:val="13702B73"/>
    <w:rsid w:val="138A58C4"/>
    <w:rsid w:val="138F28CD"/>
    <w:rsid w:val="139D73AE"/>
    <w:rsid w:val="13CA1B57"/>
    <w:rsid w:val="13E470BD"/>
    <w:rsid w:val="13ED3BC1"/>
    <w:rsid w:val="14171240"/>
    <w:rsid w:val="141C1D5E"/>
    <w:rsid w:val="14273009"/>
    <w:rsid w:val="143A0A8B"/>
    <w:rsid w:val="144E4756"/>
    <w:rsid w:val="145170CD"/>
    <w:rsid w:val="145C6C53"/>
    <w:rsid w:val="14627FE2"/>
    <w:rsid w:val="147617D7"/>
    <w:rsid w:val="14863CD0"/>
    <w:rsid w:val="14867537"/>
    <w:rsid w:val="1490225C"/>
    <w:rsid w:val="1498539B"/>
    <w:rsid w:val="149B5DB4"/>
    <w:rsid w:val="149C7998"/>
    <w:rsid w:val="149E6A86"/>
    <w:rsid w:val="14A32AD4"/>
    <w:rsid w:val="14C021B2"/>
    <w:rsid w:val="14CC4FA6"/>
    <w:rsid w:val="14CE5729"/>
    <w:rsid w:val="14D95677"/>
    <w:rsid w:val="14F434B3"/>
    <w:rsid w:val="15075309"/>
    <w:rsid w:val="150F1F18"/>
    <w:rsid w:val="15135018"/>
    <w:rsid w:val="1517474C"/>
    <w:rsid w:val="15320442"/>
    <w:rsid w:val="15453B8B"/>
    <w:rsid w:val="154F67B8"/>
    <w:rsid w:val="158C17BA"/>
    <w:rsid w:val="15AB6E4E"/>
    <w:rsid w:val="15AD5ED7"/>
    <w:rsid w:val="15B036FB"/>
    <w:rsid w:val="15B66837"/>
    <w:rsid w:val="15D373E9"/>
    <w:rsid w:val="16013F56"/>
    <w:rsid w:val="160629CE"/>
    <w:rsid w:val="16096967"/>
    <w:rsid w:val="162419F3"/>
    <w:rsid w:val="16282019"/>
    <w:rsid w:val="163559AE"/>
    <w:rsid w:val="16484F31"/>
    <w:rsid w:val="16897BE2"/>
    <w:rsid w:val="168B1A72"/>
    <w:rsid w:val="168B3820"/>
    <w:rsid w:val="168E3310"/>
    <w:rsid w:val="16B6358C"/>
    <w:rsid w:val="16C61224"/>
    <w:rsid w:val="16C70762"/>
    <w:rsid w:val="16EA49EA"/>
    <w:rsid w:val="16EF0253"/>
    <w:rsid w:val="16F07EE6"/>
    <w:rsid w:val="17033CFE"/>
    <w:rsid w:val="17045380"/>
    <w:rsid w:val="17081314"/>
    <w:rsid w:val="170A0BE8"/>
    <w:rsid w:val="17486E4C"/>
    <w:rsid w:val="174F1A40"/>
    <w:rsid w:val="1752433D"/>
    <w:rsid w:val="17590771"/>
    <w:rsid w:val="17771FF6"/>
    <w:rsid w:val="178070FD"/>
    <w:rsid w:val="179A3284"/>
    <w:rsid w:val="179B3F36"/>
    <w:rsid w:val="17A834B1"/>
    <w:rsid w:val="17C3523B"/>
    <w:rsid w:val="17C84600"/>
    <w:rsid w:val="17D032AF"/>
    <w:rsid w:val="18153CE9"/>
    <w:rsid w:val="18185587"/>
    <w:rsid w:val="18215501"/>
    <w:rsid w:val="182B52BA"/>
    <w:rsid w:val="183663E1"/>
    <w:rsid w:val="1840063A"/>
    <w:rsid w:val="185309D9"/>
    <w:rsid w:val="18552337"/>
    <w:rsid w:val="186979F5"/>
    <w:rsid w:val="18805DC9"/>
    <w:rsid w:val="18891FE1"/>
    <w:rsid w:val="188A6476"/>
    <w:rsid w:val="189F7A56"/>
    <w:rsid w:val="18A5116F"/>
    <w:rsid w:val="18A94A17"/>
    <w:rsid w:val="18C272A1"/>
    <w:rsid w:val="18C31D19"/>
    <w:rsid w:val="18CD6371"/>
    <w:rsid w:val="18D1554E"/>
    <w:rsid w:val="18FE477D"/>
    <w:rsid w:val="192D50F3"/>
    <w:rsid w:val="19322678"/>
    <w:rsid w:val="19360CA6"/>
    <w:rsid w:val="195E6FCA"/>
    <w:rsid w:val="196A3BC0"/>
    <w:rsid w:val="196F12BF"/>
    <w:rsid w:val="197D7D98"/>
    <w:rsid w:val="1998697F"/>
    <w:rsid w:val="199A6241"/>
    <w:rsid w:val="199B3FA9"/>
    <w:rsid w:val="199C5BE6"/>
    <w:rsid w:val="19A64890"/>
    <w:rsid w:val="19AF1697"/>
    <w:rsid w:val="19B4308D"/>
    <w:rsid w:val="19C0709D"/>
    <w:rsid w:val="19DE635C"/>
    <w:rsid w:val="1A00569B"/>
    <w:rsid w:val="1A097E40"/>
    <w:rsid w:val="1A0E09F0"/>
    <w:rsid w:val="1A186D58"/>
    <w:rsid w:val="1A19055F"/>
    <w:rsid w:val="1A4B1C44"/>
    <w:rsid w:val="1A501008"/>
    <w:rsid w:val="1A620D3B"/>
    <w:rsid w:val="1A6733E4"/>
    <w:rsid w:val="1A703458"/>
    <w:rsid w:val="1A7D3DC7"/>
    <w:rsid w:val="1A82318C"/>
    <w:rsid w:val="1AA278B2"/>
    <w:rsid w:val="1AA372E3"/>
    <w:rsid w:val="1AB71087"/>
    <w:rsid w:val="1AD0039B"/>
    <w:rsid w:val="1AD339E7"/>
    <w:rsid w:val="1AF7510D"/>
    <w:rsid w:val="1AFA71C6"/>
    <w:rsid w:val="1B0D0CA7"/>
    <w:rsid w:val="1B0E67CD"/>
    <w:rsid w:val="1B157B5C"/>
    <w:rsid w:val="1B1654A5"/>
    <w:rsid w:val="1B171B26"/>
    <w:rsid w:val="1B1968CC"/>
    <w:rsid w:val="1B28290B"/>
    <w:rsid w:val="1B3426D8"/>
    <w:rsid w:val="1B6D392C"/>
    <w:rsid w:val="1B7A7C4C"/>
    <w:rsid w:val="1B912B2A"/>
    <w:rsid w:val="1B9C202B"/>
    <w:rsid w:val="1B9C5CDC"/>
    <w:rsid w:val="1BA03766"/>
    <w:rsid w:val="1BA84C07"/>
    <w:rsid w:val="1BAA0105"/>
    <w:rsid w:val="1BAB226E"/>
    <w:rsid w:val="1BD96DDB"/>
    <w:rsid w:val="1BED5EE2"/>
    <w:rsid w:val="1BED75C0"/>
    <w:rsid w:val="1BF46D7D"/>
    <w:rsid w:val="1C0227D6"/>
    <w:rsid w:val="1C316C17"/>
    <w:rsid w:val="1C3402C6"/>
    <w:rsid w:val="1C343048"/>
    <w:rsid w:val="1C3A2147"/>
    <w:rsid w:val="1C5172BA"/>
    <w:rsid w:val="1C6C2EAA"/>
    <w:rsid w:val="1C6C40F3"/>
    <w:rsid w:val="1C6E39C8"/>
    <w:rsid w:val="1C897944"/>
    <w:rsid w:val="1C905C10"/>
    <w:rsid w:val="1CAD1CD2"/>
    <w:rsid w:val="1CB11B06"/>
    <w:rsid w:val="1CBC1555"/>
    <w:rsid w:val="1CBE2217"/>
    <w:rsid w:val="1CC21F65"/>
    <w:rsid w:val="1CC7132A"/>
    <w:rsid w:val="1CCB2BC8"/>
    <w:rsid w:val="1CDC4DD5"/>
    <w:rsid w:val="1CE52261"/>
    <w:rsid w:val="1D097B94"/>
    <w:rsid w:val="1D102A1C"/>
    <w:rsid w:val="1D183AFA"/>
    <w:rsid w:val="1D1C78C7"/>
    <w:rsid w:val="1D4670B7"/>
    <w:rsid w:val="1D5E1C8E"/>
    <w:rsid w:val="1D5F77B4"/>
    <w:rsid w:val="1D600616"/>
    <w:rsid w:val="1D617112"/>
    <w:rsid w:val="1D682B0D"/>
    <w:rsid w:val="1D6C637F"/>
    <w:rsid w:val="1D74500E"/>
    <w:rsid w:val="1D880AB9"/>
    <w:rsid w:val="1D990F18"/>
    <w:rsid w:val="1D9B1343"/>
    <w:rsid w:val="1DA94D64"/>
    <w:rsid w:val="1DC67833"/>
    <w:rsid w:val="1DE101C9"/>
    <w:rsid w:val="1DEA3522"/>
    <w:rsid w:val="1E4C0F46"/>
    <w:rsid w:val="1E5F6569"/>
    <w:rsid w:val="1E61376D"/>
    <w:rsid w:val="1E6601BC"/>
    <w:rsid w:val="1E71384D"/>
    <w:rsid w:val="1E756AAA"/>
    <w:rsid w:val="1E805C34"/>
    <w:rsid w:val="1E816369"/>
    <w:rsid w:val="1E8C6387"/>
    <w:rsid w:val="1E8D7F9E"/>
    <w:rsid w:val="1E952966"/>
    <w:rsid w:val="1E9C5AB7"/>
    <w:rsid w:val="1E9F255E"/>
    <w:rsid w:val="1EB235EC"/>
    <w:rsid w:val="1EB274F9"/>
    <w:rsid w:val="1EC11845"/>
    <w:rsid w:val="1ECE7590"/>
    <w:rsid w:val="1EE55FC5"/>
    <w:rsid w:val="1EE65894"/>
    <w:rsid w:val="1EFD779F"/>
    <w:rsid w:val="1F012CE5"/>
    <w:rsid w:val="1F122D30"/>
    <w:rsid w:val="1F3F33F9"/>
    <w:rsid w:val="1F4A5A0A"/>
    <w:rsid w:val="1F50379E"/>
    <w:rsid w:val="1F5729E6"/>
    <w:rsid w:val="1F62533A"/>
    <w:rsid w:val="1F7532BF"/>
    <w:rsid w:val="1F8D685B"/>
    <w:rsid w:val="1F973235"/>
    <w:rsid w:val="1FA140B4"/>
    <w:rsid w:val="1FB65DB1"/>
    <w:rsid w:val="1FBD3872"/>
    <w:rsid w:val="1FC55DBE"/>
    <w:rsid w:val="1FC61443"/>
    <w:rsid w:val="1FC63B1B"/>
    <w:rsid w:val="1FDA5258"/>
    <w:rsid w:val="1FF7FAE9"/>
    <w:rsid w:val="1FFC6345"/>
    <w:rsid w:val="2012398E"/>
    <w:rsid w:val="2012458D"/>
    <w:rsid w:val="203211B0"/>
    <w:rsid w:val="2042528F"/>
    <w:rsid w:val="20511636"/>
    <w:rsid w:val="206A26F8"/>
    <w:rsid w:val="207F45E4"/>
    <w:rsid w:val="20825C93"/>
    <w:rsid w:val="20897AC0"/>
    <w:rsid w:val="20B159DB"/>
    <w:rsid w:val="20B74CD8"/>
    <w:rsid w:val="20CA13E8"/>
    <w:rsid w:val="20EC59AF"/>
    <w:rsid w:val="20FD531A"/>
    <w:rsid w:val="210112AE"/>
    <w:rsid w:val="210E7527"/>
    <w:rsid w:val="210F504D"/>
    <w:rsid w:val="21223051"/>
    <w:rsid w:val="21262AC3"/>
    <w:rsid w:val="213A031C"/>
    <w:rsid w:val="214473ED"/>
    <w:rsid w:val="214A7448"/>
    <w:rsid w:val="21555156"/>
    <w:rsid w:val="21635AC5"/>
    <w:rsid w:val="216435EB"/>
    <w:rsid w:val="21751354"/>
    <w:rsid w:val="218D48F0"/>
    <w:rsid w:val="219C2D85"/>
    <w:rsid w:val="21AD0AEE"/>
    <w:rsid w:val="21B856E5"/>
    <w:rsid w:val="21BA320B"/>
    <w:rsid w:val="21D73DBD"/>
    <w:rsid w:val="21E455E6"/>
    <w:rsid w:val="21E85FCA"/>
    <w:rsid w:val="22140B6D"/>
    <w:rsid w:val="222F59A7"/>
    <w:rsid w:val="223034CD"/>
    <w:rsid w:val="22325497"/>
    <w:rsid w:val="223F67DF"/>
    <w:rsid w:val="22430B8A"/>
    <w:rsid w:val="226407FD"/>
    <w:rsid w:val="227452E1"/>
    <w:rsid w:val="229323DA"/>
    <w:rsid w:val="22941CAE"/>
    <w:rsid w:val="229A05E1"/>
    <w:rsid w:val="22A231A0"/>
    <w:rsid w:val="22A70192"/>
    <w:rsid w:val="22B440FE"/>
    <w:rsid w:val="22C53076"/>
    <w:rsid w:val="22CE62EF"/>
    <w:rsid w:val="22E22A19"/>
    <w:rsid w:val="22EC7543"/>
    <w:rsid w:val="22EF552E"/>
    <w:rsid w:val="22F0674E"/>
    <w:rsid w:val="23052BAC"/>
    <w:rsid w:val="23491FB8"/>
    <w:rsid w:val="235A2EF8"/>
    <w:rsid w:val="23607DE2"/>
    <w:rsid w:val="2366189C"/>
    <w:rsid w:val="238910E7"/>
    <w:rsid w:val="23953F30"/>
    <w:rsid w:val="239939F9"/>
    <w:rsid w:val="23A10ACC"/>
    <w:rsid w:val="23AA309D"/>
    <w:rsid w:val="23FE1AD5"/>
    <w:rsid w:val="240274A0"/>
    <w:rsid w:val="242A0319"/>
    <w:rsid w:val="24635DDC"/>
    <w:rsid w:val="246A53BC"/>
    <w:rsid w:val="24912A1F"/>
    <w:rsid w:val="249C45C3"/>
    <w:rsid w:val="249F30F8"/>
    <w:rsid w:val="24A87C93"/>
    <w:rsid w:val="24B0438A"/>
    <w:rsid w:val="24C049E1"/>
    <w:rsid w:val="24D26ABE"/>
    <w:rsid w:val="24DC492A"/>
    <w:rsid w:val="24F627AC"/>
    <w:rsid w:val="24F7479D"/>
    <w:rsid w:val="250E3F9A"/>
    <w:rsid w:val="250E5C4D"/>
    <w:rsid w:val="251515EE"/>
    <w:rsid w:val="25264E42"/>
    <w:rsid w:val="25311A36"/>
    <w:rsid w:val="2532799E"/>
    <w:rsid w:val="253D487F"/>
    <w:rsid w:val="25426D17"/>
    <w:rsid w:val="2551218E"/>
    <w:rsid w:val="2556149D"/>
    <w:rsid w:val="25587D72"/>
    <w:rsid w:val="2565556C"/>
    <w:rsid w:val="256F60A5"/>
    <w:rsid w:val="257007B0"/>
    <w:rsid w:val="25902C01"/>
    <w:rsid w:val="25A16BBC"/>
    <w:rsid w:val="25BF5294"/>
    <w:rsid w:val="25C1725E"/>
    <w:rsid w:val="25C65F2D"/>
    <w:rsid w:val="25CE54D7"/>
    <w:rsid w:val="25E60A73"/>
    <w:rsid w:val="25FA5DA4"/>
    <w:rsid w:val="25FB59F6"/>
    <w:rsid w:val="26090A33"/>
    <w:rsid w:val="2610121F"/>
    <w:rsid w:val="261C1D4F"/>
    <w:rsid w:val="262E41C8"/>
    <w:rsid w:val="26395046"/>
    <w:rsid w:val="2645230C"/>
    <w:rsid w:val="265C6F87"/>
    <w:rsid w:val="26712A32"/>
    <w:rsid w:val="267E1B9E"/>
    <w:rsid w:val="26880A39"/>
    <w:rsid w:val="268B33C8"/>
    <w:rsid w:val="26914E82"/>
    <w:rsid w:val="26964247"/>
    <w:rsid w:val="269C3741"/>
    <w:rsid w:val="26A050C5"/>
    <w:rsid w:val="26A34BB6"/>
    <w:rsid w:val="26BC7A25"/>
    <w:rsid w:val="26D71F7A"/>
    <w:rsid w:val="26E975DE"/>
    <w:rsid w:val="26F61189"/>
    <w:rsid w:val="26F66CCE"/>
    <w:rsid w:val="26F93445"/>
    <w:rsid w:val="27065518"/>
    <w:rsid w:val="27083FF7"/>
    <w:rsid w:val="27135897"/>
    <w:rsid w:val="271F410C"/>
    <w:rsid w:val="2720514D"/>
    <w:rsid w:val="272817EA"/>
    <w:rsid w:val="274243CE"/>
    <w:rsid w:val="274C29DB"/>
    <w:rsid w:val="27505355"/>
    <w:rsid w:val="275859A0"/>
    <w:rsid w:val="2781414E"/>
    <w:rsid w:val="27960276"/>
    <w:rsid w:val="279F6FE0"/>
    <w:rsid w:val="27C923FA"/>
    <w:rsid w:val="27CA4B95"/>
    <w:rsid w:val="27DA63B5"/>
    <w:rsid w:val="27E47750"/>
    <w:rsid w:val="27F02837"/>
    <w:rsid w:val="27FF5E1C"/>
    <w:rsid w:val="28096C9A"/>
    <w:rsid w:val="281B68BF"/>
    <w:rsid w:val="283104CD"/>
    <w:rsid w:val="283119ED"/>
    <w:rsid w:val="28464149"/>
    <w:rsid w:val="284D302B"/>
    <w:rsid w:val="28597726"/>
    <w:rsid w:val="285A30AC"/>
    <w:rsid w:val="28667C49"/>
    <w:rsid w:val="2874680A"/>
    <w:rsid w:val="28836A4D"/>
    <w:rsid w:val="2888357C"/>
    <w:rsid w:val="288A1B89"/>
    <w:rsid w:val="28CD5F1A"/>
    <w:rsid w:val="28D42E04"/>
    <w:rsid w:val="28DE3C83"/>
    <w:rsid w:val="28F53FCC"/>
    <w:rsid w:val="28FB2A87"/>
    <w:rsid w:val="28FD1CA0"/>
    <w:rsid w:val="292D0766"/>
    <w:rsid w:val="29342C24"/>
    <w:rsid w:val="29850CF1"/>
    <w:rsid w:val="298962E5"/>
    <w:rsid w:val="298D32BE"/>
    <w:rsid w:val="29A0718A"/>
    <w:rsid w:val="29AD7D02"/>
    <w:rsid w:val="29B068C2"/>
    <w:rsid w:val="29CC3582"/>
    <w:rsid w:val="29EE766F"/>
    <w:rsid w:val="29F400BC"/>
    <w:rsid w:val="29F50FC9"/>
    <w:rsid w:val="2A2925A7"/>
    <w:rsid w:val="2A2A67A2"/>
    <w:rsid w:val="2A3C5105"/>
    <w:rsid w:val="2A473AAA"/>
    <w:rsid w:val="2A4E3C41"/>
    <w:rsid w:val="2A4E6BE6"/>
    <w:rsid w:val="2A5345C5"/>
    <w:rsid w:val="2A7639C7"/>
    <w:rsid w:val="2A783C63"/>
    <w:rsid w:val="2A8526D7"/>
    <w:rsid w:val="2A8A440C"/>
    <w:rsid w:val="2A8B3997"/>
    <w:rsid w:val="2A8F75D4"/>
    <w:rsid w:val="2ADC0696"/>
    <w:rsid w:val="2AE00186"/>
    <w:rsid w:val="2AFC6642"/>
    <w:rsid w:val="2B013C59"/>
    <w:rsid w:val="2B014F34"/>
    <w:rsid w:val="2B0678B1"/>
    <w:rsid w:val="2B177920"/>
    <w:rsid w:val="2B2B52EF"/>
    <w:rsid w:val="2B3B1D2D"/>
    <w:rsid w:val="2B4104F9"/>
    <w:rsid w:val="2B6F32B8"/>
    <w:rsid w:val="2B72323A"/>
    <w:rsid w:val="2B732DA8"/>
    <w:rsid w:val="2B762899"/>
    <w:rsid w:val="2B9176D3"/>
    <w:rsid w:val="2B9F5CDF"/>
    <w:rsid w:val="2BB34E5E"/>
    <w:rsid w:val="2BCC24B9"/>
    <w:rsid w:val="2C0C6228"/>
    <w:rsid w:val="2C46307E"/>
    <w:rsid w:val="2C4F1ADE"/>
    <w:rsid w:val="2C5D5807"/>
    <w:rsid w:val="2C624BCB"/>
    <w:rsid w:val="2C6B1CD2"/>
    <w:rsid w:val="2C6E3570"/>
    <w:rsid w:val="2C716755"/>
    <w:rsid w:val="2C732934"/>
    <w:rsid w:val="2C8B6491"/>
    <w:rsid w:val="2C8D29E3"/>
    <w:rsid w:val="2C8F01BD"/>
    <w:rsid w:val="2CD5539D"/>
    <w:rsid w:val="2D056CAE"/>
    <w:rsid w:val="2D2A56EC"/>
    <w:rsid w:val="2D306A77"/>
    <w:rsid w:val="2D404C54"/>
    <w:rsid w:val="2D4250EB"/>
    <w:rsid w:val="2D567072"/>
    <w:rsid w:val="2D594220"/>
    <w:rsid w:val="2D714D1A"/>
    <w:rsid w:val="2D915768"/>
    <w:rsid w:val="2DAD1766"/>
    <w:rsid w:val="2DD16B9A"/>
    <w:rsid w:val="2DE64041"/>
    <w:rsid w:val="2DF31F7F"/>
    <w:rsid w:val="2E00644A"/>
    <w:rsid w:val="2E1F0FC6"/>
    <w:rsid w:val="2E4B3B69"/>
    <w:rsid w:val="2E532A1D"/>
    <w:rsid w:val="2E6B420B"/>
    <w:rsid w:val="2E9C4F6B"/>
    <w:rsid w:val="2EA63495"/>
    <w:rsid w:val="2EC13E2B"/>
    <w:rsid w:val="2EC3440E"/>
    <w:rsid w:val="2EC76F67"/>
    <w:rsid w:val="2ECD0A22"/>
    <w:rsid w:val="2ED26038"/>
    <w:rsid w:val="2ED3590C"/>
    <w:rsid w:val="2ED81174"/>
    <w:rsid w:val="2EE10029"/>
    <w:rsid w:val="2EE47B19"/>
    <w:rsid w:val="2EE8585B"/>
    <w:rsid w:val="2EFA733D"/>
    <w:rsid w:val="2F041F69"/>
    <w:rsid w:val="2F05640D"/>
    <w:rsid w:val="2F5702B4"/>
    <w:rsid w:val="2F6649D2"/>
    <w:rsid w:val="2F6A44C2"/>
    <w:rsid w:val="2F772B4A"/>
    <w:rsid w:val="2F794078"/>
    <w:rsid w:val="2F844A81"/>
    <w:rsid w:val="2FC02334"/>
    <w:rsid w:val="2FD63906"/>
    <w:rsid w:val="2FED0C50"/>
    <w:rsid w:val="2FEF2C1A"/>
    <w:rsid w:val="300977F9"/>
    <w:rsid w:val="30186097"/>
    <w:rsid w:val="301C6933"/>
    <w:rsid w:val="30207EA4"/>
    <w:rsid w:val="303348B4"/>
    <w:rsid w:val="30354B7A"/>
    <w:rsid w:val="305A4537"/>
    <w:rsid w:val="30601421"/>
    <w:rsid w:val="306E6556"/>
    <w:rsid w:val="30703D5A"/>
    <w:rsid w:val="30717AD3"/>
    <w:rsid w:val="30823A8E"/>
    <w:rsid w:val="30A113C9"/>
    <w:rsid w:val="30AA08EF"/>
    <w:rsid w:val="30E3607E"/>
    <w:rsid w:val="30F10646"/>
    <w:rsid w:val="30F46739"/>
    <w:rsid w:val="30F524B2"/>
    <w:rsid w:val="31072FD3"/>
    <w:rsid w:val="31095983"/>
    <w:rsid w:val="310B5831"/>
    <w:rsid w:val="31413001"/>
    <w:rsid w:val="31556AAC"/>
    <w:rsid w:val="315C6BA6"/>
    <w:rsid w:val="316D52FE"/>
    <w:rsid w:val="31771119"/>
    <w:rsid w:val="318712B1"/>
    <w:rsid w:val="3188340D"/>
    <w:rsid w:val="31D73965"/>
    <w:rsid w:val="31DB16A7"/>
    <w:rsid w:val="3203079E"/>
    <w:rsid w:val="32094632"/>
    <w:rsid w:val="320D55D9"/>
    <w:rsid w:val="32393CE3"/>
    <w:rsid w:val="32396A9E"/>
    <w:rsid w:val="32416A4E"/>
    <w:rsid w:val="324E1E79"/>
    <w:rsid w:val="325356E2"/>
    <w:rsid w:val="326276D3"/>
    <w:rsid w:val="32641137"/>
    <w:rsid w:val="3264344B"/>
    <w:rsid w:val="327B0795"/>
    <w:rsid w:val="327E7C00"/>
    <w:rsid w:val="32805DAB"/>
    <w:rsid w:val="328C0BF4"/>
    <w:rsid w:val="32B50692"/>
    <w:rsid w:val="32D3237F"/>
    <w:rsid w:val="32E01E4F"/>
    <w:rsid w:val="32ED1692"/>
    <w:rsid w:val="32FF3174"/>
    <w:rsid w:val="332E1CAB"/>
    <w:rsid w:val="335D7788"/>
    <w:rsid w:val="33695A69"/>
    <w:rsid w:val="336E5A38"/>
    <w:rsid w:val="33893246"/>
    <w:rsid w:val="33943F37"/>
    <w:rsid w:val="33AA07F8"/>
    <w:rsid w:val="33AB1A51"/>
    <w:rsid w:val="33C543BD"/>
    <w:rsid w:val="33CE254C"/>
    <w:rsid w:val="33E012B1"/>
    <w:rsid w:val="33E81E5A"/>
    <w:rsid w:val="33F64577"/>
    <w:rsid w:val="34140EA1"/>
    <w:rsid w:val="341B3FDD"/>
    <w:rsid w:val="342B1D46"/>
    <w:rsid w:val="34323F85"/>
    <w:rsid w:val="34391D43"/>
    <w:rsid w:val="344F1ED9"/>
    <w:rsid w:val="34503F32"/>
    <w:rsid w:val="345C782B"/>
    <w:rsid w:val="347100A1"/>
    <w:rsid w:val="349F69BC"/>
    <w:rsid w:val="34CA77B1"/>
    <w:rsid w:val="34D070C7"/>
    <w:rsid w:val="34DA5C46"/>
    <w:rsid w:val="34E24AFB"/>
    <w:rsid w:val="35066A3B"/>
    <w:rsid w:val="350B5E00"/>
    <w:rsid w:val="3517698D"/>
    <w:rsid w:val="352275ED"/>
    <w:rsid w:val="354B3BAF"/>
    <w:rsid w:val="356E2833"/>
    <w:rsid w:val="3577310B"/>
    <w:rsid w:val="35A41DB0"/>
    <w:rsid w:val="35B244CD"/>
    <w:rsid w:val="35C97A69"/>
    <w:rsid w:val="35E545AB"/>
    <w:rsid w:val="35FE7713"/>
    <w:rsid w:val="360E6B1A"/>
    <w:rsid w:val="363E2205"/>
    <w:rsid w:val="364F7F6E"/>
    <w:rsid w:val="366D7A9B"/>
    <w:rsid w:val="366F0610"/>
    <w:rsid w:val="366F2EEF"/>
    <w:rsid w:val="3676374D"/>
    <w:rsid w:val="367D4D9D"/>
    <w:rsid w:val="36817FC8"/>
    <w:rsid w:val="36873BAC"/>
    <w:rsid w:val="36A302BA"/>
    <w:rsid w:val="36A84C9D"/>
    <w:rsid w:val="36B636BD"/>
    <w:rsid w:val="36BD137C"/>
    <w:rsid w:val="370451FC"/>
    <w:rsid w:val="370A20E7"/>
    <w:rsid w:val="372907BF"/>
    <w:rsid w:val="372D4840"/>
    <w:rsid w:val="37492C0F"/>
    <w:rsid w:val="377063EE"/>
    <w:rsid w:val="377B0377"/>
    <w:rsid w:val="377E4FAF"/>
    <w:rsid w:val="37891989"/>
    <w:rsid w:val="37A442EA"/>
    <w:rsid w:val="37B02C8E"/>
    <w:rsid w:val="37B22EAA"/>
    <w:rsid w:val="37CB6A6A"/>
    <w:rsid w:val="37DA7D0B"/>
    <w:rsid w:val="37FE7E9E"/>
    <w:rsid w:val="37FF7DBD"/>
    <w:rsid w:val="38107BD1"/>
    <w:rsid w:val="381A45AC"/>
    <w:rsid w:val="38390ED6"/>
    <w:rsid w:val="383A4FE8"/>
    <w:rsid w:val="385B07E6"/>
    <w:rsid w:val="385E21AE"/>
    <w:rsid w:val="387168C2"/>
    <w:rsid w:val="389C5B4B"/>
    <w:rsid w:val="38C51BD8"/>
    <w:rsid w:val="38C764E2"/>
    <w:rsid w:val="38CC3AF8"/>
    <w:rsid w:val="38D06275"/>
    <w:rsid w:val="38F117B0"/>
    <w:rsid w:val="38F4304F"/>
    <w:rsid w:val="38F512A1"/>
    <w:rsid w:val="38F62FA5"/>
    <w:rsid w:val="38F64C79"/>
    <w:rsid w:val="38FA77FB"/>
    <w:rsid w:val="38FE7A29"/>
    <w:rsid w:val="391B682D"/>
    <w:rsid w:val="39276F80"/>
    <w:rsid w:val="39383AB3"/>
    <w:rsid w:val="393A1476"/>
    <w:rsid w:val="39616936"/>
    <w:rsid w:val="39690A0F"/>
    <w:rsid w:val="39697599"/>
    <w:rsid w:val="397D4DF2"/>
    <w:rsid w:val="399A3BF6"/>
    <w:rsid w:val="399D77DD"/>
    <w:rsid w:val="39A24DEF"/>
    <w:rsid w:val="39AB7BB1"/>
    <w:rsid w:val="39D92970"/>
    <w:rsid w:val="39D95A06"/>
    <w:rsid w:val="39E135D3"/>
    <w:rsid w:val="39E170FB"/>
    <w:rsid w:val="39E3215F"/>
    <w:rsid w:val="39E906DA"/>
    <w:rsid w:val="39F67A59"/>
    <w:rsid w:val="3A1E38E8"/>
    <w:rsid w:val="3A1F5EA9"/>
    <w:rsid w:val="3A3B3A43"/>
    <w:rsid w:val="3A4F678F"/>
    <w:rsid w:val="3A5067E3"/>
    <w:rsid w:val="3A6C4914"/>
    <w:rsid w:val="3A83468A"/>
    <w:rsid w:val="3A8521B0"/>
    <w:rsid w:val="3AA50AA5"/>
    <w:rsid w:val="3AA606C8"/>
    <w:rsid w:val="3AA7481D"/>
    <w:rsid w:val="3AAC615F"/>
    <w:rsid w:val="3AAC77E3"/>
    <w:rsid w:val="3AB06CB7"/>
    <w:rsid w:val="3AB72586"/>
    <w:rsid w:val="3AC70A1B"/>
    <w:rsid w:val="3ADB3850"/>
    <w:rsid w:val="3AEF7F72"/>
    <w:rsid w:val="3AF86E26"/>
    <w:rsid w:val="3AFD268F"/>
    <w:rsid w:val="3B027CA5"/>
    <w:rsid w:val="3B2D45F6"/>
    <w:rsid w:val="3B4C0F20"/>
    <w:rsid w:val="3B4C21D4"/>
    <w:rsid w:val="3B5878C5"/>
    <w:rsid w:val="3B896DEE"/>
    <w:rsid w:val="3B8B1A48"/>
    <w:rsid w:val="3B8C4421"/>
    <w:rsid w:val="3B951C3E"/>
    <w:rsid w:val="3BC27434"/>
    <w:rsid w:val="3BDB6F58"/>
    <w:rsid w:val="3BF53366"/>
    <w:rsid w:val="3BFA097C"/>
    <w:rsid w:val="3C117F8F"/>
    <w:rsid w:val="3C246C30"/>
    <w:rsid w:val="3C327647"/>
    <w:rsid w:val="3C460065"/>
    <w:rsid w:val="3C480C83"/>
    <w:rsid w:val="3C5207B8"/>
    <w:rsid w:val="3C5264EE"/>
    <w:rsid w:val="3C6C438B"/>
    <w:rsid w:val="3C746980"/>
    <w:rsid w:val="3C9D12A4"/>
    <w:rsid w:val="3CAB2D43"/>
    <w:rsid w:val="3CD465CB"/>
    <w:rsid w:val="3CFB0E50"/>
    <w:rsid w:val="3CFC4A73"/>
    <w:rsid w:val="3D0221DE"/>
    <w:rsid w:val="3D0F66A9"/>
    <w:rsid w:val="3D135217"/>
    <w:rsid w:val="3D2263DC"/>
    <w:rsid w:val="3D237874"/>
    <w:rsid w:val="3D4C5207"/>
    <w:rsid w:val="3D4F7AA5"/>
    <w:rsid w:val="3D540560"/>
    <w:rsid w:val="3D5A0708"/>
    <w:rsid w:val="3D5A3DC8"/>
    <w:rsid w:val="3D6407A3"/>
    <w:rsid w:val="3D69714F"/>
    <w:rsid w:val="3D711112"/>
    <w:rsid w:val="3D713BA5"/>
    <w:rsid w:val="3D736C38"/>
    <w:rsid w:val="3D8765C1"/>
    <w:rsid w:val="3D895298"/>
    <w:rsid w:val="3D8B21D4"/>
    <w:rsid w:val="3D9170BE"/>
    <w:rsid w:val="3D9C7777"/>
    <w:rsid w:val="3DBC11F2"/>
    <w:rsid w:val="3DC54FBA"/>
    <w:rsid w:val="3DF338D5"/>
    <w:rsid w:val="3E0E4BB3"/>
    <w:rsid w:val="3E1C0FDC"/>
    <w:rsid w:val="3E2C6DE7"/>
    <w:rsid w:val="3E646119"/>
    <w:rsid w:val="3E650701"/>
    <w:rsid w:val="3E6C24C2"/>
    <w:rsid w:val="3E807AED"/>
    <w:rsid w:val="3E8F1850"/>
    <w:rsid w:val="3E95498C"/>
    <w:rsid w:val="3EA82911"/>
    <w:rsid w:val="3EB04187"/>
    <w:rsid w:val="3ED6747E"/>
    <w:rsid w:val="3ED731F7"/>
    <w:rsid w:val="3EEC1EFD"/>
    <w:rsid w:val="3EFBB5F1"/>
    <w:rsid w:val="3F015F8D"/>
    <w:rsid w:val="3F03696D"/>
    <w:rsid w:val="3F107AAB"/>
    <w:rsid w:val="3F1955BD"/>
    <w:rsid w:val="3F1B30E3"/>
    <w:rsid w:val="3F5619EC"/>
    <w:rsid w:val="3F5753B2"/>
    <w:rsid w:val="3F5F24A9"/>
    <w:rsid w:val="3F6A5E19"/>
    <w:rsid w:val="3F704420"/>
    <w:rsid w:val="3F762A0F"/>
    <w:rsid w:val="3F781941"/>
    <w:rsid w:val="3F7D3AC5"/>
    <w:rsid w:val="3FA66753"/>
    <w:rsid w:val="3FB96F48"/>
    <w:rsid w:val="3FBA180C"/>
    <w:rsid w:val="3FC67CFA"/>
    <w:rsid w:val="3FE51248"/>
    <w:rsid w:val="3FEF8BD6"/>
    <w:rsid w:val="3FF04570"/>
    <w:rsid w:val="3FF258F4"/>
    <w:rsid w:val="40161AFD"/>
    <w:rsid w:val="4022368E"/>
    <w:rsid w:val="40327FEF"/>
    <w:rsid w:val="403D244D"/>
    <w:rsid w:val="40405783"/>
    <w:rsid w:val="40520D87"/>
    <w:rsid w:val="40580367"/>
    <w:rsid w:val="40662A84"/>
    <w:rsid w:val="406F7333"/>
    <w:rsid w:val="4070756C"/>
    <w:rsid w:val="40880C4C"/>
    <w:rsid w:val="408829FA"/>
    <w:rsid w:val="40A47B7A"/>
    <w:rsid w:val="40C15F0C"/>
    <w:rsid w:val="40E27777"/>
    <w:rsid w:val="40E67C16"/>
    <w:rsid w:val="40EF4827"/>
    <w:rsid w:val="4105229D"/>
    <w:rsid w:val="4110479E"/>
    <w:rsid w:val="41133180"/>
    <w:rsid w:val="411F60A4"/>
    <w:rsid w:val="412E1EDF"/>
    <w:rsid w:val="413C3FFD"/>
    <w:rsid w:val="41452196"/>
    <w:rsid w:val="4150349A"/>
    <w:rsid w:val="415428DD"/>
    <w:rsid w:val="417774D2"/>
    <w:rsid w:val="419C06A3"/>
    <w:rsid w:val="419D6FB9"/>
    <w:rsid w:val="41A419D7"/>
    <w:rsid w:val="41A549F1"/>
    <w:rsid w:val="41D67795"/>
    <w:rsid w:val="41EA3241"/>
    <w:rsid w:val="41EE612F"/>
    <w:rsid w:val="41F30347"/>
    <w:rsid w:val="41F45FCD"/>
    <w:rsid w:val="420F2CA7"/>
    <w:rsid w:val="42112A00"/>
    <w:rsid w:val="42136D23"/>
    <w:rsid w:val="4217035F"/>
    <w:rsid w:val="422E75D1"/>
    <w:rsid w:val="42311E12"/>
    <w:rsid w:val="424E6DB4"/>
    <w:rsid w:val="425A2175"/>
    <w:rsid w:val="42621029"/>
    <w:rsid w:val="429E2AAA"/>
    <w:rsid w:val="42D2140C"/>
    <w:rsid w:val="42D24401"/>
    <w:rsid w:val="42D8494E"/>
    <w:rsid w:val="42DD061F"/>
    <w:rsid w:val="42ED123B"/>
    <w:rsid w:val="432037BD"/>
    <w:rsid w:val="43301A2C"/>
    <w:rsid w:val="433820D8"/>
    <w:rsid w:val="43486380"/>
    <w:rsid w:val="4359242C"/>
    <w:rsid w:val="435C72CE"/>
    <w:rsid w:val="436F39FE"/>
    <w:rsid w:val="43795779"/>
    <w:rsid w:val="439B26E7"/>
    <w:rsid w:val="43B43AC3"/>
    <w:rsid w:val="43C63B58"/>
    <w:rsid w:val="43FF1C3F"/>
    <w:rsid w:val="44071E88"/>
    <w:rsid w:val="440A3428"/>
    <w:rsid w:val="440A7BCA"/>
    <w:rsid w:val="441B5933"/>
    <w:rsid w:val="44232B90"/>
    <w:rsid w:val="44250560"/>
    <w:rsid w:val="44456123"/>
    <w:rsid w:val="445534BE"/>
    <w:rsid w:val="446B0669"/>
    <w:rsid w:val="44A26055"/>
    <w:rsid w:val="44A8366B"/>
    <w:rsid w:val="44D37D8E"/>
    <w:rsid w:val="44DE52DF"/>
    <w:rsid w:val="44E93C84"/>
    <w:rsid w:val="44E95A32"/>
    <w:rsid w:val="451E7CF7"/>
    <w:rsid w:val="451F7C49"/>
    <w:rsid w:val="45260A34"/>
    <w:rsid w:val="454A00D8"/>
    <w:rsid w:val="45570BED"/>
    <w:rsid w:val="45587A4F"/>
    <w:rsid w:val="45633A36"/>
    <w:rsid w:val="45682DFA"/>
    <w:rsid w:val="456926CF"/>
    <w:rsid w:val="45701CAF"/>
    <w:rsid w:val="45715830"/>
    <w:rsid w:val="457572C5"/>
    <w:rsid w:val="458614D2"/>
    <w:rsid w:val="458D2861"/>
    <w:rsid w:val="45943BEF"/>
    <w:rsid w:val="459E05CA"/>
    <w:rsid w:val="45A02594"/>
    <w:rsid w:val="45AD2F03"/>
    <w:rsid w:val="45C12B11"/>
    <w:rsid w:val="45EC57D9"/>
    <w:rsid w:val="45FB77CB"/>
    <w:rsid w:val="46144D30"/>
    <w:rsid w:val="462907DC"/>
    <w:rsid w:val="463B1832"/>
    <w:rsid w:val="46445615"/>
    <w:rsid w:val="465007EB"/>
    <w:rsid w:val="46503FBA"/>
    <w:rsid w:val="46526CDC"/>
    <w:rsid w:val="466872D7"/>
    <w:rsid w:val="467F03FC"/>
    <w:rsid w:val="46821C9A"/>
    <w:rsid w:val="46883812"/>
    <w:rsid w:val="468C2B19"/>
    <w:rsid w:val="46AC31BB"/>
    <w:rsid w:val="46C01765"/>
    <w:rsid w:val="46D178F4"/>
    <w:rsid w:val="46E51C73"/>
    <w:rsid w:val="46EA4E70"/>
    <w:rsid w:val="46FC1A4C"/>
    <w:rsid w:val="470014AA"/>
    <w:rsid w:val="471843AC"/>
    <w:rsid w:val="473A4ED3"/>
    <w:rsid w:val="477267F3"/>
    <w:rsid w:val="47B564DD"/>
    <w:rsid w:val="47BE55F6"/>
    <w:rsid w:val="47C702AC"/>
    <w:rsid w:val="47D34891"/>
    <w:rsid w:val="47E80223"/>
    <w:rsid w:val="47EC1F51"/>
    <w:rsid w:val="47ED3A8B"/>
    <w:rsid w:val="47EE2EA3"/>
    <w:rsid w:val="480F4761"/>
    <w:rsid w:val="482C6361"/>
    <w:rsid w:val="48581D1F"/>
    <w:rsid w:val="485D29BF"/>
    <w:rsid w:val="48642A40"/>
    <w:rsid w:val="48783BCB"/>
    <w:rsid w:val="487B4BF3"/>
    <w:rsid w:val="48A1650E"/>
    <w:rsid w:val="48A44149"/>
    <w:rsid w:val="48AE427C"/>
    <w:rsid w:val="48CD305D"/>
    <w:rsid w:val="48D51E7D"/>
    <w:rsid w:val="48EE1869"/>
    <w:rsid w:val="48F826E7"/>
    <w:rsid w:val="48FD24D1"/>
    <w:rsid w:val="48FD3F4B"/>
    <w:rsid w:val="49054987"/>
    <w:rsid w:val="490E7BB9"/>
    <w:rsid w:val="491855BA"/>
    <w:rsid w:val="491C63D6"/>
    <w:rsid w:val="491E3E77"/>
    <w:rsid w:val="49216109"/>
    <w:rsid w:val="493A2D00"/>
    <w:rsid w:val="493D3772"/>
    <w:rsid w:val="494422D3"/>
    <w:rsid w:val="498D2D3D"/>
    <w:rsid w:val="49971591"/>
    <w:rsid w:val="499C45E3"/>
    <w:rsid w:val="49B4698A"/>
    <w:rsid w:val="49CB1E6F"/>
    <w:rsid w:val="49D95ED1"/>
    <w:rsid w:val="49DC7913"/>
    <w:rsid w:val="49E53FBB"/>
    <w:rsid w:val="49E54A1A"/>
    <w:rsid w:val="49EA0282"/>
    <w:rsid w:val="49F17862"/>
    <w:rsid w:val="4A233794"/>
    <w:rsid w:val="4A246704"/>
    <w:rsid w:val="4A445F6B"/>
    <w:rsid w:val="4A51387A"/>
    <w:rsid w:val="4A58168F"/>
    <w:rsid w:val="4A712751"/>
    <w:rsid w:val="4A867800"/>
    <w:rsid w:val="4A975152"/>
    <w:rsid w:val="4AB14FE0"/>
    <w:rsid w:val="4AC42881"/>
    <w:rsid w:val="4AC76815"/>
    <w:rsid w:val="4B13577F"/>
    <w:rsid w:val="4B1764B7"/>
    <w:rsid w:val="4B1F0A10"/>
    <w:rsid w:val="4B4614E8"/>
    <w:rsid w:val="4B555BCF"/>
    <w:rsid w:val="4B614574"/>
    <w:rsid w:val="4B651959"/>
    <w:rsid w:val="4B7956AB"/>
    <w:rsid w:val="4B7C13AE"/>
    <w:rsid w:val="4B7D0C82"/>
    <w:rsid w:val="4B807933"/>
    <w:rsid w:val="4B905AAA"/>
    <w:rsid w:val="4BB548C0"/>
    <w:rsid w:val="4BCD7009"/>
    <w:rsid w:val="4BCE4C57"/>
    <w:rsid w:val="4BD27220"/>
    <w:rsid w:val="4BD65A0B"/>
    <w:rsid w:val="4BDE5BC4"/>
    <w:rsid w:val="4BEA27BB"/>
    <w:rsid w:val="4BF453E8"/>
    <w:rsid w:val="4BFA0524"/>
    <w:rsid w:val="4C017B05"/>
    <w:rsid w:val="4C1249DA"/>
    <w:rsid w:val="4C143109"/>
    <w:rsid w:val="4C305094"/>
    <w:rsid w:val="4C3D6D8F"/>
    <w:rsid w:val="4C4C5AB8"/>
    <w:rsid w:val="4C4C6FD2"/>
    <w:rsid w:val="4C6D519A"/>
    <w:rsid w:val="4C7064F9"/>
    <w:rsid w:val="4C714C8A"/>
    <w:rsid w:val="4C7E2F03"/>
    <w:rsid w:val="4C975D73"/>
    <w:rsid w:val="4C9B5863"/>
    <w:rsid w:val="4CAC23B5"/>
    <w:rsid w:val="4CBF3EF6"/>
    <w:rsid w:val="4CC27294"/>
    <w:rsid w:val="4CCE3A7B"/>
    <w:rsid w:val="4CE5372E"/>
    <w:rsid w:val="4CEE1E37"/>
    <w:rsid w:val="4CFD0938"/>
    <w:rsid w:val="4D0258E3"/>
    <w:rsid w:val="4D1D0E54"/>
    <w:rsid w:val="4D35261A"/>
    <w:rsid w:val="4D4B54DB"/>
    <w:rsid w:val="4D77007F"/>
    <w:rsid w:val="4D834C75"/>
    <w:rsid w:val="4DB27309"/>
    <w:rsid w:val="4DBB3EFB"/>
    <w:rsid w:val="4DBE5CAD"/>
    <w:rsid w:val="4DBF151E"/>
    <w:rsid w:val="4DC500A8"/>
    <w:rsid w:val="4DC75F68"/>
    <w:rsid w:val="4DD35A0E"/>
    <w:rsid w:val="4DD52FF7"/>
    <w:rsid w:val="4DEA7327"/>
    <w:rsid w:val="4DF07E31"/>
    <w:rsid w:val="4DF23BA9"/>
    <w:rsid w:val="4E0631B0"/>
    <w:rsid w:val="4E1137E4"/>
    <w:rsid w:val="4E143B07"/>
    <w:rsid w:val="4E21623C"/>
    <w:rsid w:val="4E3E294A"/>
    <w:rsid w:val="4E451F2B"/>
    <w:rsid w:val="4E481A1B"/>
    <w:rsid w:val="4E5263F6"/>
    <w:rsid w:val="4E5959D6"/>
    <w:rsid w:val="4E9702AC"/>
    <w:rsid w:val="4EB250E6"/>
    <w:rsid w:val="4ECB2E3C"/>
    <w:rsid w:val="4EDC0639"/>
    <w:rsid w:val="4EEF1E97"/>
    <w:rsid w:val="4EF31987"/>
    <w:rsid w:val="4F0E5FB8"/>
    <w:rsid w:val="4F0E67C1"/>
    <w:rsid w:val="4F34778D"/>
    <w:rsid w:val="4F4B36FC"/>
    <w:rsid w:val="4F4C4763"/>
    <w:rsid w:val="4F5222C9"/>
    <w:rsid w:val="4F5B56B4"/>
    <w:rsid w:val="4F7E5458"/>
    <w:rsid w:val="4F806F93"/>
    <w:rsid w:val="4F976768"/>
    <w:rsid w:val="4F9B60F3"/>
    <w:rsid w:val="4FB05ACA"/>
    <w:rsid w:val="4FB8672C"/>
    <w:rsid w:val="4FF736F9"/>
    <w:rsid w:val="500A7617"/>
    <w:rsid w:val="501F1A78"/>
    <w:rsid w:val="502A7E2A"/>
    <w:rsid w:val="502B5150"/>
    <w:rsid w:val="5042271E"/>
    <w:rsid w:val="50693863"/>
    <w:rsid w:val="507C3BFE"/>
    <w:rsid w:val="508036EE"/>
    <w:rsid w:val="508151FC"/>
    <w:rsid w:val="508825A3"/>
    <w:rsid w:val="508C7494"/>
    <w:rsid w:val="508D7BB9"/>
    <w:rsid w:val="509E1038"/>
    <w:rsid w:val="50A96153"/>
    <w:rsid w:val="50C31237"/>
    <w:rsid w:val="50E928CB"/>
    <w:rsid w:val="50EA18B4"/>
    <w:rsid w:val="511107EA"/>
    <w:rsid w:val="5123059F"/>
    <w:rsid w:val="51347921"/>
    <w:rsid w:val="5139564B"/>
    <w:rsid w:val="513D513B"/>
    <w:rsid w:val="5148228C"/>
    <w:rsid w:val="51497F84"/>
    <w:rsid w:val="5153050E"/>
    <w:rsid w:val="515F3303"/>
    <w:rsid w:val="516606A1"/>
    <w:rsid w:val="516614F1"/>
    <w:rsid w:val="51752B27"/>
    <w:rsid w:val="51881392"/>
    <w:rsid w:val="51A07062"/>
    <w:rsid w:val="51BA49DE"/>
    <w:rsid w:val="51E00929"/>
    <w:rsid w:val="51E25CE3"/>
    <w:rsid w:val="51EE0B2B"/>
    <w:rsid w:val="51F534FF"/>
    <w:rsid w:val="520443A6"/>
    <w:rsid w:val="521C2FA3"/>
    <w:rsid w:val="523D66C5"/>
    <w:rsid w:val="5244074B"/>
    <w:rsid w:val="524B3888"/>
    <w:rsid w:val="52520943"/>
    <w:rsid w:val="525A3ACB"/>
    <w:rsid w:val="52611233"/>
    <w:rsid w:val="52651326"/>
    <w:rsid w:val="527032EE"/>
    <w:rsid w:val="527A048A"/>
    <w:rsid w:val="527A416D"/>
    <w:rsid w:val="527C0DE4"/>
    <w:rsid w:val="52952D55"/>
    <w:rsid w:val="529A036B"/>
    <w:rsid w:val="52CA2BBC"/>
    <w:rsid w:val="52DB6D85"/>
    <w:rsid w:val="52E43A78"/>
    <w:rsid w:val="52E75569"/>
    <w:rsid w:val="52ED4164"/>
    <w:rsid w:val="52F7756C"/>
    <w:rsid w:val="530D6D8F"/>
    <w:rsid w:val="53130F80"/>
    <w:rsid w:val="533D505A"/>
    <w:rsid w:val="533E4AA2"/>
    <w:rsid w:val="534F1156"/>
    <w:rsid w:val="53543DC9"/>
    <w:rsid w:val="53572F1D"/>
    <w:rsid w:val="536528AE"/>
    <w:rsid w:val="53682217"/>
    <w:rsid w:val="537240E9"/>
    <w:rsid w:val="53BD5683"/>
    <w:rsid w:val="53BE2F32"/>
    <w:rsid w:val="53BF6F0A"/>
    <w:rsid w:val="53CC27A6"/>
    <w:rsid w:val="53CD7BAA"/>
    <w:rsid w:val="53D004E8"/>
    <w:rsid w:val="53DC50DF"/>
    <w:rsid w:val="53FA5565"/>
    <w:rsid w:val="53FC4394"/>
    <w:rsid w:val="53FD1C89"/>
    <w:rsid w:val="54104D89"/>
    <w:rsid w:val="5420737B"/>
    <w:rsid w:val="543B7A87"/>
    <w:rsid w:val="545C1D7C"/>
    <w:rsid w:val="54765B41"/>
    <w:rsid w:val="549B6FF0"/>
    <w:rsid w:val="54AD6A7C"/>
    <w:rsid w:val="54C16316"/>
    <w:rsid w:val="54D062C6"/>
    <w:rsid w:val="54D44008"/>
    <w:rsid w:val="54D758A7"/>
    <w:rsid w:val="54E75981"/>
    <w:rsid w:val="54FE36CD"/>
    <w:rsid w:val="550D751A"/>
    <w:rsid w:val="551F1F0D"/>
    <w:rsid w:val="55216B22"/>
    <w:rsid w:val="552503C0"/>
    <w:rsid w:val="55286102"/>
    <w:rsid w:val="55526C33"/>
    <w:rsid w:val="555F62F7"/>
    <w:rsid w:val="557355CF"/>
    <w:rsid w:val="55801A9A"/>
    <w:rsid w:val="55AB59B6"/>
    <w:rsid w:val="55AF05D2"/>
    <w:rsid w:val="55AF412E"/>
    <w:rsid w:val="55C67DF5"/>
    <w:rsid w:val="55CC6F60"/>
    <w:rsid w:val="55D3606E"/>
    <w:rsid w:val="55D402FE"/>
    <w:rsid w:val="55E946FF"/>
    <w:rsid w:val="56031D6D"/>
    <w:rsid w:val="56156687"/>
    <w:rsid w:val="561B7A15"/>
    <w:rsid w:val="56274336"/>
    <w:rsid w:val="56350AD7"/>
    <w:rsid w:val="564977A9"/>
    <w:rsid w:val="56503B63"/>
    <w:rsid w:val="565162BF"/>
    <w:rsid w:val="56552F27"/>
    <w:rsid w:val="565A436F"/>
    <w:rsid w:val="566E2826"/>
    <w:rsid w:val="56811F6E"/>
    <w:rsid w:val="56844798"/>
    <w:rsid w:val="56876E58"/>
    <w:rsid w:val="568B24D8"/>
    <w:rsid w:val="56961B15"/>
    <w:rsid w:val="56A74EA0"/>
    <w:rsid w:val="56A80B4D"/>
    <w:rsid w:val="56BE6D1E"/>
    <w:rsid w:val="56BF61AD"/>
    <w:rsid w:val="56D14042"/>
    <w:rsid w:val="56F20776"/>
    <w:rsid w:val="57026FD2"/>
    <w:rsid w:val="570C5CDB"/>
    <w:rsid w:val="57317A9D"/>
    <w:rsid w:val="5734599F"/>
    <w:rsid w:val="57362D58"/>
    <w:rsid w:val="573963A5"/>
    <w:rsid w:val="573C1A5F"/>
    <w:rsid w:val="574A2371"/>
    <w:rsid w:val="575A2219"/>
    <w:rsid w:val="575E22AF"/>
    <w:rsid w:val="575E405D"/>
    <w:rsid w:val="578D6500"/>
    <w:rsid w:val="57BB325E"/>
    <w:rsid w:val="57C1470B"/>
    <w:rsid w:val="57C351F2"/>
    <w:rsid w:val="57D83D5E"/>
    <w:rsid w:val="57DD4F82"/>
    <w:rsid w:val="57DF7756"/>
    <w:rsid w:val="57E24C8E"/>
    <w:rsid w:val="57EA1DD9"/>
    <w:rsid w:val="58005114"/>
    <w:rsid w:val="580C1D0B"/>
    <w:rsid w:val="58144D0D"/>
    <w:rsid w:val="58314E10"/>
    <w:rsid w:val="583B7EFB"/>
    <w:rsid w:val="583C5CC0"/>
    <w:rsid w:val="586631C9"/>
    <w:rsid w:val="58770D59"/>
    <w:rsid w:val="58844C3D"/>
    <w:rsid w:val="58900246"/>
    <w:rsid w:val="58AC2BA6"/>
    <w:rsid w:val="58AE691E"/>
    <w:rsid w:val="58B6540B"/>
    <w:rsid w:val="58D354A2"/>
    <w:rsid w:val="58D72319"/>
    <w:rsid w:val="58DC031E"/>
    <w:rsid w:val="58EB36CF"/>
    <w:rsid w:val="590824D3"/>
    <w:rsid w:val="59091D18"/>
    <w:rsid w:val="59196CEF"/>
    <w:rsid w:val="593212FE"/>
    <w:rsid w:val="593E25C2"/>
    <w:rsid w:val="596516D3"/>
    <w:rsid w:val="5974452F"/>
    <w:rsid w:val="597C2D3B"/>
    <w:rsid w:val="597FC7FB"/>
    <w:rsid w:val="599053D9"/>
    <w:rsid w:val="599B6EA3"/>
    <w:rsid w:val="599E2E37"/>
    <w:rsid w:val="59AD6BD6"/>
    <w:rsid w:val="59C26700"/>
    <w:rsid w:val="59CD7278"/>
    <w:rsid w:val="59D00DB9"/>
    <w:rsid w:val="5A036613"/>
    <w:rsid w:val="5A223102"/>
    <w:rsid w:val="5A291BCA"/>
    <w:rsid w:val="5A307F33"/>
    <w:rsid w:val="5A393849"/>
    <w:rsid w:val="5A4314D6"/>
    <w:rsid w:val="5A5359CF"/>
    <w:rsid w:val="5A6000EC"/>
    <w:rsid w:val="5A643FB8"/>
    <w:rsid w:val="5A822E8F"/>
    <w:rsid w:val="5A8D11B9"/>
    <w:rsid w:val="5A951B44"/>
    <w:rsid w:val="5AA4447D"/>
    <w:rsid w:val="5AB53F94"/>
    <w:rsid w:val="5B1F33E6"/>
    <w:rsid w:val="5B25690F"/>
    <w:rsid w:val="5B2B2C36"/>
    <w:rsid w:val="5B445318"/>
    <w:rsid w:val="5B4672E2"/>
    <w:rsid w:val="5B7E26B6"/>
    <w:rsid w:val="5B826360"/>
    <w:rsid w:val="5B8F47E5"/>
    <w:rsid w:val="5BBD383E"/>
    <w:rsid w:val="5BD13050"/>
    <w:rsid w:val="5BE72873"/>
    <w:rsid w:val="5BEE7325"/>
    <w:rsid w:val="5BF85E15"/>
    <w:rsid w:val="5C0A2273"/>
    <w:rsid w:val="5C2428A3"/>
    <w:rsid w:val="5C4C26D6"/>
    <w:rsid w:val="5C515F3F"/>
    <w:rsid w:val="5C5D7403"/>
    <w:rsid w:val="5CA97256"/>
    <w:rsid w:val="5CAB38A1"/>
    <w:rsid w:val="5CB5471F"/>
    <w:rsid w:val="5CD10E2D"/>
    <w:rsid w:val="5CD34BA6"/>
    <w:rsid w:val="5CD56B70"/>
    <w:rsid w:val="5CE97022"/>
    <w:rsid w:val="5CF27722"/>
    <w:rsid w:val="5CF76AE6"/>
    <w:rsid w:val="5D0B2591"/>
    <w:rsid w:val="5D177188"/>
    <w:rsid w:val="5D1D22C5"/>
    <w:rsid w:val="5D1D4073"/>
    <w:rsid w:val="5D3771DA"/>
    <w:rsid w:val="5D4F6922"/>
    <w:rsid w:val="5D6D3F5A"/>
    <w:rsid w:val="5D7E0FB5"/>
    <w:rsid w:val="5DBA791B"/>
    <w:rsid w:val="5DCF1811"/>
    <w:rsid w:val="5DD22393"/>
    <w:rsid w:val="5DD706C5"/>
    <w:rsid w:val="5DD908E6"/>
    <w:rsid w:val="5DE421F9"/>
    <w:rsid w:val="5DEC610D"/>
    <w:rsid w:val="5DED1C97"/>
    <w:rsid w:val="5DF11787"/>
    <w:rsid w:val="5DF92E48"/>
    <w:rsid w:val="5E0A7A36"/>
    <w:rsid w:val="5E0B4ABC"/>
    <w:rsid w:val="5E127950"/>
    <w:rsid w:val="5E352043"/>
    <w:rsid w:val="5E4E2182"/>
    <w:rsid w:val="5E5925BD"/>
    <w:rsid w:val="5E5C3F91"/>
    <w:rsid w:val="5E5F303F"/>
    <w:rsid w:val="5E6F08FE"/>
    <w:rsid w:val="5E76541E"/>
    <w:rsid w:val="5E9079B9"/>
    <w:rsid w:val="5E96232F"/>
    <w:rsid w:val="5E965FD9"/>
    <w:rsid w:val="5E987E55"/>
    <w:rsid w:val="5EBB3B43"/>
    <w:rsid w:val="5ECA3D86"/>
    <w:rsid w:val="5ECD7C81"/>
    <w:rsid w:val="5EE72B8A"/>
    <w:rsid w:val="5EF7FE9E"/>
    <w:rsid w:val="5EFF6126"/>
    <w:rsid w:val="5F1E27A5"/>
    <w:rsid w:val="5F3A0F0C"/>
    <w:rsid w:val="5F645A20"/>
    <w:rsid w:val="5F7075C8"/>
    <w:rsid w:val="5F773F0E"/>
    <w:rsid w:val="5F7C32D2"/>
    <w:rsid w:val="5F7F1B16"/>
    <w:rsid w:val="5F7F7267"/>
    <w:rsid w:val="5FB8187E"/>
    <w:rsid w:val="5FBA204D"/>
    <w:rsid w:val="5FC26EDE"/>
    <w:rsid w:val="5FC7186D"/>
    <w:rsid w:val="5FCC5C11"/>
    <w:rsid w:val="5FD97767"/>
    <w:rsid w:val="5FDC0215"/>
    <w:rsid w:val="5FE1598D"/>
    <w:rsid w:val="5FF76DFD"/>
    <w:rsid w:val="5FFA5D8E"/>
    <w:rsid w:val="5FFF5CB2"/>
    <w:rsid w:val="600777F6"/>
    <w:rsid w:val="6025396A"/>
    <w:rsid w:val="602B1641"/>
    <w:rsid w:val="6051475F"/>
    <w:rsid w:val="608A3F50"/>
    <w:rsid w:val="6098238E"/>
    <w:rsid w:val="60A92C98"/>
    <w:rsid w:val="60B27A0D"/>
    <w:rsid w:val="60DD489A"/>
    <w:rsid w:val="61017F82"/>
    <w:rsid w:val="610572F8"/>
    <w:rsid w:val="611A42A3"/>
    <w:rsid w:val="614324B0"/>
    <w:rsid w:val="614D7E56"/>
    <w:rsid w:val="6162474A"/>
    <w:rsid w:val="61647015"/>
    <w:rsid w:val="616D55C9"/>
    <w:rsid w:val="61783F6D"/>
    <w:rsid w:val="617D1584"/>
    <w:rsid w:val="61907509"/>
    <w:rsid w:val="61A607DA"/>
    <w:rsid w:val="61D22968"/>
    <w:rsid w:val="61E82EA1"/>
    <w:rsid w:val="61EB2991"/>
    <w:rsid w:val="61F23D20"/>
    <w:rsid w:val="61F335F4"/>
    <w:rsid w:val="62314848"/>
    <w:rsid w:val="624D0F56"/>
    <w:rsid w:val="625978FB"/>
    <w:rsid w:val="625E39FA"/>
    <w:rsid w:val="62715EB0"/>
    <w:rsid w:val="62772F77"/>
    <w:rsid w:val="627D7F59"/>
    <w:rsid w:val="627E3805"/>
    <w:rsid w:val="628664D5"/>
    <w:rsid w:val="628F5E01"/>
    <w:rsid w:val="629E5C56"/>
    <w:rsid w:val="62A3326C"/>
    <w:rsid w:val="62BB4F50"/>
    <w:rsid w:val="62C456BC"/>
    <w:rsid w:val="62D13935"/>
    <w:rsid w:val="62D81168"/>
    <w:rsid w:val="62E93375"/>
    <w:rsid w:val="62EE44E7"/>
    <w:rsid w:val="62FD0BCE"/>
    <w:rsid w:val="630B320C"/>
    <w:rsid w:val="630B32EB"/>
    <w:rsid w:val="631F28F3"/>
    <w:rsid w:val="632717A7"/>
    <w:rsid w:val="633013C5"/>
    <w:rsid w:val="633D5AF8"/>
    <w:rsid w:val="63493E13"/>
    <w:rsid w:val="636724EC"/>
    <w:rsid w:val="63752492"/>
    <w:rsid w:val="638175EE"/>
    <w:rsid w:val="638C5AAE"/>
    <w:rsid w:val="6397692D"/>
    <w:rsid w:val="63A66B70"/>
    <w:rsid w:val="63BF7C32"/>
    <w:rsid w:val="63CD0FDE"/>
    <w:rsid w:val="63D01E3F"/>
    <w:rsid w:val="63DE40AB"/>
    <w:rsid w:val="63E90243"/>
    <w:rsid w:val="63EF49BB"/>
    <w:rsid w:val="6410048D"/>
    <w:rsid w:val="641F4B74"/>
    <w:rsid w:val="643A375C"/>
    <w:rsid w:val="6441682D"/>
    <w:rsid w:val="6481138B"/>
    <w:rsid w:val="649410BE"/>
    <w:rsid w:val="6499661A"/>
    <w:rsid w:val="649C0943"/>
    <w:rsid w:val="64AE6B2C"/>
    <w:rsid w:val="64B12479"/>
    <w:rsid w:val="64B67287"/>
    <w:rsid w:val="64C319A4"/>
    <w:rsid w:val="64F8789F"/>
    <w:rsid w:val="64F92CA7"/>
    <w:rsid w:val="650C7AFB"/>
    <w:rsid w:val="651738EC"/>
    <w:rsid w:val="65181CEF"/>
    <w:rsid w:val="651F3AB2"/>
    <w:rsid w:val="652A10EE"/>
    <w:rsid w:val="652E506F"/>
    <w:rsid w:val="6539639D"/>
    <w:rsid w:val="65684750"/>
    <w:rsid w:val="657A07FD"/>
    <w:rsid w:val="657A4758"/>
    <w:rsid w:val="658A05A6"/>
    <w:rsid w:val="658F73C8"/>
    <w:rsid w:val="65907AD8"/>
    <w:rsid w:val="65AC2438"/>
    <w:rsid w:val="65B60076"/>
    <w:rsid w:val="65B70135"/>
    <w:rsid w:val="65BA4B55"/>
    <w:rsid w:val="65D33EAC"/>
    <w:rsid w:val="65D60AA3"/>
    <w:rsid w:val="65DB0823"/>
    <w:rsid w:val="65E46075"/>
    <w:rsid w:val="65FA7647"/>
    <w:rsid w:val="65FC516D"/>
    <w:rsid w:val="6609788A"/>
    <w:rsid w:val="66123DBC"/>
    <w:rsid w:val="66214BD4"/>
    <w:rsid w:val="66391561"/>
    <w:rsid w:val="663C085D"/>
    <w:rsid w:val="666F593F"/>
    <w:rsid w:val="668313EA"/>
    <w:rsid w:val="66A6332B"/>
    <w:rsid w:val="66B40E05"/>
    <w:rsid w:val="66C41A58"/>
    <w:rsid w:val="66CF0420"/>
    <w:rsid w:val="66DC5BB7"/>
    <w:rsid w:val="66E85EDA"/>
    <w:rsid w:val="67002A3B"/>
    <w:rsid w:val="6702123B"/>
    <w:rsid w:val="670D51D4"/>
    <w:rsid w:val="671D539B"/>
    <w:rsid w:val="672C1A82"/>
    <w:rsid w:val="6744501E"/>
    <w:rsid w:val="67492634"/>
    <w:rsid w:val="67542D87"/>
    <w:rsid w:val="67A2416B"/>
    <w:rsid w:val="67A762B8"/>
    <w:rsid w:val="67A9232B"/>
    <w:rsid w:val="67D22629"/>
    <w:rsid w:val="67D543C7"/>
    <w:rsid w:val="67E81E4D"/>
    <w:rsid w:val="67EE0AE5"/>
    <w:rsid w:val="67FF7197"/>
    <w:rsid w:val="680267F3"/>
    <w:rsid w:val="681440F4"/>
    <w:rsid w:val="68154D4C"/>
    <w:rsid w:val="682233FB"/>
    <w:rsid w:val="68324E76"/>
    <w:rsid w:val="683C7028"/>
    <w:rsid w:val="68494081"/>
    <w:rsid w:val="684E1B50"/>
    <w:rsid w:val="684F1B92"/>
    <w:rsid w:val="68534DEC"/>
    <w:rsid w:val="68694610"/>
    <w:rsid w:val="688A4CB2"/>
    <w:rsid w:val="68906041"/>
    <w:rsid w:val="689D7F08"/>
    <w:rsid w:val="68A613C0"/>
    <w:rsid w:val="68B57855"/>
    <w:rsid w:val="68CF7504"/>
    <w:rsid w:val="68D92243"/>
    <w:rsid w:val="68DA223B"/>
    <w:rsid w:val="68E23E1F"/>
    <w:rsid w:val="68EC771B"/>
    <w:rsid w:val="691578CF"/>
    <w:rsid w:val="691D11F3"/>
    <w:rsid w:val="693B0D73"/>
    <w:rsid w:val="693D1D24"/>
    <w:rsid w:val="693E74B7"/>
    <w:rsid w:val="69561038"/>
    <w:rsid w:val="69584DB0"/>
    <w:rsid w:val="698536CB"/>
    <w:rsid w:val="698E466D"/>
    <w:rsid w:val="699B6A4B"/>
    <w:rsid w:val="69BB778D"/>
    <w:rsid w:val="69DA3A17"/>
    <w:rsid w:val="69E44896"/>
    <w:rsid w:val="69E93C5A"/>
    <w:rsid w:val="69F33A2B"/>
    <w:rsid w:val="69FA7C16"/>
    <w:rsid w:val="6A023859"/>
    <w:rsid w:val="6A14553A"/>
    <w:rsid w:val="6A1F142A"/>
    <w:rsid w:val="6A2C3A0C"/>
    <w:rsid w:val="6A3749C6"/>
    <w:rsid w:val="6A3F1ACC"/>
    <w:rsid w:val="6A5E63F6"/>
    <w:rsid w:val="6A5F555B"/>
    <w:rsid w:val="6A6E23B2"/>
    <w:rsid w:val="6A7A2B04"/>
    <w:rsid w:val="6A7F05C0"/>
    <w:rsid w:val="6A99742E"/>
    <w:rsid w:val="6A9F07BD"/>
    <w:rsid w:val="6AC756A0"/>
    <w:rsid w:val="6AD91835"/>
    <w:rsid w:val="6AFD3AE0"/>
    <w:rsid w:val="6B0B5948"/>
    <w:rsid w:val="6B1D22CD"/>
    <w:rsid w:val="6B1F0FC4"/>
    <w:rsid w:val="6B2B3DFF"/>
    <w:rsid w:val="6B480E55"/>
    <w:rsid w:val="6B4F1925"/>
    <w:rsid w:val="6B5C5094"/>
    <w:rsid w:val="6B5D66AE"/>
    <w:rsid w:val="6B6317EA"/>
    <w:rsid w:val="6B674F90"/>
    <w:rsid w:val="6B7FCDF4"/>
    <w:rsid w:val="6B807921"/>
    <w:rsid w:val="6B822D0E"/>
    <w:rsid w:val="6B8754D9"/>
    <w:rsid w:val="6B895738"/>
    <w:rsid w:val="6B923E7E"/>
    <w:rsid w:val="6B9E118D"/>
    <w:rsid w:val="6BB43DF4"/>
    <w:rsid w:val="6BB935BA"/>
    <w:rsid w:val="6BBF1117"/>
    <w:rsid w:val="6BC01E28"/>
    <w:rsid w:val="6BCE4EB6"/>
    <w:rsid w:val="6BCF6E80"/>
    <w:rsid w:val="6BD4505B"/>
    <w:rsid w:val="6BE11D07"/>
    <w:rsid w:val="6BE4292B"/>
    <w:rsid w:val="6BFC44AA"/>
    <w:rsid w:val="6C117498"/>
    <w:rsid w:val="6C183663"/>
    <w:rsid w:val="6C1F1BB5"/>
    <w:rsid w:val="6C1F5711"/>
    <w:rsid w:val="6C360CAD"/>
    <w:rsid w:val="6C3F7CB4"/>
    <w:rsid w:val="6C4D5BFC"/>
    <w:rsid w:val="6C4F27AA"/>
    <w:rsid w:val="6C5B73FB"/>
    <w:rsid w:val="6C622FDA"/>
    <w:rsid w:val="6C64581A"/>
    <w:rsid w:val="6C7F4402"/>
    <w:rsid w:val="6C821877"/>
    <w:rsid w:val="6C834ACA"/>
    <w:rsid w:val="6CB0280D"/>
    <w:rsid w:val="6CBE317C"/>
    <w:rsid w:val="6CC22541"/>
    <w:rsid w:val="6CD7423E"/>
    <w:rsid w:val="6CF92406"/>
    <w:rsid w:val="6D0D5EB2"/>
    <w:rsid w:val="6D1E2453"/>
    <w:rsid w:val="6D203E37"/>
    <w:rsid w:val="6D386B3E"/>
    <w:rsid w:val="6D5263BD"/>
    <w:rsid w:val="6D6F17E3"/>
    <w:rsid w:val="6D853DB6"/>
    <w:rsid w:val="6D8617C0"/>
    <w:rsid w:val="6D93632C"/>
    <w:rsid w:val="6D947924"/>
    <w:rsid w:val="6DA023CD"/>
    <w:rsid w:val="6DA2484C"/>
    <w:rsid w:val="6DA46816"/>
    <w:rsid w:val="6DAE3492"/>
    <w:rsid w:val="6DB23BFE"/>
    <w:rsid w:val="6DB55061"/>
    <w:rsid w:val="6DFF3C56"/>
    <w:rsid w:val="6E05302D"/>
    <w:rsid w:val="6E227D57"/>
    <w:rsid w:val="6E2E444E"/>
    <w:rsid w:val="6E4844BA"/>
    <w:rsid w:val="6E486376"/>
    <w:rsid w:val="6E492F1A"/>
    <w:rsid w:val="6E5F44EB"/>
    <w:rsid w:val="6E665D91"/>
    <w:rsid w:val="6E970129"/>
    <w:rsid w:val="6E9C74ED"/>
    <w:rsid w:val="6E9F3C9F"/>
    <w:rsid w:val="6EA75E92"/>
    <w:rsid w:val="6EB62155"/>
    <w:rsid w:val="6EBB7A24"/>
    <w:rsid w:val="6EBBF470"/>
    <w:rsid w:val="6EBD76C7"/>
    <w:rsid w:val="6EBE44D9"/>
    <w:rsid w:val="6EC07602"/>
    <w:rsid w:val="6ED94F6E"/>
    <w:rsid w:val="6EDA1DC4"/>
    <w:rsid w:val="6EEE586F"/>
    <w:rsid w:val="6F007964"/>
    <w:rsid w:val="6F2634B3"/>
    <w:rsid w:val="6F5953DE"/>
    <w:rsid w:val="6F5E47A3"/>
    <w:rsid w:val="6F631DB9"/>
    <w:rsid w:val="6F71097A"/>
    <w:rsid w:val="6F72024E"/>
    <w:rsid w:val="6F7B15CE"/>
    <w:rsid w:val="6F7E3097"/>
    <w:rsid w:val="6F7E4E45"/>
    <w:rsid w:val="6F8B7D1C"/>
    <w:rsid w:val="6F90296F"/>
    <w:rsid w:val="6FA758B0"/>
    <w:rsid w:val="6FAA5C3A"/>
    <w:rsid w:val="6FAC4751"/>
    <w:rsid w:val="6FAF4957"/>
    <w:rsid w:val="6FB97C2B"/>
    <w:rsid w:val="6FC256B5"/>
    <w:rsid w:val="6FCF38F2"/>
    <w:rsid w:val="6FDA2E9C"/>
    <w:rsid w:val="6FDC6079"/>
    <w:rsid w:val="6FF375E1"/>
    <w:rsid w:val="7007374A"/>
    <w:rsid w:val="700F3CEF"/>
    <w:rsid w:val="70194B6E"/>
    <w:rsid w:val="702620FD"/>
    <w:rsid w:val="7036571F"/>
    <w:rsid w:val="703D260A"/>
    <w:rsid w:val="70565EFE"/>
    <w:rsid w:val="70634BD5"/>
    <w:rsid w:val="706978A3"/>
    <w:rsid w:val="708B7819"/>
    <w:rsid w:val="70A20845"/>
    <w:rsid w:val="70A540D3"/>
    <w:rsid w:val="70B46C48"/>
    <w:rsid w:val="70B77CB7"/>
    <w:rsid w:val="70C66627"/>
    <w:rsid w:val="70D022F2"/>
    <w:rsid w:val="70DF09F6"/>
    <w:rsid w:val="70E37655"/>
    <w:rsid w:val="70E92761"/>
    <w:rsid w:val="70F3716D"/>
    <w:rsid w:val="71017A72"/>
    <w:rsid w:val="710D4935"/>
    <w:rsid w:val="71234DB1"/>
    <w:rsid w:val="71325EE7"/>
    <w:rsid w:val="714D3CD4"/>
    <w:rsid w:val="715A479E"/>
    <w:rsid w:val="71644855"/>
    <w:rsid w:val="717464FF"/>
    <w:rsid w:val="71752277"/>
    <w:rsid w:val="71793B16"/>
    <w:rsid w:val="717C1858"/>
    <w:rsid w:val="71864485"/>
    <w:rsid w:val="718A7AD1"/>
    <w:rsid w:val="718D5CD1"/>
    <w:rsid w:val="71BB2380"/>
    <w:rsid w:val="71D808B1"/>
    <w:rsid w:val="72005FE5"/>
    <w:rsid w:val="72062ED0"/>
    <w:rsid w:val="721750DD"/>
    <w:rsid w:val="72175A0A"/>
    <w:rsid w:val="72255A4C"/>
    <w:rsid w:val="723B28D6"/>
    <w:rsid w:val="724B001B"/>
    <w:rsid w:val="72677E12"/>
    <w:rsid w:val="72A27F72"/>
    <w:rsid w:val="72A921D9"/>
    <w:rsid w:val="72B34E05"/>
    <w:rsid w:val="72BB3F83"/>
    <w:rsid w:val="72DF38CE"/>
    <w:rsid w:val="72ED4C3B"/>
    <w:rsid w:val="730833A3"/>
    <w:rsid w:val="730A4FB3"/>
    <w:rsid w:val="73125FD0"/>
    <w:rsid w:val="73262E01"/>
    <w:rsid w:val="733046A8"/>
    <w:rsid w:val="733F57B4"/>
    <w:rsid w:val="734B7734"/>
    <w:rsid w:val="736155AC"/>
    <w:rsid w:val="73705D13"/>
    <w:rsid w:val="73734595"/>
    <w:rsid w:val="7378744A"/>
    <w:rsid w:val="7386076C"/>
    <w:rsid w:val="73927111"/>
    <w:rsid w:val="739369E5"/>
    <w:rsid w:val="73A07DC5"/>
    <w:rsid w:val="73A40BF2"/>
    <w:rsid w:val="73C347A1"/>
    <w:rsid w:val="73D43285"/>
    <w:rsid w:val="73D441C0"/>
    <w:rsid w:val="73EB0F41"/>
    <w:rsid w:val="73F35CD6"/>
    <w:rsid w:val="73F7126C"/>
    <w:rsid w:val="73F76F74"/>
    <w:rsid w:val="74324450"/>
    <w:rsid w:val="74493C73"/>
    <w:rsid w:val="744C5512"/>
    <w:rsid w:val="7463285B"/>
    <w:rsid w:val="74637497"/>
    <w:rsid w:val="74806F69"/>
    <w:rsid w:val="74825204"/>
    <w:rsid w:val="74C87532"/>
    <w:rsid w:val="74CC21AE"/>
    <w:rsid w:val="74D3477C"/>
    <w:rsid w:val="74DC1330"/>
    <w:rsid w:val="74DD260E"/>
    <w:rsid w:val="74EE481B"/>
    <w:rsid w:val="74EE65C9"/>
    <w:rsid w:val="74FF07D6"/>
    <w:rsid w:val="75045DEC"/>
    <w:rsid w:val="750556C0"/>
    <w:rsid w:val="7507768A"/>
    <w:rsid w:val="751C1388"/>
    <w:rsid w:val="752A7E83"/>
    <w:rsid w:val="752D5343"/>
    <w:rsid w:val="753E1BF7"/>
    <w:rsid w:val="754167EA"/>
    <w:rsid w:val="7544443B"/>
    <w:rsid w:val="75483F48"/>
    <w:rsid w:val="757C1E26"/>
    <w:rsid w:val="757C6E49"/>
    <w:rsid w:val="758147E1"/>
    <w:rsid w:val="759E0FF3"/>
    <w:rsid w:val="75B14212"/>
    <w:rsid w:val="75CF11AA"/>
    <w:rsid w:val="75DE663D"/>
    <w:rsid w:val="75EF17A2"/>
    <w:rsid w:val="75F43382"/>
    <w:rsid w:val="75FFCBEC"/>
    <w:rsid w:val="761A519B"/>
    <w:rsid w:val="761D7E82"/>
    <w:rsid w:val="7634625D"/>
    <w:rsid w:val="76555CF8"/>
    <w:rsid w:val="766034F6"/>
    <w:rsid w:val="76635422"/>
    <w:rsid w:val="766A2CD1"/>
    <w:rsid w:val="766C3C49"/>
    <w:rsid w:val="766D79C1"/>
    <w:rsid w:val="76716587"/>
    <w:rsid w:val="7675158E"/>
    <w:rsid w:val="768076F4"/>
    <w:rsid w:val="769136B0"/>
    <w:rsid w:val="7693433A"/>
    <w:rsid w:val="769D2054"/>
    <w:rsid w:val="76C17F93"/>
    <w:rsid w:val="76CA6BC2"/>
    <w:rsid w:val="76CE03E8"/>
    <w:rsid w:val="76D80BC1"/>
    <w:rsid w:val="76E9529A"/>
    <w:rsid w:val="76F74290"/>
    <w:rsid w:val="76FB321F"/>
    <w:rsid w:val="77075720"/>
    <w:rsid w:val="77132317"/>
    <w:rsid w:val="77154616"/>
    <w:rsid w:val="77525CB0"/>
    <w:rsid w:val="77784870"/>
    <w:rsid w:val="77A25449"/>
    <w:rsid w:val="77B22031"/>
    <w:rsid w:val="77BA2328"/>
    <w:rsid w:val="77D9530E"/>
    <w:rsid w:val="77DC4C4F"/>
    <w:rsid w:val="77F739E6"/>
    <w:rsid w:val="77FE3E0E"/>
    <w:rsid w:val="77FF97A9"/>
    <w:rsid w:val="780F6F82"/>
    <w:rsid w:val="78286835"/>
    <w:rsid w:val="782A3DBC"/>
    <w:rsid w:val="78342545"/>
    <w:rsid w:val="78513E11"/>
    <w:rsid w:val="785D3675"/>
    <w:rsid w:val="786364E1"/>
    <w:rsid w:val="786B4C7C"/>
    <w:rsid w:val="7891325B"/>
    <w:rsid w:val="78C91C66"/>
    <w:rsid w:val="78E0078F"/>
    <w:rsid w:val="78E57CE3"/>
    <w:rsid w:val="78E811D1"/>
    <w:rsid w:val="78EE303B"/>
    <w:rsid w:val="78F37B9B"/>
    <w:rsid w:val="790740FD"/>
    <w:rsid w:val="791D56CF"/>
    <w:rsid w:val="79200D1B"/>
    <w:rsid w:val="79297BCF"/>
    <w:rsid w:val="792A1B99"/>
    <w:rsid w:val="79330A4E"/>
    <w:rsid w:val="79341922"/>
    <w:rsid w:val="79415FFC"/>
    <w:rsid w:val="79592532"/>
    <w:rsid w:val="795F7A95"/>
    <w:rsid w:val="79752CAB"/>
    <w:rsid w:val="797D616D"/>
    <w:rsid w:val="798520D8"/>
    <w:rsid w:val="79991CC1"/>
    <w:rsid w:val="79AB4DB8"/>
    <w:rsid w:val="79C36276"/>
    <w:rsid w:val="79C93160"/>
    <w:rsid w:val="79CD59FD"/>
    <w:rsid w:val="79D76DA8"/>
    <w:rsid w:val="79F16679"/>
    <w:rsid w:val="79F808B5"/>
    <w:rsid w:val="79F8402C"/>
    <w:rsid w:val="79FB716F"/>
    <w:rsid w:val="7A097A01"/>
    <w:rsid w:val="7A140880"/>
    <w:rsid w:val="7A1A4FB4"/>
    <w:rsid w:val="7A214D4A"/>
    <w:rsid w:val="7A41363F"/>
    <w:rsid w:val="7A4D5B40"/>
    <w:rsid w:val="7A4F7B0A"/>
    <w:rsid w:val="7A646DEC"/>
    <w:rsid w:val="7A694F0A"/>
    <w:rsid w:val="7AA42C9C"/>
    <w:rsid w:val="7AC522DD"/>
    <w:rsid w:val="7ACD6C80"/>
    <w:rsid w:val="7AD36755"/>
    <w:rsid w:val="7ADD0F4B"/>
    <w:rsid w:val="7AEC35AA"/>
    <w:rsid w:val="7B0326A2"/>
    <w:rsid w:val="7B1565B0"/>
    <w:rsid w:val="7B2E3799"/>
    <w:rsid w:val="7B2F3497"/>
    <w:rsid w:val="7B7A4AD1"/>
    <w:rsid w:val="7B8F26B7"/>
    <w:rsid w:val="7B9C7868"/>
    <w:rsid w:val="7B9D2AF7"/>
    <w:rsid w:val="7BC20FE5"/>
    <w:rsid w:val="7BC9330E"/>
    <w:rsid w:val="7BCF53E2"/>
    <w:rsid w:val="7BEE5100"/>
    <w:rsid w:val="7C1649BB"/>
    <w:rsid w:val="7C225CCF"/>
    <w:rsid w:val="7C4D2841"/>
    <w:rsid w:val="7C694787"/>
    <w:rsid w:val="7C7F7EC7"/>
    <w:rsid w:val="7C831CEC"/>
    <w:rsid w:val="7C8B2109"/>
    <w:rsid w:val="7C947A56"/>
    <w:rsid w:val="7C991510"/>
    <w:rsid w:val="7C9B0766"/>
    <w:rsid w:val="7CE02C9B"/>
    <w:rsid w:val="7CEF16C0"/>
    <w:rsid w:val="7CEF1BC3"/>
    <w:rsid w:val="7CF80221"/>
    <w:rsid w:val="7D0C411B"/>
    <w:rsid w:val="7D0D6AC4"/>
    <w:rsid w:val="7D140B97"/>
    <w:rsid w:val="7D552696"/>
    <w:rsid w:val="7D562B8C"/>
    <w:rsid w:val="7D5F17E6"/>
    <w:rsid w:val="7D641B1E"/>
    <w:rsid w:val="7D781AE2"/>
    <w:rsid w:val="7D7D673C"/>
    <w:rsid w:val="7D9C138A"/>
    <w:rsid w:val="7DAF608D"/>
    <w:rsid w:val="7DBB54B6"/>
    <w:rsid w:val="7DC01C82"/>
    <w:rsid w:val="7DC720AD"/>
    <w:rsid w:val="7DDC7E86"/>
    <w:rsid w:val="7DEC6859"/>
    <w:rsid w:val="7E066731"/>
    <w:rsid w:val="7E157B40"/>
    <w:rsid w:val="7E1C171D"/>
    <w:rsid w:val="7E2C5B12"/>
    <w:rsid w:val="7E2D63B4"/>
    <w:rsid w:val="7E3F60E7"/>
    <w:rsid w:val="7E5E1574"/>
    <w:rsid w:val="7E7C2A8E"/>
    <w:rsid w:val="7E7C3EF3"/>
    <w:rsid w:val="7E800D98"/>
    <w:rsid w:val="7E8178CB"/>
    <w:rsid w:val="7E9246B2"/>
    <w:rsid w:val="7EAB22DE"/>
    <w:rsid w:val="7EAB72D9"/>
    <w:rsid w:val="7EE915D6"/>
    <w:rsid w:val="7EED5B43"/>
    <w:rsid w:val="7EFE38AC"/>
    <w:rsid w:val="7F193ABC"/>
    <w:rsid w:val="7F2D7CEE"/>
    <w:rsid w:val="7F2F4CD7"/>
    <w:rsid w:val="7F5E434B"/>
    <w:rsid w:val="7F6E0A32"/>
    <w:rsid w:val="7F7973D7"/>
    <w:rsid w:val="7F7B2EF8"/>
    <w:rsid w:val="7F7F2018"/>
    <w:rsid w:val="7F8504F0"/>
    <w:rsid w:val="7F95100C"/>
    <w:rsid w:val="7FA426A6"/>
    <w:rsid w:val="7FAA7590"/>
    <w:rsid w:val="7FC23D2C"/>
    <w:rsid w:val="7FC543CA"/>
    <w:rsid w:val="7FC630A9"/>
    <w:rsid w:val="7FCF0A3E"/>
    <w:rsid w:val="7FD654F7"/>
    <w:rsid w:val="7FEC1957"/>
    <w:rsid w:val="7FEE56CF"/>
    <w:rsid w:val="7FF44AA9"/>
    <w:rsid w:val="7FFA0506"/>
    <w:rsid w:val="7FFA0545"/>
    <w:rsid w:val="7FFB603E"/>
    <w:rsid w:val="7FFD5912"/>
    <w:rsid w:val="97D5C55A"/>
    <w:rsid w:val="9DCF6668"/>
    <w:rsid w:val="9EBF753D"/>
    <w:rsid w:val="ABB773E9"/>
    <w:rsid w:val="ABF61471"/>
    <w:rsid w:val="B9FFB50A"/>
    <w:rsid w:val="BB7FF825"/>
    <w:rsid w:val="BBFF12B3"/>
    <w:rsid w:val="BFFAFBB9"/>
    <w:rsid w:val="E3FF8BE8"/>
    <w:rsid w:val="F5C125E7"/>
    <w:rsid w:val="F5F8BE67"/>
    <w:rsid w:val="F7372E91"/>
    <w:rsid w:val="F739DB8A"/>
    <w:rsid w:val="F95767CA"/>
    <w:rsid w:val="FAD9DC24"/>
    <w:rsid w:val="FBBF9FBA"/>
    <w:rsid w:val="FCBF9DDE"/>
    <w:rsid w:val="FD2E93CA"/>
    <w:rsid w:val="FDBF28D3"/>
    <w:rsid w:val="FF4B7AE6"/>
    <w:rsid w:val="FF7BE071"/>
    <w:rsid w:val="FFD5BD70"/>
    <w:rsid w:val="FFED13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1"/>
    <w:qFormat/>
    <w:uiPriority w:val="9"/>
    <w:pPr>
      <w:keepNext/>
      <w:keepLines/>
      <w:spacing w:before="340" w:beforeLines="0" w:after="330" w:afterLines="0" w:line="576" w:lineRule="auto"/>
      <w:outlineLvl w:val="0"/>
    </w:pPr>
    <w:rPr>
      <w:b/>
      <w:bCs/>
      <w:kern w:val="44"/>
      <w:sz w:val="44"/>
      <w:szCs w:val="44"/>
    </w:rPr>
  </w:style>
  <w:style w:type="paragraph" w:styleId="3">
    <w:name w:val="heading 2"/>
    <w:basedOn w:val="1"/>
    <w:next w:val="4"/>
    <w:qFormat/>
    <w:uiPriority w:val="0"/>
    <w:pPr>
      <w:keepNext/>
      <w:keepLines/>
      <w:adjustRightInd w:val="0"/>
      <w:snapToGrid w:val="0"/>
      <w:spacing w:line="360" w:lineRule="auto"/>
      <w:jc w:val="center"/>
      <w:outlineLvl w:val="1"/>
    </w:pPr>
    <w:rPr>
      <w:rFonts w:ascii="宋体" w:hAnsi="Arial" w:cs="宋体"/>
      <w:sz w:val="32"/>
    </w:rPr>
  </w:style>
  <w:style w:type="paragraph" w:styleId="5">
    <w:name w:val="heading 3"/>
    <w:basedOn w:val="1"/>
    <w:next w:val="1"/>
    <w:qFormat/>
    <w:uiPriority w:val="0"/>
    <w:pPr>
      <w:widowControl w:val="0"/>
      <w:tabs>
        <w:tab w:val="left" w:pos="851"/>
      </w:tabs>
      <w:autoSpaceDE w:val="0"/>
      <w:autoSpaceDN w:val="0"/>
      <w:adjustRightInd w:val="0"/>
      <w:snapToGrid w:val="0"/>
      <w:spacing w:line="360" w:lineRule="auto"/>
      <w:jc w:val="both"/>
      <w:outlineLvl w:val="2"/>
    </w:pPr>
    <w:rPr>
      <w:rFonts w:ascii="宋体" w:cs="宋体"/>
    </w:rPr>
  </w:style>
  <w:style w:type="paragraph" w:styleId="6">
    <w:name w:val="heading 4"/>
    <w:basedOn w:val="1"/>
    <w:next w:val="1"/>
    <w:qFormat/>
    <w:uiPriority w:val="0"/>
    <w:pPr>
      <w:widowControl w:val="0"/>
      <w:autoSpaceDE w:val="0"/>
      <w:autoSpaceDN w:val="0"/>
      <w:adjustRightInd w:val="0"/>
      <w:snapToGrid w:val="0"/>
      <w:spacing w:line="360" w:lineRule="auto"/>
      <w:jc w:val="both"/>
      <w:outlineLvl w:val="3"/>
    </w:pPr>
    <w:rPr>
      <w:rFonts w:ascii="宋体" w:hAnsi="Arial" w:cs="宋体"/>
      <w:color w:val="000000"/>
    </w:rPr>
  </w:style>
  <w:style w:type="paragraph" w:styleId="7">
    <w:name w:val="heading 5"/>
    <w:basedOn w:val="1"/>
    <w:next w:val="4"/>
    <w:qFormat/>
    <w:uiPriority w:val="0"/>
    <w:pPr>
      <w:keepNext/>
      <w:widowControl w:val="0"/>
      <w:autoSpaceDE w:val="0"/>
      <w:autoSpaceDN w:val="0"/>
      <w:adjustRightInd w:val="0"/>
      <w:snapToGrid w:val="0"/>
      <w:spacing w:before="280" w:beforeLines="0" w:after="290" w:afterLines="0" w:line="374" w:lineRule="auto"/>
      <w:jc w:val="both"/>
      <w:outlineLvl w:val="4"/>
    </w:pPr>
    <w:rPr>
      <w:rFonts w:ascii="宋体" w:cs="宋体"/>
      <w:b/>
      <w:color w:val="000000"/>
      <w:sz w:val="28"/>
    </w:rPr>
  </w:style>
  <w:style w:type="paragraph" w:styleId="8">
    <w:name w:val="heading 6"/>
    <w:basedOn w:val="1"/>
    <w:next w:val="4"/>
    <w:qFormat/>
    <w:uiPriority w:val="0"/>
    <w:pPr>
      <w:keepNext/>
      <w:widowControl w:val="0"/>
      <w:autoSpaceDE w:val="0"/>
      <w:autoSpaceDN w:val="0"/>
      <w:adjustRightInd w:val="0"/>
      <w:snapToGrid w:val="0"/>
      <w:spacing w:before="240" w:beforeLines="0" w:after="64" w:afterLines="0" w:line="319" w:lineRule="auto"/>
      <w:jc w:val="both"/>
      <w:outlineLvl w:val="5"/>
    </w:pPr>
    <w:rPr>
      <w:rFonts w:ascii="Arial" w:hAnsi="Arial" w:eastAsia="黑体"/>
      <w:b/>
      <w:color w:val="000000"/>
      <w:sz w:val="24"/>
    </w:rPr>
  </w:style>
  <w:style w:type="paragraph" w:styleId="9">
    <w:name w:val="heading 7"/>
    <w:basedOn w:val="1"/>
    <w:next w:val="4"/>
    <w:qFormat/>
    <w:uiPriority w:val="0"/>
    <w:pPr>
      <w:keepNext/>
      <w:widowControl w:val="0"/>
      <w:autoSpaceDE w:val="0"/>
      <w:autoSpaceDN w:val="0"/>
      <w:adjustRightInd w:val="0"/>
      <w:snapToGrid w:val="0"/>
      <w:spacing w:before="240" w:beforeLines="0" w:after="64" w:afterLines="0" w:line="319" w:lineRule="auto"/>
      <w:jc w:val="both"/>
      <w:outlineLvl w:val="6"/>
    </w:pPr>
    <w:rPr>
      <w:rFonts w:ascii="宋体"/>
      <w:b/>
      <w:color w:val="000000"/>
      <w:sz w:val="24"/>
    </w:rPr>
  </w:style>
  <w:style w:type="paragraph" w:styleId="10">
    <w:name w:val="heading 8"/>
    <w:basedOn w:val="1"/>
    <w:next w:val="4"/>
    <w:qFormat/>
    <w:uiPriority w:val="0"/>
    <w:pPr>
      <w:keepNext/>
      <w:widowControl w:val="0"/>
      <w:autoSpaceDE w:val="0"/>
      <w:autoSpaceDN w:val="0"/>
      <w:adjustRightInd w:val="0"/>
      <w:snapToGrid w:val="0"/>
      <w:spacing w:before="240" w:beforeLines="0" w:after="64" w:afterLines="0" w:line="319" w:lineRule="auto"/>
      <w:jc w:val="both"/>
      <w:outlineLvl w:val="7"/>
    </w:pPr>
    <w:rPr>
      <w:rFonts w:ascii="Arial" w:hAnsi="Arial" w:eastAsia="黑体"/>
      <w:color w:val="000000"/>
      <w:sz w:val="24"/>
    </w:rPr>
  </w:style>
  <w:style w:type="paragraph" w:styleId="11">
    <w:name w:val="heading 9"/>
    <w:basedOn w:val="1"/>
    <w:next w:val="4"/>
    <w:qFormat/>
    <w:uiPriority w:val="0"/>
    <w:pPr>
      <w:keepNext/>
      <w:widowControl w:val="0"/>
      <w:autoSpaceDE w:val="0"/>
      <w:autoSpaceDN w:val="0"/>
      <w:adjustRightInd w:val="0"/>
      <w:snapToGrid w:val="0"/>
      <w:spacing w:before="240" w:beforeLines="0" w:after="64" w:afterLines="0" w:line="319" w:lineRule="auto"/>
      <w:jc w:val="both"/>
      <w:outlineLvl w:val="8"/>
    </w:pPr>
    <w:rPr>
      <w:rFonts w:ascii="Arial" w:hAnsi="Arial" w:eastAsia="黑体"/>
      <w:color w:val="000000"/>
    </w:rPr>
  </w:style>
  <w:style w:type="character" w:default="1" w:styleId="46">
    <w:name w:val="Default Paragraph Font"/>
    <w:unhideWhenUsed/>
    <w:qFormat/>
    <w:uiPriority w:val="1"/>
  </w:style>
  <w:style w:type="table" w:default="1" w:styleId="44">
    <w:name w:val="Normal Table"/>
    <w:semiHidden/>
    <w:qFormat/>
    <w:uiPriority w:val="0"/>
    <w:tblPr>
      <w:tblCellMar>
        <w:top w:w="0" w:type="dxa"/>
        <w:left w:w="108" w:type="dxa"/>
        <w:bottom w:w="0" w:type="dxa"/>
        <w:right w:w="108" w:type="dxa"/>
      </w:tblCellMar>
    </w:tblPr>
  </w:style>
  <w:style w:type="paragraph" w:styleId="4">
    <w:name w:val="Normal Indent"/>
    <w:basedOn w:val="1"/>
    <w:link w:val="62"/>
    <w:qFormat/>
    <w:uiPriority w:val="0"/>
    <w:pPr>
      <w:ind w:firstLine="420"/>
    </w:pPr>
    <w:rPr>
      <w:kern w:val="0"/>
      <w:szCs w:val="20"/>
    </w:rPr>
  </w:style>
  <w:style w:type="paragraph" w:styleId="12">
    <w:name w:val="toc 7"/>
    <w:basedOn w:val="1"/>
    <w:next w:val="1"/>
    <w:unhideWhenUsed/>
    <w:qFormat/>
    <w:uiPriority w:val="39"/>
    <w:pPr>
      <w:widowControl w:val="0"/>
      <w:ind w:left="2520" w:leftChars="1200"/>
      <w:jc w:val="both"/>
    </w:pPr>
    <w:rPr>
      <w:rFonts w:ascii="Calibri" w:hAnsi="Calibri"/>
      <w:kern w:val="2"/>
      <w:szCs w:val="22"/>
    </w:rPr>
  </w:style>
  <w:style w:type="paragraph" w:styleId="13">
    <w:name w:val="table of authorities"/>
    <w:basedOn w:val="1"/>
    <w:next w:val="1"/>
    <w:qFormat/>
    <w:uiPriority w:val="99"/>
    <w:pPr>
      <w:ind w:left="420" w:leftChars="200"/>
    </w:pPr>
  </w:style>
  <w:style w:type="paragraph" w:styleId="14">
    <w:name w:val="caption"/>
    <w:basedOn w:val="1"/>
    <w:next w:val="1"/>
    <w:qFormat/>
    <w:uiPriority w:val="99"/>
    <w:rPr>
      <w:rFonts w:ascii="等线 Light" w:hAnsi="等线 Light" w:eastAsia="黑体"/>
      <w:sz w:val="20"/>
      <w:szCs w:val="20"/>
    </w:rPr>
  </w:style>
  <w:style w:type="paragraph" w:styleId="15">
    <w:name w:val="index 5"/>
    <w:basedOn w:val="1"/>
    <w:next w:val="1"/>
    <w:qFormat/>
    <w:uiPriority w:val="0"/>
    <w:pPr>
      <w:spacing w:before="100" w:beforeAutospacing="1" w:after="100" w:afterAutospacing="1" w:line="360" w:lineRule="auto"/>
      <w:ind w:left="1680"/>
    </w:pPr>
  </w:style>
  <w:style w:type="paragraph" w:styleId="16">
    <w:name w:val="Document Map"/>
    <w:basedOn w:val="1"/>
    <w:link w:val="63"/>
    <w:qFormat/>
    <w:uiPriority w:val="0"/>
    <w:rPr>
      <w:rFonts w:ascii="宋体" w:hAnsi="Tahoma"/>
      <w:sz w:val="18"/>
      <w:szCs w:val="18"/>
    </w:rPr>
  </w:style>
  <w:style w:type="paragraph" w:styleId="17">
    <w:name w:val="annotation text"/>
    <w:basedOn w:val="1"/>
    <w:link w:val="64"/>
    <w:qFormat/>
    <w:uiPriority w:val="99"/>
    <w:pPr>
      <w:widowControl w:val="0"/>
    </w:pPr>
    <w:rPr>
      <w:szCs w:val="24"/>
    </w:rPr>
  </w:style>
  <w:style w:type="paragraph" w:styleId="18">
    <w:name w:val="Body Text 3"/>
    <w:basedOn w:val="1"/>
    <w:qFormat/>
    <w:uiPriority w:val="0"/>
    <w:pPr>
      <w:spacing w:after="120" w:afterLines="0"/>
    </w:pPr>
    <w:rPr>
      <w:sz w:val="16"/>
      <w:szCs w:val="16"/>
    </w:rPr>
  </w:style>
  <w:style w:type="paragraph" w:styleId="19">
    <w:name w:val="Body Text"/>
    <w:basedOn w:val="1"/>
    <w:next w:val="20"/>
    <w:link w:val="65"/>
    <w:qFormat/>
    <w:uiPriority w:val="0"/>
    <w:pPr>
      <w:spacing w:after="120" w:afterLines="0"/>
    </w:pPr>
    <w:rPr>
      <w:rFonts w:ascii="Tahoma" w:hAnsi="Tahoma"/>
      <w:szCs w:val="20"/>
    </w:rPr>
  </w:style>
  <w:style w:type="paragraph" w:styleId="20">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21">
    <w:name w:val="Body Text Indent"/>
    <w:basedOn w:val="1"/>
    <w:qFormat/>
    <w:uiPriority w:val="0"/>
    <w:pPr>
      <w:spacing w:after="120" w:afterLines="0"/>
      <w:ind w:left="420" w:leftChars="200"/>
    </w:pPr>
  </w:style>
  <w:style w:type="paragraph" w:styleId="22">
    <w:name w:val="Block Text"/>
    <w:basedOn w:val="1"/>
    <w:qFormat/>
    <w:uiPriority w:val="99"/>
    <w:pPr>
      <w:spacing w:after="120"/>
      <w:ind w:left="1440" w:leftChars="700" w:right="1440" w:rightChars="700"/>
    </w:pPr>
  </w:style>
  <w:style w:type="paragraph" w:styleId="23">
    <w:name w:val="toc 5"/>
    <w:basedOn w:val="1"/>
    <w:next w:val="1"/>
    <w:unhideWhenUsed/>
    <w:qFormat/>
    <w:uiPriority w:val="39"/>
    <w:pPr>
      <w:widowControl w:val="0"/>
      <w:ind w:left="1680" w:leftChars="800"/>
      <w:jc w:val="both"/>
    </w:pPr>
    <w:rPr>
      <w:rFonts w:ascii="Calibri" w:hAnsi="Calibri"/>
      <w:kern w:val="2"/>
      <w:szCs w:val="22"/>
    </w:rPr>
  </w:style>
  <w:style w:type="paragraph" w:styleId="24">
    <w:name w:val="toc 3"/>
    <w:basedOn w:val="1"/>
    <w:next w:val="1"/>
    <w:qFormat/>
    <w:uiPriority w:val="39"/>
    <w:pPr>
      <w:ind w:left="840" w:leftChars="400"/>
    </w:pPr>
  </w:style>
  <w:style w:type="paragraph" w:styleId="25">
    <w:name w:val="Plain Text"/>
    <w:basedOn w:val="1"/>
    <w:next w:val="1"/>
    <w:link w:val="66"/>
    <w:qFormat/>
    <w:uiPriority w:val="0"/>
    <w:rPr>
      <w:rFonts w:ascii="宋体" w:hAnsi="Courier New"/>
      <w:kern w:val="0"/>
      <w:szCs w:val="21"/>
    </w:rPr>
  </w:style>
  <w:style w:type="paragraph" w:styleId="26">
    <w:name w:val="toc 8"/>
    <w:basedOn w:val="1"/>
    <w:next w:val="1"/>
    <w:unhideWhenUsed/>
    <w:qFormat/>
    <w:uiPriority w:val="39"/>
    <w:pPr>
      <w:widowControl w:val="0"/>
      <w:ind w:left="2940" w:leftChars="1400"/>
      <w:jc w:val="both"/>
    </w:pPr>
    <w:rPr>
      <w:rFonts w:ascii="Calibri" w:hAnsi="Calibri"/>
      <w:kern w:val="2"/>
      <w:szCs w:val="22"/>
    </w:rPr>
  </w:style>
  <w:style w:type="paragraph" w:styleId="27">
    <w:name w:val="Date"/>
    <w:basedOn w:val="1"/>
    <w:next w:val="1"/>
    <w:qFormat/>
    <w:uiPriority w:val="0"/>
    <w:pPr>
      <w:widowControl w:val="0"/>
      <w:jc w:val="both"/>
    </w:pPr>
    <w:rPr>
      <w:rFonts w:ascii="楷体_GB2312" w:eastAsia="楷体_GB2312"/>
      <w:kern w:val="2"/>
      <w:sz w:val="28"/>
    </w:rPr>
  </w:style>
  <w:style w:type="paragraph" w:styleId="28">
    <w:name w:val="Body Text Indent 2"/>
    <w:basedOn w:val="1"/>
    <w:qFormat/>
    <w:uiPriority w:val="0"/>
    <w:pPr>
      <w:spacing w:after="120" w:afterLines="0" w:line="480" w:lineRule="auto"/>
      <w:ind w:left="420" w:leftChars="200"/>
    </w:pPr>
  </w:style>
  <w:style w:type="paragraph" w:styleId="29">
    <w:name w:val="Balloon Text"/>
    <w:basedOn w:val="1"/>
    <w:next w:val="1"/>
    <w:link w:val="67"/>
    <w:qFormat/>
    <w:uiPriority w:val="0"/>
    <w:rPr>
      <w:kern w:val="0"/>
      <w:sz w:val="18"/>
      <w:szCs w:val="18"/>
    </w:rPr>
  </w:style>
  <w:style w:type="paragraph" w:styleId="30">
    <w:name w:val="footer"/>
    <w:basedOn w:val="1"/>
    <w:qFormat/>
    <w:uiPriority w:val="0"/>
    <w:pPr>
      <w:tabs>
        <w:tab w:val="center" w:pos="4153"/>
        <w:tab w:val="right" w:pos="8306"/>
      </w:tabs>
      <w:snapToGrid w:val="0"/>
    </w:pPr>
    <w:rPr>
      <w:sz w:val="18"/>
    </w:rPr>
  </w:style>
  <w:style w:type="paragraph" w:styleId="31">
    <w:name w:val="header"/>
    <w:basedOn w:val="1"/>
    <w:qFormat/>
    <w:uiPriority w:val="0"/>
    <w:pPr>
      <w:pBdr>
        <w:bottom w:val="single" w:color="auto" w:sz="6" w:space="1"/>
      </w:pBdr>
      <w:tabs>
        <w:tab w:val="center" w:pos="4153"/>
        <w:tab w:val="right" w:pos="8306"/>
      </w:tabs>
      <w:snapToGrid w:val="0"/>
      <w:jc w:val="center"/>
    </w:pPr>
    <w:rPr>
      <w:sz w:val="18"/>
    </w:rPr>
  </w:style>
  <w:style w:type="paragraph" w:styleId="32">
    <w:name w:val="toc 1"/>
    <w:basedOn w:val="1"/>
    <w:next w:val="1"/>
    <w:qFormat/>
    <w:uiPriority w:val="39"/>
    <w:pPr>
      <w:spacing w:line="360" w:lineRule="auto"/>
      <w:ind w:left="824" w:hanging="824"/>
    </w:pPr>
    <w:rPr>
      <w:rFonts w:ascii="宋体"/>
    </w:rPr>
  </w:style>
  <w:style w:type="paragraph" w:styleId="33">
    <w:name w:val="toc 4"/>
    <w:basedOn w:val="1"/>
    <w:next w:val="1"/>
    <w:unhideWhenUsed/>
    <w:qFormat/>
    <w:uiPriority w:val="39"/>
    <w:pPr>
      <w:widowControl w:val="0"/>
      <w:ind w:left="1260" w:leftChars="600"/>
      <w:jc w:val="both"/>
    </w:pPr>
    <w:rPr>
      <w:rFonts w:ascii="Calibri" w:hAnsi="Calibri"/>
      <w:kern w:val="2"/>
      <w:szCs w:val="22"/>
    </w:rPr>
  </w:style>
  <w:style w:type="paragraph" w:styleId="34">
    <w:name w:val="toc 6"/>
    <w:basedOn w:val="1"/>
    <w:next w:val="1"/>
    <w:unhideWhenUsed/>
    <w:qFormat/>
    <w:uiPriority w:val="39"/>
    <w:pPr>
      <w:widowControl w:val="0"/>
      <w:ind w:left="2100" w:leftChars="1000"/>
      <w:jc w:val="both"/>
    </w:pPr>
    <w:rPr>
      <w:rFonts w:ascii="Calibri" w:hAnsi="Calibri"/>
      <w:kern w:val="2"/>
      <w:szCs w:val="22"/>
    </w:rPr>
  </w:style>
  <w:style w:type="paragraph" w:styleId="35">
    <w:name w:val="Body Text Indent 3"/>
    <w:basedOn w:val="1"/>
    <w:qFormat/>
    <w:uiPriority w:val="0"/>
    <w:pPr>
      <w:spacing w:after="120" w:afterLines="0"/>
      <w:ind w:left="420" w:leftChars="200"/>
    </w:pPr>
    <w:rPr>
      <w:sz w:val="16"/>
      <w:szCs w:val="16"/>
    </w:rPr>
  </w:style>
  <w:style w:type="paragraph" w:styleId="36">
    <w:name w:val="toc 2"/>
    <w:basedOn w:val="1"/>
    <w:next w:val="1"/>
    <w:qFormat/>
    <w:uiPriority w:val="39"/>
    <w:pPr>
      <w:tabs>
        <w:tab w:val="right" w:leader="dot" w:pos="9402"/>
      </w:tabs>
      <w:spacing w:line="360" w:lineRule="auto"/>
      <w:ind w:left="993" w:leftChars="202" w:hanging="569" w:hangingChars="237"/>
    </w:pPr>
  </w:style>
  <w:style w:type="paragraph" w:styleId="37">
    <w:name w:val="toc 9"/>
    <w:basedOn w:val="1"/>
    <w:next w:val="1"/>
    <w:unhideWhenUsed/>
    <w:qFormat/>
    <w:uiPriority w:val="39"/>
    <w:pPr>
      <w:widowControl w:val="0"/>
      <w:ind w:left="3360" w:leftChars="1600"/>
      <w:jc w:val="both"/>
    </w:pPr>
    <w:rPr>
      <w:rFonts w:ascii="Calibri" w:hAnsi="Calibri"/>
      <w:kern w:val="2"/>
      <w:szCs w:val="22"/>
    </w:rPr>
  </w:style>
  <w:style w:type="paragraph" w:styleId="38">
    <w:name w:val="Body Text 2"/>
    <w:basedOn w:val="1"/>
    <w:qFormat/>
    <w:uiPriority w:val="0"/>
    <w:pPr>
      <w:spacing w:after="120" w:afterLines="0" w:line="480" w:lineRule="auto"/>
    </w:pPr>
  </w:style>
  <w:style w:type="paragraph" w:styleId="39">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40">
    <w:name w:val="HTML Preformatted"/>
    <w:basedOn w:val="1"/>
    <w:qFormat/>
    <w:uiPriority w:val="0"/>
    <w:rPr>
      <w:rFonts w:ascii="黑体" w:hAnsi="Courier New" w:eastAsia="黑体" w:cs="Courier New"/>
      <w:sz w:val="20"/>
      <w:szCs w:val="21"/>
    </w:rPr>
  </w:style>
  <w:style w:type="paragraph" w:styleId="41">
    <w:name w:val="Normal (Web)"/>
    <w:basedOn w:val="1"/>
    <w:next w:val="29"/>
    <w:qFormat/>
    <w:uiPriority w:val="0"/>
    <w:pPr>
      <w:spacing w:before="100" w:beforeLines="0" w:beforeAutospacing="1" w:after="100" w:afterLines="0" w:afterAutospacing="1"/>
    </w:pPr>
    <w:rPr>
      <w:rFonts w:ascii="宋体" w:hAnsi="宋体" w:cs="宋体"/>
      <w:sz w:val="24"/>
      <w:szCs w:val="24"/>
    </w:rPr>
  </w:style>
  <w:style w:type="paragraph" w:styleId="42">
    <w:name w:val="annotation subject"/>
    <w:basedOn w:val="17"/>
    <w:next w:val="17"/>
    <w:link w:val="68"/>
    <w:qFormat/>
    <w:uiPriority w:val="0"/>
    <w:pPr>
      <w:widowControl/>
    </w:pPr>
    <w:rPr>
      <w:b/>
      <w:bCs/>
    </w:rPr>
  </w:style>
  <w:style w:type="paragraph" w:styleId="43">
    <w:name w:val="Body Text First Indent"/>
    <w:basedOn w:val="19"/>
    <w:link w:val="69"/>
    <w:qFormat/>
    <w:uiPriority w:val="0"/>
    <w:pPr>
      <w:ind w:firstLine="420" w:firstLineChars="100"/>
    </w:pPr>
  </w:style>
  <w:style w:type="table" w:styleId="45">
    <w:name w:val="Table Grid"/>
    <w:basedOn w:val="44"/>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qFormat/>
    <w:uiPriority w:val="0"/>
    <w:rPr>
      <w:b/>
      <w:bCs/>
    </w:rPr>
  </w:style>
  <w:style w:type="character" w:styleId="48">
    <w:name w:val="page number"/>
    <w:basedOn w:val="46"/>
    <w:qFormat/>
    <w:uiPriority w:val="0"/>
  </w:style>
  <w:style w:type="character" w:styleId="49">
    <w:name w:val="FollowedHyperlink"/>
    <w:qFormat/>
    <w:uiPriority w:val="0"/>
    <w:rPr>
      <w:color w:val="333333"/>
      <w:u w:val="none"/>
    </w:rPr>
  </w:style>
  <w:style w:type="character" w:styleId="50">
    <w:name w:val="Emphasis"/>
    <w:basedOn w:val="46"/>
    <w:qFormat/>
    <w:uiPriority w:val="0"/>
    <w:rPr>
      <w:b/>
    </w:rPr>
  </w:style>
  <w:style w:type="character" w:styleId="51">
    <w:name w:val="HTML Definition"/>
    <w:basedOn w:val="46"/>
    <w:qFormat/>
    <w:uiPriority w:val="0"/>
  </w:style>
  <w:style w:type="character" w:styleId="52">
    <w:name w:val="HTML Typewriter"/>
    <w:basedOn w:val="46"/>
    <w:qFormat/>
    <w:uiPriority w:val="0"/>
    <w:rPr>
      <w:rFonts w:hint="default" w:ascii="monospace" w:hAnsi="monospace" w:eastAsia="monospace" w:cs="monospace"/>
      <w:sz w:val="20"/>
    </w:rPr>
  </w:style>
  <w:style w:type="character" w:styleId="53">
    <w:name w:val="HTML Acronym"/>
    <w:basedOn w:val="46"/>
    <w:qFormat/>
    <w:uiPriority w:val="0"/>
  </w:style>
  <w:style w:type="character" w:styleId="54">
    <w:name w:val="HTML Variable"/>
    <w:basedOn w:val="46"/>
    <w:qFormat/>
    <w:uiPriority w:val="0"/>
  </w:style>
  <w:style w:type="character" w:styleId="55">
    <w:name w:val="Hyperlink"/>
    <w:qFormat/>
    <w:uiPriority w:val="99"/>
    <w:rPr>
      <w:color w:val="333333"/>
      <w:u w:val="none"/>
    </w:rPr>
  </w:style>
  <w:style w:type="character" w:styleId="56">
    <w:name w:val="HTML Code"/>
    <w:basedOn w:val="46"/>
    <w:qFormat/>
    <w:uiPriority w:val="0"/>
    <w:rPr>
      <w:rFonts w:ascii="monospace" w:hAnsi="monospace" w:eastAsia="monospace" w:cs="monospace"/>
      <w:sz w:val="20"/>
    </w:rPr>
  </w:style>
  <w:style w:type="character" w:styleId="57">
    <w:name w:val="annotation reference"/>
    <w:qFormat/>
    <w:uiPriority w:val="0"/>
    <w:rPr>
      <w:rFonts w:ascii="Tahoma" w:hAnsi="Tahoma"/>
      <w:kern w:val="2"/>
      <w:sz w:val="21"/>
      <w:szCs w:val="21"/>
    </w:rPr>
  </w:style>
  <w:style w:type="character" w:styleId="58">
    <w:name w:val="HTML Cite"/>
    <w:basedOn w:val="46"/>
    <w:qFormat/>
    <w:uiPriority w:val="0"/>
  </w:style>
  <w:style w:type="character" w:styleId="59">
    <w:name w:val="HTML Keyboard"/>
    <w:basedOn w:val="46"/>
    <w:qFormat/>
    <w:uiPriority w:val="0"/>
    <w:rPr>
      <w:rFonts w:hint="default" w:ascii="monospace" w:hAnsi="monospace" w:eastAsia="monospace" w:cs="monospace"/>
      <w:sz w:val="20"/>
    </w:rPr>
  </w:style>
  <w:style w:type="character" w:styleId="60">
    <w:name w:val="HTML Sample"/>
    <w:basedOn w:val="46"/>
    <w:qFormat/>
    <w:uiPriority w:val="0"/>
    <w:rPr>
      <w:rFonts w:hint="default" w:ascii="monospace" w:hAnsi="monospace" w:eastAsia="monospace" w:cs="monospace"/>
    </w:rPr>
  </w:style>
  <w:style w:type="character" w:customStyle="1" w:styleId="61">
    <w:name w:val="标题 1 Char"/>
    <w:link w:val="2"/>
    <w:qFormat/>
    <w:uiPriority w:val="9"/>
    <w:rPr>
      <w:b/>
      <w:bCs/>
      <w:kern w:val="44"/>
      <w:sz w:val="44"/>
      <w:szCs w:val="44"/>
    </w:rPr>
  </w:style>
  <w:style w:type="character" w:customStyle="1" w:styleId="62">
    <w:name w:val="正文缩进 Char"/>
    <w:link w:val="4"/>
    <w:qFormat/>
    <w:uiPriority w:val="0"/>
    <w:rPr>
      <w:rFonts w:eastAsia="宋体"/>
      <w:sz w:val="21"/>
      <w:lang w:val="en-US" w:eastAsia="zh-CN" w:bidi="ar-SA"/>
    </w:rPr>
  </w:style>
  <w:style w:type="character" w:customStyle="1" w:styleId="63">
    <w:name w:val="文档结构图 Char"/>
    <w:link w:val="16"/>
    <w:qFormat/>
    <w:uiPriority w:val="0"/>
    <w:rPr>
      <w:rFonts w:ascii="宋体" w:hAnsi="Tahoma"/>
      <w:kern w:val="2"/>
      <w:sz w:val="18"/>
      <w:szCs w:val="18"/>
    </w:rPr>
  </w:style>
  <w:style w:type="character" w:customStyle="1" w:styleId="64">
    <w:name w:val="批注文字 Char"/>
    <w:link w:val="17"/>
    <w:qFormat/>
    <w:uiPriority w:val="99"/>
    <w:rPr>
      <w:kern w:val="2"/>
      <w:sz w:val="21"/>
      <w:szCs w:val="24"/>
    </w:rPr>
  </w:style>
  <w:style w:type="character" w:customStyle="1" w:styleId="65">
    <w:name w:val="正文文本 Char"/>
    <w:link w:val="19"/>
    <w:qFormat/>
    <w:uiPriority w:val="0"/>
    <w:rPr>
      <w:rFonts w:ascii="Tahoma" w:hAnsi="Tahoma"/>
      <w:kern w:val="2"/>
      <w:sz w:val="21"/>
    </w:rPr>
  </w:style>
  <w:style w:type="character" w:customStyle="1" w:styleId="66">
    <w:name w:val="纯文本 Char"/>
    <w:link w:val="25"/>
    <w:qFormat/>
    <w:locked/>
    <w:uiPriority w:val="0"/>
    <w:rPr>
      <w:rFonts w:ascii="宋体" w:hAnsi="Courier New" w:cs="Courier New"/>
      <w:sz w:val="21"/>
      <w:szCs w:val="21"/>
    </w:rPr>
  </w:style>
  <w:style w:type="character" w:customStyle="1" w:styleId="67">
    <w:name w:val="批注框文本 Char"/>
    <w:link w:val="29"/>
    <w:qFormat/>
    <w:uiPriority w:val="0"/>
    <w:rPr>
      <w:rFonts w:eastAsia="宋体"/>
      <w:sz w:val="18"/>
      <w:szCs w:val="18"/>
      <w:lang w:val="en-US" w:eastAsia="zh-CN" w:bidi="ar-SA"/>
    </w:rPr>
  </w:style>
  <w:style w:type="character" w:customStyle="1" w:styleId="68">
    <w:name w:val="批注主题 Char"/>
    <w:link w:val="42"/>
    <w:qFormat/>
    <w:uiPriority w:val="0"/>
    <w:rPr>
      <w:b/>
      <w:bCs/>
      <w:kern w:val="2"/>
      <w:sz w:val="21"/>
      <w:szCs w:val="24"/>
    </w:rPr>
  </w:style>
  <w:style w:type="character" w:customStyle="1" w:styleId="69">
    <w:name w:val="正文首行缩进 Char"/>
    <w:basedOn w:val="65"/>
    <w:link w:val="43"/>
    <w:qFormat/>
    <w:uiPriority w:val="0"/>
  </w:style>
  <w:style w:type="paragraph" w:customStyle="1" w:styleId="70">
    <w:name w:val="四级标题"/>
    <w:basedOn w:val="27"/>
    <w:next w:val="24"/>
    <w:qFormat/>
    <w:uiPriority w:val="0"/>
    <w:pPr>
      <w:widowControl/>
      <w:ind w:left="0" w:firstLine="3584"/>
    </w:pPr>
  </w:style>
  <w:style w:type="character" w:customStyle="1" w:styleId="71">
    <w:name w:val="font12"/>
    <w:basedOn w:val="46"/>
    <w:qFormat/>
    <w:uiPriority w:val="0"/>
    <w:rPr>
      <w:rFonts w:hint="default" w:ascii="Times New Roman" w:hAnsi="Times New Roman" w:cs="Times New Roman"/>
      <w:color w:val="000000"/>
      <w:sz w:val="20"/>
      <w:szCs w:val="20"/>
      <w:u w:val="none"/>
    </w:rPr>
  </w:style>
  <w:style w:type="character" w:customStyle="1" w:styleId="72">
    <w:name w:val="p141"/>
    <w:qFormat/>
    <w:uiPriority w:val="0"/>
    <w:rPr>
      <w:sz w:val="21"/>
      <w:szCs w:val="21"/>
    </w:rPr>
  </w:style>
  <w:style w:type="character" w:customStyle="1" w:styleId="73">
    <w:name w:val="font121"/>
    <w:basedOn w:val="46"/>
    <w:qFormat/>
    <w:uiPriority w:val="0"/>
    <w:rPr>
      <w:rFonts w:hint="default" w:ascii="Times New Roman" w:hAnsi="Times New Roman" w:cs="Times New Roman"/>
      <w:color w:val="000000"/>
      <w:sz w:val="20"/>
      <w:szCs w:val="20"/>
      <w:u w:val="none"/>
    </w:rPr>
  </w:style>
  <w:style w:type="character" w:customStyle="1" w:styleId="74">
    <w:name w:val="标题 6 Char"/>
    <w:link w:val="75"/>
    <w:qFormat/>
    <w:uiPriority w:val="9"/>
    <w:rPr>
      <w:rFonts w:ascii="Cambria" w:hAnsi="Cambria" w:eastAsia="宋体" w:cs="Times New Roman"/>
      <w:b/>
      <w:bCs/>
      <w:sz w:val="24"/>
      <w:szCs w:val="24"/>
    </w:rPr>
  </w:style>
  <w:style w:type="paragraph" w:customStyle="1" w:styleId="75">
    <w:name w:val="标题 6_0"/>
    <w:basedOn w:val="76"/>
    <w:next w:val="76"/>
    <w:link w:val="74"/>
    <w:unhideWhenUsed/>
    <w:qFormat/>
    <w:uiPriority w:val="9"/>
    <w:pPr>
      <w:keepNext/>
      <w:keepLines/>
      <w:numPr>
        <w:ilvl w:val="5"/>
        <w:numId w:val="1"/>
      </w:numPr>
      <w:spacing w:before="240" w:after="64" w:line="320" w:lineRule="auto"/>
      <w:outlineLvl w:val="5"/>
    </w:pPr>
    <w:rPr>
      <w:rFonts w:ascii="Cambria" w:hAnsi="Cambria"/>
      <w:b/>
      <w:bCs/>
      <w:kern w:val="0"/>
      <w:sz w:val="24"/>
      <w:szCs w:val="24"/>
    </w:rPr>
  </w:style>
  <w:style w:type="paragraph" w:customStyle="1" w:styleId="76">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7">
    <w:name w:val="font91"/>
    <w:basedOn w:val="46"/>
    <w:qFormat/>
    <w:uiPriority w:val="0"/>
    <w:rPr>
      <w:rFonts w:hint="eastAsia" w:ascii="宋体" w:hAnsi="宋体" w:eastAsia="宋体" w:cs="宋体"/>
      <w:b/>
      <w:color w:val="000000"/>
      <w:sz w:val="21"/>
      <w:szCs w:val="21"/>
      <w:u w:val="none"/>
    </w:rPr>
  </w:style>
  <w:style w:type="character" w:customStyle="1" w:styleId="78">
    <w:name w:val="p141_0"/>
    <w:qFormat/>
    <w:uiPriority w:val="0"/>
    <w:rPr>
      <w:rFonts w:ascii="Calibri" w:hAnsi="Calibri"/>
      <w:sz w:val="21"/>
      <w:szCs w:val="21"/>
    </w:rPr>
  </w:style>
  <w:style w:type="character" w:customStyle="1" w:styleId="79">
    <w:name w:val="标题 4 Char"/>
    <w:link w:val="80"/>
    <w:qFormat/>
    <w:uiPriority w:val="0"/>
    <w:rPr>
      <w:rFonts w:ascii="Arial" w:hAnsi="Arial" w:eastAsia="黑体"/>
      <w:b/>
      <w:bCs/>
      <w:sz w:val="28"/>
      <w:szCs w:val="28"/>
    </w:rPr>
  </w:style>
  <w:style w:type="paragraph" w:customStyle="1" w:styleId="80">
    <w:name w:val="标题 4_0"/>
    <w:basedOn w:val="81"/>
    <w:next w:val="81"/>
    <w:link w:val="79"/>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customStyle="1" w:styleId="8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2">
    <w:name w:val="font101"/>
    <w:basedOn w:val="46"/>
    <w:qFormat/>
    <w:uiPriority w:val="0"/>
    <w:rPr>
      <w:rFonts w:hint="eastAsia" w:ascii="宋体" w:hAnsi="宋体" w:eastAsia="宋体" w:cs="宋体"/>
      <w:color w:val="000000"/>
      <w:sz w:val="20"/>
      <w:szCs w:val="20"/>
      <w:u w:val="none"/>
    </w:rPr>
  </w:style>
  <w:style w:type="character" w:customStyle="1" w:styleId="83">
    <w:name w:val="font51"/>
    <w:qFormat/>
    <w:uiPriority w:val="0"/>
    <w:rPr>
      <w:rFonts w:hint="default" w:ascii="Times New Roman" w:hAnsi="Times New Roman" w:cs="Times New Roman"/>
      <w:color w:val="000000"/>
      <w:sz w:val="20"/>
      <w:szCs w:val="20"/>
      <w:u w:val="none"/>
    </w:rPr>
  </w:style>
  <w:style w:type="character" w:customStyle="1" w:styleId="84">
    <w:name w:val="标题 8 Char"/>
    <w:link w:val="85"/>
    <w:semiHidden/>
    <w:qFormat/>
    <w:uiPriority w:val="9"/>
    <w:rPr>
      <w:rFonts w:ascii="Cambria" w:hAnsi="Cambria" w:eastAsia="宋体" w:cs="Times New Roman"/>
      <w:sz w:val="24"/>
      <w:szCs w:val="24"/>
    </w:rPr>
  </w:style>
  <w:style w:type="paragraph" w:customStyle="1" w:styleId="85">
    <w:name w:val="标题 8_0"/>
    <w:basedOn w:val="76"/>
    <w:next w:val="76"/>
    <w:link w:val="84"/>
    <w:unhideWhenUsed/>
    <w:qFormat/>
    <w:uiPriority w:val="9"/>
    <w:pPr>
      <w:keepNext/>
      <w:keepLines/>
      <w:numPr>
        <w:ilvl w:val="7"/>
        <w:numId w:val="1"/>
      </w:numPr>
      <w:spacing w:before="240" w:after="64" w:line="320" w:lineRule="auto"/>
      <w:outlineLvl w:val="7"/>
    </w:pPr>
    <w:rPr>
      <w:rFonts w:ascii="Cambria" w:hAnsi="Cambria"/>
      <w:kern w:val="0"/>
      <w:sz w:val="24"/>
      <w:szCs w:val="24"/>
    </w:rPr>
  </w:style>
  <w:style w:type="character" w:customStyle="1" w:styleId="86">
    <w:name w:val="NormalCharacter"/>
    <w:semiHidden/>
    <w:qFormat/>
    <w:uiPriority w:val="0"/>
    <w:rPr>
      <w:kern w:val="2"/>
      <w:sz w:val="21"/>
      <w:szCs w:val="22"/>
      <w:lang w:val="en-US" w:eastAsia="zh-CN" w:bidi="ar-SA"/>
    </w:rPr>
  </w:style>
  <w:style w:type="character" w:customStyle="1" w:styleId="87">
    <w:name w:val="纯文本 Char_2"/>
    <w:link w:val="88"/>
    <w:qFormat/>
    <w:locked/>
    <w:uiPriority w:val="0"/>
    <w:rPr>
      <w:rFonts w:ascii="宋体" w:hAnsi="Courier New" w:cs="Courier New"/>
      <w:szCs w:val="21"/>
    </w:rPr>
  </w:style>
  <w:style w:type="paragraph" w:customStyle="1" w:styleId="88">
    <w:name w:val="纯文本_2"/>
    <w:basedOn w:val="89"/>
    <w:link w:val="87"/>
    <w:unhideWhenUsed/>
    <w:qFormat/>
    <w:uiPriority w:val="0"/>
    <w:pPr>
      <w:widowControl/>
      <w:jc w:val="left"/>
    </w:pPr>
    <w:rPr>
      <w:rFonts w:ascii="宋体" w:hAnsi="Courier New"/>
      <w:kern w:val="0"/>
      <w:sz w:val="20"/>
      <w:szCs w:val="21"/>
    </w:rPr>
  </w:style>
  <w:style w:type="paragraph" w:customStyle="1" w:styleId="89">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0">
    <w:name w:val="纯文本 Char_1"/>
    <w:link w:val="91"/>
    <w:qFormat/>
    <w:locked/>
    <w:uiPriority w:val="0"/>
    <w:rPr>
      <w:rFonts w:ascii="宋体" w:hAnsi="Courier New" w:cs="Courier New"/>
      <w:sz w:val="21"/>
      <w:szCs w:val="21"/>
    </w:rPr>
  </w:style>
  <w:style w:type="paragraph" w:customStyle="1" w:styleId="91">
    <w:name w:val="纯文本_1"/>
    <w:basedOn w:val="92"/>
    <w:link w:val="90"/>
    <w:unhideWhenUsed/>
    <w:qFormat/>
    <w:uiPriority w:val="0"/>
    <w:pPr>
      <w:widowControl/>
      <w:jc w:val="left"/>
    </w:pPr>
    <w:rPr>
      <w:rFonts w:ascii="宋体" w:hAnsi="Courier New"/>
      <w:kern w:val="0"/>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3">
    <w:name w:val="font111"/>
    <w:basedOn w:val="46"/>
    <w:qFormat/>
    <w:uiPriority w:val="0"/>
    <w:rPr>
      <w:rFonts w:hint="default" w:ascii="ˎ̥" w:hAnsi="ˎ̥" w:eastAsia="ˎ̥" w:cs="ˎ̥"/>
      <w:color w:val="000000"/>
      <w:sz w:val="20"/>
      <w:szCs w:val="20"/>
      <w:u w:val="none"/>
    </w:rPr>
  </w:style>
  <w:style w:type="character" w:customStyle="1" w:styleId="94">
    <w:name w:val="font11"/>
    <w:basedOn w:val="46"/>
    <w:qFormat/>
    <w:uiPriority w:val="0"/>
    <w:rPr>
      <w:rFonts w:ascii="Tahoma" w:hAnsi="Tahoma" w:eastAsia="Tahoma" w:cs="Tahoma"/>
      <w:color w:val="000000"/>
      <w:sz w:val="20"/>
      <w:szCs w:val="20"/>
      <w:u w:val="none"/>
    </w:rPr>
  </w:style>
  <w:style w:type="character" w:customStyle="1" w:styleId="95">
    <w:name w:val="标题 5 Char"/>
    <w:link w:val="96"/>
    <w:qFormat/>
    <w:uiPriority w:val="9"/>
    <w:rPr>
      <w:rFonts w:ascii="Calibri" w:hAnsi="Calibri" w:eastAsia="宋体" w:cs="Times New Roman"/>
      <w:b/>
      <w:bCs/>
      <w:sz w:val="28"/>
      <w:szCs w:val="28"/>
    </w:rPr>
  </w:style>
  <w:style w:type="paragraph" w:customStyle="1" w:styleId="96">
    <w:name w:val="标题 5_0"/>
    <w:basedOn w:val="76"/>
    <w:next w:val="76"/>
    <w:link w:val="95"/>
    <w:unhideWhenUsed/>
    <w:qFormat/>
    <w:uiPriority w:val="9"/>
    <w:pPr>
      <w:keepNext/>
      <w:keepLines/>
      <w:numPr>
        <w:ilvl w:val="4"/>
        <w:numId w:val="1"/>
      </w:numPr>
      <w:spacing w:before="280" w:after="290" w:line="376" w:lineRule="auto"/>
      <w:outlineLvl w:val="4"/>
    </w:pPr>
    <w:rPr>
      <w:rFonts w:ascii="Calibri" w:hAnsi="Calibri"/>
      <w:b/>
      <w:bCs/>
      <w:kern w:val="0"/>
      <w:sz w:val="28"/>
      <w:szCs w:val="28"/>
    </w:rPr>
  </w:style>
  <w:style w:type="character" w:customStyle="1" w:styleId="97">
    <w:name w:val="hover2"/>
    <w:basedOn w:val="46"/>
    <w:qFormat/>
    <w:uiPriority w:val="0"/>
    <w:rPr>
      <w:color w:val="2590EB"/>
    </w:rPr>
  </w:style>
  <w:style w:type="character" w:customStyle="1" w:styleId="98">
    <w:name w:val="font81"/>
    <w:basedOn w:val="46"/>
    <w:qFormat/>
    <w:uiPriority w:val="0"/>
    <w:rPr>
      <w:rFonts w:hint="eastAsia" w:ascii="宋体" w:hAnsi="宋体" w:eastAsia="宋体" w:cs="宋体"/>
      <w:b/>
      <w:color w:val="000000"/>
      <w:sz w:val="40"/>
      <w:szCs w:val="40"/>
      <w:u w:val="none"/>
    </w:rPr>
  </w:style>
  <w:style w:type="character" w:customStyle="1" w:styleId="99">
    <w:name w:val="font31"/>
    <w:qFormat/>
    <w:uiPriority w:val="0"/>
    <w:rPr>
      <w:rFonts w:hint="eastAsia" w:ascii="宋体" w:hAnsi="宋体" w:eastAsia="宋体" w:cs="宋体"/>
      <w:color w:val="000000"/>
      <w:sz w:val="20"/>
      <w:szCs w:val="20"/>
      <w:u w:val="none"/>
    </w:rPr>
  </w:style>
  <w:style w:type="character" w:customStyle="1" w:styleId="100">
    <w:name w:val="纯文本 Char_3"/>
    <w:link w:val="101"/>
    <w:qFormat/>
    <w:uiPriority w:val="0"/>
    <w:rPr>
      <w:rFonts w:ascii="宋体" w:hAnsi="Courier New" w:eastAsia="宋体" w:cs="Courier New"/>
      <w:kern w:val="0"/>
      <w:szCs w:val="21"/>
    </w:rPr>
  </w:style>
  <w:style w:type="paragraph" w:customStyle="1" w:styleId="101">
    <w:name w:val="纯文本_3"/>
    <w:basedOn w:val="102"/>
    <w:link w:val="100"/>
    <w:qFormat/>
    <w:uiPriority w:val="0"/>
    <w:pPr>
      <w:widowControl/>
      <w:jc w:val="left"/>
    </w:pPr>
    <w:rPr>
      <w:rFonts w:ascii="宋体" w:hAnsi="Courier New"/>
      <w:kern w:val="0"/>
      <w:sz w:val="20"/>
      <w:szCs w:val="21"/>
    </w:rPr>
  </w:style>
  <w:style w:type="paragraph" w:customStyle="1" w:styleId="10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3">
    <w:name w:val="ll1"/>
    <w:qFormat/>
    <w:uiPriority w:val="0"/>
    <w:rPr>
      <w:spacing w:val="31680"/>
    </w:rPr>
  </w:style>
  <w:style w:type="character" w:customStyle="1" w:styleId="104">
    <w:name w:val="标题 3 Char"/>
    <w:link w:val="105"/>
    <w:qFormat/>
    <w:uiPriority w:val="9"/>
    <w:rPr>
      <w:rFonts w:ascii="Calibri" w:hAnsi="Calibri" w:eastAsia="宋体" w:cs="Times New Roman"/>
      <w:b/>
      <w:bCs/>
      <w:sz w:val="32"/>
      <w:szCs w:val="32"/>
    </w:rPr>
  </w:style>
  <w:style w:type="paragraph" w:customStyle="1" w:styleId="105">
    <w:name w:val="标题 3_0"/>
    <w:basedOn w:val="76"/>
    <w:next w:val="76"/>
    <w:link w:val="104"/>
    <w:unhideWhenUsed/>
    <w:qFormat/>
    <w:uiPriority w:val="9"/>
    <w:pPr>
      <w:keepNext/>
      <w:keepLines/>
      <w:numPr>
        <w:ilvl w:val="2"/>
        <w:numId w:val="1"/>
      </w:numPr>
      <w:spacing w:before="260" w:after="260" w:line="416" w:lineRule="auto"/>
      <w:outlineLvl w:val="2"/>
    </w:pPr>
    <w:rPr>
      <w:rFonts w:ascii="Calibri" w:hAnsi="Calibri"/>
      <w:b/>
      <w:bCs/>
      <w:kern w:val="0"/>
      <w:sz w:val="32"/>
      <w:szCs w:val="32"/>
    </w:rPr>
  </w:style>
  <w:style w:type="character" w:customStyle="1" w:styleId="106">
    <w:name w:val="wf1"/>
    <w:qFormat/>
    <w:uiPriority w:val="0"/>
    <w:rPr>
      <w:rFonts w:hint="eastAsia" w:ascii="宋体" w:hAnsi="宋体" w:eastAsia="宋体"/>
      <w:sz w:val="24"/>
      <w:szCs w:val="24"/>
    </w:rPr>
  </w:style>
  <w:style w:type="character" w:customStyle="1" w:styleId="107">
    <w:name w:val="纯文本 Char_4"/>
    <w:link w:val="108"/>
    <w:qFormat/>
    <w:uiPriority w:val="0"/>
    <w:rPr>
      <w:rFonts w:ascii="宋体" w:hAnsi="Courier New" w:eastAsia="宋体" w:cs="Courier New"/>
      <w:kern w:val="0"/>
      <w:szCs w:val="21"/>
    </w:rPr>
  </w:style>
  <w:style w:type="paragraph" w:customStyle="1" w:styleId="108">
    <w:name w:val="纯文本_4"/>
    <w:basedOn w:val="109"/>
    <w:link w:val="107"/>
    <w:qFormat/>
    <w:uiPriority w:val="0"/>
    <w:pPr>
      <w:widowControl/>
      <w:jc w:val="left"/>
    </w:pPr>
    <w:rPr>
      <w:rFonts w:ascii="宋体" w:hAnsi="Courier New"/>
      <w:kern w:val="0"/>
      <w:sz w:val="20"/>
      <w:szCs w:val="21"/>
    </w:rPr>
  </w:style>
  <w:style w:type="paragraph" w:customStyle="1" w:styleId="10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0">
    <w:name w:val="hover4"/>
    <w:basedOn w:val="46"/>
    <w:qFormat/>
    <w:uiPriority w:val="0"/>
    <w:rPr>
      <w:color w:val="2590EB"/>
      <w:shd w:val="clear" w:color="auto" w:fill="E9F4FD"/>
    </w:rPr>
  </w:style>
  <w:style w:type="character" w:customStyle="1" w:styleId="111">
    <w:name w:val="p141_1"/>
    <w:qFormat/>
    <w:uiPriority w:val="0"/>
    <w:rPr>
      <w:rFonts w:ascii="Calibri" w:hAnsi="Calibri" w:eastAsia="宋体"/>
      <w:sz w:val="21"/>
      <w:szCs w:val="21"/>
    </w:rPr>
  </w:style>
  <w:style w:type="character" w:customStyle="1" w:styleId="112">
    <w:name w:val="font122"/>
    <w:basedOn w:val="46"/>
    <w:qFormat/>
    <w:uiPriority w:val="0"/>
    <w:rPr>
      <w:rFonts w:hint="eastAsia" w:ascii="宋体" w:hAnsi="宋体" w:eastAsia="宋体" w:cs="宋体"/>
      <w:color w:val="000000"/>
      <w:sz w:val="20"/>
      <w:szCs w:val="20"/>
      <w:u w:val="none"/>
    </w:rPr>
  </w:style>
  <w:style w:type="character" w:customStyle="1" w:styleId="113">
    <w:name w:val="font71"/>
    <w:basedOn w:val="46"/>
    <w:qFormat/>
    <w:uiPriority w:val="0"/>
    <w:rPr>
      <w:rFonts w:ascii="ˎ̥" w:hAnsi="ˎ̥" w:eastAsia="ˎ̥" w:cs="ˎ̥"/>
      <w:b/>
      <w:color w:val="000000"/>
      <w:sz w:val="20"/>
      <w:szCs w:val="20"/>
      <w:u w:val="none"/>
    </w:rPr>
  </w:style>
  <w:style w:type="character" w:customStyle="1" w:styleId="114">
    <w:name w:val="纯文本 Char_0_0"/>
    <w:link w:val="115"/>
    <w:qFormat/>
    <w:locked/>
    <w:uiPriority w:val="0"/>
    <w:rPr>
      <w:rFonts w:ascii="宋体" w:hAnsi="Courier New" w:cs="Courier New"/>
      <w:szCs w:val="21"/>
    </w:rPr>
  </w:style>
  <w:style w:type="paragraph" w:customStyle="1" w:styleId="115">
    <w:name w:val="纯文本_0_0"/>
    <w:basedOn w:val="116"/>
    <w:link w:val="114"/>
    <w:unhideWhenUsed/>
    <w:qFormat/>
    <w:uiPriority w:val="0"/>
    <w:pPr>
      <w:widowControl/>
      <w:jc w:val="left"/>
    </w:pPr>
    <w:rPr>
      <w:rFonts w:ascii="宋体" w:hAnsi="Courier New"/>
      <w:kern w:val="0"/>
      <w:sz w:val="20"/>
      <w:szCs w:val="21"/>
    </w:rPr>
  </w:style>
  <w:style w:type="paragraph" w:customStyle="1" w:styleId="116">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7">
    <w:name w:val="hover"/>
    <w:basedOn w:val="46"/>
    <w:qFormat/>
    <w:uiPriority w:val="0"/>
    <w:rPr>
      <w:color w:val="2590EB"/>
    </w:rPr>
  </w:style>
  <w:style w:type="character" w:customStyle="1" w:styleId="118">
    <w:name w:val="标题 4 Char_0"/>
    <w:link w:val="119"/>
    <w:qFormat/>
    <w:uiPriority w:val="9"/>
    <w:rPr>
      <w:rFonts w:ascii="Cambria" w:hAnsi="Cambria" w:eastAsia="宋体" w:cs="Times New Roman"/>
      <w:b/>
      <w:bCs/>
      <w:sz w:val="28"/>
      <w:szCs w:val="28"/>
    </w:rPr>
  </w:style>
  <w:style w:type="paragraph" w:customStyle="1" w:styleId="119">
    <w:name w:val="标题 4_1"/>
    <w:basedOn w:val="76"/>
    <w:next w:val="76"/>
    <w:link w:val="118"/>
    <w:unhideWhenUsed/>
    <w:qFormat/>
    <w:uiPriority w:val="9"/>
    <w:pPr>
      <w:keepNext/>
      <w:keepLines/>
      <w:numPr>
        <w:ilvl w:val="3"/>
        <w:numId w:val="1"/>
      </w:numPr>
      <w:spacing w:before="280" w:after="290" w:line="376" w:lineRule="auto"/>
      <w:outlineLvl w:val="3"/>
    </w:pPr>
    <w:rPr>
      <w:rFonts w:ascii="Cambria" w:hAnsi="Cambria"/>
      <w:b/>
      <w:bCs/>
      <w:kern w:val="0"/>
      <w:sz w:val="28"/>
      <w:szCs w:val="28"/>
    </w:rPr>
  </w:style>
  <w:style w:type="character" w:customStyle="1" w:styleId="120">
    <w:name w:val="标题 2 Char"/>
    <w:link w:val="121"/>
    <w:qFormat/>
    <w:uiPriority w:val="9"/>
    <w:rPr>
      <w:rFonts w:ascii="Cambria" w:hAnsi="Cambria" w:eastAsia="宋体" w:cs="Times New Roman"/>
      <w:b/>
      <w:bCs/>
      <w:sz w:val="30"/>
      <w:szCs w:val="32"/>
    </w:rPr>
  </w:style>
  <w:style w:type="paragraph" w:customStyle="1" w:styleId="121">
    <w:name w:val="标题 2_0"/>
    <w:basedOn w:val="76"/>
    <w:next w:val="76"/>
    <w:link w:val="120"/>
    <w:unhideWhenUsed/>
    <w:qFormat/>
    <w:uiPriority w:val="9"/>
    <w:pPr>
      <w:keepNext/>
      <w:keepLines/>
      <w:numPr>
        <w:ilvl w:val="1"/>
        <w:numId w:val="1"/>
      </w:numPr>
      <w:spacing w:before="260" w:after="260" w:line="416" w:lineRule="auto"/>
      <w:outlineLvl w:val="1"/>
    </w:pPr>
    <w:rPr>
      <w:rFonts w:ascii="Cambria" w:hAnsi="Cambria"/>
      <w:b/>
      <w:bCs/>
      <w:kern w:val="0"/>
      <w:sz w:val="30"/>
      <w:szCs w:val="32"/>
    </w:rPr>
  </w:style>
  <w:style w:type="character" w:customStyle="1" w:styleId="122">
    <w:name w:val="hover1"/>
    <w:basedOn w:val="46"/>
    <w:qFormat/>
    <w:uiPriority w:val="0"/>
    <w:rPr>
      <w:color w:val="2590EB"/>
    </w:rPr>
  </w:style>
  <w:style w:type="character" w:customStyle="1" w:styleId="123">
    <w:name w:val="hover3"/>
    <w:basedOn w:val="46"/>
    <w:qFormat/>
    <w:uiPriority w:val="0"/>
  </w:style>
  <w:style w:type="character" w:customStyle="1" w:styleId="124">
    <w:name w:val="font131"/>
    <w:basedOn w:val="46"/>
    <w:qFormat/>
    <w:uiPriority w:val="0"/>
    <w:rPr>
      <w:rFonts w:hint="eastAsia" w:ascii="宋体" w:hAnsi="宋体" w:eastAsia="宋体" w:cs="宋体"/>
      <w:color w:val="000000"/>
      <w:sz w:val="20"/>
      <w:szCs w:val="20"/>
      <w:u w:val="none"/>
    </w:rPr>
  </w:style>
  <w:style w:type="character" w:customStyle="1" w:styleId="125">
    <w:name w:val="标题 9 Char"/>
    <w:link w:val="126"/>
    <w:semiHidden/>
    <w:qFormat/>
    <w:uiPriority w:val="9"/>
    <w:rPr>
      <w:rFonts w:ascii="Cambria" w:hAnsi="Cambria" w:eastAsia="宋体" w:cs="Times New Roman"/>
      <w:szCs w:val="21"/>
    </w:rPr>
  </w:style>
  <w:style w:type="paragraph" w:customStyle="1" w:styleId="126">
    <w:name w:val="标题 9_0"/>
    <w:basedOn w:val="76"/>
    <w:next w:val="76"/>
    <w:link w:val="125"/>
    <w:unhideWhenUsed/>
    <w:qFormat/>
    <w:uiPriority w:val="9"/>
    <w:pPr>
      <w:keepNext/>
      <w:keepLines/>
      <w:numPr>
        <w:ilvl w:val="8"/>
        <w:numId w:val="1"/>
      </w:numPr>
      <w:spacing w:before="240" w:after="64" w:line="320" w:lineRule="auto"/>
      <w:outlineLvl w:val="8"/>
    </w:pPr>
    <w:rPr>
      <w:rFonts w:ascii="Cambria" w:hAnsi="Cambria"/>
      <w:kern w:val="0"/>
      <w:sz w:val="20"/>
      <w:szCs w:val="21"/>
    </w:rPr>
  </w:style>
  <w:style w:type="character" w:customStyle="1" w:styleId="127">
    <w:name w:val="font01"/>
    <w:basedOn w:val="46"/>
    <w:qFormat/>
    <w:uiPriority w:val="0"/>
    <w:rPr>
      <w:rFonts w:hint="eastAsia" w:ascii="宋体" w:hAnsi="宋体" w:eastAsia="宋体" w:cs="宋体"/>
      <w:color w:val="000000"/>
      <w:sz w:val="18"/>
      <w:szCs w:val="18"/>
      <w:u w:val="none"/>
    </w:rPr>
  </w:style>
  <w:style w:type="character" w:customStyle="1" w:styleId="128">
    <w:name w:val="纯文本 Char_0"/>
    <w:link w:val="129"/>
    <w:qFormat/>
    <w:locked/>
    <w:uiPriority w:val="0"/>
    <w:rPr>
      <w:rFonts w:ascii="宋体" w:hAnsi="Courier New" w:cs="Courier New"/>
      <w:szCs w:val="21"/>
    </w:rPr>
  </w:style>
  <w:style w:type="paragraph" w:customStyle="1" w:styleId="129">
    <w:name w:val="纯文本_0"/>
    <w:basedOn w:val="76"/>
    <w:link w:val="128"/>
    <w:unhideWhenUsed/>
    <w:qFormat/>
    <w:uiPriority w:val="0"/>
    <w:pPr>
      <w:widowControl/>
      <w:jc w:val="left"/>
    </w:pPr>
    <w:rPr>
      <w:rFonts w:ascii="宋体" w:hAnsi="Courier New"/>
      <w:kern w:val="0"/>
      <w:sz w:val="20"/>
      <w:szCs w:val="21"/>
    </w:rPr>
  </w:style>
  <w:style w:type="character" w:customStyle="1" w:styleId="130">
    <w:name w:val="标题 7 Char"/>
    <w:link w:val="131"/>
    <w:semiHidden/>
    <w:qFormat/>
    <w:uiPriority w:val="9"/>
    <w:rPr>
      <w:rFonts w:ascii="Calibri" w:hAnsi="Calibri" w:eastAsia="宋体" w:cs="Times New Roman"/>
      <w:b/>
      <w:bCs/>
      <w:sz w:val="24"/>
      <w:szCs w:val="24"/>
    </w:rPr>
  </w:style>
  <w:style w:type="paragraph" w:customStyle="1" w:styleId="131">
    <w:name w:val="标题 7_0"/>
    <w:basedOn w:val="76"/>
    <w:next w:val="76"/>
    <w:link w:val="130"/>
    <w:unhideWhenUsed/>
    <w:qFormat/>
    <w:uiPriority w:val="9"/>
    <w:pPr>
      <w:keepNext/>
      <w:keepLines/>
      <w:numPr>
        <w:ilvl w:val="6"/>
        <w:numId w:val="1"/>
      </w:numPr>
      <w:spacing w:before="240" w:after="64" w:line="320" w:lineRule="auto"/>
      <w:outlineLvl w:val="6"/>
    </w:pPr>
    <w:rPr>
      <w:rFonts w:ascii="Calibri" w:hAnsi="Calibri"/>
      <w:b/>
      <w:bCs/>
      <w:kern w:val="0"/>
      <w:sz w:val="24"/>
      <w:szCs w:val="24"/>
    </w:rPr>
  </w:style>
  <w:style w:type="character" w:customStyle="1" w:styleId="132">
    <w:name w:val="font151"/>
    <w:basedOn w:val="46"/>
    <w:qFormat/>
    <w:uiPriority w:val="0"/>
    <w:rPr>
      <w:rFonts w:hint="eastAsia" w:ascii="宋体" w:hAnsi="宋体" w:eastAsia="宋体" w:cs="宋体"/>
      <w:b/>
      <w:color w:val="000000"/>
      <w:sz w:val="20"/>
      <w:szCs w:val="20"/>
      <w:u w:val="none"/>
    </w:rPr>
  </w:style>
  <w:style w:type="character" w:customStyle="1" w:styleId="133">
    <w:name w:val="font21"/>
    <w:qFormat/>
    <w:uiPriority w:val="0"/>
    <w:rPr>
      <w:rFonts w:hint="eastAsia" w:ascii="宋体" w:hAnsi="宋体" w:eastAsia="宋体" w:cs="宋体"/>
      <w:color w:val="000000"/>
      <w:sz w:val="24"/>
      <w:szCs w:val="24"/>
      <w:u w:val="none"/>
    </w:rPr>
  </w:style>
  <w:style w:type="character" w:customStyle="1" w:styleId="134">
    <w:name w:val="font41"/>
    <w:qFormat/>
    <w:uiPriority w:val="0"/>
    <w:rPr>
      <w:rFonts w:hint="eastAsia" w:ascii="宋体" w:hAnsi="宋体" w:eastAsia="宋体" w:cs="宋体"/>
      <w:b/>
      <w:color w:val="000000"/>
      <w:sz w:val="20"/>
      <w:szCs w:val="20"/>
      <w:u w:val="none"/>
    </w:rPr>
  </w:style>
  <w:style w:type="character" w:customStyle="1" w:styleId="135">
    <w:name w:val="标题 1 Char1"/>
    <w:qFormat/>
    <w:uiPriority w:val="0"/>
    <w:rPr>
      <w:rFonts w:ascii="Times New Roman" w:hAnsi="Times New Roman" w:eastAsia="宋体" w:cs="Times New Roman"/>
      <w:b/>
      <w:kern w:val="44"/>
      <w:sz w:val="28"/>
      <w:szCs w:val="20"/>
    </w:rPr>
  </w:style>
  <w:style w:type="character" w:customStyle="1" w:styleId="136">
    <w:name w:val="font221"/>
    <w:basedOn w:val="46"/>
    <w:qFormat/>
    <w:uiPriority w:val="0"/>
    <w:rPr>
      <w:rFonts w:hint="default" w:ascii="Times New Roman" w:hAnsi="Times New Roman" w:cs="Times New Roman"/>
      <w:color w:val="000000"/>
      <w:sz w:val="20"/>
      <w:szCs w:val="20"/>
      <w:u w:val="none"/>
    </w:rPr>
  </w:style>
  <w:style w:type="character" w:customStyle="1" w:styleId="137">
    <w:name w:val="批注文字 Char1"/>
    <w:qFormat/>
    <w:uiPriority w:val="0"/>
    <w:rPr>
      <w:rFonts w:ascii="Tahoma" w:hAnsi="Tahoma"/>
      <w:kern w:val="2"/>
      <w:sz w:val="21"/>
    </w:rPr>
  </w:style>
  <w:style w:type="character" w:customStyle="1" w:styleId="138">
    <w:name w:val="正文（首行缩进两字） Char"/>
    <w:qFormat/>
    <w:uiPriority w:val="0"/>
    <w:rPr>
      <w:rFonts w:eastAsia="宋体"/>
      <w:sz w:val="21"/>
      <w:lang w:val="en-US" w:eastAsia="zh-CN" w:bidi="ar-SA"/>
    </w:rPr>
  </w:style>
  <w:style w:type="paragraph" w:customStyle="1" w:styleId="139">
    <w:name w:val="_Style 138"/>
    <w:semiHidden/>
    <w:qFormat/>
    <w:uiPriority w:val="99"/>
    <w:rPr>
      <w:rFonts w:ascii="Times New Roman" w:hAnsi="Times New Roman" w:eastAsia="宋体" w:cs="Times New Roman"/>
      <w:sz w:val="21"/>
      <w:lang w:val="en-US" w:eastAsia="zh-CN" w:bidi="ar-SA"/>
    </w:rPr>
  </w:style>
  <w:style w:type="paragraph" w:customStyle="1" w:styleId="140">
    <w:name w:val="xl35"/>
    <w:basedOn w:val="1"/>
    <w:qFormat/>
    <w:uiPriority w:val="0"/>
    <w:pPr>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center"/>
    </w:pPr>
    <w:rPr>
      <w:rFonts w:ascii="宋体" w:hAnsi="宋体" w:cs="宋体"/>
      <w:sz w:val="24"/>
      <w:szCs w:val="24"/>
    </w:rPr>
  </w:style>
  <w:style w:type="paragraph" w:customStyle="1" w:styleId="141">
    <w:name w:val="table_1stline"/>
    <w:basedOn w:val="1"/>
    <w:qFormat/>
    <w:uiPriority w:val="0"/>
    <w:pPr>
      <w:widowControl/>
      <w:spacing w:before="120"/>
      <w:jc w:val="left"/>
    </w:pPr>
    <w:rPr>
      <w:bCs/>
      <w:kern w:val="0"/>
      <w:sz w:val="20"/>
      <w:szCs w:val="20"/>
      <w:lang w:val="de-DE" w:eastAsia="de-DE"/>
    </w:rPr>
  </w:style>
  <w:style w:type="paragraph" w:customStyle="1" w:styleId="142">
    <w:name w:val="Normal_15"/>
    <w:qFormat/>
    <w:uiPriority w:val="0"/>
    <w:rPr>
      <w:rFonts w:ascii="Times New Roman" w:hAnsi="Times New Roman" w:eastAsia="宋体" w:cs="Times New Roman"/>
      <w:sz w:val="21"/>
      <w:lang w:bidi="ar-SA"/>
    </w:rPr>
  </w:style>
  <w:style w:type="paragraph" w:customStyle="1" w:styleId="143">
    <w:name w:val="xl37"/>
    <w:basedOn w:val="1"/>
    <w:qFormat/>
    <w:uiPriority w:val="0"/>
    <w:pPr>
      <w:pBdr>
        <w:top w:val="single" w:color="auto" w:sz="4" w:space="0"/>
        <w:left w:val="single" w:color="auto" w:sz="4" w:space="0"/>
        <w:bottom w:val="single" w:color="auto" w:sz="8" w:space="0"/>
        <w:right w:val="single" w:color="auto" w:sz="8" w:space="0"/>
      </w:pBdr>
      <w:spacing w:before="100" w:beforeLines="0" w:beforeAutospacing="1" w:after="100" w:afterLines="0" w:afterAutospacing="1"/>
    </w:pPr>
    <w:rPr>
      <w:rFonts w:ascii="宋体" w:hAnsi="宋体" w:cs="宋体"/>
      <w:sz w:val="24"/>
      <w:szCs w:val="24"/>
    </w:rPr>
  </w:style>
  <w:style w:type="paragraph" w:customStyle="1" w:styleId="144">
    <w:name w:val="Normal_8"/>
    <w:qFormat/>
    <w:uiPriority w:val="0"/>
    <w:rPr>
      <w:rFonts w:ascii="Times New Roman" w:hAnsi="Times New Roman" w:eastAsia="Times New Roman" w:cs="Times New Roman"/>
      <w:sz w:val="24"/>
      <w:szCs w:val="24"/>
      <w:lang w:val="en-US" w:eastAsia="zh-CN" w:bidi="ar-SA"/>
    </w:rPr>
  </w:style>
  <w:style w:type="paragraph" w:customStyle="1" w:styleId="145">
    <w:name w:val="xl47"/>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146">
    <w:name w:val="xl44"/>
    <w:basedOn w:val="1"/>
    <w:qFormat/>
    <w:uiPriority w:val="0"/>
    <w:pPr>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147">
    <w:name w:val=" Char1"/>
    <w:basedOn w:val="1"/>
    <w:qFormat/>
    <w:uiPriority w:val="0"/>
    <w:pPr>
      <w:widowControl w:val="0"/>
      <w:jc w:val="both"/>
    </w:pPr>
    <w:rPr>
      <w:kern w:val="2"/>
    </w:rPr>
  </w:style>
  <w:style w:type="paragraph" w:customStyle="1" w:styleId="148">
    <w:name w:val="c03"/>
    <w:basedOn w:val="1"/>
    <w:qFormat/>
    <w:uiPriority w:val="0"/>
    <w:pPr>
      <w:spacing w:before="100" w:beforeLines="0" w:beforeAutospacing="1" w:after="100" w:afterLines="0" w:afterAutospacing="1"/>
    </w:pPr>
    <w:rPr>
      <w:rFonts w:ascii="宋体" w:hAnsi="宋体"/>
      <w:color w:val="000000"/>
      <w:sz w:val="24"/>
      <w:szCs w:val="24"/>
    </w:rPr>
  </w:style>
  <w:style w:type="paragraph" w:customStyle="1" w:styleId="149">
    <w:name w:val="Char Char Char Char Char Char Char Char Char Char"/>
    <w:basedOn w:val="1"/>
    <w:qFormat/>
    <w:uiPriority w:val="0"/>
    <w:pPr>
      <w:widowControl w:val="0"/>
      <w:jc w:val="both"/>
    </w:pPr>
    <w:rPr>
      <w:rFonts w:ascii="Tahoma" w:hAnsi="Tahoma"/>
      <w:kern w:val="2"/>
      <w:sz w:val="24"/>
    </w:rPr>
  </w:style>
  <w:style w:type="paragraph" w:customStyle="1" w:styleId="150">
    <w:name w:val="_Style 149"/>
    <w:basedOn w:val="1"/>
    <w:next w:val="1"/>
    <w:qFormat/>
    <w:uiPriority w:val="0"/>
    <w:pPr>
      <w:pBdr>
        <w:bottom w:val="single" w:color="auto" w:sz="6" w:space="1"/>
      </w:pBdr>
      <w:jc w:val="center"/>
    </w:pPr>
    <w:rPr>
      <w:rFonts w:ascii="Arial" w:eastAsia="宋体"/>
      <w:vanish/>
      <w:sz w:val="16"/>
    </w:rPr>
  </w:style>
  <w:style w:type="paragraph" w:customStyle="1" w:styleId="151">
    <w:name w:val="正文_2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2">
    <w:name w:val="List Paragraph1"/>
    <w:basedOn w:val="1"/>
    <w:qFormat/>
    <w:uiPriority w:val="0"/>
    <w:pPr>
      <w:ind w:firstLine="420" w:firstLineChars="200"/>
    </w:pPr>
  </w:style>
  <w:style w:type="paragraph" w:customStyle="1" w:styleId="153">
    <w:name w:val="样式1_1"/>
    <w:basedOn w:val="154"/>
    <w:qFormat/>
    <w:uiPriority w:val="0"/>
    <w:pPr>
      <w:widowControl/>
      <w:tabs>
        <w:tab w:val="left" w:pos="420"/>
      </w:tabs>
      <w:adjustRightInd w:val="0"/>
      <w:snapToGrid w:val="0"/>
      <w:spacing w:before="0" w:after="0" w:line="360" w:lineRule="auto"/>
      <w:ind w:left="420" w:hanging="420"/>
      <w:jc w:val="center"/>
    </w:pPr>
    <w:rPr>
      <w:rFonts w:ascii="宋体" w:hAnsi="Arial" w:eastAsia="宋体"/>
      <w:bCs w:val="0"/>
      <w:szCs w:val="20"/>
    </w:rPr>
  </w:style>
  <w:style w:type="paragraph" w:customStyle="1" w:styleId="154">
    <w:name w:val="标题 2_2"/>
    <w:basedOn w:val="155"/>
    <w:next w:val="155"/>
    <w:unhideWhenUsed/>
    <w:qFormat/>
    <w:uiPriority w:val="9"/>
    <w:pPr>
      <w:keepNext/>
      <w:keepLines/>
      <w:spacing w:before="260" w:after="260" w:line="416" w:lineRule="auto"/>
      <w:outlineLvl w:val="1"/>
    </w:pPr>
    <w:rPr>
      <w:rFonts w:ascii="Cambria" w:hAnsi="Cambria"/>
      <w:b/>
      <w:bCs/>
      <w:kern w:val="0"/>
      <w:sz w:val="32"/>
      <w:szCs w:val="32"/>
    </w:rPr>
  </w:style>
  <w:style w:type="paragraph" w:customStyle="1" w:styleId="155">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6">
    <w:name w:val="xl32"/>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157">
    <w:name w:val="列出段落1"/>
    <w:basedOn w:val="1"/>
    <w:qFormat/>
    <w:uiPriority w:val="0"/>
    <w:pPr>
      <w:ind w:firstLine="420" w:firstLineChars="200"/>
    </w:pPr>
    <w:rPr>
      <w:rFonts w:ascii="Calibri" w:hAnsi="Calibri"/>
      <w:szCs w:val="22"/>
    </w:rPr>
  </w:style>
  <w:style w:type="paragraph" w:customStyle="1" w:styleId="158">
    <w:name w:val="正文_16"/>
    <w:qFormat/>
    <w:uiPriority w:val="0"/>
    <w:rPr>
      <w:rFonts w:ascii="Times New Roman" w:hAnsi="Times New Roman" w:eastAsia="宋体" w:cs="Times New Roman"/>
      <w:sz w:val="21"/>
      <w:lang w:val="en-US" w:eastAsia="zh-CN" w:bidi="ar-SA"/>
    </w:rPr>
  </w:style>
  <w:style w:type="paragraph" w:customStyle="1" w:styleId="159">
    <w:name w:val="xl39"/>
    <w:basedOn w:val="1"/>
    <w:qFormat/>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textAlignment w:val="top"/>
    </w:pPr>
    <w:rPr>
      <w:rFonts w:ascii="宋体" w:hAnsi="宋体" w:cs="宋体"/>
      <w:sz w:val="24"/>
      <w:szCs w:val="24"/>
    </w:rPr>
  </w:style>
  <w:style w:type="paragraph" w:customStyle="1" w:styleId="160">
    <w:name w:val="xl48"/>
    <w:basedOn w:val="1"/>
    <w:qFormat/>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161">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16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Normal_2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4">
    <w:name w:val="xl25"/>
    <w:basedOn w:val="1"/>
    <w:qFormat/>
    <w:uiPriority w:val="0"/>
    <w:pPr>
      <w:spacing w:before="100" w:beforeLines="0" w:beforeAutospacing="1" w:after="100" w:afterLines="0" w:afterAutospacing="1"/>
      <w:jc w:val="right"/>
    </w:pPr>
    <w:rPr>
      <w:sz w:val="24"/>
      <w:szCs w:val="24"/>
    </w:rPr>
  </w:style>
  <w:style w:type="paragraph" w:customStyle="1" w:styleId="165">
    <w:name w:val="正文_17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正文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7">
    <w:name w:val="xl31"/>
    <w:basedOn w:val="1"/>
    <w:qFormat/>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pPr>
    <w:rPr>
      <w:rFonts w:ascii="宋体" w:hAnsi="宋体" w:cs="宋体"/>
      <w:sz w:val="24"/>
      <w:szCs w:val="24"/>
    </w:rPr>
  </w:style>
  <w:style w:type="paragraph" w:customStyle="1" w:styleId="168">
    <w:name w:val="Char Char Char Char Char Char1 Char Char Char Char"/>
    <w:basedOn w:val="1"/>
    <w:qFormat/>
    <w:uiPriority w:val="0"/>
    <w:pPr>
      <w:tabs>
        <w:tab w:val="left" w:pos="360"/>
      </w:tabs>
      <w:spacing w:after="160" w:afterLines="0" w:line="240" w:lineRule="exact"/>
    </w:pPr>
    <w:rPr>
      <w:kern w:val="2"/>
      <w:sz w:val="24"/>
      <w:szCs w:val="24"/>
    </w:rPr>
  </w:style>
  <w:style w:type="paragraph" w:customStyle="1" w:styleId="169">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0">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表1"/>
    <w:basedOn w:val="1"/>
    <w:qFormat/>
    <w:uiPriority w:val="0"/>
    <w:pPr>
      <w:numPr>
        <w:ilvl w:val="0"/>
        <w:numId w:val="2"/>
      </w:numPr>
      <w:ind w:left="0" w:firstLine="0" w:firstLineChars="0"/>
      <w:jc w:val="center"/>
    </w:pPr>
    <w:rPr>
      <w:rFonts w:ascii="Arial" w:hAnsi="Arial" w:cs="宋体"/>
      <w:sz w:val="21"/>
      <w:szCs w:val="20"/>
    </w:rPr>
  </w:style>
  <w:style w:type="paragraph" w:customStyle="1" w:styleId="172">
    <w:name w:val="标题 1_0"/>
    <w:basedOn w:val="76"/>
    <w:next w:val="76"/>
    <w:qFormat/>
    <w:uiPriority w:val="9"/>
    <w:pPr>
      <w:keepNext/>
      <w:keepLines/>
      <w:numPr>
        <w:ilvl w:val="0"/>
        <w:numId w:val="1"/>
      </w:numPr>
      <w:spacing w:before="120" w:after="120" w:line="360" w:lineRule="auto"/>
      <w:ind w:left="0" w:hanging="431" w:hangingChars="205"/>
      <w:outlineLvl w:val="0"/>
    </w:pPr>
    <w:rPr>
      <w:b/>
      <w:bCs/>
      <w:kern w:val="44"/>
      <w:sz w:val="32"/>
      <w:szCs w:val="44"/>
    </w:rPr>
  </w:style>
  <w:style w:type="paragraph" w:customStyle="1" w:styleId="173">
    <w:name w:val=" Char Char Char Char Char1 Char"/>
    <w:basedOn w:val="1"/>
    <w:qFormat/>
    <w:uiPriority w:val="0"/>
    <w:pPr>
      <w:widowControl w:val="0"/>
      <w:jc w:val="both"/>
    </w:pPr>
    <w:rPr>
      <w:rFonts w:ascii="Tahoma" w:hAnsi="Tahoma"/>
      <w:kern w:val="2"/>
      <w:sz w:val="24"/>
    </w:rPr>
  </w:style>
  <w:style w:type="paragraph" w:customStyle="1" w:styleId="174">
    <w:name w:val="130"/>
    <w:basedOn w:val="1"/>
    <w:qFormat/>
    <w:uiPriority w:val="0"/>
    <w:pPr>
      <w:spacing w:before="100" w:beforeLines="0" w:beforeAutospacing="1" w:after="100" w:afterLines="0" w:afterAutospacing="1" w:line="324" w:lineRule="auto"/>
    </w:pPr>
    <w:rPr>
      <w:rFonts w:ascii="宋体" w:hAnsi="宋体"/>
      <w:color w:val="000000"/>
      <w:sz w:val="24"/>
      <w:szCs w:val="24"/>
    </w:rPr>
  </w:style>
  <w:style w:type="paragraph" w:customStyle="1" w:styleId="175">
    <w:name w:val="List Paragraph2"/>
    <w:basedOn w:val="1"/>
    <w:qFormat/>
    <w:uiPriority w:val="34"/>
    <w:pPr>
      <w:ind w:firstLine="420" w:firstLineChars="200"/>
    </w:pPr>
    <w:rPr>
      <w:rFonts w:ascii="Calibri" w:hAnsi="Calibri" w:eastAsia="宋体"/>
    </w:rPr>
  </w:style>
  <w:style w:type="paragraph" w:customStyle="1" w:styleId="176">
    <w:name w:val="正文 New"/>
    <w:next w:val="177"/>
    <w:qFormat/>
    <w:uiPriority w:val="0"/>
    <w:pPr>
      <w:widowControl w:val="0"/>
      <w:jc w:val="both"/>
    </w:pPr>
    <w:rPr>
      <w:rFonts w:ascii="Calibri" w:hAnsi="Calibri" w:eastAsia="宋体" w:cs="黑体"/>
      <w:kern w:val="2"/>
      <w:sz w:val="21"/>
      <w:szCs w:val="24"/>
      <w:lang w:val="en-US" w:eastAsia="zh-CN" w:bidi="ar-SA"/>
    </w:rPr>
  </w:style>
  <w:style w:type="paragraph" w:customStyle="1" w:styleId="177">
    <w:name w:val="标题 2 New"/>
    <w:basedOn w:val="176"/>
    <w:next w:val="176"/>
    <w:qFormat/>
    <w:uiPriority w:val="0"/>
    <w:pPr>
      <w:keepNext/>
      <w:keepLines/>
      <w:spacing w:before="260" w:after="260" w:line="412" w:lineRule="auto"/>
      <w:jc w:val="center"/>
      <w:outlineLvl w:val="1"/>
    </w:pPr>
    <w:rPr>
      <w:rFonts w:ascii="CG Times" w:hAnsi="CG Times" w:cs="宋体"/>
      <w:sz w:val="30"/>
      <w:szCs w:val="20"/>
    </w:rPr>
  </w:style>
  <w:style w:type="paragraph" w:customStyle="1" w:styleId="178">
    <w:name w:val="表格"/>
    <w:basedOn w:val="1"/>
    <w:qFormat/>
    <w:uiPriority w:val="0"/>
    <w:pPr>
      <w:spacing w:line="400" w:lineRule="exact"/>
    </w:pPr>
    <w:rPr>
      <w:sz w:val="24"/>
      <w:szCs w:val="24"/>
    </w:rPr>
  </w:style>
  <w:style w:type="paragraph" w:customStyle="1" w:styleId="179">
    <w:name w:val="正文（有缩进）"/>
    <w:qFormat/>
    <w:uiPriority w:val="0"/>
    <w:pPr>
      <w:spacing w:line="360" w:lineRule="auto"/>
      <w:ind w:firstLine="480" w:firstLineChars="200"/>
      <w:jc w:val="both"/>
    </w:pPr>
    <w:rPr>
      <w:rFonts w:ascii="Arial" w:hAnsi="Arial" w:eastAsia="宋体" w:cs="Arial"/>
      <w:color w:val="333333"/>
      <w:sz w:val="24"/>
      <w:szCs w:val="21"/>
      <w:shd w:val="clear" w:color="auto" w:fill="FFFFFF"/>
      <w:lang w:val="zh-CN" w:eastAsia="zh-CN" w:bidi="ar-SA"/>
    </w:rPr>
  </w:style>
  <w:style w:type="paragraph" w:customStyle="1" w:styleId="180">
    <w:name w:val="font7"/>
    <w:basedOn w:val="1"/>
    <w:qFormat/>
    <w:uiPriority w:val="0"/>
    <w:pPr>
      <w:spacing w:before="100" w:beforeLines="0" w:beforeAutospacing="1" w:after="100" w:afterLines="0" w:afterAutospacing="1"/>
    </w:pPr>
    <w:rPr>
      <w:rFonts w:ascii="宋体" w:hAnsi="宋体" w:cs="宋体"/>
      <w:b/>
      <w:bCs/>
      <w:sz w:val="36"/>
      <w:szCs w:val="36"/>
    </w:rPr>
  </w:style>
  <w:style w:type="paragraph" w:customStyle="1" w:styleId="181">
    <w:name w:val="xl24"/>
    <w:basedOn w:val="1"/>
    <w:qFormat/>
    <w:uiPriority w:val="0"/>
    <w:pPr>
      <w:spacing w:before="100" w:beforeLines="0" w:beforeAutospacing="1" w:after="100" w:afterLines="0" w:afterAutospacing="1"/>
      <w:jc w:val="center"/>
    </w:pPr>
    <w:rPr>
      <w:rFonts w:ascii="宋体" w:hAnsi="宋体" w:cs="宋体"/>
      <w:sz w:val="24"/>
      <w:szCs w:val="24"/>
    </w:rPr>
  </w:style>
  <w:style w:type="paragraph" w:customStyle="1" w:styleId="182">
    <w:name w:val="Char"/>
    <w:basedOn w:val="1"/>
    <w:qFormat/>
    <w:uiPriority w:val="0"/>
    <w:pPr>
      <w:spacing w:after="160" w:afterLines="0" w:line="240" w:lineRule="exact"/>
    </w:pPr>
    <w:rPr>
      <w:rFonts w:ascii="Verdana" w:hAnsi="Verdana"/>
      <w:lang w:eastAsia="en-US"/>
    </w:rPr>
  </w:style>
  <w:style w:type="paragraph" w:styleId="183">
    <w:name w:val="List Paragraph"/>
    <w:basedOn w:val="1"/>
    <w:qFormat/>
    <w:uiPriority w:val="34"/>
    <w:pPr>
      <w:ind w:firstLine="420" w:firstLineChars="200"/>
    </w:pPr>
    <w:rPr>
      <w:rFonts w:ascii="Calibri" w:hAnsi="Calibri" w:eastAsia="宋体"/>
    </w:rPr>
  </w:style>
  <w:style w:type="paragraph" w:customStyle="1" w:styleId="184">
    <w:name w:val="xl27"/>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sz w:val="24"/>
      <w:szCs w:val="24"/>
    </w:rPr>
  </w:style>
  <w:style w:type="paragraph" w:customStyle="1" w:styleId="185">
    <w:name w:val="xl33"/>
    <w:basedOn w:val="1"/>
    <w:qFormat/>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pPr>
    <w:rPr>
      <w:rFonts w:ascii="宋体" w:hAnsi="宋体" w:cs="宋体"/>
      <w:sz w:val="24"/>
      <w:szCs w:val="24"/>
    </w:rPr>
  </w:style>
  <w:style w:type="paragraph" w:customStyle="1" w:styleId="186">
    <w:name w:val="Char Char"/>
    <w:basedOn w:val="1"/>
    <w:qFormat/>
    <w:uiPriority w:val="0"/>
    <w:pPr>
      <w:widowControl w:val="0"/>
      <w:jc w:val="both"/>
    </w:pPr>
    <w:rPr>
      <w:rFonts w:ascii="Tahoma" w:hAnsi="Tahoma"/>
      <w:kern w:val="2"/>
      <w:sz w:val="24"/>
    </w:rPr>
  </w:style>
  <w:style w:type="paragraph" w:customStyle="1" w:styleId="187">
    <w:name w:val="图"/>
    <w:basedOn w:val="1"/>
    <w:qFormat/>
    <w:uiPriority w:val="0"/>
    <w:pPr>
      <w:keepNext/>
      <w:widowControl w:val="0"/>
      <w:adjustRightInd w:val="0"/>
      <w:spacing w:before="60" w:beforeLines="0" w:after="60" w:afterLines="0" w:line="300" w:lineRule="auto"/>
      <w:jc w:val="center"/>
      <w:textAlignment w:val="center"/>
    </w:pPr>
    <w:rPr>
      <w:snapToGrid w:val="0"/>
      <w:spacing w:val="20"/>
      <w:sz w:val="24"/>
    </w:rPr>
  </w:style>
  <w:style w:type="paragraph" w:customStyle="1" w:styleId="188">
    <w:name w:val="xl40"/>
    <w:basedOn w:val="1"/>
    <w:qFormat/>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189">
    <w:name w:val="zw"/>
    <w:basedOn w:val="1"/>
    <w:qFormat/>
    <w:uiPriority w:val="0"/>
    <w:pPr>
      <w:ind w:firstLine="560"/>
    </w:pPr>
    <w:rPr>
      <w:rFonts w:ascii="仿宋_GB2312" w:hAnsi="Calibri" w:eastAsia="楷体" w:cs="Times New Roman"/>
      <w:sz w:val="28"/>
      <w:szCs w:val="28"/>
    </w:rPr>
  </w:style>
  <w:style w:type="paragraph" w:customStyle="1" w:styleId="190">
    <w:name w:val="GP正文(无首行缩进)"/>
    <w:basedOn w:val="1"/>
    <w:qFormat/>
    <w:uiPriority w:val="0"/>
    <w:pPr>
      <w:ind w:firstLine="480"/>
      <w:jc w:val="left"/>
    </w:pPr>
    <w:rPr>
      <w:rFonts w:ascii="Times New Roman" w:hAnsi="宋体" w:cs="Times New Roman"/>
      <w:sz w:val="21"/>
      <w:szCs w:val="24"/>
    </w:rPr>
  </w:style>
  <w:style w:type="paragraph" w:customStyle="1" w:styleId="19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92">
    <w:name w:val="xl28"/>
    <w:basedOn w:val="1"/>
    <w:qFormat/>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pPr>
    <w:rPr>
      <w:rFonts w:ascii="宋体" w:hAnsi="宋体" w:cs="宋体"/>
      <w:sz w:val="24"/>
      <w:szCs w:val="24"/>
    </w:rPr>
  </w:style>
  <w:style w:type="paragraph" w:customStyle="1" w:styleId="193">
    <w:name w:val="_Style 192"/>
    <w:basedOn w:val="2"/>
    <w:next w:val="1"/>
    <w:qFormat/>
    <w:uiPriority w:val="39"/>
    <w:pPr>
      <w:spacing w:before="480" w:beforeLines="0" w:after="0" w:afterLines="0" w:line="276" w:lineRule="auto"/>
      <w:outlineLvl w:val="9"/>
    </w:pPr>
    <w:rPr>
      <w:rFonts w:ascii="Cambria" w:hAnsi="Cambria"/>
      <w:color w:val="365F91"/>
      <w:kern w:val="0"/>
      <w:sz w:val="28"/>
      <w:szCs w:val="28"/>
    </w:rPr>
  </w:style>
  <w:style w:type="paragraph" w:customStyle="1" w:styleId="19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正文_0_0"/>
    <w:qFormat/>
    <w:uiPriority w:val="0"/>
    <w:rPr>
      <w:rFonts w:ascii="Times New Roman" w:hAnsi="Times New Roman" w:eastAsia="宋体" w:cs="Times New Roman"/>
      <w:sz w:val="21"/>
      <w:lang w:val="en-US" w:eastAsia="zh-CN" w:bidi="ar-SA"/>
    </w:rPr>
  </w:style>
  <w:style w:type="paragraph" w:customStyle="1" w:styleId="196">
    <w:name w:val="Table Paragraph"/>
    <w:basedOn w:val="1"/>
    <w:qFormat/>
    <w:uiPriority w:val="0"/>
  </w:style>
  <w:style w:type="paragraph" w:customStyle="1" w:styleId="197">
    <w:name w:val=" Char Char1 Char Char Char Char Char Char Char Char Char Char"/>
    <w:basedOn w:val="1"/>
    <w:qFormat/>
    <w:uiPriority w:val="0"/>
    <w:pPr>
      <w:widowControl w:val="0"/>
      <w:jc w:val="both"/>
    </w:pPr>
    <w:rPr>
      <w:rFonts w:ascii="Tahoma" w:hAnsi="Tahoma"/>
      <w:kern w:val="2"/>
      <w:sz w:val="24"/>
    </w:rPr>
  </w:style>
  <w:style w:type="paragraph" w:customStyle="1" w:styleId="198">
    <w:name w:val="f10"/>
    <w:basedOn w:val="1"/>
    <w:qFormat/>
    <w:uiPriority w:val="0"/>
    <w:pPr>
      <w:spacing w:before="100" w:beforeLines="0" w:beforeAutospacing="1" w:after="100" w:afterLines="0" w:afterAutospacing="1" w:line="260" w:lineRule="atLeast"/>
    </w:pPr>
    <w:rPr>
      <w:rFonts w:ascii="_GB2312" w:hAnsi="_GB2312"/>
      <w:color w:val="000000"/>
      <w:sz w:val="18"/>
      <w:szCs w:val="18"/>
    </w:rPr>
  </w:style>
  <w:style w:type="paragraph" w:customStyle="1" w:styleId="199">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paragraph" w:customStyle="1" w:styleId="200">
    <w:name w:val="f11"/>
    <w:basedOn w:val="1"/>
    <w:qFormat/>
    <w:uiPriority w:val="0"/>
    <w:pPr>
      <w:spacing w:before="100" w:beforeLines="0" w:beforeAutospacing="1" w:after="100" w:afterLines="0" w:afterAutospacing="1" w:line="320" w:lineRule="atLeast"/>
    </w:pPr>
    <w:rPr>
      <w:rFonts w:ascii="_GB2312" w:hAnsi="_GB2312"/>
      <w:color w:val="000000"/>
      <w:sz w:val="28"/>
      <w:szCs w:val="28"/>
    </w:rPr>
  </w:style>
  <w:style w:type="paragraph" w:customStyle="1" w:styleId="20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1"/>
    <w:basedOn w:val="1"/>
    <w:next w:val="25"/>
    <w:qFormat/>
    <w:uiPriority w:val="0"/>
    <w:pPr>
      <w:widowControl w:val="0"/>
      <w:jc w:val="both"/>
    </w:pPr>
    <w:rPr>
      <w:rFonts w:ascii="宋体" w:hAnsi="Courier New"/>
      <w:kern w:val="2"/>
    </w:rPr>
  </w:style>
  <w:style w:type="paragraph" w:customStyle="1" w:styleId="203">
    <w:name w:val="1_0"/>
    <w:basedOn w:val="92"/>
    <w:next w:val="91"/>
    <w:qFormat/>
    <w:uiPriority w:val="0"/>
    <w:rPr>
      <w:rFonts w:ascii="宋体" w:hAnsi="Courier New" w:eastAsia="宋体"/>
      <w:szCs w:val="20"/>
    </w:rPr>
  </w:style>
  <w:style w:type="paragraph" w:customStyle="1" w:styleId="204">
    <w:name w:val="NormalIndent"/>
    <w:basedOn w:val="1"/>
    <w:qFormat/>
    <w:uiPriority w:val="0"/>
    <w:pPr>
      <w:spacing w:before="60"/>
      <w:ind w:firstLine="420" w:firstLineChars="200"/>
      <w:jc w:val="both"/>
      <w:textAlignment w:val="baseline"/>
    </w:pPr>
    <w:rPr>
      <w:kern w:val="2"/>
      <w:sz w:val="21"/>
      <w:szCs w:val="24"/>
      <w:lang w:val="en-US" w:eastAsia="zh-CN" w:bidi="ar-SA"/>
    </w:rPr>
  </w:style>
  <w:style w:type="paragraph" w:customStyle="1" w:styleId="205">
    <w:name w:val="xl34"/>
    <w:basedOn w:val="1"/>
    <w:qFormat/>
    <w:uiPriority w:val="0"/>
    <w:pPr>
      <w:pBdr>
        <w:top w:val="single" w:color="auto" w:sz="4" w:space="0"/>
        <w:left w:val="single" w:color="auto" w:sz="4" w:space="0"/>
        <w:bottom w:val="single" w:color="auto" w:sz="8"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206">
    <w:name w:val="135"/>
    <w:basedOn w:val="1"/>
    <w:qFormat/>
    <w:uiPriority w:val="0"/>
    <w:pPr>
      <w:spacing w:before="100" w:beforeLines="0" w:beforeAutospacing="1" w:after="100" w:afterLines="0" w:afterAutospacing="1" w:line="360" w:lineRule="auto"/>
    </w:pPr>
    <w:rPr>
      <w:rFonts w:ascii="宋体" w:hAnsi="宋体"/>
      <w:color w:val="000000"/>
      <w:sz w:val="24"/>
      <w:szCs w:val="24"/>
    </w:rPr>
  </w:style>
  <w:style w:type="paragraph" w:customStyle="1" w:styleId="207">
    <w:name w:val="列表 2 New"/>
    <w:basedOn w:val="201"/>
    <w:qFormat/>
    <w:uiPriority w:val="0"/>
    <w:pPr>
      <w:adjustRightInd w:val="0"/>
      <w:spacing w:line="312" w:lineRule="atLeast"/>
      <w:ind w:left="840" w:hanging="420"/>
      <w:textAlignment w:val="baseline"/>
    </w:pPr>
    <w:rPr>
      <w:rFonts w:ascii="Calibri" w:hAnsi="Calibri"/>
      <w:kern w:val="0"/>
      <w:szCs w:val="20"/>
    </w:rPr>
  </w:style>
  <w:style w:type="paragraph" w:customStyle="1" w:styleId="208">
    <w:name w:val="样式1"/>
    <w:basedOn w:val="3"/>
    <w:qFormat/>
    <w:uiPriority w:val="0"/>
    <w:pPr>
      <w:tabs>
        <w:tab w:val="left" w:pos="420"/>
      </w:tabs>
      <w:ind w:left="420" w:hanging="420"/>
    </w:pPr>
    <w:rPr>
      <w:rFonts w:cs="Times New Roman"/>
      <w:b/>
    </w:rPr>
  </w:style>
  <w:style w:type="paragraph" w:customStyle="1" w:styleId="209">
    <w:name w:val="正文_1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0">
    <w:name w:val="font6"/>
    <w:basedOn w:val="1"/>
    <w:qFormat/>
    <w:uiPriority w:val="0"/>
    <w:pPr>
      <w:spacing w:before="100" w:beforeLines="0" w:beforeAutospacing="1" w:after="100" w:afterLines="0" w:afterAutospacing="1"/>
    </w:pPr>
    <w:rPr>
      <w:sz w:val="24"/>
      <w:szCs w:val="24"/>
    </w:rPr>
  </w:style>
  <w:style w:type="paragraph" w:customStyle="1" w:styleId="211">
    <w:name w:val="需求书2"/>
    <w:basedOn w:val="1"/>
    <w:qFormat/>
    <w:uiPriority w:val="0"/>
    <w:pPr>
      <w:widowControl w:val="0"/>
      <w:jc w:val="both"/>
    </w:pPr>
    <w:rPr>
      <w:rFonts w:ascii="宋体" w:hAnsi="宋体"/>
      <w:b/>
      <w:spacing w:val="10"/>
      <w:kern w:val="2"/>
      <w:sz w:val="24"/>
      <w:szCs w:val="24"/>
    </w:rPr>
  </w:style>
  <w:style w:type="paragraph" w:customStyle="1" w:styleId="212">
    <w:name w:val="xl29"/>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213">
    <w:name w:val="p0"/>
    <w:basedOn w:val="1"/>
    <w:qFormat/>
    <w:uiPriority w:val="0"/>
    <w:pPr>
      <w:jc w:val="both"/>
    </w:pPr>
    <w:rPr>
      <w:szCs w:val="21"/>
    </w:rPr>
  </w:style>
  <w:style w:type="paragraph" w:customStyle="1" w:styleId="214">
    <w:name w:val="f14"/>
    <w:basedOn w:val="1"/>
    <w:qFormat/>
    <w:uiPriority w:val="0"/>
    <w:pPr>
      <w:spacing w:before="100" w:beforeLines="0" w:beforeAutospacing="1" w:after="100" w:afterLines="0" w:afterAutospacing="1"/>
    </w:pPr>
    <w:rPr>
      <w:rFonts w:ascii="_GB2312" w:hAnsi="_GB2312"/>
      <w:color w:val="000000"/>
      <w:sz w:val="28"/>
      <w:szCs w:val="28"/>
    </w:rPr>
  </w:style>
  <w:style w:type="paragraph" w:customStyle="1" w:styleId="215">
    <w:name w:val="xl46"/>
    <w:basedOn w:val="1"/>
    <w:qFormat/>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216">
    <w:name w:val="f12pt1"/>
    <w:basedOn w:val="1"/>
    <w:qFormat/>
    <w:uiPriority w:val="0"/>
    <w:pPr>
      <w:spacing w:before="100" w:beforeLines="0" w:beforeAutospacing="1" w:after="100" w:afterLines="0" w:afterAutospacing="1"/>
    </w:pPr>
    <w:rPr>
      <w:rFonts w:ascii="_GB2312" w:hAnsi="_GB2312"/>
      <w:color w:val="000000"/>
      <w:szCs w:val="21"/>
    </w:rPr>
  </w:style>
  <w:style w:type="paragraph" w:customStyle="1" w:styleId="217">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8">
    <w:name w:val="Char Char1 Char Char Char Char Char Char Char Char Char Char"/>
    <w:basedOn w:val="1"/>
    <w:qFormat/>
    <w:uiPriority w:val="0"/>
    <w:pPr>
      <w:widowControl w:val="0"/>
      <w:jc w:val="both"/>
    </w:pPr>
    <w:rPr>
      <w:rFonts w:ascii="Tahoma" w:hAnsi="Tahoma"/>
      <w:kern w:val="2"/>
      <w:sz w:val="24"/>
    </w:rPr>
  </w:style>
  <w:style w:type="paragraph" w:customStyle="1" w:styleId="219">
    <w:name w:val="样式1_0"/>
    <w:basedOn w:val="220"/>
    <w:qFormat/>
    <w:uiPriority w:val="0"/>
    <w:pPr>
      <w:widowControl/>
      <w:tabs>
        <w:tab w:val="left" w:pos="420"/>
      </w:tabs>
      <w:adjustRightInd w:val="0"/>
      <w:snapToGrid w:val="0"/>
      <w:spacing w:before="0" w:after="0" w:line="360" w:lineRule="auto"/>
      <w:ind w:left="420" w:hanging="420"/>
      <w:jc w:val="center"/>
    </w:pPr>
    <w:rPr>
      <w:rFonts w:ascii="宋体" w:hAnsi="Arial" w:eastAsia="宋体"/>
      <w:bCs w:val="0"/>
      <w:szCs w:val="20"/>
    </w:rPr>
  </w:style>
  <w:style w:type="paragraph" w:customStyle="1" w:styleId="220">
    <w:name w:val="标题 2_0_0"/>
    <w:basedOn w:val="221"/>
    <w:next w:val="221"/>
    <w:unhideWhenUsed/>
    <w:qFormat/>
    <w:uiPriority w:val="9"/>
    <w:pPr>
      <w:keepNext/>
      <w:keepLines/>
      <w:spacing w:before="260" w:after="260" w:line="416" w:lineRule="auto"/>
      <w:outlineLvl w:val="1"/>
    </w:pPr>
    <w:rPr>
      <w:rFonts w:ascii="Cambria" w:hAnsi="Cambria"/>
      <w:b/>
      <w:bCs/>
      <w:kern w:val="0"/>
      <w:sz w:val="32"/>
      <w:szCs w:val="32"/>
    </w:rPr>
  </w:style>
  <w:style w:type="paragraph" w:customStyle="1" w:styleId="22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font0"/>
    <w:basedOn w:val="1"/>
    <w:qFormat/>
    <w:uiPriority w:val="0"/>
    <w:pPr>
      <w:spacing w:before="100" w:beforeLines="0" w:beforeAutospacing="1" w:after="100" w:afterLines="0" w:afterAutospacing="1"/>
    </w:pPr>
    <w:rPr>
      <w:rFonts w:ascii="宋体" w:hAnsi="宋体" w:cs="宋体"/>
      <w:sz w:val="24"/>
      <w:szCs w:val="24"/>
    </w:rPr>
  </w:style>
  <w:style w:type="paragraph" w:styleId="223">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24">
    <w:name w:val="正文_11"/>
    <w:qFormat/>
    <w:uiPriority w:val="0"/>
    <w:rPr>
      <w:rFonts w:ascii="Times New Roman" w:hAnsi="Times New Roman" w:eastAsia="宋体" w:cs="Times New Roman"/>
      <w:sz w:val="21"/>
      <w:lang w:val="en-US" w:eastAsia="zh-CN" w:bidi="ar-SA"/>
    </w:rPr>
  </w:style>
  <w:style w:type="paragraph" w:customStyle="1" w:styleId="225">
    <w:name w:val="正文_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6">
    <w:name w:val="xl38"/>
    <w:basedOn w:val="1"/>
    <w:qFormat/>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pPr>
    <w:rPr>
      <w:sz w:val="24"/>
      <w:szCs w:val="24"/>
    </w:rPr>
  </w:style>
  <w:style w:type="paragraph" w:customStyle="1" w:styleId="227">
    <w:name w:val="xl43"/>
    <w:basedOn w:val="1"/>
    <w:qFormat/>
    <w:uiPriority w:val="0"/>
    <w:pPr>
      <w:pBdr>
        <w:top w:val="single" w:color="auto" w:sz="8"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228">
    <w:name w:val="150"/>
    <w:basedOn w:val="1"/>
    <w:qFormat/>
    <w:uiPriority w:val="0"/>
    <w:pPr>
      <w:spacing w:before="100" w:beforeLines="0" w:beforeAutospacing="1" w:after="100" w:afterLines="0" w:afterAutospacing="1" w:line="360" w:lineRule="auto"/>
    </w:pPr>
    <w:rPr>
      <w:rFonts w:ascii="宋体" w:hAnsi="宋体"/>
      <w:color w:val="000000"/>
      <w:sz w:val="24"/>
      <w:szCs w:val="24"/>
    </w:rPr>
  </w:style>
  <w:style w:type="paragraph" w:customStyle="1" w:styleId="229">
    <w:name w:val="GP正文(首行缩进)"/>
    <w:basedOn w:val="1"/>
    <w:qFormat/>
    <w:uiPriority w:val="0"/>
    <w:pPr>
      <w:ind w:firstLine="480"/>
      <w:jc w:val="left"/>
    </w:pPr>
    <w:rPr>
      <w:rFonts w:ascii="Times New Roman" w:hAnsi="宋体" w:cs="Times New Roman"/>
      <w:szCs w:val="24"/>
    </w:rPr>
  </w:style>
  <w:style w:type="paragraph" w:customStyle="1" w:styleId="230">
    <w:name w:val="xl42"/>
    <w:basedOn w:val="1"/>
    <w:qFormat/>
    <w:uiPriority w:val="0"/>
    <w:pPr>
      <w:spacing w:before="100" w:beforeLines="0" w:beforeAutospacing="1" w:after="100" w:afterLines="0" w:afterAutospacing="1"/>
      <w:textAlignment w:val="top"/>
    </w:pPr>
    <w:rPr>
      <w:rFonts w:ascii="宋体" w:hAnsi="宋体" w:cs="宋体"/>
      <w:sz w:val="24"/>
      <w:szCs w:val="24"/>
    </w:rPr>
  </w:style>
  <w:style w:type="paragraph" w:customStyle="1" w:styleId="2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32">
    <w:name w:val=" Char"/>
    <w:basedOn w:val="1"/>
    <w:qFormat/>
    <w:uiPriority w:val="0"/>
    <w:pPr>
      <w:widowControl w:val="0"/>
      <w:jc w:val="both"/>
    </w:pPr>
    <w:rPr>
      <w:rFonts w:ascii="Tahoma" w:hAnsi="Tahoma"/>
      <w:kern w:val="2"/>
      <w:sz w:val="24"/>
    </w:rPr>
  </w:style>
  <w:style w:type="paragraph" w:customStyle="1" w:styleId="233">
    <w:name w:val="标题 2_1"/>
    <w:basedOn w:val="194"/>
    <w:next w:val="194"/>
    <w:unhideWhenUsed/>
    <w:qFormat/>
    <w:uiPriority w:val="9"/>
    <w:pPr>
      <w:keepNext/>
      <w:keepLines/>
      <w:spacing w:before="260" w:after="260" w:line="416" w:lineRule="auto"/>
      <w:outlineLvl w:val="1"/>
    </w:pPr>
    <w:rPr>
      <w:rFonts w:ascii="Cambria" w:hAnsi="Cambria"/>
      <w:b/>
      <w:bCs/>
      <w:kern w:val="0"/>
      <w:sz w:val="32"/>
      <w:szCs w:val="32"/>
    </w:rPr>
  </w:style>
  <w:style w:type="paragraph" w:customStyle="1" w:styleId="234">
    <w:name w:val="正文_1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5">
    <w:name w:val="font5"/>
    <w:basedOn w:val="1"/>
    <w:qFormat/>
    <w:uiPriority w:val="0"/>
    <w:pPr>
      <w:spacing w:before="100" w:beforeLines="0" w:beforeAutospacing="1" w:after="100" w:afterLines="0" w:afterAutospacing="1"/>
    </w:pPr>
    <w:rPr>
      <w:rFonts w:ascii="宋体" w:hAnsi="宋体" w:cs="宋体"/>
      <w:sz w:val="18"/>
      <w:szCs w:val="18"/>
    </w:rPr>
  </w:style>
  <w:style w:type="paragraph" w:customStyle="1" w:styleId="236">
    <w:name w:val=" Char1 Char"/>
    <w:basedOn w:val="1"/>
    <w:qFormat/>
    <w:uiPriority w:val="0"/>
    <w:pPr>
      <w:numPr>
        <w:ilvl w:val="0"/>
        <w:numId w:val="3"/>
      </w:numPr>
    </w:pPr>
    <w:rPr>
      <w:kern w:val="2"/>
      <w:sz w:val="24"/>
      <w:szCs w:val="24"/>
    </w:rPr>
  </w:style>
  <w:style w:type="paragraph" w:customStyle="1" w:styleId="237">
    <w:name w:val="Normal_13"/>
    <w:qFormat/>
    <w:uiPriority w:val="0"/>
    <w:pPr>
      <w:widowControl w:val="0"/>
      <w:jc w:val="both"/>
    </w:pPr>
    <w:rPr>
      <w:rFonts w:ascii="Times New Roman" w:hAnsi="Times New Roman" w:eastAsia="宋体" w:cs="Times New Roman"/>
      <w:kern w:val="2"/>
      <w:sz w:val="21"/>
      <w:szCs w:val="22"/>
      <w:lang w:bidi="ar-SA"/>
    </w:rPr>
  </w:style>
  <w:style w:type="paragraph" w:customStyle="1" w:styleId="238">
    <w:name w:val="项目符号-圆"/>
    <w:basedOn w:val="183"/>
    <w:qFormat/>
    <w:uiPriority w:val="0"/>
    <w:pPr>
      <w:widowControl/>
      <w:numPr>
        <w:ilvl w:val="0"/>
        <w:numId w:val="4"/>
      </w:numPr>
      <w:spacing w:before="326" w:beforeLines="100" w:after="163" w:afterLines="50"/>
      <w:ind w:firstLine="0" w:firstLineChars="0"/>
    </w:pPr>
    <w:rPr>
      <w:rFonts w:ascii="Calibri" w:hAnsi="Calibri" w:eastAsia="宋体" w:cs="Times New Roman"/>
      <w:b/>
      <w:kern w:val="0"/>
      <w:szCs w:val="20"/>
      <w:shd w:val="clear" w:color="auto" w:fill="FFFFFF"/>
      <w:lang w:val="zh-CN"/>
    </w:rPr>
  </w:style>
  <w:style w:type="paragraph" w:customStyle="1" w:styleId="239">
    <w:name w:val="样式 首行缩进:  2 字符"/>
    <w:basedOn w:val="1"/>
    <w:qFormat/>
    <w:uiPriority w:val="0"/>
    <w:pPr>
      <w:keepNext/>
      <w:widowControl/>
      <w:ind w:firstLine="360"/>
      <w:jc w:val="both"/>
    </w:pPr>
    <w:rPr>
      <w:rFonts w:ascii="Times New Roman"/>
      <w:sz w:val="21"/>
    </w:rPr>
  </w:style>
  <w:style w:type="paragraph" w:customStyle="1" w:styleId="240">
    <w:name w:val="无间隔1"/>
    <w:basedOn w:val="1"/>
    <w:qFormat/>
    <w:uiPriority w:val="0"/>
    <w:pPr>
      <w:widowControl/>
      <w:jc w:val="left"/>
    </w:pPr>
    <w:rPr>
      <w:kern w:val="0"/>
      <w:sz w:val="22"/>
      <w:szCs w:val="22"/>
    </w:rPr>
  </w:style>
  <w:style w:type="paragraph" w:customStyle="1" w:styleId="241">
    <w:name w:val="xl30"/>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sz w:val="24"/>
      <w:szCs w:val="24"/>
    </w:rPr>
  </w:style>
  <w:style w:type="paragraph" w:customStyle="1" w:styleId="242">
    <w:name w:val="xl36"/>
    <w:basedOn w:val="1"/>
    <w:qFormat/>
    <w:uiPriority w:val="0"/>
    <w:pPr>
      <w:pBdr>
        <w:top w:val="single" w:color="auto" w:sz="4" w:space="0"/>
        <w:left w:val="single" w:color="auto" w:sz="4" w:space="0"/>
        <w:bottom w:val="single" w:color="auto" w:sz="8"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243">
    <w:name w:val="xl49"/>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sz w:val="24"/>
      <w:szCs w:val="24"/>
    </w:rPr>
  </w:style>
  <w:style w:type="paragraph" w:customStyle="1" w:styleId="244">
    <w:name w:val="xl41"/>
    <w:basedOn w:val="1"/>
    <w:qFormat/>
    <w:uiPriority w:val="0"/>
    <w:pPr>
      <w:pBdr>
        <w:top w:val="single" w:color="auto" w:sz="4" w:space="0"/>
        <w:left w:val="single" w:color="auto" w:sz="8" w:space="0"/>
        <w:bottom w:val="single" w:color="auto" w:sz="8"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245">
    <w:name w:val="样式1_0_0"/>
    <w:basedOn w:val="233"/>
    <w:qFormat/>
    <w:uiPriority w:val="0"/>
    <w:pPr>
      <w:widowControl/>
      <w:tabs>
        <w:tab w:val="left" w:pos="420"/>
      </w:tabs>
      <w:adjustRightInd w:val="0"/>
      <w:snapToGrid w:val="0"/>
      <w:spacing w:before="0" w:after="0" w:line="360" w:lineRule="auto"/>
      <w:ind w:left="420" w:hanging="420"/>
      <w:jc w:val="center"/>
    </w:pPr>
    <w:rPr>
      <w:rFonts w:ascii="宋体" w:hAnsi="Arial" w:eastAsia="宋体"/>
      <w:bCs w:val="0"/>
      <w:szCs w:val="20"/>
    </w:rPr>
  </w:style>
  <w:style w:type="paragraph" w:customStyle="1" w:styleId="246">
    <w:name w:val="彩色列表 - 强调文字颜色 11"/>
    <w:basedOn w:val="1"/>
    <w:qFormat/>
    <w:uiPriority w:val="99"/>
    <w:pPr>
      <w:ind w:firstLine="420" w:firstLineChars="200"/>
    </w:pPr>
    <w:rPr>
      <w:rFonts w:ascii="Calibri" w:hAnsi="Calibri"/>
      <w:szCs w:val="22"/>
    </w:rPr>
  </w:style>
  <w:style w:type="paragraph" w:customStyle="1" w:styleId="247">
    <w:name w:val="Normal_24"/>
    <w:qFormat/>
    <w:uiPriority w:val="0"/>
    <w:rPr>
      <w:rFonts w:ascii="Times New Roman" w:hAnsi="Times New Roman" w:eastAsia="宋体" w:cs="Times New Roman"/>
      <w:sz w:val="21"/>
      <w:lang w:val="en-US" w:eastAsia="zh-CN" w:bidi="ar-SA"/>
    </w:rPr>
  </w:style>
  <w:style w:type="paragraph" w:customStyle="1" w:styleId="248">
    <w:name w:val="_Style 247"/>
    <w:basedOn w:val="1"/>
    <w:next w:val="1"/>
    <w:qFormat/>
    <w:uiPriority w:val="0"/>
    <w:pPr>
      <w:pBdr>
        <w:top w:val="single" w:color="auto" w:sz="6" w:space="1"/>
      </w:pBdr>
      <w:jc w:val="center"/>
    </w:pPr>
    <w:rPr>
      <w:rFonts w:ascii="Arial" w:eastAsia="宋体"/>
      <w:vanish/>
      <w:sz w:val="16"/>
    </w:rPr>
  </w:style>
  <w:style w:type="paragraph" w:customStyle="1" w:styleId="249">
    <w:name w:val=" Char Char Char Char"/>
    <w:basedOn w:val="1"/>
    <w:qFormat/>
    <w:uiPriority w:val="0"/>
    <w:pPr>
      <w:numPr>
        <w:ilvl w:val="0"/>
        <w:numId w:val="5"/>
      </w:numPr>
      <w:spacing w:after="160" w:line="240" w:lineRule="exact"/>
    </w:pPr>
    <w:rPr>
      <w:rFonts w:ascii="Verdana" w:hAnsi="Verdana"/>
      <w:lang w:eastAsia="en-US"/>
    </w:rPr>
  </w:style>
  <w:style w:type="paragraph" w:customStyle="1" w:styleId="250">
    <w:name w:val="xl26"/>
    <w:basedOn w:val="1"/>
    <w:qFormat/>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宋体" w:hAnsi="宋体" w:cs="宋体"/>
      <w:sz w:val="24"/>
      <w:szCs w:val="24"/>
    </w:rPr>
  </w:style>
  <w:style w:type="paragraph" w:customStyle="1" w:styleId="251">
    <w:name w:val="正文缩近"/>
    <w:basedOn w:val="1"/>
    <w:qFormat/>
    <w:uiPriority w:val="0"/>
    <w:pPr>
      <w:widowControl w:val="0"/>
      <w:spacing w:line="360" w:lineRule="auto"/>
      <w:ind w:firstLine="200" w:firstLineChars="200"/>
      <w:jc w:val="both"/>
    </w:pPr>
    <w:rPr>
      <w:kern w:val="2"/>
      <w:sz w:val="24"/>
      <w:szCs w:val="24"/>
    </w:rPr>
  </w:style>
  <w:style w:type="paragraph" w:customStyle="1" w:styleId="252">
    <w:name w:val=" Char Char Char Char Char Char Char Char Char Char"/>
    <w:basedOn w:val="1"/>
    <w:qFormat/>
    <w:uiPriority w:val="0"/>
    <w:pPr>
      <w:widowControl w:val="0"/>
      <w:jc w:val="both"/>
    </w:pPr>
    <w:rPr>
      <w:rFonts w:ascii="Tahoma" w:hAnsi="Tahoma"/>
      <w:kern w:val="2"/>
      <w:sz w:val="24"/>
    </w:rPr>
  </w:style>
  <w:style w:type="paragraph" w:customStyle="1" w:styleId="253">
    <w:name w:val="正文_7"/>
    <w:qFormat/>
    <w:uiPriority w:val="0"/>
    <w:rPr>
      <w:rFonts w:ascii="Times New Roman" w:hAnsi="Times New Roman" w:eastAsia="宋体" w:cs="Times New Roman"/>
      <w:sz w:val="21"/>
      <w:lang w:val="en-US" w:eastAsia="zh-CN" w:bidi="ar-SA"/>
    </w:rPr>
  </w:style>
  <w:style w:type="paragraph" w:customStyle="1" w:styleId="254">
    <w:name w:val="Normal_22"/>
    <w:qFormat/>
    <w:uiPriority w:val="0"/>
    <w:rPr>
      <w:rFonts w:ascii="Times New Roman" w:hAnsi="Times New Roman" w:eastAsia="宋体" w:cs="Times New Roman"/>
      <w:sz w:val="21"/>
      <w:lang w:val="en-US" w:eastAsia="zh-CN" w:bidi="ar-SA"/>
    </w:rPr>
  </w:style>
  <w:style w:type="paragraph" w:customStyle="1" w:styleId="255">
    <w:name w:val="Normal_17"/>
    <w:qFormat/>
    <w:uiPriority w:val="0"/>
    <w:rPr>
      <w:rFonts w:ascii="Times New Roman" w:hAnsi="Times New Roman" w:eastAsia="宋体" w:cs="Times New Roman"/>
      <w:sz w:val="21"/>
      <w:lang w:bidi="ar-SA"/>
    </w:rPr>
  </w:style>
  <w:style w:type="paragraph" w:customStyle="1" w:styleId="256">
    <w:name w:val="xl45"/>
    <w:basedOn w:val="1"/>
    <w:qFormat/>
    <w:uiPriority w:val="0"/>
    <w:pPr>
      <w:pBdr>
        <w:top w:val="single" w:color="auto" w:sz="8" w:space="0"/>
        <w:left w:val="single" w:color="auto" w:sz="4" w:space="0"/>
        <w:bottom w:val="single" w:color="auto" w:sz="4" w:space="0"/>
        <w:right w:val="single" w:color="auto" w:sz="8"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257">
    <w:name w:val="f12"/>
    <w:basedOn w:val="1"/>
    <w:qFormat/>
    <w:uiPriority w:val="0"/>
    <w:pPr>
      <w:spacing w:before="100" w:beforeLines="0" w:beforeAutospacing="1" w:after="100" w:afterLines="0" w:afterAutospacing="1"/>
    </w:pPr>
    <w:rPr>
      <w:rFonts w:ascii="_GB2312" w:hAnsi="_GB2312"/>
      <w:color w:val="000000"/>
      <w:szCs w:val="21"/>
    </w:rPr>
  </w:style>
  <w:style w:type="paragraph" w:customStyle="1" w:styleId="258">
    <w:name w:val="font8"/>
    <w:basedOn w:val="1"/>
    <w:qFormat/>
    <w:uiPriority w:val="0"/>
    <w:pPr>
      <w:spacing w:before="100" w:beforeLines="0" w:beforeAutospacing="1" w:after="100" w:afterLines="0" w:afterAutospacing="1"/>
    </w:pPr>
    <w:rPr>
      <w:b/>
      <w:bCs/>
      <w:sz w:val="36"/>
      <w:szCs w:val="36"/>
    </w:rPr>
  </w:style>
  <w:style w:type="table" w:customStyle="1" w:styleId="259">
    <w:name w:val="网格型1"/>
    <w:basedOn w:val="44"/>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0">
    <w:name w:val="font161"/>
    <w:basedOn w:val="46"/>
    <w:qFormat/>
    <w:uiPriority w:val="0"/>
    <w:rPr>
      <w:rFonts w:hint="default" w:ascii="Times New Roman" w:hAnsi="Times New Roman" w:cs="Times New Roman"/>
      <w:color w:val="000000"/>
      <w:sz w:val="20"/>
      <w:szCs w:val="20"/>
      <w:u w:val="none"/>
    </w:rPr>
  </w:style>
  <w:style w:type="character" w:customStyle="1" w:styleId="261">
    <w:name w:val="font112"/>
    <w:basedOn w:val="46"/>
    <w:qFormat/>
    <w:uiPriority w:val="0"/>
    <w:rPr>
      <w:rFonts w:hint="default" w:ascii="Arial" w:hAnsi="Arial" w:cs="Arial"/>
      <w:color w:val="000000"/>
      <w:sz w:val="20"/>
      <w:szCs w:val="20"/>
      <w:u w:val="none"/>
    </w:rPr>
  </w:style>
  <w:style w:type="character" w:customStyle="1" w:styleId="262">
    <w:name w:val="font141"/>
    <w:basedOn w:val="46"/>
    <w:qFormat/>
    <w:uiPriority w:val="0"/>
    <w:rPr>
      <w:rFonts w:hint="eastAsia" w:ascii="宋体" w:hAnsi="宋体" w:eastAsia="宋体" w:cs="宋体"/>
      <w:color w:val="000000"/>
      <w:sz w:val="18"/>
      <w:szCs w:val="18"/>
      <w:u w:val="none"/>
    </w:rPr>
  </w:style>
  <w:style w:type="character" w:customStyle="1" w:styleId="263">
    <w:name w:val="font61"/>
    <w:basedOn w:val="46"/>
    <w:qFormat/>
    <w:uiPriority w:val="0"/>
    <w:rPr>
      <w:rFonts w:hint="default" w:ascii="Arial" w:hAnsi="Arial" w:cs="Arial"/>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342</Pages>
  <Words>19803</Words>
  <Characters>22762</Characters>
  <Lines>324</Lines>
  <Paragraphs>91</Paragraphs>
  <TotalTime>27</TotalTime>
  <ScaleCrop>false</ScaleCrop>
  <LinksUpToDate>false</LinksUpToDate>
  <CharactersWithSpaces>23300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2020-08-28T16:49:00Z</dcterms:created>
  <dc:creator>Administrator</dc:creator>
  <cp:lastModifiedBy>灰姑娘（静）</cp:lastModifiedBy>
  <cp:lastPrinted>2023-05-04T16:53:00Z</cp:lastPrinted>
  <dcterms:modified xsi:type="dcterms:W3CDTF">2025-08-04T03:18:08Z</dcterms:modified>
  <dc:title>网址：www</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E9EA051DE5211E5EDBAF8D689AD762C5_43</vt:lpwstr>
  </property>
  <property fmtid="{D5CDD505-2E9C-101B-9397-08002B2CF9AE}" pid="4" name="KSOTemplateDocerSaveRecord">
    <vt:lpwstr>eyJoZGlkIjoiOWRiZTY1MTkzNGU5YmYzNTc3MjUwYWExMmQ0NTkyNGIiLCJ1c2VySWQiOiIzMzk4MzE3NjIifQ==</vt:lpwstr>
  </property>
</Properties>
</file>