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53F0">
      <w:pPr>
        <w:pStyle w:val="2"/>
        <w:numPr>
          <w:ilvl w:val="0"/>
          <w:numId w:val="1"/>
        </w:numPr>
        <w:bidi w:val="0"/>
        <w:rPr>
          <w:rFonts w:hint="eastAsia"/>
          <w:lang w:val="en-US" w:eastAsia="zh-CN"/>
        </w:rPr>
      </w:pPr>
      <w:r>
        <w:rPr>
          <w:rFonts w:hint="eastAsia"/>
          <w:lang w:val="en-US" w:eastAsia="zh-CN"/>
        </w:rPr>
        <w:t>资格条件</w:t>
      </w:r>
    </w:p>
    <w:p w14:paraId="2D6E2D9D">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1.具有独立承担民事责任的能力：提供法人或者其他组 织的营业执照等证明文件，或自然人身份证明；</w:t>
      </w:r>
    </w:p>
    <w:p w14:paraId="123C5208">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具有良好的商业信誉和健全的财务会计制度：提供会计师事务所出具的2023年或2024年的财务审计报告（包括资产负债表、现金流量表、利润表、财务报表附注或财务状况说明书、会计师事务所的营业执照及执业资格证书）对于新成立或成立不满一年的新公司，应提供基本开户银行出具的资信证明（复印件加盖投标单位公章）</w:t>
      </w:r>
    </w:p>
    <w:p w14:paraId="36149020">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3.具有履行合同所必需的设备和专业技术能力：提供具有履行合同所必需的设备和专业技术能力的证明材料复印件加盖公章或自行承诺具有履行合同所必需的设备和专业技术能力。【格式自拟】</w:t>
      </w:r>
    </w:p>
    <w:p w14:paraId="57EA5BB1">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具有依法缴纳税收和社会保障资金的良好记录：提供2025年1月1日至投标截止时间前任意1个月缴纳税收和缴纳社会保障资金的相关有效凭证。①若投标人存在某月零报税情况时，无缴税银行收款凭证，提供电子税务申报表复印件或扫描件加盖投标人公章。②不需缴纳税收的应提供相关证明材料。③成立未满三个月的单位，提供成立以来依法缴纳税收和缴纳社会保障资金的凭证及依法缴纳税收和缴纳社会保障资金的承诺函；（复印件（或扫描件）加盖供应商公章）。</w:t>
      </w:r>
    </w:p>
    <w:p w14:paraId="6F9268FD">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5.参加本次政府采购活动前三年内，在经营活动中没有违法违规记录：提供参加政府采购活动前3年内在经营活动中没有重大违法记录的书面声明(格式文件详见相关文件范本)。</w:t>
      </w:r>
    </w:p>
    <w:p w14:paraId="136FDCF5">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6.法律、行政法规和国家有关规定的其他条件：</w:t>
      </w:r>
    </w:p>
    <w:p w14:paraId="21B1D8D1">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供应商须承诺：在“信用中国”网站(ww.creditchina.gov.cn)、中国政府级购网(ww.cCBp.gov.cn)等渠道查询中未被列入失信被执行人名单、重大税收违法案件当事人名单、政府采妁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34AA0CA3">
      <w:pPr>
        <w:numPr>
          <w:ilvl w:val="0"/>
          <w:numId w:val="0"/>
        </w:numPr>
        <w:spacing w:line="360" w:lineRule="auto"/>
        <w:ind w:firstLine="640" w:firstLineChars="200"/>
        <w:rPr>
          <w:rFonts w:hint="eastAsia"/>
          <w:lang w:val="en-US" w:eastAsia="zh-CN"/>
        </w:rPr>
      </w:pPr>
      <w:r>
        <w:rPr>
          <w:rFonts w:hint="eastAsia" w:ascii="仿宋" w:hAnsi="仿宋" w:eastAsia="仿宋" w:cs="仿宋"/>
          <w:color w:val="auto"/>
          <w:kern w:val="2"/>
          <w:sz w:val="32"/>
          <w:szCs w:val="32"/>
          <w:highlight w:val="none"/>
          <w:lang w:val="en-US" w:eastAsia="zh-CN" w:bidi="ar-SA"/>
        </w:rPr>
        <w:t>(2)根据《省发展改革委省法院省公共资源交易中心关于推进全省公共资源交易领域对法院失信被执行人实施信用联合惩戒的通知》黔发改财金【2020】421号文件要求，交易系统会自行对失信供应商实施信用联合惩戒。</w:t>
      </w:r>
    </w:p>
    <w:p w14:paraId="6B3652B7">
      <w:pPr>
        <w:spacing w:line="360" w:lineRule="auto"/>
        <w:ind w:firstLine="512" w:firstLineChars="1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7.本项目所需特殊行业资质或要求：投标人具备有效的林业调查规划设计乙级及以上资质。</w:t>
      </w:r>
    </w:p>
    <w:p w14:paraId="39F90572">
      <w:pPr>
        <w:spacing w:line="360" w:lineRule="auto"/>
        <w:ind w:firstLine="512" w:firstLineChars="1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8.本项目</w:t>
      </w:r>
      <w:r>
        <w:rPr>
          <w:rFonts w:hint="eastAsia" w:ascii="仿宋" w:hAnsi="仿宋" w:eastAsia="仿宋" w:cs="仿宋"/>
          <w:b/>
          <w:bCs/>
          <w:color w:val="auto"/>
          <w:sz w:val="32"/>
          <w:szCs w:val="32"/>
          <w:highlight w:val="none"/>
          <w:u w:val="single"/>
        </w:rPr>
        <w:t>不接受</w:t>
      </w:r>
      <w:r>
        <w:rPr>
          <w:rFonts w:hint="eastAsia" w:ascii="仿宋" w:hAnsi="仿宋" w:eastAsia="仿宋" w:cs="仿宋"/>
          <w:color w:val="auto"/>
          <w:sz w:val="32"/>
          <w:szCs w:val="32"/>
          <w:highlight w:val="none"/>
        </w:rPr>
        <w:t>联合体投标。</w:t>
      </w:r>
    </w:p>
    <w:p w14:paraId="010A04D0">
      <w:pPr>
        <w:spacing w:line="360" w:lineRule="auto"/>
        <w:ind w:firstLine="512" w:firstLineChars="160"/>
        <w:rPr>
          <w:rFonts w:hint="default"/>
          <w:lang w:val="en-US" w:eastAsia="zh-CN"/>
        </w:rPr>
      </w:pPr>
      <w:r>
        <w:rPr>
          <w:rFonts w:hint="eastAsia" w:ascii="仿宋" w:hAnsi="仿宋" w:eastAsia="仿宋" w:cs="仿宋"/>
          <w:color w:val="auto"/>
          <w:sz w:val="32"/>
          <w:szCs w:val="32"/>
          <w:highlight w:val="none"/>
        </w:rPr>
        <w:t>9.本项目</w:t>
      </w:r>
      <w:r>
        <w:rPr>
          <w:rFonts w:hint="eastAsia" w:ascii="仿宋" w:hAnsi="仿宋" w:eastAsia="仿宋" w:cs="仿宋"/>
          <w:color w:val="auto"/>
          <w:sz w:val="32"/>
          <w:szCs w:val="32"/>
          <w:highlight w:val="none"/>
          <w:u w:val="single"/>
          <w:lang w:val="en-US" w:eastAsia="zh-CN"/>
        </w:rPr>
        <w:t>否</w:t>
      </w:r>
      <w:r>
        <w:rPr>
          <w:rFonts w:hint="eastAsia" w:ascii="仿宋" w:hAnsi="仿宋" w:eastAsia="仿宋" w:cs="仿宋"/>
          <w:color w:val="auto"/>
          <w:sz w:val="32"/>
          <w:szCs w:val="32"/>
          <w:highlight w:val="none"/>
        </w:rPr>
        <w:t>专门面向中小企业采购。（投标单位需按竞争性磋商文件要求如实提供中小企业声明函，未提供按无效标处理）所属行业：本项目所属行业为其他未列明行业。</w:t>
      </w:r>
      <w:r>
        <w:rPr>
          <w:rFonts w:hint="eastAsia"/>
          <w:lang w:val="en-US" w:eastAsia="zh-CN"/>
        </w:rPr>
        <w:br w:type="page"/>
      </w:r>
    </w:p>
    <w:p w14:paraId="13062CC4">
      <w:pPr>
        <w:pStyle w:val="2"/>
        <w:numPr>
          <w:ilvl w:val="0"/>
          <w:numId w:val="1"/>
        </w:numPr>
        <w:bidi w:val="0"/>
        <w:rPr>
          <w:rFonts w:hint="default"/>
          <w:lang w:val="en-US" w:eastAsia="zh-CN"/>
        </w:rPr>
      </w:pPr>
      <w:r>
        <w:rPr>
          <w:rFonts w:hint="eastAsia"/>
          <w:lang w:val="en-US" w:eastAsia="zh-CN"/>
        </w:rPr>
        <w:t>采购需求</w:t>
      </w:r>
    </w:p>
    <w:p w14:paraId="066ECB29">
      <w:pPr>
        <w:numPr>
          <w:ilvl w:val="0"/>
          <w:numId w:val="2"/>
        </w:numPr>
        <w:rPr>
          <w:rFonts w:hint="eastAsia" w:ascii="仿宋" w:hAnsi="仿宋" w:eastAsia="仿宋" w:cs="仿宋"/>
          <w:spacing w:val="19"/>
          <w:position w:val="-5"/>
          <w:sz w:val="32"/>
          <w:szCs w:val="32"/>
          <w:lang w:val="en-US" w:eastAsia="zh-CN"/>
        </w:rPr>
      </w:pPr>
      <w:r>
        <w:rPr>
          <w:rFonts w:hint="eastAsia" w:ascii="仿宋" w:hAnsi="仿宋" w:eastAsia="仿宋" w:cs="仿宋"/>
          <w:spacing w:val="19"/>
          <w:position w:val="-5"/>
          <w:sz w:val="32"/>
          <w:szCs w:val="32"/>
          <w:lang w:val="en-US" w:eastAsia="zh-CN"/>
        </w:rPr>
        <w:t>建设内容：护国寺内建设卫生间120平方米，化粪池20立方米；建设3个露营基地，安装新能源充电桩，供水供电基础配套设施；文创基地建设；金龙宾馆前停车场旅游公厕维修改造；护国寺至金龙宾馆之间园路工程；大园址精品民宿文化书屋打造；提升改造藏酋猴科普园基础配套设施及团龙村门改造；景区道闸及售票工程；景区内标识标牌工程；太阳能路灯工程。</w:t>
      </w:r>
    </w:p>
    <w:p w14:paraId="6AABB2AA">
      <w:pPr>
        <w:pStyle w:val="9"/>
        <w:numPr>
          <w:ilvl w:val="0"/>
          <w:numId w:val="2"/>
        </w:numPr>
        <w:ind w:left="0" w:leftChars="0" w:firstLine="0" w:firstLineChars="0"/>
        <w:rPr>
          <w:rFonts w:hint="eastAsia" w:ascii="仿宋" w:hAnsi="仿宋" w:eastAsia="仿宋" w:cs="仿宋"/>
          <w:spacing w:val="19"/>
          <w:kern w:val="2"/>
          <w:position w:val="-5"/>
          <w:sz w:val="32"/>
          <w:szCs w:val="32"/>
          <w:lang w:val="en-US" w:eastAsia="zh-CN" w:bidi="ar-SA"/>
        </w:rPr>
      </w:pPr>
      <w:r>
        <w:rPr>
          <w:rFonts w:hint="eastAsia" w:ascii="仿宋" w:hAnsi="仿宋" w:eastAsia="仿宋" w:cs="仿宋"/>
          <w:spacing w:val="19"/>
          <w:kern w:val="2"/>
          <w:position w:val="-5"/>
          <w:sz w:val="32"/>
          <w:szCs w:val="32"/>
          <w:lang w:val="en-US" w:eastAsia="zh-CN" w:bidi="ar-SA"/>
        </w:rPr>
        <w:t>招标范围：施工图纸和相应工程量清单所表达的范围（工程量清单与施工图不一致时，以工程量清单为准）；</w:t>
      </w:r>
    </w:p>
    <w:p w14:paraId="4D95C232">
      <w:pPr>
        <w:pStyle w:val="9"/>
        <w:numPr>
          <w:ilvl w:val="0"/>
          <w:numId w:val="2"/>
        </w:numPr>
        <w:ind w:left="0" w:leftChars="0" w:firstLine="0" w:firstLineChars="0"/>
        <w:rPr>
          <w:rFonts w:hint="default" w:ascii="仿宋" w:hAnsi="仿宋" w:eastAsia="仿宋" w:cs="仿宋"/>
          <w:spacing w:val="19"/>
          <w:kern w:val="2"/>
          <w:position w:val="-5"/>
          <w:sz w:val="32"/>
          <w:szCs w:val="32"/>
          <w:lang w:val="en-US" w:eastAsia="zh-CN" w:bidi="ar-SA"/>
        </w:rPr>
      </w:pPr>
      <w:r>
        <w:rPr>
          <w:rFonts w:hint="default" w:ascii="仿宋" w:hAnsi="仿宋" w:eastAsia="仿宋" w:cs="仿宋"/>
          <w:spacing w:val="19"/>
          <w:kern w:val="2"/>
          <w:position w:val="-5"/>
          <w:sz w:val="32"/>
          <w:szCs w:val="32"/>
          <w:lang w:val="en-US" w:eastAsia="zh-CN" w:bidi="ar-SA"/>
        </w:rPr>
        <w:t>工程质量：符合国家现行有关施工质量验收规范标准，施工安全文明标准化满足有关规范标准要求；</w:t>
      </w:r>
    </w:p>
    <w:p w14:paraId="1C44839F">
      <w:pPr>
        <w:rPr>
          <w:rFonts w:hint="default"/>
          <w:lang w:val="en-US" w:eastAsia="zh-CN"/>
        </w:rPr>
      </w:pPr>
      <w:r>
        <w:rPr>
          <w:rFonts w:hint="eastAsia" w:ascii="仿宋" w:hAnsi="仿宋" w:eastAsia="仿宋" w:cs="仿宋"/>
          <w:spacing w:val="19"/>
          <w:kern w:val="2"/>
          <w:position w:val="-5"/>
          <w:sz w:val="32"/>
          <w:szCs w:val="32"/>
          <w:lang w:val="en-US" w:eastAsia="zh-CN" w:bidi="ar-SA"/>
        </w:rPr>
        <w:t>4、详见工程量清单和图纸</w:t>
      </w:r>
    </w:p>
    <w:p w14:paraId="125BEC79">
      <w:pPr>
        <w:numPr>
          <w:ilvl w:val="0"/>
          <w:numId w:val="2"/>
        </w:numPr>
        <w:rPr>
          <w:rFonts w:ascii="黑体" w:hAnsi="黑体" w:eastAsia="黑体" w:cs="黑体"/>
          <w:spacing w:val="19"/>
          <w:position w:val="-5"/>
          <w:sz w:val="33"/>
          <w:szCs w:val="33"/>
        </w:rPr>
      </w:pPr>
      <w:r>
        <w:rPr>
          <w:rFonts w:ascii="黑体" w:hAnsi="黑体" w:eastAsia="黑体" w:cs="黑体"/>
          <w:spacing w:val="19"/>
          <w:position w:val="-5"/>
          <w:sz w:val="33"/>
          <w:szCs w:val="33"/>
        </w:rPr>
        <w:br w:type="page"/>
      </w:r>
    </w:p>
    <w:p w14:paraId="08AE0B21">
      <w:pPr>
        <w:pStyle w:val="2"/>
        <w:numPr>
          <w:ilvl w:val="0"/>
          <w:numId w:val="1"/>
        </w:numPr>
        <w:bidi w:val="0"/>
        <w:rPr>
          <w:rFonts w:hint="default"/>
          <w:lang w:val="en-US" w:eastAsia="zh-CN"/>
        </w:rPr>
      </w:pPr>
      <w:r>
        <w:t>商务要求</w:t>
      </w:r>
    </w:p>
    <w:p w14:paraId="15665667">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一、工期及服务地点</w:t>
      </w:r>
    </w:p>
    <w:p w14:paraId="68FEEFC1">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工期期：3</w:t>
      </w:r>
      <w:bookmarkStart w:id="0" w:name="_GoBack"/>
      <w:bookmarkEnd w:id="0"/>
      <w:r>
        <w:rPr>
          <w:rFonts w:hint="eastAsia" w:ascii="仿宋" w:hAnsi="仿宋" w:eastAsia="仿宋" w:cs="仿宋"/>
          <w:snapToGrid/>
          <w:color w:val="auto"/>
          <w:kern w:val="2"/>
          <w:sz w:val="32"/>
          <w:szCs w:val="32"/>
          <w:highlight w:val="none"/>
          <w:lang w:val="en-US" w:eastAsia="zh-CN" w:bidi="ar-SA"/>
        </w:rPr>
        <w:t>个月</w:t>
      </w:r>
      <w:r>
        <w:rPr>
          <w:rFonts w:hint="eastAsia" w:ascii="仿宋" w:hAnsi="仿宋" w:eastAsia="仿宋" w:cs="仿宋"/>
          <w:bCs/>
          <w:snapToGrid/>
          <w:color w:val="auto"/>
          <w:kern w:val="2"/>
          <w:sz w:val="32"/>
          <w:szCs w:val="32"/>
          <w:highlight w:val="none"/>
          <w:lang w:val="en-US" w:eastAsia="zh-CN" w:bidi="ar-SA"/>
        </w:rPr>
        <w:t>。</w:t>
      </w:r>
    </w:p>
    <w:p w14:paraId="3D04899B">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建设地点：</w:t>
      </w:r>
      <w:r>
        <w:rPr>
          <w:rFonts w:hint="eastAsia" w:ascii="仿宋" w:hAnsi="仿宋" w:eastAsia="仿宋" w:cs="仿宋"/>
          <w:color w:val="auto"/>
          <w:sz w:val="32"/>
          <w:szCs w:val="32"/>
          <w:highlight w:val="none"/>
          <w:lang w:val="en-US" w:eastAsia="zh-CN"/>
        </w:rPr>
        <w:t>采购人指定位置</w:t>
      </w:r>
      <w:r>
        <w:rPr>
          <w:rFonts w:hint="eastAsia" w:ascii="仿宋" w:hAnsi="仿宋" w:eastAsia="仿宋" w:cs="仿宋"/>
          <w:snapToGrid/>
          <w:color w:val="auto"/>
          <w:kern w:val="2"/>
          <w:sz w:val="32"/>
          <w:szCs w:val="32"/>
          <w:highlight w:val="none"/>
          <w:lang w:val="en-US" w:eastAsia="zh-CN" w:bidi="ar-SA"/>
        </w:rPr>
        <w:t>。</w:t>
      </w:r>
    </w:p>
    <w:p w14:paraId="2DD7516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二、验收标准、规范</w:t>
      </w:r>
    </w:p>
    <w:p w14:paraId="095AB7C0">
      <w:pPr>
        <w:spacing w:line="360" w:lineRule="auto"/>
        <w:ind w:firstLine="48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1.质量标准：</w:t>
      </w:r>
      <w:r>
        <w:rPr>
          <w:rFonts w:hint="eastAsia" w:ascii="仿宋" w:hAnsi="仿宋" w:eastAsia="仿宋" w:cs="仿宋"/>
          <w:bCs/>
          <w:color w:val="auto"/>
          <w:sz w:val="32"/>
          <w:szCs w:val="32"/>
          <w:highlight w:val="none"/>
          <w:lang w:val="en-US" w:eastAsia="zh-CN"/>
        </w:rPr>
        <w:t>符合国家现行有关施工质量验收规范标准，施工安全文明标准化满足有关规范标准要求</w:t>
      </w:r>
      <w:r>
        <w:rPr>
          <w:rFonts w:hint="eastAsia" w:ascii="仿宋" w:hAnsi="仿宋" w:eastAsia="仿宋" w:cs="仿宋"/>
          <w:bCs/>
          <w:color w:val="auto"/>
          <w:sz w:val="32"/>
          <w:szCs w:val="32"/>
          <w:highlight w:val="none"/>
        </w:rPr>
        <w:t>及采购人的需求。</w:t>
      </w:r>
    </w:p>
    <w:p w14:paraId="44025050">
      <w:pPr>
        <w:spacing w:line="360" w:lineRule="auto"/>
        <w:ind w:firstLine="48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验收规范：须参照国家现行规范及验收合格标准执行。执行本项目所在国家和地区颁发的现行法律法规、规范、规定、规程、标准、规划和要求，并符合本项目招标文件的规定。如果颁发新的技术标准，则按新标准规定执行。</w:t>
      </w:r>
    </w:p>
    <w:p w14:paraId="74F7A782">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color w:val="auto"/>
          <w:sz w:val="32"/>
          <w:szCs w:val="32"/>
          <w:highlight w:val="none"/>
        </w:rPr>
        <w:t>3.验收方式：项目执行的相关标准包括但不限于以下国家标准、规范，如遇国家及省市相关主管部门颁布更新规范及技术标准的，以新的规范及技术标准为准。</w:t>
      </w:r>
      <w:r>
        <w:rPr>
          <w:rFonts w:hint="eastAsia" w:ascii="仿宋" w:hAnsi="仿宋" w:eastAsia="仿宋" w:cs="仿宋"/>
          <w:bCs/>
          <w:color w:val="auto"/>
          <w:kern w:val="2"/>
          <w:sz w:val="32"/>
          <w:szCs w:val="32"/>
          <w:highlight w:val="none"/>
          <w:lang w:val="en-US" w:eastAsia="zh-CN" w:bidi="ar-SA"/>
        </w:rPr>
        <w:t>项目成果通过专家评审</w:t>
      </w:r>
      <w:r>
        <w:rPr>
          <w:rFonts w:hint="eastAsia" w:ascii="仿宋" w:hAnsi="仿宋" w:eastAsia="仿宋" w:cs="仿宋"/>
          <w:snapToGrid/>
          <w:color w:val="auto"/>
          <w:kern w:val="2"/>
          <w:sz w:val="32"/>
          <w:szCs w:val="32"/>
          <w:highlight w:val="none"/>
          <w:lang w:val="en-US" w:eastAsia="zh-CN" w:bidi="ar-SA"/>
        </w:rPr>
        <w:t>。</w:t>
      </w:r>
    </w:p>
    <w:p w14:paraId="550469F1">
      <w:pPr>
        <w:widowControl w:val="0"/>
        <w:numPr>
          <w:ilvl w:val="0"/>
          <w:numId w:val="0"/>
        </w:numPr>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三、付款方式</w:t>
      </w:r>
    </w:p>
    <w:p w14:paraId="27FC9207">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bCs/>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自行协商</w:t>
      </w:r>
    </w:p>
    <w:p w14:paraId="20A0BE70">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四、投标有效期：</w:t>
      </w:r>
      <w:r>
        <w:rPr>
          <w:rFonts w:hint="eastAsia" w:ascii="仿宋" w:hAnsi="仿宋" w:eastAsia="仿宋" w:cs="仿宋"/>
          <w:snapToGrid/>
          <w:color w:val="auto"/>
          <w:kern w:val="2"/>
          <w:sz w:val="32"/>
          <w:szCs w:val="32"/>
          <w:highlight w:val="none"/>
          <w:lang w:val="en-US" w:eastAsia="zh-CN" w:bidi="ar-SA"/>
        </w:rPr>
        <w:t>90日历天</w:t>
      </w:r>
    </w:p>
    <w:p w14:paraId="0BE5BAE6">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五、履约保证金：不要求</w:t>
      </w:r>
    </w:p>
    <w:p w14:paraId="71E60ADF">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bCs/>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六、知识产权要求</w:t>
      </w:r>
    </w:p>
    <w:p w14:paraId="717299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供应商须承诺以下内容：</w:t>
      </w:r>
    </w:p>
    <w:p w14:paraId="5642A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项目实施过程中所产生的所有知识产权成果归采购人所有（永久使用权、复制权和修改权等），项目完成后所有形成的资料须全部移交至采购人。未经采购人书面同意，不得有复制、挪用等侵权行为。</w:t>
      </w:r>
    </w:p>
    <w:p w14:paraId="4A4902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供应商项目完成后，采购人提供的所有图文资料需全部销毁，并提供销毁资料的承诺函及销毁记录。</w:t>
      </w:r>
    </w:p>
    <w:p w14:paraId="338AA3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除本项目工作所需外，未经采购人书面同意，供应商不得擅自使用、复制采购人的商标、标志、数据信息、文档及其他资料。</w:t>
      </w:r>
    </w:p>
    <w:p w14:paraId="3C0496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本项目为原创项目，供应商所提供的产品及服务不侵犯第三方的知识产权，如因此发生纠纷，供应商须与第三方交涉并承担发生的一切法律责任和费用。</w:t>
      </w:r>
    </w:p>
    <w:p w14:paraId="761E7539">
      <w:pPr>
        <w:pStyle w:val="9"/>
        <w:ind w:firstLine="640" w:firstLineChars="200"/>
        <w:rPr>
          <w:rFonts w:hint="eastAsia"/>
          <w:lang w:val="en-US" w:eastAsia="zh-CN"/>
        </w:rPr>
      </w:pPr>
      <w:r>
        <w:rPr>
          <w:rFonts w:hint="eastAsia" w:ascii="仿宋" w:hAnsi="仿宋" w:eastAsia="仿宋" w:cs="仿宋"/>
          <w:color w:val="auto"/>
          <w:sz w:val="32"/>
          <w:szCs w:val="32"/>
          <w:highlight w:val="none"/>
        </w:rPr>
        <w:t>项目执行过程中发生的一切安全生产责任以及如设计不当、制作错误、侵犯知识产权纠纷等问题，由供应商承担责任，并按国家相关规定赔偿采购人损失。</w:t>
      </w:r>
    </w:p>
    <w:p w14:paraId="2DECFEA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七、其他要求</w:t>
      </w:r>
    </w:p>
    <w:p w14:paraId="04BE66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供应商须承诺以下内容：</w:t>
      </w:r>
    </w:p>
    <w:p w14:paraId="16A07F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的中标价即合同价，在项目实施过程中价格不进行调整。</w:t>
      </w:r>
    </w:p>
    <w:p w14:paraId="463D15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）本项目按合同约定及采购人要求的工期完工。</w:t>
      </w:r>
    </w:p>
    <w:p w14:paraId="120F18C8">
      <w:pPr>
        <w:keepNext w:val="0"/>
        <w:keepLines w:val="0"/>
        <w:pageBreakBefore w:val="0"/>
        <w:wordWrap/>
        <w:overflowPunct/>
        <w:topLinePunct w:val="0"/>
        <w:bidi w:val="0"/>
        <w:spacing w:line="360" w:lineRule="auto"/>
        <w:ind w:firstLine="48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）在合同履行过程中，如有增减项对增减的项目及价格，必须经采购人书面认可才能实施。</w:t>
      </w:r>
    </w:p>
    <w:p w14:paraId="085288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）本项目的项目负责人不得更换。</w:t>
      </w:r>
    </w:p>
    <w:p w14:paraId="47F15E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）本公司及个人（含法定代表人、项目负责人（项目经理）、设计负责人）近三年无行贿犯罪。</w:t>
      </w:r>
    </w:p>
    <w:p w14:paraId="307741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）对相关证明文件的真实性负责，不得提供虚假材料谋取成交。否则必须承担相应法律责任，已骗取成交的取消成交资格，造成经济损失的，赔偿相应经济损失。</w:t>
      </w:r>
    </w:p>
    <w:p w14:paraId="5A65AC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）在展览施工期间，供应商所有到场人员的安全责任由中标</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自行承担。</w:t>
      </w:r>
    </w:p>
    <w:p w14:paraId="273B14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）本项目不接受任何转包。</w:t>
      </w:r>
    </w:p>
    <w:p w14:paraId="3942DE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所有设计及制作内容须经采购人确认后方可实施。</w:t>
      </w:r>
    </w:p>
    <w:p w14:paraId="6E1A911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2BEB320">
      <w:pPr>
        <w:pStyle w:val="2"/>
        <w:numPr>
          <w:ilvl w:val="0"/>
          <w:numId w:val="1"/>
        </w:numPr>
        <w:bidi w:val="0"/>
        <w:rPr>
          <w:rFonts w:hint="eastAsia"/>
          <w:lang w:val="en-US" w:eastAsia="zh-CN"/>
        </w:rPr>
      </w:pPr>
      <w:r>
        <w:rPr>
          <w:rFonts w:hint="eastAsia"/>
          <w:lang w:val="en-US" w:eastAsia="zh-CN"/>
        </w:rPr>
        <w:t>评分办法</w:t>
      </w:r>
    </w:p>
    <w:p w14:paraId="1C6597FA">
      <w:pPr>
        <w:pStyle w:val="6"/>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1、评标办法：本项目采用综合评分办法进行评审。</w:t>
      </w:r>
    </w:p>
    <w:p w14:paraId="33C9DA11">
      <w:pPr>
        <w:pStyle w:val="6"/>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2、评分的主要因素分为价格因素、主观因素、客观因素、信用因素。具体内容详见评分表。评标分值保留至两位小数。评标时，评标专家依照评分表对每个有效供应商的响应文件进行独立评审、打分。</w:t>
      </w:r>
    </w:p>
    <w:p w14:paraId="02B7A2FF">
      <w:pPr>
        <w:pStyle w:val="6"/>
        <w:spacing w:line="360" w:lineRule="auto"/>
        <w:rPr>
          <w:rFonts w:hint="default" w:ascii="仿宋" w:hAnsi="仿宋" w:eastAsia="仿宋" w:cs="仿宋"/>
          <w:kern w:val="1"/>
          <w:sz w:val="32"/>
          <w:szCs w:val="32"/>
          <w:lang w:val="en-US" w:eastAsia="zh-CN"/>
        </w:rPr>
      </w:pPr>
      <w:r>
        <w:rPr>
          <w:rFonts w:hint="default" w:ascii="仿宋" w:hAnsi="仿宋" w:eastAsia="仿宋" w:cs="仿宋"/>
          <w:kern w:val="1"/>
          <w:sz w:val="32"/>
          <w:szCs w:val="32"/>
          <w:lang w:val="en-US" w:eastAsia="zh-CN"/>
        </w:rPr>
        <w:t>3、评分权重</w:t>
      </w:r>
      <w:r>
        <w:rPr>
          <w:rFonts w:hint="eastAsia" w:ascii="仿宋" w:hAnsi="仿宋" w:eastAsia="仿宋" w:cs="仿宋"/>
          <w:kern w:val="1"/>
          <w:sz w:val="32"/>
          <w:szCs w:val="32"/>
          <w:lang w:val="en-US" w:eastAsia="zh-CN"/>
        </w:rPr>
        <w:t>：</w:t>
      </w:r>
      <w:r>
        <w:rPr>
          <w:rFonts w:hint="default" w:ascii="仿宋" w:hAnsi="仿宋" w:eastAsia="仿宋" w:cs="仿宋"/>
          <w:kern w:val="1"/>
          <w:sz w:val="32"/>
          <w:szCs w:val="32"/>
          <w:lang w:val="en-US" w:eastAsia="zh-CN"/>
        </w:rPr>
        <w:t>价格分(</w:t>
      </w:r>
      <w:r>
        <w:rPr>
          <w:rFonts w:hint="eastAsia" w:ascii="仿宋" w:hAnsi="仿宋" w:eastAsia="仿宋" w:cs="仿宋"/>
          <w:kern w:val="1"/>
          <w:sz w:val="32"/>
          <w:szCs w:val="32"/>
          <w:lang w:val="en-US" w:eastAsia="zh-CN"/>
        </w:rPr>
        <w:t>10</w:t>
      </w:r>
      <w:r>
        <w:rPr>
          <w:rFonts w:hint="default" w:ascii="仿宋" w:hAnsi="仿宋" w:eastAsia="仿宋" w:cs="仿宋"/>
          <w:kern w:val="1"/>
          <w:sz w:val="32"/>
          <w:szCs w:val="32"/>
          <w:lang w:val="en-US" w:eastAsia="zh-CN"/>
        </w:rPr>
        <w:t>分)，技术分(</w:t>
      </w:r>
      <w:r>
        <w:rPr>
          <w:rFonts w:hint="eastAsia" w:ascii="仿宋" w:hAnsi="仿宋" w:eastAsia="仿宋" w:cs="仿宋"/>
          <w:kern w:val="1"/>
          <w:sz w:val="32"/>
          <w:szCs w:val="32"/>
          <w:lang w:val="en-US" w:eastAsia="zh-CN"/>
        </w:rPr>
        <w:t>15</w:t>
      </w:r>
      <w:r>
        <w:rPr>
          <w:rFonts w:hint="default" w:ascii="仿宋" w:hAnsi="仿宋" w:eastAsia="仿宋" w:cs="仿宋"/>
          <w:kern w:val="1"/>
          <w:sz w:val="32"/>
          <w:szCs w:val="32"/>
          <w:lang w:val="en-US" w:eastAsia="zh-CN"/>
        </w:rPr>
        <w:t>分)，商务分(</w:t>
      </w:r>
      <w:r>
        <w:rPr>
          <w:rFonts w:hint="eastAsia" w:ascii="仿宋" w:hAnsi="仿宋" w:eastAsia="仿宋" w:cs="仿宋"/>
          <w:kern w:val="1"/>
          <w:sz w:val="32"/>
          <w:szCs w:val="32"/>
          <w:lang w:val="en-US" w:eastAsia="zh-CN"/>
        </w:rPr>
        <w:t>75</w:t>
      </w:r>
      <w:r>
        <w:rPr>
          <w:rFonts w:hint="default" w:ascii="仿宋" w:hAnsi="仿宋" w:eastAsia="仿宋" w:cs="仿宋"/>
          <w:kern w:val="1"/>
          <w:sz w:val="32"/>
          <w:szCs w:val="32"/>
          <w:lang w:val="en-US" w:eastAsia="zh-CN"/>
        </w:rPr>
        <w:t>分)，政策性加分(</w:t>
      </w:r>
      <w:r>
        <w:rPr>
          <w:rFonts w:hint="eastAsia" w:ascii="仿宋" w:hAnsi="仿宋" w:eastAsia="仿宋" w:cs="仿宋"/>
          <w:kern w:val="1"/>
          <w:sz w:val="32"/>
          <w:szCs w:val="32"/>
          <w:lang w:val="en-US" w:eastAsia="zh-CN"/>
        </w:rPr>
        <w:t>0</w:t>
      </w:r>
      <w:r>
        <w:rPr>
          <w:rFonts w:hint="default" w:ascii="仿宋" w:hAnsi="仿宋" w:eastAsia="仿宋" w:cs="仿宋"/>
          <w:kern w:val="1"/>
          <w:sz w:val="32"/>
          <w:szCs w:val="32"/>
          <w:lang w:val="en-US" w:eastAsia="zh-CN"/>
        </w:rPr>
        <w:t>分)</w:t>
      </w:r>
    </w:p>
    <w:p w14:paraId="5CEB629B">
      <w:pPr>
        <w:numPr>
          <w:ilvl w:val="0"/>
          <w:numId w:val="0"/>
        </w:numPr>
        <w:spacing w:line="360" w:lineRule="auto"/>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5DD7A"/>
    <w:multiLevelType w:val="singleLevel"/>
    <w:tmpl w:val="1AE5DD7A"/>
    <w:lvl w:ilvl="0" w:tentative="0">
      <w:start w:val="1"/>
      <w:numFmt w:val="decimal"/>
      <w:suff w:val="nothing"/>
      <w:lvlText w:val="%1、"/>
      <w:lvlJc w:val="left"/>
    </w:lvl>
  </w:abstractNum>
  <w:abstractNum w:abstractNumId="1">
    <w:nsid w:val="72F3449E"/>
    <w:multiLevelType w:val="singleLevel"/>
    <w:tmpl w:val="72F344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C4738"/>
    <w:rsid w:val="00F14C49"/>
    <w:rsid w:val="067E5223"/>
    <w:rsid w:val="08FF0B7D"/>
    <w:rsid w:val="0DC40C23"/>
    <w:rsid w:val="21336CE6"/>
    <w:rsid w:val="228206F0"/>
    <w:rsid w:val="3C6A3D54"/>
    <w:rsid w:val="3E45102F"/>
    <w:rsid w:val="439C056B"/>
    <w:rsid w:val="4AC779BE"/>
    <w:rsid w:val="4CF72D4A"/>
    <w:rsid w:val="56EF6445"/>
    <w:rsid w:val="5A5F6B40"/>
    <w:rsid w:val="5A9D28FB"/>
    <w:rsid w:val="668F2AC3"/>
    <w:rsid w:val="69787099"/>
    <w:rsid w:val="70680412"/>
    <w:rsid w:val="70E53128"/>
    <w:rsid w:val="781A3FD2"/>
    <w:rsid w:val="787C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rFonts w:ascii="Times New Roman" w:hAnsi="Times New Roman" w:eastAsia="宋体" w:cs="Times New Roman"/>
      <w:b/>
      <w:kern w:val="44"/>
      <w:sz w:val="44"/>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ind w:firstLine="0" w:firstLineChars="0"/>
      <w:jc w:val="center"/>
      <w:outlineLvl w:val="1"/>
    </w:pPr>
    <w:rPr>
      <w:rFonts w:ascii="Arial" w:hAnsi="Arial" w:eastAsia="宋体" w:cs="Times New Roman"/>
      <w:b/>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ind w:firstLine="0" w:firstLineChars="0"/>
      <w:jc w:val="left"/>
      <w:outlineLvl w:val="2"/>
    </w:pPr>
    <w:rPr>
      <w:rFonts w:ascii="Times New Roman" w:hAnsi="Times New Roman" w:eastAsia="宋体" w:cs="Times New Roman"/>
      <w:b/>
      <w:sz w:val="32"/>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0"/>
    <w:rPr>
      <w:sz w:val="28"/>
    </w:rPr>
  </w:style>
  <w:style w:type="paragraph" w:styleId="7">
    <w:name w:val="annotation text"/>
    <w:basedOn w:val="1"/>
    <w:qFormat/>
    <w:uiPriority w:val="0"/>
    <w:pPr>
      <w:jc w:val="left"/>
    </w:pPr>
  </w:style>
  <w:style w:type="paragraph" w:styleId="8">
    <w:name w:val="Body Text"/>
    <w:basedOn w:val="1"/>
    <w:unhideWhenUsed/>
    <w:qFormat/>
    <w:uiPriority w:val="99"/>
    <w:pPr>
      <w:spacing w:after="120"/>
    </w:pPr>
    <w:rPr>
      <w:rFonts w:ascii="Calibri" w:hAnsi="Calibri"/>
      <w:szCs w:val="22"/>
    </w:rPr>
  </w:style>
  <w:style w:type="paragraph" w:styleId="9">
    <w:name w:val="toc 2"/>
    <w:basedOn w:val="1"/>
    <w:next w:val="1"/>
    <w:qFormat/>
    <w:uiPriority w:val="39"/>
    <w:pPr>
      <w:tabs>
        <w:tab w:val="right" w:leader="dot" w:pos="8721"/>
      </w:tabs>
      <w:spacing w:beforeLines="50" w:afterLines="50" w:line="300" w:lineRule="auto"/>
      <w:ind w:firstLine="0" w:firstLineChars="0"/>
    </w:pPr>
    <w:rPr>
      <w:rFonts w:ascii="黑体" w:hAnsi="黑体" w:eastAsia="黑体"/>
    </w:rPr>
  </w:style>
  <w:style w:type="character" w:styleId="12">
    <w:name w:val="Strong"/>
    <w:qFormat/>
    <w:uiPriority w:val="22"/>
    <w:rPr>
      <w:rFonts w:eastAsia="黑体"/>
      <w:bCs/>
    </w:rPr>
  </w:style>
  <w:style w:type="paragraph" w:customStyle="1" w:styleId="13">
    <w:name w:val="正文1"/>
    <w:basedOn w:val="1"/>
    <w:qFormat/>
    <w:uiPriority w:val="0"/>
    <w:pPr>
      <w:ind w:firstLine="600"/>
    </w:pPr>
  </w:style>
  <w:style w:type="paragraph" w:customStyle="1" w:styleId="14">
    <w:name w:val="reader-word-layer reader-word-s10-4"/>
    <w:basedOn w:val="1"/>
    <w:qFormat/>
    <w:uiPriority w:val="0"/>
    <w:pPr>
      <w:widowControl/>
      <w:spacing w:before="100" w:beforeAutospacing="1" w:after="100" w:afterAutospacing="1"/>
      <w:jc w:val="left"/>
    </w:pPr>
    <w:rPr>
      <w:rFonts w:ascii="宋体" w:cs="宋体"/>
      <w:kern w:val="0"/>
      <w:sz w:val="24"/>
    </w:rPr>
  </w:style>
  <w:style w:type="paragraph" w:customStyle="1" w:styleId="15">
    <w:name w:val="reader-word-layer reader-word-s6-5"/>
    <w:basedOn w:val="1"/>
    <w:qFormat/>
    <w:uiPriority w:val="0"/>
    <w:pPr>
      <w:widowControl/>
      <w:spacing w:before="100" w:beforeAutospacing="1" w:after="100" w:afterAutospacing="1"/>
      <w:jc w:val="left"/>
    </w:pPr>
    <w:rPr>
      <w:rFonts w:ascii="宋体" w:cs="宋体"/>
      <w:kern w:val="0"/>
      <w:sz w:val="24"/>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4077</Words>
  <Characters>4179</Characters>
  <Lines>0</Lines>
  <Paragraphs>0</Paragraphs>
  <TotalTime>2</TotalTime>
  <ScaleCrop>false</ScaleCrop>
  <LinksUpToDate>false</LinksUpToDate>
  <CharactersWithSpaces>4185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2025-07-11T03:21:00Z</dcterms:created>
  <dc:creator>Administrator</dc:creator>
  <cp:lastModifiedBy>Administrator</cp:lastModifiedBy>
  <dcterms:modified xsi:type="dcterms:W3CDTF">2025-07-29T04:14:56Z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DB31E96C7D194E63BEAB0440D2F31D04_13</vt:lpwstr>
  </property>
  <property fmtid="{D5CDD505-2E9C-101B-9397-08002B2CF9AE}" pid="4" name="KSOTemplateDocerSaveRecord">
    <vt:lpwstr>eyJoZGlkIjoiYzE1ODI1NDBhMjViNTY4MTRiMTdmZWI0ZjdhN2MyNGUiLCJ1c2VySWQiOiI3MDQ4MDU1NTgifQ==</vt:lpwstr>
  </property>
</Properties>
</file>