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4DA59">
      <w:pPr>
        <w:pStyle w:val="8"/>
        <w:ind w:left="0" w:leftChars="0" w:firstLine="0" w:firstLineChars="0"/>
        <w:rPr>
          <w:rFonts w:hint="eastAsia" w:ascii="宋体" w:hAnsi="宋体"/>
          <w:b/>
          <w:color w:val="000000"/>
          <w:sz w:val="30"/>
          <w:szCs w:val="30"/>
        </w:rPr>
      </w:pPr>
    </w:p>
    <w:p w14:paraId="3814C326">
      <w:pPr>
        <w:pStyle w:val="8"/>
        <w:ind w:left="0" w:leftChars="0" w:firstLine="0" w:firstLineChars="0"/>
        <w:jc w:val="center"/>
        <w:rPr>
          <w:rFonts w:hint="eastAsia" w:ascii="宋体" w:hAnsi="宋体"/>
          <w:b/>
          <w:color w:val="000000"/>
          <w:sz w:val="30"/>
          <w:szCs w:val="30"/>
        </w:rPr>
      </w:pPr>
    </w:p>
    <w:p w14:paraId="1393598D">
      <w:pPr>
        <w:pStyle w:val="34"/>
        <w:rPr>
          <w:rFonts w:hint="eastAsia" w:ascii="华文中宋" w:hAnsi="华文中宋" w:eastAsia="华文中宋" w:cs="华文中宋"/>
          <w:color w:val="auto"/>
          <w:spacing w:val="20"/>
          <w:sz w:val="44"/>
          <w:szCs w:val="44"/>
          <w:highlight w:val="none"/>
          <w:lang w:val="en-US" w:eastAsia="zh-CN"/>
        </w:rPr>
      </w:pPr>
      <w:r>
        <w:rPr>
          <w:rFonts w:hint="eastAsia" w:ascii="宋体" w:hAnsi="宋体"/>
          <w:b/>
          <w:color w:val="000000"/>
          <w:sz w:val="52"/>
          <w:szCs w:val="52"/>
          <w:lang w:val="en-US" w:eastAsia="zh-CN"/>
        </w:rPr>
        <w:fldChar w:fldCharType="begin"/>
      </w:r>
      <w:r>
        <w:rPr>
          <w:rFonts w:hint="eastAsia" w:ascii="宋体" w:hAnsi="宋体"/>
          <w:b/>
          <w:color w:val="000000"/>
          <w:sz w:val="52"/>
          <w:szCs w:val="52"/>
          <w:lang w:val="en-US" w:eastAsia="zh-CN"/>
        </w:rPr>
        <w:instrText xml:space="preserve"> HYPERLINK "https://pay.guizhou.zcygov.cn/purchaseplan_front/" \l "/purchase/plan/details/778808" \t "https://pay.guizhou.zcygov.cn/purchaseplan_front/" \l "/plan/list/_blank" </w:instrText>
      </w:r>
      <w:r>
        <w:rPr>
          <w:rFonts w:hint="eastAsia" w:ascii="宋体" w:hAnsi="宋体"/>
          <w:b/>
          <w:color w:val="000000"/>
          <w:sz w:val="52"/>
          <w:szCs w:val="52"/>
          <w:lang w:val="en-US" w:eastAsia="zh-CN"/>
        </w:rPr>
        <w:fldChar w:fldCharType="separate"/>
      </w:r>
      <w:r>
        <w:rPr>
          <w:rFonts w:hint="eastAsia" w:ascii="宋体" w:hAnsi="宋体"/>
          <w:b/>
          <w:color w:val="000000"/>
          <w:sz w:val="52"/>
          <w:szCs w:val="52"/>
          <w:lang w:val="en-US" w:eastAsia="zh-CN"/>
        </w:rPr>
        <w:t xml:space="preserve"> </w:t>
      </w:r>
      <w:r>
        <w:rPr>
          <w:rFonts w:hint="eastAsia" w:ascii="华文中宋" w:hAnsi="华文中宋" w:eastAsia="华文中宋" w:cs="华文中宋"/>
          <w:color w:val="auto"/>
          <w:spacing w:val="20"/>
          <w:sz w:val="44"/>
          <w:szCs w:val="44"/>
          <w:highlight w:val="none"/>
          <w:lang w:val="en-US" w:eastAsia="zh-CN"/>
        </w:rPr>
        <w:t>荔波县2025年水稻绿色高产高效</w:t>
      </w:r>
    </w:p>
    <w:p w14:paraId="3B0C005A">
      <w:pPr>
        <w:pStyle w:val="34"/>
        <w:rPr>
          <w:rFonts w:hint="eastAsia" w:ascii="华文中宋" w:hAnsi="华文中宋" w:eastAsia="华文中宋" w:cs="华文中宋"/>
          <w:color w:val="auto"/>
          <w:spacing w:val="20"/>
          <w:sz w:val="44"/>
          <w:szCs w:val="44"/>
          <w:highlight w:val="none"/>
          <w:lang w:val="en-US" w:eastAsia="zh-CN"/>
        </w:rPr>
      </w:pPr>
      <w:r>
        <w:rPr>
          <w:rFonts w:hint="eastAsia" w:ascii="华文中宋" w:hAnsi="华文中宋" w:eastAsia="华文中宋" w:cs="华文中宋"/>
          <w:color w:val="auto"/>
          <w:spacing w:val="20"/>
          <w:sz w:val="44"/>
          <w:szCs w:val="44"/>
          <w:highlight w:val="none"/>
          <w:lang w:val="en-US" w:eastAsia="zh-CN"/>
        </w:rPr>
        <w:t>技术推广项目</w:t>
      </w:r>
    </w:p>
    <w:p w14:paraId="57038FD4">
      <w:pPr>
        <w:pStyle w:val="8"/>
        <w:ind w:left="0" w:leftChars="0" w:firstLine="0" w:firstLineChars="0"/>
        <w:jc w:val="center"/>
        <w:rPr>
          <w:rFonts w:hint="eastAsia" w:eastAsia="宋体"/>
          <w:sz w:val="52"/>
          <w:szCs w:val="52"/>
          <w:lang w:val="en-US" w:eastAsia="zh-CN"/>
        </w:rPr>
      </w:pPr>
      <w:r>
        <w:rPr>
          <w:rFonts w:hint="eastAsia" w:ascii="宋体" w:hAnsi="宋体"/>
          <w:b/>
          <w:color w:val="000000"/>
          <w:sz w:val="52"/>
          <w:szCs w:val="52"/>
          <w:lang w:val="en-US" w:eastAsia="zh-CN"/>
        </w:rPr>
        <w:fldChar w:fldCharType="end"/>
      </w:r>
    </w:p>
    <w:p w14:paraId="7DECB346">
      <w:pPr>
        <w:spacing w:line="600" w:lineRule="exact"/>
        <w:jc w:val="center"/>
        <w:rPr>
          <w:rFonts w:hint="eastAsia" w:ascii="宋体" w:hAnsi="宋体"/>
          <w:color w:val="000000"/>
          <w:sz w:val="44"/>
        </w:rPr>
      </w:pPr>
    </w:p>
    <w:p w14:paraId="141A9CBA">
      <w:pPr>
        <w:spacing w:line="600" w:lineRule="exact"/>
        <w:jc w:val="center"/>
        <w:rPr>
          <w:rFonts w:hint="eastAsia" w:ascii="宋体" w:hAnsi="宋体"/>
          <w:color w:val="000000"/>
          <w:sz w:val="44"/>
        </w:rPr>
      </w:pPr>
    </w:p>
    <w:p w14:paraId="471DEBC4">
      <w:pPr>
        <w:ind w:firstLine="1321" w:firstLineChars="299"/>
        <w:rPr>
          <w:rFonts w:hint="eastAsia" w:ascii="宋体" w:hAnsi="宋体"/>
          <w:b/>
          <w:bCs/>
          <w:color w:val="000000"/>
          <w:sz w:val="44"/>
        </w:rPr>
      </w:pPr>
      <w:r>
        <w:rPr>
          <w:rFonts w:hint="eastAsia" w:ascii="宋体" w:hAnsi="宋体"/>
          <w:b/>
          <w:bCs/>
          <w:color w:val="000000"/>
          <w:sz w:val="44"/>
        </w:rPr>
        <w:t xml:space="preserve">            </w:t>
      </w:r>
    </w:p>
    <w:p w14:paraId="11D5EA97">
      <w:pPr>
        <w:jc w:val="center"/>
        <w:rPr>
          <w:rFonts w:hint="eastAsia" w:ascii="宋体" w:hAnsi="宋体"/>
          <w:color w:val="000000"/>
        </w:rPr>
      </w:pPr>
      <w:r>
        <w:rPr>
          <w:rFonts w:hint="eastAsia" w:ascii="宋体" w:hAnsi="宋体" w:eastAsia="宋体"/>
          <w:b/>
          <w:color w:val="000000"/>
          <w:sz w:val="84"/>
          <w:lang w:eastAsia="zh-CN"/>
        </w:rPr>
        <w:t>采</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购</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需</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求</w:t>
      </w:r>
    </w:p>
    <w:p w14:paraId="0114C208">
      <w:pPr>
        <w:rPr>
          <w:rFonts w:hint="eastAsia" w:ascii="宋体" w:hAnsi="宋体"/>
          <w:color w:val="000000"/>
        </w:rPr>
      </w:pPr>
    </w:p>
    <w:p w14:paraId="71C957DA">
      <w:pPr>
        <w:rPr>
          <w:rFonts w:hint="eastAsia" w:ascii="宋体" w:hAnsi="宋体"/>
          <w:color w:val="000000"/>
        </w:rPr>
      </w:pPr>
    </w:p>
    <w:p w14:paraId="336E98D5">
      <w:pPr>
        <w:rPr>
          <w:rFonts w:hint="eastAsia" w:ascii="宋体" w:hAnsi="宋体"/>
          <w:color w:val="000000"/>
        </w:rPr>
      </w:pPr>
    </w:p>
    <w:p w14:paraId="5FB83C8F">
      <w:pPr>
        <w:rPr>
          <w:rFonts w:hint="eastAsia" w:ascii="宋体" w:hAnsi="宋体"/>
          <w:color w:val="000000"/>
        </w:rPr>
      </w:pPr>
    </w:p>
    <w:p w14:paraId="1F56C8FB">
      <w:pPr>
        <w:rPr>
          <w:rFonts w:hint="eastAsia" w:ascii="宋体" w:hAnsi="宋体"/>
          <w:b/>
          <w:color w:val="000000"/>
        </w:rPr>
      </w:pPr>
    </w:p>
    <w:p w14:paraId="5996E3C8">
      <w:pPr>
        <w:rPr>
          <w:rFonts w:hint="eastAsia" w:ascii="宋体" w:hAnsi="宋体"/>
          <w:b/>
          <w:color w:val="000000"/>
        </w:rPr>
      </w:pPr>
    </w:p>
    <w:p w14:paraId="7EC7064A">
      <w:pPr>
        <w:tabs>
          <w:tab w:val="left" w:pos="4870"/>
        </w:tabs>
        <w:rPr>
          <w:rFonts w:hint="eastAsia" w:ascii="宋体" w:hAnsi="宋体"/>
          <w:b/>
          <w:color w:val="000000"/>
        </w:rPr>
      </w:pPr>
      <w:r>
        <w:rPr>
          <w:rFonts w:ascii="宋体" w:hAnsi="宋体"/>
          <w:b/>
          <w:color w:val="000000"/>
        </w:rPr>
        <w:tab/>
      </w:r>
    </w:p>
    <w:p w14:paraId="2ECB0671">
      <w:pPr>
        <w:rPr>
          <w:rFonts w:hint="eastAsia" w:ascii="宋体" w:hAnsi="宋体"/>
          <w:b/>
          <w:color w:val="000000"/>
        </w:rPr>
      </w:pPr>
    </w:p>
    <w:p w14:paraId="1CADFD93">
      <w:pPr>
        <w:rPr>
          <w:rFonts w:hint="eastAsia" w:ascii="宋体" w:hAnsi="宋体"/>
          <w:b/>
          <w:color w:val="000000"/>
        </w:rPr>
      </w:pPr>
    </w:p>
    <w:p w14:paraId="276CFC1A">
      <w:pPr>
        <w:rPr>
          <w:rFonts w:hint="eastAsia" w:ascii="宋体" w:hAnsi="宋体"/>
          <w:b/>
          <w:color w:val="000000"/>
        </w:rPr>
      </w:pPr>
    </w:p>
    <w:p w14:paraId="0E3E614D">
      <w:pPr>
        <w:rPr>
          <w:rFonts w:hint="eastAsia" w:ascii="宋体" w:hAnsi="宋体"/>
          <w:b/>
          <w:color w:val="000000"/>
        </w:rPr>
      </w:pPr>
    </w:p>
    <w:p w14:paraId="18A947BA">
      <w:pPr>
        <w:ind w:firstLine="643" w:firstLineChars="200"/>
        <w:jc w:val="both"/>
        <w:rPr>
          <w:rFonts w:hint="default" w:ascii="宋体" w:hAnsi="宋体" w:eastAsia="宋体"/>
          <w:b/>
          <w:color w:val="000000"/>
          <w:lang w:val="en-US" w:eastAsia="zh-CN"/>
        </w:rPr>
      </w:pPr>
      <w:r>
        <w:rPr>
          <w:rFonts w:hint="eastAsia" w:ascii="宋体" w:hAnsi="宋体"/>
          <w:b/>
          <w:color w:val="auto"/>
          <w:sz w:val="32"/>
          <w:lang w:val="en-US" w:eastAsia="zh-CN"/>
        </w:rPr>
        <w:t>采购</w:t>
      </w:r>
      <w:r>
        <w:rPr>
          <w:rFonts w:hint="eastAsia" w:ascii="宋体" w:hAnsi="宋体"/>
          <w:b/>
          <w:color w:val="auto"/>
          <w:sz w:val="32"/>
        </w:rPr>
        <w:t xml:space="preserve">编号：GZRF-2025-22  </w:t>
      </w:r>
    </w:p>
    <w:p w14:paraId="7509FF8D">
      <w:pPr>
        <w:ind w:firstLine="643" w:firstLineChars="200"/>
        <w:jc w:val="both"/>
        <w:rPr>
          <w:rFonts w:hint="default" w:ascii="宋体" w:hAnsi="宋体" w:eastAsia="宋体"/>
          <w:b/>
          <w:color w:val="auto"/>
          <w:sz w:val="32"/>
          <w:szCs w:val="32"/>
          <w:lang w:val="en-US" w:eastAsia="zh-CN"/>
        </w:rPr>
      </w:pPr>
      <w:r>
        <w:rPr>
          <w:rFonts w:hint="eastAsia" w:ascii="宋体" w:hAnsi="宋体"/>
          <w:b/>
          <w:color w:val="000000"/>
          <w:sz w:val="32"/>
          <w:szCs w:val="32"/>
        </w:rPr>
        <w:t>采购单位：</w:t>
      </w:r>
      <w:r>
        <w:rPr>
          <w:rFonts w:hint="eastAsia" w:ascii="宋体" w:hAnsi="宋体"/>
          <w:b/>
          <w:color w:val="000000"/>
          <w:sz w:val="32"/>
          <w:szCs w:val="32"/>
          <w:lang w:val="en-US" w:eastAsia="zh-CN"/>
        </w:rPr>
        <w:t>荔波县农业农村局</w:t>
      </w:r>
    </w:p>
    <w:p w14:paraId="20F93A6C">
      <w:pPr>
        <w:ind w:firstLine="643" w:firstLineChars="200"/>
        <w:jc w:val="both"/>
        <w:rPr>
          <w:rFonts w:hint="eastAsia" w:ascii="宋体" w:hAnsi="宋体"/>
          <w:b/>
          <w:color w:val="000000"/>
          <w:sz w:val="32"/>
          <w:szCs w:val="32"/>
        </w:rPr>
      </w:pPr>
      <w:r>
        <w:rPr>
          <w:rFonts w:hint="eastAsia" w:ascii="宋体" w:hAnsi="宋体"/>
          <w:b/>
          <w:color w:val="000000"/>
          <w:sz w:val="32"/>
          <w:szCs w:val="32"/>
        </w:rPr>
        <w:t>招标代理</w:t>
      </w:r>
      <w:r>
        <w:rPr>
          <w:rFonts w:hint="eastAsia" w:ascii="宋体" w:hAnsi="宋体" w:eastAsia="宋体"/>
          <w:b/>
          <w:color w:val="000000"/>
          <w:sz w:val="32"/>
          <w:szCs w:val="32"/>
          <w:lang w:eastAsia="zh-CN"/>
        </w:rPr>
        <w:t>机构</w:t>
      </w:r>
      <w:r>
        <w:rPr>
          <w:rFonts w:hint="eastAsia" w:ascii="宋体" w:hAnsi="宋体"/>
          <w:b/>
          <w:color w:val="000000"/>
          <w:sz w:val="32"/>
          <w:szCs w:val="32"/>
        </w:rPr>
        <w:t>：</w:t>
      </w:r>
      <w:r>
        <w:rPr>
          <w:rFonts w:hint="eastAsia" w:ascii="宋体" w:hAnsi="宋体"/>
          <w:b/>
          <w:color w:val="000000"/>
          <w:sz w:val="32"/>
          <w:szCs w:val="32"/>
          <w:lang w:eastAsia="zh-CN"/>
        </w:rPr>
        <w:t xml:space="preserve">贵州容丰工程咨询有限公司  </w:t>
      </w:r>
    </w:p>
    <w:p w14:paraId="65164124">
      <w:pPr>
        <w:pStyle w:val="9"/>
        <w:ind w:leftChars="0"/>
        <w:jc w:val="center"/>
        <w:rPr>
          <w:rFonts w:hint="eastAsia" w:ascii="宋体" w:hAnsi="宋体" w:eastAsia="宋体"/>
          <w:bCs w:val="0"/>
          <w:color w:val="000000"/>
          <w:sz w:val="32"/>
          <w:szCs w:val="32"/>
        </w:rPr>
      </w:pPr>
    </w:p>
    <w:p w14:paraId="308BE767">
      <w:pPr>
        <w:pStyle w:val="9"/>
        <w:ind w:leftChars="0"/>
        <w:jc w:val="center"/>
        <w:rPr>
          <w:rFonts w:hint="eastAsia" w:ascii="宋体" w:cs="宋体"/>
          <w:b/>
          <w:bCs/>
          <w:sz w:val="30"/>
          <w:szCs w:val="30"/>
        </w:rPr>
        <w:sectPr>
          <w:pgSz w:w="11906" w:h="16838"/>
          <w:pgMar w:top="1440" w:right="866" w:bottom="1440" w:left="1800" w:header="851" w:footer="992" w:gutter="0"/>
          <w:pgNumType w:start="1"/>
          <w:cols w:space="720" w:num="1"/>
          <w:docGrid w:type="lines" w:linePitch="312" w:charSpace="0"/>
        </w:sectPr>
      </w:pPr>
      <w:r>
        <w:rPr>
          <w:rFonts w:hint="eastAsia" w:ascii="宋体" w:hAnsi="宋体" w:eastAsia="宋体" w:cs="仿宋_GB2312"/>
          <w:bCs w:val="0"/>
          <w:color w:val="000000"/>
          <w:sz w:val="32"/>
          <w:szCs w:val="32"/>
          <w:lang w:val="en-US" w:eastAsia="zh-CN"/>
        </w:rPr>
        <w:t>2025</w:t>
      </w:r>
      <w:r>
        <w:rPr>
          <w:rFonts w:hint="eastAsia" w:ascii="宋体" w:hAnsi="宋体" w:eastAsia="宋体" w:cs="仿宋_GB2312"/>
          <w:bCs w:val="0"/>
          <w:color w:val="000000"/>
          <w:sz w:val="32"/>
          <w:szCs w:val="32"/>
        </w:rPr>
        <w:t>年</w:t>
      </w:r>
      <w:r>
        <w:rPr>
          <w:rFonts w:hint="eastAsia" w:ascii="宋体" w:hAnsi="宋体" w:eastAsia="宋体" w:cs="仿宋_GB2312"/>
          <w:bCs w:val="0"/>
          <w:color w:val="000000"/>
          <w:sz w:val="32"/>
          <w:szCs w:val="32"/>
          <w:lang w:val="en-US" w:eastAsia="zh-CN"/>
        </w:rPr>
        <w:t xml:space="preserve"> 08</w:t>
      </w:r>
      <w:r>
        <w:rPr>
          <w:rFonts w:hint="eastAsia" w:ascii="宋体" w:hAnsi="宋体" w:eastAsia="宋体" w:cs="仿宋_GB2312"/>
          <w:bCs w:val="0"/>
          <w:color w:val="000000"/>
          <w:sz w:val="32"/>
          <w:szCs w:val="32"/>
        </w:rPr>
        <w:t>月</w:t>
      </w:r>
    </w:p>
    <w:p w14:paraId="2676E70A">
      <w:pPr>
        <w:widowControl/>
        <w:spacing w:line="560" w:lineRule="exact"/>
        <w:rPr>
          <w:rFonts w:hint="eastAsia" w:ascii="宋体" w:cs="宋体"/>
          <w:b/>
          <w:bCs/>
          <w:sz w:val="30"/>
          <w:szCs w:val="30"/>
        </w:rPr>
      </w:pPr>
      <w:r>
        <w:rPr>
          <w:rFonts w:hint="eastAsia" w:ascii="宋体" w:cs="宋体"/>
          <w:b/>
          <w:bCs/>
          <w:sz w:val="30"/>
          <w:szCs w:val="30"/>
        </w:rPr>
        <w:t>一、投标供应商资格条件:</w:t>
      </w:r>
    </w:p>
    <w:p w14:paraId="728BDC54">
      <w:pPr>
        <w:widowControl/>
        <w:spacing w:line="560" w:lineRule="exact"/>
        <w:ind w:firstLine="480" w:firstLineChars="200"/>
        <w:rPr>
          <w:rFonts w:ascii="宋体" w:cs="宋体"/>
          <w:sz w:val="24"/>
        </w:rPr>
      </w:pPr>
      <w:r>
        <w:rPr>
          <w:rFonts w:ascii="宋体" w:cs="宋体"/>
          <w:sz w:val="24"/>
        </w:rPr>
        <w:t xml:space="preserve"> 1.符合《中华人民共和国政府采购法》第二十二条及《中华人民共和国政府采购法实施条例》第十七条之规定： </w:t>
      </w:r>
    </w:p>
    <w:p w14:paraId="270F97F5">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①</w:t>
      </w:r>
      <w:r>
        <w:rPr>
          <w:rFonts w:hint="eastAsia" w:ascii="宋体" w:hAnsi="宋体" w:eastAsia="宋体" w:cs="宋体"/>
          <w:b/>
          <w:bCs/>
          <w:sz w:val="24"/>
        </w:rPr>
        <w:t>具有独立承担民事责任的能力：</w:t>
      </w:r>
      <w:r>
        <w:rPr>
          <w:rFonts w:hint="eastAsia" w:ascii="宋体" w:hAnsi="宋体" w:eastAsia="宋体" w:cs="宋体"/>
          <w:sz w:val="24"/>
          <w:u w:val="single"/>
        </w:rPr>
        <w:t>提供有效的加载“统一社会信用代码”的营业执照（或事业单位法人登记证书）；</w:t>
      </w:r>
    </w:p>
    <w:p w14:paraId="33D25F01">
      <w:pPr>
        <w:pageBreakBefore w:val="0"/>
        <w:widowControl/>
        <w:kinsoku/>
        <w:wordWrap/>
        <w:overflowPunct/>
        <w:bidi w:val="0"/>
        <w:adjustRightInd/>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rPr>
        <w:t>②</w:t>
      </w:r>
      <w:r>
        <w:rPr>
          <w:rFonts w:hint="eastAsia" w:ascii="宋体" w:hAnsi="宋体" w:eastAsia="宋体" w:cs="宋体"/>
          <w:b/>
          <w:bCs/>
          <w:sz w:val="24"/>
        </w:rPr>
        <w:t>具有良好的商业信誉和健全的财务会计制度：</w:t>
      </w:r>
      <w:r>
        <w:rPr>
          <w:rFonts w:hint="eastAsia" w:ascii="宋体" w:hAnsi="宋体" w:eastAsia="宋体" w:cs="宋体"/>
          <w:color w:val="auto"/>
          <w:sz w:val="24"/>
          <w:szCs w:val="24"/>
          <w:highlight w:val="none"/>
          <w:u w:val="single"/>
          <w:lang w:val="en-US" w:eastAsia="zh-CN"/>
        </w:rPr>
        <w:t>提供参加本次政府采购活动上一年度经审计的财务报告，包括“四表一注”，即资产负债表、利润表、现金流量表、所有者权益变动表及其附注，或其基本开户银行出具的资信证明。(备注:部分其他组织和自然人，没有经审计的财务报告，可以提供银行出具的资信证明或财政部门认可的政府采购专业担保机构出具的投标担保函)；提供《政府采购供应商基本资格条件承诺函》</w:t>
      </w:r>
    </w:p>
    <w:p w14:paraId="1D43E878">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none"/>
        </w:rPr>
        <w:t>③</w:t>
      </w:r>
      <w:r>
        <w:rPr>
          <w:rFonts w:hint="eastAsia" w:ascii="宋体" w:hAnsi="宋体" w:eastAsia="宋体" w:cs="宋体"/>
          <w:b/>
          <w:bCs/>
          <w:sz w:val="24"/>
          <w:u w:val="none"/>
        </w:rPr>
        <w:t>具有履行合同所</w:t>
      </w:r>
      <w:r>
        <w:rPr>
          <w:rFonts w:hint="eastAsia" w:ascii="宋体" w:hAnsi="宋体" w:eastAsia="宋体" w:cs="宋体"/>
          <w:b/>
          <w:bCs/>
          <w:sz w:val="24"/>
          <w:u w:val="none"/>
          <w:lang w:eastAsia="zh-CN"/>
        </w:rPr>
        <w:t>必</w:t>
      </w:r>
      <w:r>
        <w:rPr>
          <w:rFonts w:hint="eastAsia" w:ascii="宋体" w:hAnsi="宋体" w:eastAsia="宋体" w:cs="宋体"/>
          <w:b/>
          <w:bCs/>
          <w:sz w:val="24"/>
          <w:u w:val="none"/>
          <w:lang w:val="en-US" w:eastAsia="zh-CN"/>
        </w:rPr>
        <w:t>需</w:t>
      </w:r>
      <w:r>
        <w:rPr>
          <w:rFonts w:hint="eastAsia" w:ascii="宋体" w:hAnsi="宋体" w:eastAsia="宋体" w:cs="宋体"/>
          <w:b/>
          <w:bCs/>
          <w:sz w:val="24"/>
          <w:u w:val="none"/>
        </w:rPr>
        <w:t>的设备和专业技术能力</w:t>
      </w:r>
      <w:r>
        <w:rPr>
          <w:rFonts w:hint="eastAsia" w:ascii="宋体" w:hAnsi="宋体" w:eastAsia="宋体" w:cs="宋体"/>
          <w:sz w:val="24"/>
          <w:u w:val="none"/>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E25E4C4">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④</w:t>
      </w:r>
      <w:r>
        <w:rPr>
          <w:rFonts w:hint="eastAsia" w:ascii="宋体" w:hAnsi="宋体" w:eastAsia="宋体" w:cs="宋体"/>
          <w:b/>
          <w:bCs/>
          <w:sz w:val="24"/>
        </w:rPr>
        <w:t>有依法缴纳税收和社会保障资金的良好记录：</w:t>
      </w:r>
      <w:r>
        <w:rPr>
          <w:rFonts w:hint="eastAsia" w:ascii="宋体" w:hAnsi="宋体" w:eastAsia="宋体" w:cs="宋体"/>
          <w:color w:val="auto"/>
          <w:sz w:val="24"/>
          <w:szCs w:val="24"/>
          <w:highlight w:val="none"/>
          <w:u w:val="single"/>
          <w:lang w:val="zh-CN" w:eastAsia="zh-CN"/>
        </w:rPr>
        <w:t>提供参加本次政府采购活动上一年度至今任意一个月依法缴纳增值税和企业所得税的凭据（依法免税的提供证明文件），提供参加本次政府采购活动上一年度至今任意一个月缴纳社会保险的凭据（依法不需要缴纳社会保险的提供证明文件）；</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07E6D7D5">
      <w:pPr>
        <w:pageBreakBefore w:val="0"/>
        <w:widowControl/>
        <w:kinsoku/>
        <w:wordWrap/>
        <w:overflowPunct/>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⑤</w:t>
      </w:r>
      <w:r>
        <w:rPr>
          <w:rFonts w:hint="eastAsia" w:ascii="宋体" w:hAnsi="宋体" w:eastAsia="宋体" w:cs="宋体"/>
          <w:b/>
          <w:bCs/>
          <w:sz w:val="24"/>
        </w:rPr>
        <w:t>参加政府采购活动前三年内，在经营活动中没有重大违法记录及法律、行政法规规定的其他条件</w:t>
      </w:r>
      <w:r>
        <w:rPr>
          <w:rFonts w:hint="eastAsia" w:ascii="宋体" w:hAnsi="宋体" w:eastAsia="宋体" w:cs="宋体"/>
          <w:sz w:val="24"/>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172A106">
      <w:pPr>
        <w:pageBreakBefore w:val="0"/>
        <w:widowControl/>
        <w:shd w:val="clear" w:color="auto" w:fill="FFFFFF"/>
        <w:kinsoku/>
        <w:overflowPunct/>
        <w:bidi w:val="0"/>
        <w:spacing w:before="120" w:after="120" w:line="360" w:lineRule="auto"/>
        <w:ind w:firstLine="480" w:firstLineChars="200"/>
        <w:jc w:val="left"/>
        <w:textAlignment w:val="auto"/>
        <w:rPr>
          <w:rFonts w:ascii="宋体" w:cs="宋体"/>
          <w:sz w:val="24"/>
        </w:rPr>
      </w:pPr>
      <w:r>
        <w:rPr>
          <w:rFonts w:hint="eastAsia" w:ascii="宋体" w:hAnsi="宋体" w:eastAsia="宋体" w:cs="宋体"/>
          <w:color w:val="000000"/>
          <w:sz w:val="24"/>
          <w:lang w:val="en-US" w:eastAsia="zh-CN"/>
        </w:rPr>
        <w:t>⑥</w:t>
      </w:r>
      <w:r>
        <w:rPr>
          <w:rFonts w:hint="eastAsia" w:ascii="宋体" w:hAnsi="宋体" w:eastAsia="宋体" w:cs="宋体"/>
          <w:color w:val="auto"/>
          <w:spacing w:val="19"/>
          <w:sz w:val="24"/>
          <w:szCs w:val="24"/>
          <w:highlight w:val="none"/>
          <w:lang w:val="en-US" w:eastAsia="zh-CN"/>
        </w:rPr>
        <w:t>根据财政部财库（2016）125号通知要求，对列入失信被执行人、重大税收违法案件当事人名单、政府采购严重违法失信行为记录名单且还在执行期的供应商，拒绝其参与本次采购活动。提供“信用中国”网站（www.cred itch ina.gov.cn）、中国政府采购网（www.ccgp.gov.cn）无以上不良记录的承诺书:</w:t>
      </w:r>
      <w:r>
        <w:rPr>
          <w:rFonts w:hint="eastAsia" w:ascii="宋体" w:hAnsi="宋体" w:eastAsia="宋体" w:cs="宋体"/>
          <w:color w:val="auto"/>
          <w:spacing w:val="19"/>
          <w:sz w:val="24"/>
          <w:szCs w:val="24"/>
          <w:highlight w:val="none"/>
          <w:u w:val="single"/>
          <w:lang w:val="en-US" w:eastAsia="zh-CN"/>
        </w:rPr>
        <w:t>提供承诺函</w:t>
      </w:r>
      <w:r>
        <w:rPr>
          <w:rFonts w:ascii="宋体" w:cs="宋体"/>
          <w:sz w:val="24"/>
        </w:rPr>
        <w:t xml:space="preserve">。 </w:t>
      </w:r>
    </w:p>
    <w:p w14:paraId="135E2AFC">
      <w:pPr>
        <w:pStyle w:val="3"/>
        <w:numPr>
          <w:ilvl w:val="0"/>
          <w:numId w:val="1"/>
        </w:numPr>
        <w:ind w:firstLine="480" w:firstLineChars="200"/>
        <w:rPr>
          <w:rFonts w:ascii="宋体" w:cs="宋体"/>
          <w:color w:val="000000"/>
          <w:sz w:val="24"/>
        </w:rPr>
      </w:pPr>
      <w:r>
        <w:rPr>
          <w:rFonts w:ascii="宋体" w:cs="宋体"/>
          <w:color w:val="000000"/>
          <w:sz w:val="24"/>
        </w:rPr>
        <w:t>特殊资格要求：</w:t>
      </w:r>
    </w:p>
    <w:p w14:paraId="5F02F7D6">
      <w:pPr>
        <w:pStyle w:val="3"/>
        <w:numPr>
          <w:numId w:val="0"/>
        </w:numPr>
        <w:ind w:firstLine="480" w:firstLineChars="200"/>
        <w:rPr>
          <w:rFonts w:hint="eastAsia" w:ascii="宋体" w:cs="宋体"/>
          <w:b w:val="0"/>
          <w:bCs w:val="0"/>
          <w:color w:val="000000"/>
          <w:sz w:val="24"/>
          <w:lang w:val="en-US" w:eastAsia="zh-CN"/>
        </w:rPr>
      </w:pPr>
      <w:r>
        <w:rPr>
          <w:rFonts w:hint="eastAsia" w:ascii="宋体" w:cs="宋体"/>
          <w:b w:val="0"/>
          <w:bCs w:val="0"/>
          <w:color w:val="000000"/>
          <w:sz w:val="24"/>
          <w:lang w:val="en-US" w:eastAsia="zh-CN"/>
        </w:rPr>
        <w:t>（1）投标供应商须提供《中小企业声明函》；</w:t>
      </w:r>
    </w:p>
    <w:p w14:paraId="0C6796D1">
      <w:pPr>
        <w:pStyle w:val="3"/>
        <w:ind w:firstLine="480" w:firstLineChars="200"/>
        <w:rPr>
          <w:rFonts w:hint="eastAsia" w:ascii="宋体" w:cs="宋体"/>
          <w:b w:val="0"/>
          <w:bCs w:val="0"/>
          <w:color w:val="000000"/>
          <w:sz w:val="24"/>
          <w:lang w:val="en-US" w:eastAsia="zh-CN"/>
        </w:rPr>
      </w:pPr>
      <w:r>
        <w:rPr>
          <w:rFonts w:hint="eastAsia" w:ascii="宋体" w:cs="宋体"/>
          <w:b w:val="0"/>
          <w:bCs w:val="0"/>
          <w:color w:val="000000"/>
          <w:sz w:val="24"/>
          <w:lang w:val="en-US" w:eastAsia="zh-CN"/>
        </w:rPr>
        <w:t>（2）水稻种子：①投标供应商为生产企业须提供行政部门核发的处于有效期内的《农作物种子生产经营许可证》，②投标供应商为经销商须提供生产企业有效的《农作物种子生产经营许可证》，</w:t>
      </w:r>
    </w:p>
    <w:p w14:paraId="3455323D">
      <w:pPr>
        <w:pStyle w:val="3"/>
        <w:ind w:firstLine="480" w:firstLineChars="200"/>
        <w:rPr>
          <w:rFonts w:hint="eastAsia" w:ascii="宋体" w:cs="宋体"/>
          <w:b w:val="0"/>
          <w:bCs w:val="0"/>
          <w:color w:val="000000"/>
          <w:sz w:val="24"/>
          <w:lang w:val="en-US" w:eastAsia="zh-CN"/>
        </w:rPr>
      </w:pPr>
      <w:r>
        <w:rPr>
          <w:rFonts w:hint="eastAsia" w:ascii="宋体" w:cs="宋体"/>
          <w:b w:val="0"/>
          <w:bCs w:val="0"/>
          <w:color w:val="000000"/>
          <w:sz w:val="24"/>
          <w:lang w:val="en-US" w:eastAsia="zh-CN"/>
        </w:rPr>
        <w:t>（3）肥料：①投标供应商为生产企业须提供处于有效期内生产企业的营业执照、生产许可证、肥料正式登记证或备案号；②投标供应商为经销商须提供处于有效期内生产企业的营业执照、生产许可证、肥料正式登记证或备案号。</w:t>
      </w:r>
    </w:p>
    <w:p w14:paraId="22C7EC26">
      <w:pPr>
        <w:pStyle w:val="3"/>
        <w:ind w:firstLine="480" w:firstLineChars="200"/>
        <w:rPr>
          <w:rFonts w:hint="eastAsia" w:ascii="宋体" w:cs="宋体"/>
          <w:b w:val="0"/>
          <w:bCs w:val="0"/>
          <w:color w:val="000000"/>
          <w:sz w:val="24"/>
          <w:lang w:val="en-US" w:eastAsia="zh-CN"/>
        </w:rPr>
      </w:pPr>
      <w:r>
        <w:rPr>
          <w:rFonts w:hint="eastAsia" w:ascii="宋体" w:cs="宋体"/>
          <w:b w:val="0"/>
          <w:bCs w:val="0"/>
          <w:color w:val="000000"/>
          <w:sz w:val="24"/>
          <w:lang w:val="en-US" w:eastAsia="zh-CN"/>
        </w:rPr>
        <w:t>（4）农药：供应商是生产企业的须具有有效期内《农药生产许可证》；供应商为经销商的，提供有效期内《农药经营许可证》。</w:t>
      </w:r>
    </w:p>
    <w:p w14:paraId="25A7B397">
      <w:pPr>
        <w:pStyle w:val="3"/>
        <w:ind w:firstLine="480" w:firstLineChars="200"/>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 xml:space="preserve">3.本项目不接受联合体投标人：提供承诺函； </w:t>
      </w:r>
      <w:bookmarkStart w:id="0" w:name="_GoBack"/>
      <w:bookmarkEnd w:id="0"/>
    </w:p>
    <w:p w14:paraId="7ADCBDC2">
      <w:pPr>
        <w:widowControl/>
        <w:spacing w:line="560" w:lineRule="exact"/>
        <w:rPr>
          <w:rFonts w:ascii="宋体" w:cs="宋体"/>
          <w:sz w:val="30"/>
          <w:szCs w:val="30"/>
        </w:rPr>
      </w:pPr>
      <w:r>
        <w:rPr>
          <w:rFonts w:hint="eastAsia" w:ascii="宋体" w:cs="宋体"/>
          <w:b/>
          <w:bCs/>
          <w:sz w:val="30"/>
          <w:szCs w:val="30"/>
        </w:rPr>
        <w:t>二、采购预算：</w:t>
      </w:r>
      <w:r>
        <w:rPr>
          <w:rFonts w:hint="eastAsia" w:ascii="宋体" w:cs="宋体"/>
          <w:sz w:val="30"/>
          <w:szCs w:val="30"/>
          <w:lang w:val="en-US" w:eastAsia="zh-CN"/>
        </w:rPr>
        <w:t>1000000.00</w:t>
      </w:r>
      <w:r>
        <w:rPr>
          <w:rFonts w:hint="eastAsia" w:ascii="宋体" w:cs="宋体"/>
          <w:sz w:val="30"/>
          <w:szCs w:val="30"/>
        </w:rPr>
        <w:t>元</w:t>
      </w:r>
    </w:p>
    <w:p w14:paraId="514B912C">
      <w:pPr>
        <w:widowControl/>
        <w:spacing w:line="560" w:lineRule="exact"/>
        <w:rPr>
          <w:rFonts w:hint="eastAsia" w:ascii="宋体" w:cs="宋体"/>
          <w:sz w:val="30"/>
          <w:szCs w:val="30"/>
        </w:rPr>
      </w:pPr>
      <w:r>
        <w:rPr>
          <w:rFonts w:hint="eastAsia" w:ascii="宋体" w:cs="宋体"/>
          <w:b/>
          <w:bCs/>
          <w:sz w:val="30"/>
          <w:szCs w:val="30"/>
        </w:rPr>
        <w:t>三、</w:t>
      </w:r>
      <w:r>
        <w:rPr>
          <w:rFonts w:hint="eastAsia" w:ascii="宋体" w:cs="宋体"/>
          <w:b/>
          <w:bCs/>
          <w:sz w:val="30"/>
          <w:szCs w:val="30"/>
          <w:lang w:val="en-US" w:eastAsia="zh-CN"/>
        </w:rPr>
        <w:t>交货</w:t>
      </w:r>
      <w:r>
        <w:rPr>
          <w:rFonts w:hint="eastAsia" w:ascii="宋体" w:cs="宋体"/>
          <w:b/>
          <w:bCs/>
          <w:sz w:val="30"/>
          <w:szCs w:val="30"/>
        </w:rPr>
        <w:t>期：</w:t>
      </w:r>
      <w:r>
        <w:rPr>
          <w:rFonts w:hint="eastAsia" w:ascii="宋体" w:cs="宋体"/>
          <w:b/>
          <w:bCs/>
          <w:sz w:val="30"/>
          <w:szCs w:val="30"/>
          <w:lang w:val="en-US" w:eastAsia="zh-CN"/>
        </w:rPr>
        <w:t>签订合同之后30个日历日完成供货</w:t>
      </w:r>
      <w:r>
        <w:rPr>
          <w:rFonts w:hint="eastAsia" w:ascii="宋体" w:cs="宋体"/>
          <w:b w:val="0"/>
          <w:bCs w:val="0"/>
          <w:sz w:val="30"/>
          <w:szCs w:val="30"/>
          <w:lang w:val="en-US" w:eastAsia="zh-CN"/>
        </w:rPr>
        <w:t>。</w:t>
      </w:r>
    </w:p>
    <w:p w14:paraId="646B561D">
      <w:pPr>
        <w:widowControl/>
        <w:spacing w:line="560" w:lineRule="exact"/>
        <w:rPr>
          <w:rFonts w:hint="default" w:ascii="宋体" w:eastAsia="宋体" w:cs="宋体"/>
          <w:sz w:val="30"/>
          <w:szCs w:val="30"/>
          <w:lang w:val="en-US" w:eastAsia="zh-CN"/>
        </w:rPr>
      </w:pPr>
      <w:r>
        <w:rPr>
          <w:rFonts w:hint="eastAsia" w:ascii="宋体" w:cs="宋体"/>
          <w:b/>
          <w:bCs/>
          <w:sz w:val="30"/>
          <w:szCs w:val="30"/>
        </w:rPr>
        <w:t>四、采购方式：</w:t>
      </w:r>
      <w:r>
        <w:rPr>
          <w:rFonts w:hint="eastAsia" w:ascii="宋体" w:cs="宋体"/>
          <w:sz w:val="30"/>
          <w:szCs w:val="30"/>
          <w:lang w:val="en-US" w:eastAsia="zh-CN"/>
        </w:rPr>
        <w:t>竞争性磋商</w:t>
      </w:r>
    </w:p>
    <w:p w14:paraId="6BBE1420">
      <w:pPr>
        <w:widowControl/>
        <w:spacing w:line="560" w:lineRule="exact"/>
        <w:rPr>
          <w:rFonts w:ascii="宋体" w:cs="宋体"/>
          <w:sz w:val="30"/>
          <w:szCs w:val="30"/>
        </w:rPr>
      </w:pPr>
      <w:r>
        <w:rPr>
          <w:rFonts w:hint="eastAsia" w:ascii="宋体" w:cs="宋体"/>
          <w:b/>
          <w:bCs/>
          <w:sz w:val="30"/>
          <w:szCs w:val="30"/>
        </w:rPr>
        <w:t>五、政府采购政策：</w:t>
      </w:r>
      <w:r>
        <w:rPr>
          <w:rFonts w:ascii="宋体" w:cs="宋体"/>
          <w:sz w:val="30"/>
          <w:szCs w:val="30"/>
        </w:rPr>
        <w:t>已落实</w:t>
      </w:r>
    </w:p>
    <w:p w14:paraId="4D8A5B81">
      <w:pPr>
        <w:widowControl/>
        <w:spacing w:line="560" w:lineRule="exact"/>
        <w:rPr>
          <w:rFonts w:hint="eastAsia" w:ascii="宋体" w:cs="宋体"/>
          <w:b/>
          <w:bCs/>
          <w:sz w:val="30"/>
          <w:szCs w:val="30"/>
        </w:rPr>
      </w:pPr>
      <w:r>
        <w:rPr>
          <w:rFonts w:hint="eastAsia" w:ascii="宋体" w:cs="宋体"/>
          <w:b/>
          <w:bCs/>
          <w:sz w:val="30"/>
          <w:szCs w:val="30"/>
        </w:rPr>
        <w:t>六、无效投标</w:t>
      </w:r>
    </w:p>
    <w:p w14:paraId="7B25C4EE">
      <w:pPr>
        <w:widowControl/>
        <w:spacing w:line="560" w:lineRule="exact"/>
        <w:ind w:firstLine="480" w:firstLineChars="200"/>
        <w:rPr>
          <w:rFonts w:hint="eastAsia" w:ascii="宋体" w:cs="宋体"/>
          <w:sz w:val="24"/>
        </w:rPr>
      </w:pPr>
      <w:r>
        <w:rPr>
          <w:rFonts w:hint="eastAsia" w:ascii="宋体" w:cs="宋体"/>
          <w:sz w:val="24"/>
        </w:rPr>
        <w:t>（1）未按照招标文件的规定提交投标保证金的；</w:t>
      </w:r>
    </w:p>
    <w:p w14:paraId="7D67337F">
      <w:pPr>
        <w:widowControl/>
        <w:spacing w:line="560" w:lineRule="exact"/>
        <w:ind w:firstLine="480" w:firstLineChars="200"/>
        <w:rPr>
          <w:rFonts w:hint="eastAsia" w:ascii="宋体" w:cs="宋体"/>
          <w:sz w:val="24"/>
        </w:rPr>
      </w:pPr>
      <w:r>
        <w:rPr>
          <w:rFonts w:hint="eastAsia" w:ascii="宋体" w:cs="宋体"/>
          <w:sz w:val="24"/>
        </w:rPr>
        <w:t>（2）投标文件未按招标文件要求装订、密封、签署、盖章的；</w:t>
      </w:r>
    </w:p>
    <w:p w14:paraId="17DBD910">
      <w:pPr>
        <w:widowControl/>
        <w:spacing w:line="560" w:lineRule="exact"/>
        <w:ind w:firstLine="480" w:firstLineChars="200"/>
        <w:rPr>
          <w:rFonts w:hint="eastAsia" w:ascii="宋体" w:cs="宋体"/>
          <w:sz w:val="24"/>
        </w:rPr>
      </w:pPr>
      <w:r>
        <w:rPr>
          <w:rFonts w:hint="eastAsia" w:ascii="宋体" w:cs="宋体"/>
          <w:sz w:val="24"/>
        </w:rPr>
        <w:t>（3）不具备招标文件中规定的资格要求的；</w:t>
      </w:r>
    </w:p>
    <w:p w14:paraId="758A7FBD">
      <w:pPr>
        <w:widowControl/>
        <w:spacing w:line="560" w:lineRule="exact"/>
        <w:ind w:firstLine="480" w:firstLineChars="200"/>
        <w:rPr>
          <w:rFonts w:hint="eastAsia" w:ascii="宋体" w:cs="宋体"/>
          <w:sz w:val="24"/>
        </w:rPr>
      </w:pPr>
      <w:r>
        <w:rPr>
          <w:rFonts w:hint="eastAsia" w:ascii="宋体" w:cs="宋体"/>
          <w:sz w:val="24"/>
        </w:rPr>
        <w:t>（4）报价超过招标文件中规定的预算金额或者最高限价的；</w:t>
      </w:r>
    </w:p>
    <w:p w14:paraId="4231F58F">
      <w:pPr>
        <w:widowControl/>
        <w:spacing w:line="560" w:lineRule="exact"/>
        <w:ind w:firstLine="480" w:firstLineChars="200"/>
        <w:rPr>
          <w:rFonts w:hint="eastAsia" w:ascii="宋体" w:cs="宋体"/>
          <w:sz w:val="24"/>
        </w:rPr>
      </w:pPr>
      <w:r>
        <w:rPr>
          <w:rFonts w:hint="eastAsia" w:ascii="宋体" w:cs="宋体"/>
          <w:sz w:val="24"/>
        </w:rPr>
        <w:t>（5）投标文件含有采购人不能接受的附加条件的；</w:t>
      </w:r>
    </w:p>
    <w:p w14:paraId="28CCE808">
      <w:pPr>
        <w:widowControl/>
        <w:spacing w:line="560" w:lineRule="exact"/>
        <w:ind w:firstLine="480" w:firstLineChars="200"/>
        <w:rPr>
          <w:rFonts w:hint="eastAsia" w:ascii="宋体" w:cs="宋体"/>
          <w:sz w:val="24"/>
        </w:rPr>
      </w:pPr>
      <w:r>
        <w:rPr>
          <w:rFonts w:hint="eastAsia" w:ascii="宋体" w:cs="宋体"/>
          <w:sz w:val="24"/>
        </w:rPr>
        <w:t>（6）法律、法规和招标文件规定的其他无效情形；</w:t>
      </w:r>
    </w:p>
    <w:p w14:paraId="45257285">
      <w:pPr>
        <w:widowControl/>
        <w:spacing w:line="560" w:lineRule="exact"/>
        <w:ind w:firstLine="480" w:firstLineChars="200"/>
        <w:rPr>
          <w:rFonts w:hint="eastAsia" w:ascii="宋体" w:cs="宋体"/>
          <w:sz w:val="24"/>
        </w:rPr>
      </w:pPr>
      <w:r>
        <w:rPr>
          <w:rFonts w:hint="eastAsia" w:ascii="宋体" w:cs="宋体"/>
          <w:sz w:val="24"/>
        </w:rPr>
        <w:t>（7）投标文件未按招标文件规定的格式填写，或者填写的内容不全，或者辨认不清产生歧义，或者涂改处未加盖投标人公章及法定代表人印章的；</w:t>
      </w:r>
    </w:p>
    <w:p w14:paraId="6A296BD7">
      <w:pPr>
        <w:widowControl/>
        <w:spacing w:line="560" w:lineRule="exact"/>
        <w:ind w:firstLine="480" w:firstLineChars="200"/>
        <w:rPr>
          <w:rFonts w:hint="eastAsia" w:ascii="宋体" w:cs="宋体"/>
          <w:sz w:val="24"/>
        </w:rPr>
      </w:pPr>
      <w:r>
        <w:rPr>
          <w:rFonts w:hint="eastAsia" w:ascii="宋体" w:cs="宋体"/>
          <w:sz w:val="24"/>
        </w:rPr>
        <w:t>（8）投标人提交两份以上内容不同的投标文件未说明哪一个有效，或者在一份投标文件中对同一招标项目报有两个以上报价未说明哪一个有效的；</w:t>
      </w:r>
    </w:p>
    <w:p w14:paraId="777E2631">
      <w:pPr>
        <w:widowControl/>
        <w:spacing w:line="560" w:lineRule="exact"/>
        <w:ind w:firstLine="480" w:firstLineChars="200"/>
        <w:rPr>
          <w:rFonts w:hint="eastAsia" w:ascii="宋体" w:cs="宋体"/>
          <w:sz w:val="24"/>
        </w:rPr>
      </w:pPr>
      <w:r>
        <w:rPr>
          <w:rFonts w:hint="eastAsia" w:ascii="宋体" w:cs="宋体"/>
          <w:sz w:val="24"/>
        </w:rPr>
        <w:t>(9) 投标报价明显低于成本价，投标人不能合理说明或者不能提供相关证明材料的；</w:t>
      </w:r>
    </w:p>
    <w:p w14:paraId="6AE061AB">
      <w:pPr>
        <w:widowControl/>
        <w:spacing w:line="560" w:lineRule="exact"/>
        <w:ind w:firstLine="480" w:firstLineChars="200"/>
        <w:rPr>
          <w:rFonts w:hint="eastAsia" w:ascii="宋体" w:cs="宋体"/>
          <w:sz w:val="24"/>
        </w:rPr>
      </w:pPr>
      <w:r>
        <w:rPr>
          <w:rFonts w:hint="eastAsia" w:ascii="宋体" w:cs="宋体"/>
          <w:sz w:val="24"/>
        </w:rPr>
        <w:t>(10) 以联合体方式投标的；</w:t>
      </w:r>
    </w:p>
    <w:p w14:paraId="2C9DF594">
      <w:pPr>
        <w:widowControl/>
        <w:spacing w:line="560" w:lineRule="exact"/>
        <w:ind w:firstLine="480" w:firstLineChars="200"/>
        <w:rPr>
          <w:rFonts w:hint="eastAsia" w:ascii="宋体" w:cs="宋体"/>
          <w:sz w:val="24"/>
        </w:rPr>
      </w:pPr>
      <w:r>
        <w:rPr>
          <w:rFonts w:hint="eastAsia" w:ascii="宋体" w:cs="宋体"/>
          <w:sz w:val="24"/>
        </w:rPr>
        <w:t>（11）不同投标人的投标文件由同一单位或者个人编制；</w:t>
      </w:r>
    </w:p>
    <w:p w14:paraId="343FC838">
      <w:pPr>
        <w:widowControl/>
        <w:spacing w:line="560" w:lineRule="exact"/>
        <w:ind w:firstLine="480" w:firstLineChars="200"/>
        <w:rPr>
          <w:rFonts w:hint="eastAsia" w:ascii="宋体" w:cs="宋体"/>
          <w:sz w:val="24"/>
        </w:rPr>
      </w:pPr>
      <w:r>
        <w:rPr>
          <w:rFonts w:hint="eastAsia" w:ascii="宋体" w:cs="宋体"/>
          <w:sz w:val="24"/>
        </w:rPr>
        <w:t>（12）不同投标人委托同一单位或者个人办理投标事宜；</w:t>
      </w:r>
    </w:p>
    <w:p w14:paraId="4C1BD76B">
      <w:pPr>
        <w:widowControl/>
        <w:spacing w:line="560" w:lineRule="exact"/>
        <w:ind w:firstLine="480" w:firstLineChars="200"/>
        <w:rPr>
          <w:rFonts w:hint="eastAsia" w:ascii="宋体" w:cs="宋体"/>
          <w:sz w:val="24"/>
        </w:rPr>
      </w:pPr>
      <w:r>
        <w:rPr>
          <w:rFonts w:hint="eastAsia" w:ascii="宋体" w:cs="宋体"/>
          <w:sz w:val="24"/>
        </w:rPr>
        <w:t>（13）不同投标人的投标文件载明的项目管理成员或者联系人员为同一人；</w:t>
      </w:r>
    </w:p>
    <w:p w14:paraId="56D086E4">
      <w:pPr>
        <w:widowControl/>
        <w:spacing w:line="560" w:lineRule="exact"/>
        <w:ind w:firstLine="480" w:firstLineChars="200"/>
        <w:rPr>
          <w:rFonts w:hint="eastAsia" w:ascii="宋体" w:cs="宋体"/>
          <w:sz w:val="24"/>
        </w:rPr>
      </w:pPr>
      <w:r>
        <w:rPr>
          <w:rFonts w:hint="eastAsia" w:ascii="宋体" w:cs="宋体"/>
          <w:sz w:val="24"/>
        </w:rPr>
        <w:t>（14）不同投标人的投标文件异常一致或者投标报价呈规律性差异；</w:t>
      </w:r>
    </w:p>
    <w:p w14:paraId="7CECE25E">
      <w:pPr>
        <w:widowControl/>
        <w:spacing w:line="560" w:lineRule="exact"/>
        <w:ind w:firstLine="480" w:firstLineChars="200"/>
        <w:rPr>
          <w:rFonts w:hint="eastAsia" w:ascii="宋体" w:cs="宋体"/>
          <w:sz w:val="24"/>
        </w:rPr>
      </w:pPr>
      <w:r>
        <w:rPr>
          <w:rFonts w:hint="eastAsia" w:ascii="宋体" w:cs="宋体"/>
          <w:sz w:val="24"/>
        </w:rPr>
        <w:t>（15）不同投标人的投标文件相互混装；</w:t>
      </w:r>
    </w:p>
    <w:p w14:paraId="0EAC62A0">
      <w:pPr>
        <w:widowControl/>
        <w:spacing w:line="560" w:lineRule="exact"/>
        <w:ind w:firstLine="480" w:firstLineChars="200"/>
        <w:rPr>
          <w:rFonts w:hint="eastAsia" w:ascii="宋体" w:cs="宋体"/>
          <w:sz w:val="24"/>
        </w:rPr>
      </w:pPr>
      <w:r>
        <w:rPr>
          <w:rFonts w:hint="eastAsia" w:ascii="宋体" w:cs="宋体"/>
          <w:sz w:val="24"/>
        </w:rPr>
        <w:t>（16）不同投标人的投标保证金从同一单位或者个人的账户转出。</w:t>
      </w:r>
    </w:p>
    <w:p w14:paraId="66D5AEFA">
      <w:pPr>
        <w:widowControl/>
        <w:spacing w:line="560" w:lineRule="exact"/>
        <w:rPr>
          <w:rFonts w:hint="eastAsia" w:ascii="宋体" w:cs="宋体"/>
          <w:b/>
          <w:bCs/>
          <w:sz w:val="30"/>
          <w:szCs w:val="30"/>
        </w:rPr>
      </w:pPr>
      <w:r>
        <w:rPr>
          <w:rFonts w:hint="eastAsia" w:ascii="宋体" w:cs="宋体"/>
          <w:b/>
          <w:bCs/>
          <w:sz w:val="30"/>
          <w:szCs w:val="30"/>
        </w:rPr>
        <w:t>七、评标办法</w:t>
      </w:r>
    </w:p>
    <w:p w14:paraId="3E312429">
      <w:pPr>
        <w:widowControl/>
        <w:spacing w:line="560" w:lineRule="exact"/>
        <w:ind w:firstLine="480" w:firstLineChars="200"/>
        <w:rPr>
          <w:rFonts w:hint="eastAsia" w:ascii="宋体" w:cs="宋体"/>
          <w:sz w:val="24"/>
        </w:rPr>
      </w:pPr>
      <w:r>
        <w:rPr>
          <w:rFonts w:hint="eastAsia" w:ascii="宋体" w:cs="宋体"/>
          <w:sz w:val="24"/>
        </w:rPr>
        <w:t>本次评标采用综合评分法。</w:t>
      </w:r>
    </w:p>
    <w:p w14:paraId="7C0FFA7E">
      <w:pPr>
        <w:widowControl/>
        <w:spacing w:line="560" w:lineRule="exact"/>
        <w:ind w:firstLine="480" w:firstLineChars="200"/>
        <w:rPr>
          <w:rFonts w:hint="eastAsia" w:ascii="宋体" w:cs="宋体"/>
          <w:sz w:val="28"/>
          <w:szCs w:val="28"/>
        </w:rPr>
      </w:pPr>
      <w:r>
        <w:rPr>
          <w:rFonts w:hint="eastAsia" w:ascii="宋体" w:cs="宋体"/>
          <w:sz w:val="24"/>
        </w:rPr>
        <w:t>综合评分法，是指在最大限度地满足招标文件实质性要求前提下，按照招标文件中规定的各项因素进行综合评审后，以评标总得分最高的投标人作为中标候选供应商或者中标供应商的评标方法。</w:t>
      </w:r>
    </w:p>
    <w:p w14:paraId="565EE7AF">
      <w:pPr>
        <w:widowControl/>
        <w:numPr>
          <w:ilvl w:val="0"/>
          <w:numId w:val="2"/>
        </w:numPr>
        <w:spacing w:line="560" w:lineRule="exact"/>
        <w:rPr>
          <w:rFonts w:hint="eastAsia" w:ascii="宋体" w:cs="宋体"/>
          <w:b/>
          <w:bCs/>
          <w:sz w:val="30"/>
          <w:szCs w:val="30"/>
        </w:rPr>
      </w:pPr>
      <w:r>
        <w:rPr>
          <w:rFonts w:hint="eastAsia" w:ascii="宋体" w:cs="宋体"/>
          <w:b/>
          <w:bCs/>
          <w:sz w:val="30"/>
          <w:szCs w:val="30"/>
        </w:rPr>
        <w:t>采购需求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455"/>
        <w:gridCol w:w="3576"/>
        <w:gridCol w:w="696"/>
        <w:gridCol w:w="900"/>
        <w:gridCol w:w="1410"/>
      </w:tblGrid>
      <w:tr w14:paraId="57E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7541F145">
            <w:pPr>
              <w:pStyle w:val="35"/>
              <w:rPr>
                <w:rFonts w:hint="eastAsia" w:eastAsia="方正仿宋_GBK"/>
                <w:vertAlign w:val="baseline"/>
                <w:lang w:val="en-US" w:eastAsia="zh-CN"/>
              </w:rPr>
            </w:pPr>
            <w:r>
              <w:rPr>
                <w:rFonts w:hint="eastAsia"/>
                <w:vertAlign w:val="baseline"/>
                <w:lang w:val="en-US" w:eastAsia="zh-CN"/>
              </w:rPr>
              <w:t>序号</w:t>
            </w:r>
          </w:p>
        </w:tc>
        <w:tc>
          <w:tcPr>
            <w:tcW w:w="1455" w:type="dxa"/>
            <w:vAlign w:val="center"/>
          </w:tcPr>
          <w:p w14:paraId="17F8D95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品名</w:t>
            </w:r>
          </w:p>
        </w:tc>
        <w:tc>
          <w:tcPr>
            <w:tcW w:w="3576" w:type="dxa"/>
            <w:vAlign w:val="center"/>
          </w:tcPr>
          <w:p w14:paraId="7D254433">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规     格</w:t>
            </w:r>
            <w:r>
              <w:rPr>
                <w:rFonts w:hint="eastAsia" w:cs="Times New Roman"/>
                <w:vertAlign w:val="baseline"/>
                <w:lang w:val="en-US" w:eastAsia="zh-CN"/>
              </w:rPr>
              <w:t>/功效</w:t>
            </w:r>
          </w:p>
        </w:tc>
        <w:tc>
          <w:tcPr>
            <w:tcW w:w="696" w:type="dxa"/>
            <w:vAlign w:val="center"/>
          </w:tcPr>
          <w:p w14:paraId="19F9488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单位</w:t>
            </w:r>
          </w:p>
        </w:tc>
        <w:tc>
          <w:tcPr>
            <w:tcW w:w="900" w:type="dxa"/>
            <w:vAlign w:val="center"/>
          </w:tcPr>
          <w:p w14:paraId="538B1764">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数量</w:t>
            </w:r>
          </w:p>
        </w:tc>
        <w:tc>
          <w:tcPr>
            <w:tcW w:w="1410" w:type="dxa"/>
          </w:tcPr>
          <w:p w14:paraId="133DDFE0">
            <w:pPr>
              <w:pStyle w:val="35"/>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备注</w:t>
            </w:r>
          </w:p>
        </w:tc>
      </w:tr>
      <w:tr w14:paraId="7AC8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4218C160">
            <w:pPr>
              <w:pStyle w:val="35"/>
              <w:rPr>
                <w:rFonts w:hint="eastAsia" w:eastAsia="方正仿宋_GBK"/>
                <w:vertAlign w:val="baseline"/>
                <w:lang w:val="en-US" w:eastAsia="zh-CN"/>
              </w:rPr>
            </w:pPr>
            <w:r>
              <w:rPr>
                <w:rFonts w:hint="eastAsia"/>
                <w:vertAlign w:val="baseline"/>
                <w:lang w:val="en-US" w:eastAsia="zh-CN"/>
              </w:rPr>
              <w:t>1</w:t>
            </w:r>
          </w:p>
        </w:tc>
        <w:tc>
          <w:tcPr>
            <w:tcW w:w="1455" w:type="dxa"/>
            <w:vAlign w:val="center"/>
          </w:tcPr>
          <w:p w14:paraId="4928EC1D">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种子</w:t>
            </w:r>
          </w:p>
        </w:tc>
        <w:tc>
          <w:tcPr>
            <w:tcW w:w="3576" w:type="dxa"/>
            <w:vAlign w:val="center"/>
          </w:tcPr>
          <w:p w14:paraId="4A9243DF">
            <w:pPr>
              <w:pStyle w:val="35"/>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1.质量要求：纯度≥96%，净度≥ 98%，发芽率≥80%，水分≤13.0%。</w:t>
            </w:r>
          </w:p>
          <w:p w14:paraId="15019EA4">
            <w:pPr>
              <w:pStyle w:val="35"/>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2.质量执行标准：符合国家质量标准 GB 4404.1-2008。</w:t>
            </w:r>
          </w:p>
        </w:tc>
        <w:tc>
          <w:tcPr>
            <w:tcW w:w="696" w:type="dxa"/>
            <w:vAlign w:val="center"/>
          </w:tcPr>
          <w:p w14:paraId="3907A766">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公斤</w:t>
            </w:r>
          </w:p>
        </w:tc>
        <w:tc>
          <w:tcPr>
            <w:tcW w:w="900" w:type="dxa"/>
            <w:vAlign w:val="center"/>
          </w:tcPr>
          <w:p w14:paraId="400460B9">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3000</w:t>
            </w:r>
          </w:p>
        </w:tc>
        <w:tc>
          <w:tcPr>
            <w:tcW w:w="1410" w:type="dxa"/>
          </w:tcPr>
          <w:p w14:paraId="2A5382F8">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2000亩为示范点、1000亩为集中育秧抗旱备用</w:t>
            </w:r>
          </w:p>
        </w:tc>
      </w:tr>
      <w:tr w14:paraId="1B8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EBB658D">
            <w:pPr>
              <w:pStyle w:val="35"/>
              <w:rPr>
                <w:rFonts w:hint="eastAsia" w:eastAsia="方正仿宋_GBK"/>
                <w:vertAlign w:val="baseline"/>
                <w:lang w:val="en-US" w:eastAsia="zh-CN"/>
              </w:rPr>
            </w:pPr>
            <w:r>
              <w:rPr>
                <w:rFonts w:hint="eastAsia"/>
                <w:vertAlign w:val="baseline"/>
                <w:lang w:val="en-US" w:eastAsia="zh-CN"/>
              </w:rPr>
              <w:t>2</w:t>
            </w:r>
          </w:p>
        </w:tc>
        <w:tc>
          <w:tcPr>
            <w:tcW w:w="1455" w:type="dxa"/>
            <w:vAlign w:val="center"/>
          </w:tcPr>
          <w:p w14:paraId="57CB7676">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复合肥</w:t>
            </w:r>
          </w:p>
        </w:tc>
        <w:tc>
          <w:tcPr>
            <w:tcW w:w="3576" w:type="dxa"/>
            <w:vAlign w:val="center"/>
          </w:tcPr>
          <w:p w14:paraId="0BF17E6A">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1.技术指标符合GB/T15063-2020标准；</w:t>
            </w:r>
          </w:p>
          <w:p w14:paraId="29A6E978">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2.包装规格：40公斤／袋；</w:t>
            </w:r>
          </w:p>
          <w:p w14:paraId="55114B00">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3.N-P2O5-K2O≥40%;</w:t>
            </w:r>
          </w:p>
          <w:p w14:paraId="1F59430F">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4.N:P2O5:K2O=22:08:10。                  5.硫酸钾型</w:t>
            </w:r>
          </w:p>
        </w:tc>
        <w:tc>
          <w:tcPr>
            <w:tcW w:w="696" w:type="dxa"/>
            <w:vAlign w:val="center"/>
          </w:tcPr>
          <w:p w14:paraId="5BDDC970">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吨</w:t>
            </w:r>
          </w:p>
        </w:tc>
        <w:tc>
          <w:tcPr>
            <w:tcW w:w="900" w:type="dxa"/>
            <w:vAlign w:val="center"/>
          </w:tcPr>
          <w:p w14:paraId="5441D6BF">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80</w:t>
            </w:r>
          </w:p>
        </w:tc>
        <w:tc>
          <w:tcPr>
            <w:tcW w:w="1410" w:type="dxa"/>
          </w:tcPr>
          <w:p w14:paraId="52E04D56">
            <w:pPr>
              <w:pStyle w:val="35"/>
              <w:rPr>
                <w:rFonts w:hint="default" w:ascii="Times New Roman" w:hAnsi="Times New Roman" w:cs="Times New Roman"/>
                <w:vertAlign w:val="baseline"/>
                <w:lang w:val="en-US" w:eastAsia="zh-CN"/>
              </w:rPr>
            </w:pPr>
          </w:p>
        </w:tc>
      </w:tr>
      <w:tr w14:paraId="0657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2E2418B3">
            <w:pPr>
              <w:pStyle w:val="35"/>
              <w:rPr>
                <w:rFonts w:hint="eastAsia" w:eastAsia="方正仿宋_GBK"/>
                <w:vertAlign w:val="baseline"/>
                <w:lang w:val="en-US" w:eastAsia="zh-CN"/>
              </w:rPr>
            </w:pPr>
            <w:r>
              <w:rPr>
                <w:rFonts w:hint="eastAsia"/>
                <w:vertAlign w:val="baseline"/>
                <w:lang w:val="en-US" w:eastAsia="zh-CN"/>
              </w:rPr>
              <w:t>3</w:t>
            </w:r>
          </w:p>
        </w:tc>
        <w:tc>
          <w:tcPr>
            <w:tcW w:w="1455" w:type="dxa"/>
            <w:vAlign w:val="center"/>
          </w:tcPr>
          <w:p w14:paraId="2C566527">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氯化钾</w:t>
            </w:r>
          </w:p>
        </w:tc>
        <w:tc>
          <w:tcPr>
            <w:tcW w:w="3576" w:type="dxa"/>
            <w:vAlign w:val="center"/>
          </w:tcPr>
          <w:p w14:paraId="59C592B2">
            <w:pPr>
              <w:pStyle w:val="35"/>
              <w:numPr>
                <w:ilvl w:val="0"/>
                <w:numId w:val="3"/>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氯化钾≥60.0%</w:t>
            </w:r>
          </w:p>
          <w:p w14:paraId="0D81A80B">
            <w:pPr>
              <w:pStyle w:val="35"/>
              <w:numPr>
                <w:ilvl w:val="0"/>
                <w:numId w:val="3"/>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2.包装规格：50公斤／袋</w:t>
            </w:r>
          </w:p>
        </w:tc>
        <w:tc>
          <w:tcPr>
            <w:tcW w:w="696" w:type="dxa"/>
            <w:vAlign w:val="center"/>
          </w:tcPr>
          <w:p w14:paraId="01F8C9C7">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吨</w:t>
            </w:r>
          </w:p>
        </w:tc>
        <w:tc>
          <w:tcPr>
            <w:tcW w:w="900" w:type="dxa"/>
            <w:vAlign w:val="center"/>
          </w:tcPr>
          <w:p w14:paraId="7FC89F21">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20</w:t>
            </w:r>
          </w:p>
        </w:tc>
        <w:tc>
          <w:tcPr>
            <w:tcW w:w="1410" w:type="dxa"/>
          </w:tcPr>
          <w:p w14:paraId="6630718A">
            <w:pPr>
              <w:pStyle w:val="35"/>
              <w:rPr>
                <w:rFonts w:hint="default" w:ascii="Times New Roman" w:hAnsi="Times New Roman" w:cs="Times New Roman"/>
                <w:vertAlign w:val="baseline"/>
                <w:lang w:val="en-US" w:eastAsia="zh-CN"/>
              </w:rPr>
            </w:pPr>
          </w:p>
        </w:tc>
      </w:tr>
      <w:tr w14:paraId="4C2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1854CA0A">
            <w:pPr>
              <w:pStyle w:val="35"/>
              <w:rPr>
                <w:rFonts w:hint="default"/>
                <w:vertAlign w:val="baseline"/>
                <w:lang w:val="en-US" w:eastAsia="zh-CN"/>
              </w:rPr>
            </w:pPr>
            <w:r>
              <w:rPr>
                <w:rFonts w:hint="eastAsia"/>
                <w:vertAlign w:val="baseline"/>
                <w:lang w:val="en-US" w:eastAsia="zh-CN"/>
              </w:rPr>
              <w:t>4</w:t>
            </w:r>
          </w:p>
        </w:tc>
        <w:tc>
          <w:tcPr>
            <w:tcW w:w="1455" w:type="dxa"/>
            <w:vAlign w:val="center"/>
          </w:tcPr>
          <w:p w14:paraId="30251BA1">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无纺布</w:t>
            </w:r>
          </w:p>
        </w:tc>
        <w:tc>
          <w:tcPr>
            <w:tcW w:w="3576" w:type="dxa"/>
            <w:vAlign w:val="center"/>
          </w:tcPr>
          <w:p w14:paraId="4E880A0A">
            <w:pPr>
              <w:pStyle w:val="35"/>
              <w:numPr>
                <w:ilvl w:val="0"/>
                <w:numId w:val="4"/>
              </w:numPr>
              <w:rPr>
                <w:rFonts w:hint="eastAsia" w:cs="Times New Roman"/>
                <w:vertAlign w:val="baseline"/>
                <w:lang w:val="en-US" w:eastAsia="zh-CN"/>
              </w:rPr>
            </w:pPr>
            <w:r>
              <w:rPr>
                <w:rFonts w:hint="eastAsia" w:cs="Times New Roman"/>
                <w:vertAlign w:val="baseline"/>
                <w:lang w:val="en-US" w:eastAsia="zh-CN"/>
              </w:rPr>
              <w:t>平方米</w:t>
            </w:r>
            <w:r>
              <w:rPr>
                <w:rFonts w:hint="default" w:ascii="Times New Roman" w:hAnsi="Times New Roman" w:cs="Times New Roman"/>
                <w:vertAlign w:val="baseline"/>
                <w:lang w:val="en-US" w:eastAsia="zh-CN"/>
              </w:rPr>
              <w:t>≥</w:t>
            </w:r>
            <w:r>
              <w:rPr>
                <w:rFonts w:hint="eastAsia" w:cs="Times New Roman"/>
                <w:vertAlign w:val="baseline"/>
                <w:lang w:val="en-US" w:eastAsia="zh-CN"/>
              </w:rPr>
              <w:t>35克</w:t>
            </w:r>
          </w:p>
          <w:p w14:paraId="57FE764C">
            <w:pPr>
              <w:pStyle w:val="35"/>
              <w:numPr>
                <w:ilvl w:val="0"/>
                <w:numId w:val="4"/>
              </w:numPr>
              <w:rPr>
                <w:rFonts w:hint="default" w:cs="Times New Roman"/>
                <w:vertAlign w:val="baseline"/>
                <w:lang w:val="en-US" w:eastAsia="zh-CN"/>
              </w:rPr>
            </w:pPr>
            <w:r>
              <w:rPr>
                <w:rFonts w:hint="eastAsia" w:cs="Times New Roman"/>
                <w:vertAlign w:val="baseline"/>
                <w:lang w:val="en-US" w:eastAsia="zh-CN"/>
              </w:rPr>
              <w:t>每卷25公斤、2.1米宽</w:t>
            </w:r>
          </w:p>
        </w:tc>
        <w:tc>
          <w:tcPr>
            <w:tcW w:w="696" w:type="dxa"/>
            <w:vAlign w:val="center"/>
          </w:tcPr>
          <w:p w14:paraId="1AF599B5">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卷</w:t>
            </w:r>
          </w:p>
        </w:tc>
        <w:tc>
          <w:tcPr>
            <w:tcW w:w="900" w:type="dxa"/>
            <w:vAlign w:val="center"/>
          </w:tcPr>
          <w:p w14:paraId="022DAD46">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180</w:t>
            </w:r>
          </w:p>
        </w:tc>
        <w:tc>
          <w:tcPr>
            <w:tcW w:w="1410" w:type="dxa"/>
          </w:tcPr>
          <w:p w14:paraId="7B0E6FF1">
            <w:pPr>
              <w:pStyle w:val="35"/>
              <w:rPr>
                <w:rFonts w:hint="default" w:ascii="Times New Roman" w:hAnsi="Times New Roman" w:cs="Times New Roman"/>
                <w:vertAlign w:val="baseline"/>
                <w:lang w:val="en-US" w:eastAsia="zh-CN"/>
              </w:rPr>
            </w:pPr>
          </w:p>
        </w:tc>
      </w:tr>
      <w:tr w14:paraId="4202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065CE884">
            <w:pPr>
              <w:pStyle w:val="35"/>
              <w:rPr>
                <w:rFonts w:hint="default"/>
                <w:vertAlign w:val="baseline"/>
                <w:lang w:val="en-US" w:eastAsia="zh-CN"/>
              </w:rPr>
            </w:pPr>
            <w:r>
              <w:rPr>
                <w:rFonts w:hint="eastAsia"/>
                <w:vertAlign w:val="baseline"/>
                <w:lang w:val="en-US" w:eastAsia="zh-CN"/>
              </w:rPr>
              <w:t>5</w:t>
            </w:r>
          </w:p>
        </w:tc>
        <w:tc>
          <w:tcPr>
            <w:tcW w:w="1455" w:type="dxa"/>
            <w:vAlign w:val="center"/>
          </w:tcPr>
          <w:p w14:paraId="2A0D5B84">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氯虫苯甲酰胺30%</w:t>
            </w:r>
          </w:p>
        </w:tc>
        <w:tc>
          <w:tcPr>
            <w:tcW w:w="3576" w:type="dxa"/>
            <w:vAlign w:val="center"/>
          </w:tcPr>
          <w:p w14:paraId="4E4155E5">
            <w:pPr>
              <w:pStyle w:val="35"/>
              <w:numPr>
                <w:ilvl w:val="0"/>
                <w:numId w:val="5"/>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有效成分及其含量:氯虫苯甲酰胺30%</w:t>
            </w:r>
          </w:p>
          <w:p w14:paraId="432059EF">
            <w:pPr>
              <w:pStyle w:val="35"/>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2.剂型:悬浮剂。                         3.每袋10克</w:t>
            </w:r>
          </w:p>
        </w:tc>
        <w:tc>
          <w:tcPr>
            <w:tcW w:w="696" w:type="dxa"/>
            <w:vAlign w:val="center"/>
          </w:tcPr>
          <w:p w14:paraId="61BB89AB">
            <w:pPr>
              <w:pStyle w:val="35"/>
              <w:rPr>
                <w:rFonts w:hint="default" w:cs="Times New Roman"/>
                <w:vertAlign w:val="baseline"/>
                <w:lang w:val="en-US" w:eastAsia="zh-CN"/>
              </w:rPr>
            </w:pPr>
            <w:r>
              <w:rPr>
                <w:rFonts w:hint="eastAsia" w:cs="Times New Roman"/>
                <w:vertAlign w:val="baseline"/>
                <w:lang w:val="en-US" w:eastAsia="zh-CN"/>
              </w:rPr>
              <w:t>袋</w:t>
            </w:r>
          </w:p>
        </w:tc>
        <w:tc>
          <w:tcPr>
            <w:tcW w:w="900" w:type="dxa"/>
            <w:vAlign w:val="center"/>
          </w:tcPr>
          <w:p w14:paraId="71AC5093">
            <w:pPr>
              <w:pStyle w:val="35"/>
              <w:rPr>
                <w:rFonts w:hint="default" w:cs="Times New Roman"/>
                <w:vertAlign w:val="baseline"/>
                <w:lang w:val="en-US" w:eastAsia="zh-CN"/>
              </w:rPr>
            </w:pPr>
            <w:r>
              <w:rPr>
                <w:rFonts w:hint="eastAsia" w:cs="Times New Roman"/>
                <w:vertAlign w:val="baseline"/>
                <w:lang w:val="en-US" w:eastAsia="zh-CN"/>
              </w:rPr>
              <w:t>30000</w:t>
            </w:r>
          </w:p>
        </w:tc>
        <w:tc>
          <w:tcPr>
            <w:tcW w:w="1410" w:type="dxa"/>
            <w:vAlign w:val="top"/>
          </w:tcPr>
          <w:p w14:paraId="387893F2">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3袋/亩</w:t>
            </w:r>
          </w:p>
        </w:tc>
      </w:tr>
      <w:tr w14:paraId="0C83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3D8A5E81">
            <w:pPr>
              <w:pStyle w:val="35"/>
              <w:rPr>
                <w:rFonts w:hint="default"/>
                <w:vertAlign w:val="baseline"/>
                <w:lang w:val="en-US" w:eastAsia="zh-CN"/>
              </w:rPr>
            </w:pPr>
            <w:r>
              <w:rPr>
                <w:rFonts w:hint="eastAsia"/>
                <w:vertAlign w:val="baseline"/>
                <w:lang w:val="en-US" w:eastAsia="zh-CN"/>
              </w:rPr>
              <w:t>6</w:t>
            </w:r>
          </w:p>
        </w:tc>
        <w:tc>
          <w:tcPr>
            <w:tcW w:w="1455" w:type="dxa"/>
            <w:vAlign w:val="center"/>
          </w:tcPr>
          <w:p w14:paraId="3F32DDD3">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吡蚜酮25%</w:t>
            </w:r>
          </w:p>
        </w:tc>
        <w:tc>
          <w:tcPr>
            <w:tcW w:w="3576" w:type="dxa"/>
            <w:vAlign w:val="center"/>
          </w:tcPr>
          <w:p w14:paraId="3E6A9CE0">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1.有效成分含量:25%。                     2.剂型:悬浮剂。                         3.每袋8克</w:t>
            </w:r>
          </w:p>
        </w:tc>
        <w:tc>
          <w:tcPr>
            <w:tcW w:w="696" w:type="dxa"/>
            <w:vAlign w:val="center"/>
          </w:tcPr>
          <w:p w14:paraId="7B2145C0">
            <w:pPr>
              <w:pStyle w:val="35"/>
              <w:rPr>
                <w:rFonts w:hint="eastAsia" w:cs="Times New Roman"/>
                <w:vertAlign w:val="baseline"/>
                <w:lang w:val="en-US" w:eastAsia="zh-CN"/>
              </w:rPr>
            </w:pPr>
            <w:r>
              <w:rPr>
                <w:rFonts w:hint="eastAsia" w:cs="Times New Roman"/>
                <w:vertAlign w:val="baseline"/>
                <w:lang w:val="en-US" w:eastAsia="zh-CN"/>
              </w:rPr>
              <w:t>袋</w:t>
            </w:r>
          </w:p>
        </w:tc>
        <w:tc>
          <w:tcPr>
            <w:tcW w:w="900" w:type="dxa"/>
            <w:vAlign w:val="center"/>
          </w:tcPr>
          <w:p w14:paraId="0227E611">
            <w:pPr>
              <w:pStyle w:val="35"/>
              <w:rPr>
                <w:rFonts w:hint="eastAsia" w:cs="Times New Roman"/>
                <w:vertAlign w:val="baseline"/>
                <w:lang w:val="en-US" w:eastAsia="zh-CN"/>
              </w:rPr>
            </w:pPr>
            <w:r>
              <w:rPr>
                <w:rFonts w:hint="eastAsia" w:cs="Times New Roman"/>
                <w:vertAlign w:val="baseline"/>
                <w:lang w:val="en-US" w:eastAsia="zh-CN"/>
              </w:rPr>
              <w:t>30000</w:t>
            </w:r>
          </w:p>
        </w:tc>
        <w:tc>
          <w:tcPr>
            <w:tcW w:w="1410" w:type="dxa"/>
            <w:vAlign w:val="top"/>
          </w:tcPr>
          <w:p w14:paraId="4352CB8E">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3袋/亩</w:t>
            </w:r>
          </w:p>
        </w:tc>
      </w:tr>
      <w:tr w14:paraId="1D46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6291DDBD">
            <w:pPr>
              <w:pStyle w:val="35"/>
              <w:rPr>
                <w:rFonts w:hint="default"/>
                <w:vertAlign w:val="baseline"/>
                <w:lang w:val="en-US" w:eastAsia="zh-CN"/>
              </w:rPr>
            </w:pPr>
            <w:r>
              <w:rPr>
                <w:rFonts w:hint="eastAsia"/>
                <w:vertAlign w:val="baseline"/>
                <w:lang w:val="en-US" w:eastAsia="zh-CN"/>
              </w:rPr>
              <w:t>7</w:t>
            </w:r>
          </w:p>
        </w:tc>
        <w:tc>
          <w:tcPr>
            <w:tcW w:w="1455" w:type="dxa"/>
            <w:vAlign w:val="center"/>
          </w:tcPr>
          <w:p w14:paraId="28C22541">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大</w:t>
            </w:r>
            <w:r>
              <w:rPr>
                <w:rFonts w:hint="default" w:ascii="Times New Roman" w:hAnsi="Times New Roman" w:cs="Times New Roman"/>
                <w:vertAlign w:val="baseline"/>
                <w:lang w:val="en-US" w:eastAsia="zh-CN"/>
              </w:rPr>
              <w:t>量元素水溶肥料</w:t>
            </w:r>
          </w:p>
        </w:tc>
        <w:tc>
          <w:tcPr>
            <w:tcW w:w="3576" w:type="dxa"/>
            <w:vAlign w:val="center"/>
          </w:tcPr>
          <w:p w14:paraId="42D5C43A">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1.执行标准:NY/T1107-2020               2.N+P205+K20≥50.0%                       3.每袋50克</w:t>
            </w:r>
          </w:p>
        </w:tc>
        <w:tc>
          <w:tcPr>
            <w:tcW w:w="696" w:type="dxa"/>
            <w:vAlign w:val="center"/>
          </w:tcPr>
          <w:p w14:paraId="4CC4409A">
            <w:pPr>
              <w:pStyle w:val="35"/>
              <w:rPr>
                <w:rFonts w:hint="eastAsia" w:cs="Times New Roman"/>
                <w:vertAlign w:val="baseline"/>
                <w:lang w:val="en-US" w:eastAsia="zh-CN"/>
              </w:rPr>
            </w:pPr>
            <w:r>
              <w:rPr>
                <w:rFonts w:hint="eastAsia" w:cs="Times New Roman"/>
                <w:vertAlign w:val="baseline"/>
                <w:lang w:val="en-US" w:eastAsia="zh-CN"/>
              </w:rPr>
              <w:t>袋</w:t>
            </w:r>
          </w:p>
        </w:tc>
        <w:tc>
          <w:tcPr>
            <w:tcW w:w="900" w:type="dxa"/>
            <w:vAlign w:val="center"/>
          </w:tcPr>
          <w:p w14:paraId="63E7AFE7">
            <w:pPr>
              <w:pStyle w:val="35"/>
              <w:rPr>
                <w:rFonts w:hint="default" w:cs="Times New Roman"/>
                <w:vertAlign w:val="baseline"/>
                <w:lang w:val="en-US" w:eastAsia="zh-CN"/>
              </w:rPr>
            </w:pPr>
            <w:r>
              <w:rPr>
                <w:rFonts w:hint="eastAsia" w:cs="Times New Roman"/>
                <w:vertAlign w:val="baseline"/>
                <w:lang w:val="en-US" w:eastAsia="zh-CN"/>
              </w:rPr>
              <w:t>10000</w:t>
            </w:r>
          </w:p>
        </w:tc>
        <w:tc>
          <w:tcPr>
            <w:tcW w:w="1410" w:type="dxa"/>
            <w:vAlign w:val="top"/>
          </w:tcPr>
          <w:p w14:paraId="4C2AC542">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袋/亩</w:t>
            </w:r>
          </w:p>
        </w:tc>
      </w:tr>
      <w:tr w14:paraId="498E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3F3A709A">
            <w:pPr>
              <w:pStyle w:val="35"/>
              <w:rPr>
                <w:rFonts w:hint="default"/>
                <w:vertAlign w:val="baseline"/>
                <w:lang w:val="en-US" w:eastAsia="zh-CN"/>
              </w:rPr>
            </w:pPr>
            <w:r>
              <w:rPr>
                <w:rFonts w:hint="eastAsia"/>
                <w:vertAlign w:val="baseline"/>
                <w:lang w:val="en-US" w:eastAsia="zh-CN"/>
              </w:rPr>
              <w:t>8</w:t>
            </w:r>
          </w:p>
        </w:tc>
        <w:tc>
          <w:tcPr>
            <w:tcW w:w="1455" w:type="dxa"/>
            <w:vAlign w:val="center"/>
          </w:tcPr>
          <w:p w14:paraId="780ADF92">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宣传培训及试验示范</w:t>
            </w:r>
          </w:p>
        </w:tc>
        <w:tc>
          <w:tcPr>
            <w:tcW w:w="3576" w:type="dxa"/>
            <w:vAlign w:val="center"/>
          </w:tcPr>
          <w:p w14:paraId="2C311C2E">
            <w:pPr>
              <w:pStyle w:val="35"/>
              <w:rPr>
                <w:rFonts w:hint="default" w:ascii="Times New Roman" w:hAnsi="Times New Roman" w:cs="Times New Roman"/>
                <w:vertAlign w:val="baseline"/>
                <w:lang w:val="en-US" w:eastAsia="zh-CN"/>
              </w:rPr>
            </w:pPr>
          </w:p>
        </w:tc>
        <w:tc>
          <w:tcPr>
            <w:tcW w:w="696" w:type="dxa"/>
            <w:vAlign w:val="center"/>
          </w:tcPr>
          <w:p w14:paraId="70D150F8">
            <w:pPr>
              <w:pStyle w:val="35"/>
              <w:rPr>
                <w:rFonts w:hint="default" w:cs="Times New Roman"/>
                <w:vertAlign w:val="baseline"/>
                <w:lang w:val="en-US" w:eastAsia="zh-CN"/>
              </w:rPr>
            </w:pPr>
            <w:r>
              <w:rPr>
                <w:rFonts w:hint="eastAsia" w:cs="Times New Roman"/>
                <w:vertAlign w:val="baseline"/>
                <w:lang w:val="en-US" w:eastAsia="zh-CN"/>
              </w:rPr>
              <w:t>项</w:t>
            </w:r>
          </w:p>
        </w:tc>
        <w:tc>
          <w:tcPr>
            <w:tcW w:w="900" w:type="dxa"/>
            <w:vAlign w:val="center"/>
          </w:tcPr>
          <w:p w14:paraId="5AE29F4D">
            <w:pPr>
              <w:pStyle w:val="35"/>
              <w:rPr>
                <w:rFonts w:hint="default" w:cs="Times New Roman"/>
                <w:vertAlign w:val="baseline"/>
                <w:lang w:val="en-US" w:eastAsia="zh-CN"/>
              </w:rPr>
            </w:pPr>
            <w:r>
              <w:rPr>
                <w:rFonts w:hint="eastAsia" w:cs="Times New Roman"/>
                <w:vertAlign w:val="baseline"/>
                <w:lang w:val="en-US" w:eastAsia="zh-CN"/>
              </w:rPr>
              <w:t>1</w:t>
            </w:r>
          </w:p>
        </w:tc>
        <w:tc>
          <w:tcPr>
            <w:tcW w:w="1410" w:type="dxa"/>
            <w:vAlign w:val="top"/>
          </w:tcPr>
          <w:p w14:paraId="154F39EF">
            <w:pPr>
              <w:pStyle w:val="35"/>
              <w:rPr>
                <w:rFonts w:hint="eastAsia" w:ascii="Times New Roman" w:hAnsi="Times New Roman" w:cs="Times New Roman"/>
                <w:vertAlign w:val="baseline"/>
                <w:lang w:val="en-US" w:eastAsia="zh-CN"/>
              </w:rPr>
            </w:pPr>
          </w:p>
        </w:tc>
      </w:tr>
    </w:tbl>
    <w:p w14:paraId="496566C2">
      <w:pPr>
        <w:rPr>
          <w:rFonts w:hint="default"/>
          <w:lang w:val="en-US" w:eastAsia="zh-CN"/>
        </w:rPr>
      </w:pPr>
    </w:p>
    <w:p w14:paraId="476B49DC">
      <w:pPr>
        <w:pStyle w:val="6"/>
        <w:rPr>
          <w:rFonts w:hint="eastAsia"/>
        </w:rPr>
      </w:pPr>
    </w:p>
    <w:p w14:paraId="4FD9EBC6">
      <w:pPr>
        <w:widowControl/>
        <w:spacing w:line="560" w:lineRule="exact"/>
      </w:pPr>
    </w:p>
    <w:sectPr>
      <w:footerReference r:id="rId3" w:type="default"/>
      <w:pgSz w:w="11906" w:h="16838"/>
      <w:pgMar w:top="1440" w:right="866"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fal">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201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7224"/>
    <w:multiLevelType w:val="singleLevel"/>
    <w:tmpl w:val="D3667224"/>
    <w:lvl w:ilvl="0" w:tentative="0">
      <w:start w:val="8"/>
      <w:numFmt w:val="chineseCounting"/>
      <w:suff w:val="nothing"/>
      <w:lvlText w:val="%1、"/>
      <w:lvlJc w:val="left"/>
      <w:pPr>
        <w:tabs>
          <w:tab w:val="left" w:pos="0"/>
        </w:tabs>
        <w:ind w:left="0" w:firstLine="0"/>
      </w:pPr>
      <w:rPr>
        <w:rFonts w:hint="eastAsia"/>
      </w:rPr>
    </w:lvl>
  </w:abstractNum>
  <w:abstractNum w:abstractNumId="1">
    <w:nsid w:val="4233A997"/>
    <w:multiLevelType w:val="singleLevel"/>
    <w:tmpl w:val="4233A997"/>
    <w:lvl w:ilvl="0" w:tentative="0">
      <w:start w:val="1"/>
      <w:numFmt w:val="decimal"/>
      <w:lvlText w:val="%1."/>
      <w:lvlJc w:val="left"/>
      <w:pPr>
        <w:tabs>
          <w:tab w:val="left" w:pos="312"/>
        </w:tabs>
      </w:pPr>
    </w:lvl>
  </w:abstractNum>
  <w:abstractNum w:abstractNumId="2">
    <w:nsid w:val="438C9099"/>
    <w:multiLevelType w:val="singleLevel"/>
    <w:tmpl w:val="438C9099"/>
    <w:lvl w:ilvl="0" w:tentative="0">
      <w:start w:val="2"/>
      <w:numFmt w:val="decimal"/>
      <w:lvlText w:val="%1."/>
      <w:lvlJc w:val="left"/>
      <w:pPr>
        <w:tabs>
          <w:tab w:val="left" w:pos="312"/>
        </w:tabs>
      </w:pPr>
    </w:lvl>
  </w:abstractNum>
  <w:abstractNum w:abstractNumId="3">
    <w:nsid w:val="4FAB660A"/>
    <w:multiLevelType w:val="singleLevel"/>
    <w:tmpl w:val="4FAB660A"/>
    <w:lvl w:ilvl="0" w:tentative="0">
      <w:start w:val="1"/>
      <w:numFmt w:val="decimal"/>
      <w:lvlText w:val="%1."/>
      <w:lvlJc w:val="left"/>
      <w:pPr>
        <w:tabs>
          <w:tab w:val="left" w:pos="312"/>
        </w:tabs>
      </w:pPr>
    </w:lvl>
  </w:abstractNum>
  <w:abstractNum w:abstractNumId="4">
    <w:nsid w:val="664DC9A9"/>
    <w:multiLevelType w:val="singleLevel"/>
    <w:tmpl w:val="664DC9A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WZiOGM1ZjYwYzVhY2MzZDU5ZTFkNzNlOTMwNDBhMGEifQ=="/>
  </w:docVars>
  <w:rsids>
    <w:rsidRoot w:val="00000000"/>
    <w:rsid w:val="10207D84"/>
    <w:rsid w:val="13421984"/>
    <w:rsid w:val="23586090"/>
    <w:rsid w:val="2E573EED"/>
    <w:rsid w:val="2EF10D75"/>
    <w:rsid w:val="31F67B05"/>
    <w:rsid w:val="35E0581C"/>
    <w:rsid w:val="379A0715"/>
    <w:rsid w:val="39A22918"/>
    <w:rsid w:val="3B545936"/>
    <w:rsid w:val="3C5014CC"/>
    <w:rsid w:val="42020C7F"/>
    <w:rsid w:val="45120D2E"/>
    <w:rsid w:val="46853EA3"/>
    <w:rsid w:val="46934237"/>
    <w:rsid w:val="49312E43"/>
    <w:rsid w:val="4C2E6A58"/>
    <w:rsid w:val="4D691398"/>
    <w:rsid w:val="538D1E30"/>
    <w:rsid w:val="5A063DB6"/>
    <w:rsid w:val="5FE0142E"/>
    <w:rsid w:val="6DAC2F73"/>
    <w:rsid w:val="74014347"/>
    <w:rsid w:val="7C3F7AC9"/>
    <w:rsid w:val="7FEA6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3" w:lineRule="auto"/>
      <w:jc w:val="both"/>
      <w:outlineLvl w:val="1"/>
    </w:pPr>
    <w:rPr>
      <w:rFonts w:ascii="黑体" w:hAnsi="黑体" w:eastAsia="Calibri"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styleId="7">
    <w:name w:val="Body Text"/>
    <w:basedOn w:val="1"/>
    <w:qFormat/>
    <w:uiPriority w:val="0"/>
    <w:pPr>
      <w:spacing w:after="120"/>
    </w:pPr>
  </w:style>
  <w:style w:type="paragraph" w:styleId="8">
    <w:name w:val="index 4"/>
    <w:basedOn w:val="1"/>
    <w:next w:val="1"/>
    <w:unhideWhenUsed/>
    <w:qFormat/>
    <w:uiPriority w:val="99"/>
    <w:pPr>
      <w:ind w:left="600" w:leftChars="600"/>
    </w:pPr>
  </w:style>
  <w:style w:type="paragraph" w:styleId="9">
    <w:name w:val="Date"/>
    <w:basedOn w:val="1"/>
    <w:next w:val="1"/>
    <w:unhideWhenUsed/>
    <w:qFormat/>
    <w:uiPriority w:val="0"/>
    <w:pPr>
      <w:ind w:leftChars="2500"/>
    </w:pPr>
    <w:rPr>
      <w:rFonts w:ascii="仿宋_GB2312" w:eastAsia="仿宋_GB2312"/>
      <w:b/>
      <w:bCs/>
      <w:kern w:val="0"/>
      <w:sz w:val="36"/>
    </w:rPr>
  </w:style>
  <w:style w:type="paragraph" w:styleId="10">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next w:val="7"/>
    <w:qFormat/>
    <w:uiPriority w:val="0"/>
    <w:pPr>
      <w:widowControl w:val="0"/>
      <w:ind w:firstLine="200" w:firstLineChars="200"/>
      <w:jc w:val="both"/>
    </w:pPr>
    <w:rPr>
      <w:rFonts w:ascii="Times New Roman" w:hAnsi="Times New Roman" w:eastAsia="宋体fal" w:cs="Times New Roman"/>
      <w:kern w:val="2"/>
      <w:sz w:val="21"/>
      <w:szCs w:val="20"/>
      <w:lang w:val="en-US" w:eastAsia="zh-CN" w:bidi="ar-SA"/>
    </w:rPr>
  </w:style>
  <w:style w:type="character" w:customStyle="1" w:styleId="18">
    <w:name w:val="font41"/>
    <w:basedOn w:val="15"/>
    <w:qFormat/>
    <w:uiPriority w:val="0"/>
    <w:rPr>
      <w:rFonts w:hint="default" w:ascii="等线" w:hAnsi="等线" w:eastAsia="等线" w:cs="等线"/>
      <w:color w:val="000000"/>
      <w:sz w:val="22"/>
      <w:szCs w:val="22"/>
      <w:u w:val="none"/>
    </w:rPr>
  </w:style>
  <w:style w:type="character" w:customStyle="1" w:styleId="19">
    <w:name w:val="font71"/>
    <w:basedOn w:val="15"/>
    <w:qFormat/>
    <w:uiPriority w:val="0"/>
    <w:rPr>
      <w:rFonts w:hint="eastAsia" w:ascii="宋体" w:hAnsi="宋体" w:eastAsia="宋体" w:cs="宋体"/>
      <w:color w:val="000000"/>
      <w:sz w:val="22"/>
      <w:szCs w:val="22"/>
      <w:u w:val="none"/>
    </w:rPr>
  </w:style>
  <w:style w:type="character" w:customStyle="1" w:styleId="20">
    <w:name w:val="font81"/>
    <w:basedOn w:val="15"/>
    <w:qFormat/>
    <w:uiPriority w:val="0"/>
    <w:rPr>
      <w:rFonts w:hint="eastAsia" w:ascii="宋体" w:hAnsi="宋体" w:eastAsia="宋体" w:cs="宋体"/>
      <w:color w:val="000000"/>
      <w:sz w:val="24"/>
      <w:szCs w:val="24"/>
      <w:u w:val="none"/>
    </w:rPr>
  </w:style>
  <w:style w:type="character" w:customStyle="1" w:styleId="21">
    <w:name w:val="font61"/>
    <w:basedOn w:val="15"/>
    <w:qFormat/>
    <w:uiPriority w:val="0"/>
    <w:rPr>
      <w:rFonts w:hint="eastAsia" w:ascii="宋体" w:hAnsi="宋体" w:eastAsia="宋体" w:cs="宋体"/>
      <w:color w:val="FF0000"/>
      <w:sz w:val="22"/>
      <w:szCs w:val="22"/>
      <w:u w:val="none"/>
    </w:rPr>
  </w:style>
  <w:style w:type="character" w:customStyle="1" w:styleId="22">
    <w:name w:val="font31"/>
    <w:basedOn w:val="15"/>
    <w:qFormat/>
    <w:uiPriority w:val="0"/>
    <w:rPr>
      <w:rFonts w:hint="eastAsia" w:ascii="宋体" w:hAnsi="宋体" w:eastAsia="宋体" w:cs="宋体"/>
      <w:color w:val="000000"/>
      <w:sz w:val="21"/>
      <w:szCs w:val="21"/>
      <w:u w:val="none"/>
    </w:rPr>
  </w:style>
  <w:style w:type="character" w:customStyle="1" w:styleId="23">
    <w:name w:val="font51"/>
    <w:basedOn w:val="15"/>
    <w:qFormat/>
    <w:uiPriority w:val="0"/>
    <w:rPr>
      <w:rFonts w:hint="default" w:ascii="等线" w:hAnsi="等线" w:eastAsia="等线" w:cs="等线"/>
      <w:color w:val="000000"/>
      <w:sz w:val="21"/>
      <w:szCs w:val="21"/>
      <w:u w:val="none"/>
    </w:rPr>
  </w:style>
  <w:style w:type="character" w:customStyle="1" w:styleId="24">
    <w:name w:val="font91"/>
    <w:basedOn w:val="15"/>
    <w:qFormat/>
    <w:uiPriority w:val="0"/>
    <w:rPr>
      <w:rFonts w:hint="eastAsia" w:ascii="宋体" w:hAnsi="宋体" w:eastAsia="宋体" w:cs="宋体"/>
      <w:color w:val="FF0000"/>
      <w:sz w:val="21"/>
      <w:szCs w:val="21"/>
      <w:u w:val="none"/>
    </w:rPr>
  </w:style>
  <w:style w:type="character" w:customStyle="1" w:styleId="25">
    <w:name w:val="font101"/>
    <w:basedOn w:val="15"/>
    <w:qFormat/>
    <w:uiPriority w:val="0"/>
    <w:rPr>
      <w:rFonts w:hint="default" w:ascii="Times New Roman" w:hAnsi="Times New Roman" w:cs="Times New Roman"/>
      <w:color w:val="000000"/>
      <w:sz w:val="21"/>
      <w:szCs w:val="21"/>
      <w:u w:val="none"/>
    </w:rPr>
  </w:style>
  <w:style w:type="character" w:customStyle="1" w:styleId="26">
    <w:name w:val="font111"/>
    <w:basedOn w:val="15"/>
    <w:autoRedefine/>
    <w:qFormat/>
    <w:uiPriority w:val="0"/>
    <w:rPr>
      <w:rFonts w:hint="eastAsia" w:ascii="宋体" w:hAnsi="宋体" w:eastAsia="宋体" w:cs="宋体"/>
      <w:color w:val="00B0F0"/>
      <w:sz w:val="21"/>
      <w:szCs w:val="21"/>
      <w:u w:val="none"/>
    </w:rPr>
  </w:style>
  <w:style w:type="character" w:customStyle="1" w:styleId="27">
    <w:name w:val="font112"/>
    <w:basedOn w:val="15"/>
    <w:qFormat/>
    <w:uiPriority w:val="0"/>
    <w:rPr>
      <w:rFonts w:hint="eastAsia" w:ascii="宋体" w:hAnsi="宋体" w:eastAsia="宋体" w:cs="宋体"/>
      <w:color w:val="00B0F0"/>
      <w:sz w:val="21"/>
      <w:szCs w:val="21"/>
      <w:u w:val="none"/>
    </w:rPr>
  </w:style>
  <w:style w:type="character" w:customStyle="1" w:styleId="28">
    <w:name w:val="font11"/>
    <w:basedOn w:val="15"/>
    <w:qFormat/>
    <w:uiPriority w:val="0"/>
    <w:rPr>
      <w:rFonts w:hint="default" w:ascii="等线" w:hAnsi="等线" w:eastAsia="等线" w:cs="等线"/>
      <w:color w:val="000000"/>
      <w:sz w:val="22"/>
      <w:szCs w:val="22"/>
      <w:u w:val="none"/>
    </w:rPr>
  </w:style>
  <w:style w:type="character" w:customStyle="1" w:styleId="29">
    <w:name w:val="font21"/>
    <w:basedOn w:val="15"/>
    <w:qFormat/>
    <w:uiPriority w:val="0"/>
    <w:rPr>
      <w:rFonts w:hint="eastAsia" w:ascii="宋体" w:hAnsi="宋体" w:eastAsia="宋体" w:cs="宋体"/>
      <w:color w:val="000000"/>
      <w:sz w:val="22"/>
      <w:szCs w:val="22"/>
      <w:u w:val="none"/>
    </w:rPr>
  </w:style>
  <w:style w:type="character" w:customStyle="1" w:styleId="30">
    <w:name w:val="标题 1 Char"/>
    <w:basedOn w:val="15"/>
    <w:link w:val="2"/>
    <w:qFormat/>
    <w:uiPriority w:val="0"/>
    <w:rPr>
      <w:b/>
      <w:kern w:val="44"/>
      <w:sz w:val="44"/>
    </w:rPr>
  </w:style>
  <w:style w:type="paragraph" w:customStyle="1" w:styleId="31">
    <w:name w:val="Table Paragraph"/>
    <w:basedOn w:val="32"/>
    <w:qFormat/>
    <w:uiPriority w:val="0"/>
    <w:rPr>
      <w:rFonts w:ascii="仿宋" w:eastAsia="仿宋" w:cs="仿宋"/>
      <w:lang w:val="zh-CN" w:eastAsia="zh-CN" w:bidi="zh-CN"/>
    </w:rPr>
  </w:style>
  <w:style w:type="paragraph" w:customStyle="1" w:styleId="32">
    <w:name w:val="正文1"/>
    <w:next w:val="33"/>
    <w:qFormat/>
    <w:uiPriority w:val="0"/>
    <w:pPr>
      <w:widowControl w:val="0"/>
    </w:pPr>
    <w:rPr>
      <w:rFonts w:ascii="宋体" w:hAnsi="Times New Roman" w:eastAsia="宋体" w:cs="宋体"/>
      <w:sz w:val="22"/>
      <w:szCs w:val="22"/>
      <w:lang w:val="zh-CN" w:eastAsia="zh-CN" w:bidi="zh-CN"/>
    </w:rPr>
  </w:style>
  <w:style w:type="paragraph" w:customStyle="1" w:styleId="33">
    <w:name w:val="标题 41"/>
    <w:basedOn w:val="32"/>
    <w:next w:val="32"/>
    <w:qFormat/>
    <w:uiPriority w:val="0"/>
    <w:pPr>
      <w:spacing w:before="44" w:after="0"/>
      <w:outlineLvl w:val="4"/>
    </w:pPr>
    <w:rPr>
      <w:rFonts w:ascii="宋体" w:eastAsia="宋体" w:cs="宋体"/>
      <w:b/>
      <w:bCs/>
      <w:sz w:val="28"/>
      <w:szCs w:val="28"/>
      <w:lang w:val="zh-CN" w:eastAsia="zh-CN" w:bidi="zh-CN"/>
    </w:rPr>
  </w:style>
  <w:style w:type="paragraph" w:customStyle="1" w:styleId="34">
    <w:name w:val="TOC1"/>
    <w:basedOn w:val="1"/>
    <w:next w:val="1"/>
    <w:qFormat/>
    <w:uiPriority w:val="0"/>
    <w:pPr>
      <w:tabs>
        <w:tab w:val="right" w:leader="dot" w:pos="9061"/>
      </w:tabs>
      <w:spacing w:line="240" w:lineRule="auto"/>
      <w:jc w:val="center"/>
    </w:pPr>
    <w:rPr>
      <w:rFonts w:ascii="黑体" w:hAnsi="黑体" w:eastAsia="黑体"/>
      <w:kern w:val="0"/>
      <w:sz w:val="30"/>
      <w:szCs w:val="30"/>
    </w:rPr>
  </w:style>
  <w:style w:type="paragraph" w:customStyle="1" w:styleId="35">
    <w:name w:val="Body Text 21"/>
    <w:basedOn w:val="1"/>
    <w:qFormat/>
    <w:uiPriority w:val="0"/>
    <w:pPr>
      <w:snapToGrid w:val="0"/>
      <w:spacing w:line="540" w:lineRule="exact"/>
    </w:pPr>
    <w:rPr>
      <w:rFonts w:ascii="Times New Roman" w:hAnsi="Times New Roman" w:eastAsia="方正仿宋_GBK"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1886</Words>
  <Characters>2130</Characters>
  <Lines>122</Lines>
  <Paragraphs>73</Paragraphs>
  <TotalTime>0</TotalTime>
  <ScaleCrop>false</ScaleCrop>
  <LinksUpToDate>false</LinksUpToDate>
  <CharactersWithSpaces>2295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2022-03-10T03:48:00Z</dcterms:created>
  <dc:creator>ysgz</dc:creator>
  <cp:lastModifiedBy>Administrator</cp:lastModifiedBy>
  <cp:lastPrinted>2025-06-13T01:24:00Z</cp:lastPrinted>
  <dcterms:modified xsi:type="dcterms:W3CDTF">2025-08-05T07:22:46Z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F72D2A906D8E4F9F953D2CA56AFBAEF5_13</vt:lpwstr>
  </property>
  <property fmtid="{D5CDD505-2E9C-101B-9397-08002B2CF9AE}" pid="4" name="KSOTemplateDocerSaveRecord">
    <vt:lpwstr>eyJoZGlkIjoiMWZiOGM1ZjYwYzVhY2MzZDU5ZTFkNzNlOTMwNDBhMGEiLCJ1c2VySWQiOiI3MzQ4Njk4NjEifQ==</vt:lpwstr>
  </property>
</Properties>
</file>