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54DF0">
      <w:pPr>
        <w:pStyle w:val="8"/>
        <w:jc w:val="center"/>
        <w:rPr>
          <w:rFonts w:hint="eastAsia" w:ascii="宋体" w:hAnsi="宋体" w:eastAsia="宋体" w:cs="宋体"/>
          <w:b/>
          <w:bCs/>
          <w:color w:val="auto"/>
          <w:sz w:val="40"/>
          <w:szCs w:val="40"/>
          <w:highlight w:val="none"/>
          <w:lang w:val="en-US" w:bidi="zh-CN"/>
        </w:rPr>
      </w:pPr>
      <w:r>
        <w:rPr>
          <w:rFonts w:hint="eastAsia" w:cs="宋体"/>
          <w:b/>
          <w:bCs/>
          <w:color w:val="auto"/>
          <w:sz w:val="40"/>
          <w:szCs w:val="40"/>
          <w:highlight w:val="none"/>
          <w:lang w:val="en-US" w:eastAsia="zh-CN" w:bidi="zh-CN"/>
        </w:rPr>
        <w:t>2025年金华街道产业路硬化项目(主材部分)</w:t>
      </w:r>
      <w:r>
        <w:rPr>
          <w:rFonts w:hint="eastAsia" w:ascii="宋体" w:hAnsi="宋体" w:eastAsia="宋体" w:cs="宋体"/>
          <w:b/>
          <w:bCs/>
          <w:color w:val="auto"/>
          <w:sz w:val="40"/>
          <w:szCs w:val="40"/>
          <w:highlight w:val="none"/>
          <w:lang w:val="en-US" w:bidi="zh-CN"/>
        </w:rPr>
        <w:t>采购需求公示</w:t>
      </w:r>
    </w:p>
    <w:p w14:paraId="3E20B71A">
      <w:pPr>
        <w:pStyle w:val="8"/>
        <w:jc w:val="both"/>
        <w:rPr>
          <w:rFonts w:hint="eastAsia" w:ascii="宋体" w:hAnsi="宋体" w:eastAsia="宋体" w:cs="宋体"/>
          <w:b/>
          <w:bCs/>
          <w:color w:val="auto"/>
          <w:sz w:val="40"/>
          <w:szCs w:val="40"/>
          <w:highlight w:val="none"/>
          <w:lang w:val="en-US" w:bidi="zh-CN"/>
        </w:rPr>
      </w:pPr>
      <w:r>
        <w:rPr>
          <w:rFonts w:hint="eastAsia" w:cs="宋体"/>
          <w:b/>
          <w:bCs/>
          <w:color w:val="auto"/>
          <w:sz w:val="40"/>
          <w:szCs w:val="40"/>
          <w:highlight w:val="none"/>
          <w:lang w:val="en-US" w:eastAsia="zh-CN" w:bidi="zh-CN"/>
        </w:rPr>
        <w:t>一、</w:t>
      </w:r>
      <w:r>
        <w:rPr>
          <w:rFonts w:hint="eastAsia" w:ascii="宋体" w:hAnsi="宋体" w:eastAsia="宋体" w:cs="宋体"/>
          <w:b/>
          <w:bCs/>
          <w:color w:val="auto"/>
          <w:sz w:val="40"/>
          <w:szCs w:val="40"/>
          <w:highlight w:val="none"/>
          <w:lang w:val="en-US" w:eastAsia="zh-CN" w:bidi="zh-CN"/>
        </w:rPr>
        <w:t>项目基本信息</w:t>
      </w:r>
    </w:p>
    <w:p w14:paraId="1DD8DA99">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一、项目基本情况</w:t>
      </w:r>
    </w:p>
    <w:p w14:paraId="4F8BA03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项目编号：</w:t>
      </w:r>
      <w:r>
        <w:rPr>
          <w:rFonts w:hint="eastAsia" w:ascii="仿宋" w:hAnsi="仿宋" w:eastAsia="仿宋" w:cs="仿宋"/>
          <w:spacing w:val="-2"/>
          <w:position w:val="6"/>
          <w:sz w:val="28"/>
          <w:szCs w:val="28"/>
          <w:highlight w:val="none"/>
          <w:lang w:eastAsia="zh-CN"/>
        </w:rPr>
        <w:t>GZJZ-ZY-2025-029</w:t>
      </w:r>
    </w:p>
    <w:p w14:paraId="4C61ED0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highlight w:val="none"/>
          <w:lang w:eastAsia="zh-CN"/>
        </w:rPr>
      </w:pPr>
      <w:r>
        <w:rPr>
          <w:rFonts w:ascii="仿宋" w:hAnsi="仿宋" w:eastAsia="仿宋" w:cs="仿宋"/>
          <w:spacing w:val="-2"/>
          <w:position w:val="6"/>
          <w:sz w:val="28"/>
          <w:szCs w:val="28"/>
          <w:highlight w:val="none"/>
        </w:rPr>
        <w:t>项目名称：</w:t>
      </w:r>
      <w:r>
        <w:rPr>
          <w:rFonts w:hint="eastAsia" w:ascii="仿宋" w:hAnsi="仿宋" w:eastAsia="仿宋" w:cs="仿宋"/>
          <w:spacing w:val="-2"/>
          <w:position w:val="6"/>
          <w:sz w:val="28"/>
          <w:szCs w:val="28"/>
          <w:highlight w:val="none"/>
          <w:lang w:eastAsia="zh-CN"/>
        </w:rPr>
        <w:t>2025年金华街道产业路硬化项目(主材部分)</w:t>
      </w:r>
    </w:p>
    <w:p w14:paraId="02FF47C6">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采购方式：竞争性磋商</w:t>
      </w:r>
    </w:p>
    <w:p w14:paraId="4B4BA7A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highlight w:val="none"/>
          <w:lang w:eastAsia="zh-CN"/>
        </w:rPr>
      </w:pPr>
      <w:r>
        <w:rPr>
          <w:rFonts w:ascii="仿宋" w:hAnsi="仿宋" w:eastAsia="仿宋" w:cs="仿宋"/>
          <w:spacing w:val="-2"/>
          <w:position w:val="6"/>
          <w:sz w:val="28"/>
          <w:szCs w:val="28"/>
          <w:highlight w:val="none"/>
        </w:rPr>
        <w:t>预算金额：</w:t>
      </w:r>
      <w:r>
        <w:rPr>
          <w:rFonts w:hint="eastAsia" w:ascii="仿宋" w:hAnsi="仿宋" w:eastAsia="仿宋" w:cs="仿宋"/>
          <w:spacing w:val="-2"/>
          <w:position w:val="6"/>
          <w:sz w:val="28"/>
          <w:szCs w:val="28"/>
          <w:highlight w:val="none"/>
          <w:lang w:val="en-US" w:eastAsia="zh-CN"/>
        </w:rPr>
        <w:t>569275.23</w:t>
      </w:r>
      <w:r>
        <w:rPr>
          <w:rFonts w:ascii="仿宋" w:hAnsi="仿宋" w:eastAsia="仿宋" w:cs="仿宋"/>
          <w:spacing w:val="-2"/>
          <w:position w:val="6"/>
          <w:sz w:val="28"/>
          <w:szCs w:val="28"/>
          <w:highlight w:val="none"/>
        </w:rPr>
        <w:t>元</w:t>
      </w:r>
    </w:p>
    <w:p w14:paraId="5872775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highlight w:val="none"/>
          <w:lang w:eastAsia="zh-CN"/>
        </w:rPr>
      </w:pPr>
      <w:r>
        <w:rPr>
          <w:rFonts w:ascii="仿宋" w:hAnsi="仿宋" w:eastAsia="仿宋" w:cs="仿宋"/>
          <w:spacing w:val="-2"/>
          <w:position w:val="6"/>
          <w:sz w:val="28"/>
          <w:szCs w:val="28"/>
          <w:highlight w:val="none"/>
        </w:rPr>
        <w:t>最高限价：</w:t>
      </w:r>
      <w:r>
        <w:rPr>
          <w:rFonts w:hint="eastAsia" w:ascii="仿宋" w:hAnsi="仿宋" w:eastAsia="仿宋" w:cs="仿宋"/>
          <w:spacing w:val="-2"/>
          <w:position w:val="6"/>
          <w:sz w:val="28"/>
          <w:szCs w:val="28"/>
          <w:highlight w:val="none"/>
          <w:lang w:val="en-US" w:eastAsia="zh-CN"/>
        </w:rPr>
        <w:t>569275.23</w:t>
      </w:r>
      <w:r>
        <w:rPr>
          <w:rFonts w:ascii="仿宋" w:hAnsi="仿宋" w:eastAsia="仿宋" w:cs="仿宋"/>
          <w:spacing w:val="-2"/>
          <w:position w:val="6"/>
          <w:sz w:val="28"/>
          <w:szCs w:val="28"/>
          <w:highlight w:val="none"/>
        </w:rPr>
        <w:t>元</w:t>
      </w:r>
    </w:p>
    <w:p w14:paraId="187B82B1">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采购需求：</w:t>
      </w:r>
    </w:p>
    <w:p w14:paraId="1DA4E56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（1）采购主要内容：</w:t>
      </w:r>
      <w:r>
        <w:rPr>
          <w:rFonts w:hint="eastAsia" w:ascii="仿宋" w:hAnsi="仿宋" w:eastAsia="仿宋" w:cs="仿宋"/>
          <w:spacing w:val="-2"/>
          <w:position w:val="6"/>
          <w:sz w:val="28"/>
          <w:szCs w:val="28"/>
          <w:highlight w:val="none"/>
          <w:lang w:val="en-US" w:eastAsia="zh-CN"/>
        </w:rPr>
        <w:t>普通硅酸盐水泥P.032.5、中(粗)砂、碎石、片石。</w:t>
      </w:r>
    </w:p>
    <w:p w14:paraId="02E6ACB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（2）采购数量:</w:t>
      </w:r>
      <w:r>
        <w:rPr>
          <w:rFonts w:hint="eastAsia" w:ascii="仿宋" w:hAnsi="仿宋" w:eastAsia="仿宋" w:cs="仿宋"/>
          <w:spacing w:val="-2"/>
          <w:position w:val="6"/>
          <w:sz w:val="28"/>
          <w:szCs w:val="28"/>
          <w:highlight w:val="none"/>
          <w:lang w:val="en-US" w:eastAsia="zh-CN"/>
        </w:rPr>
        <w:t>无限</w:t>
      </w:r>
      <w:r>
        <w:rPr>
          <w:rFonts w:ascii="仿宋" w:hAnsi="仿宋" w:eastAsia="仿宋" w:cs="仿宋"/>
          <w:spacing w:val="-2"/>
          <w:position w:val="6"/>
          <w:sz w:val="28"/>
          <w:szCs w:val="28"/>
          <w:highlight w:val="none"/>
        </w:rPr>
        <w:t>；</w:t>
      </w:r>
    </w:p>
    <w:p w14:paraId="5314D3E6">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highlight w:val="none"/>
          <w:lang w:eastAsia="zh-CN"/>
        </w:rPr>
      </w:pPr>
      <w:r>
        <w:rPr>
          <w:rFonts w:ascii="仿宋" w:hAnsi="仿宋" w:eastAsia="仿宋" w:cs="仿宋"/>
          <w:spacing w:val="-2"/>
          <w:position w:val="6"/>
          <w:sz w:val="28"/>
          <w:szCs w:val="28"/>
          <w:highlight w:val="none"/>
        </w:rPr>
        <w:t>（3）简要技术要求、服务和安全要求:详见竞争性磋商文件；</w:t>
      </w:r>
    </w:p>
    <w:p w14:paraId="0D799D4F">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（4）工期:</w:t>
      </w:r>
      <w:r>
        <w:rPr>
          <w:rFonts w:hint="eastAsia" w:ascii="仿宋" w:hAnsi="仿宋" w:eastAsia="仿宋" w:cs="仿宋"/>
          <w:spacing w:val="-2"/>
          <w:position w:val="6"/>
          <w:sz w:val="28"/>
          <w:szCs w:val="28"/>
          <w:highlight w:val="none"/>
          <w:lang w:val="en-US" w:eastAsia="zh-CN"/>
        </w:rPr>
        <w:t>90日历天内完工</w:t>
      </w:r>
      <w:r>
        <w:rPr>
          <w:rFonts w:ascii="仿宋" w:hAnsi="仿宋" w:eastAsia="仿宋" w:cs="仿宋"/>
          <w:spacing w:val="-2"/>
          <w:position w:val="6"/>
          <w:sz w:val="28"/>
          <w:szCs w:val="28"/>
          <w:highlight w:val="none"/>
        </w:rPr>
        <w:t>；</w:t>
      </w:r>
    </w:p>
    <w:p w14:paraId="3DB1B960">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（4）建设地点:采购人指定的地点；</w:t>
      </w:r>
    </w:p>
    <w:p w14:paraId="3EE3F4C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（5）其他事项（如样品提交、现场踏勘等）:无；</w:t>
      </w:r>
    </w:p>
    <w:p w14:paraId="5F26AE2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PPP项目:否；</w:t>
      </w:r>
    </w:p>
    <w:p w14:paraId="3C6C116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本项目（是/否）接受联合体：否。</w:t>
      </w:r>
    </w:p>
    <w:p w14:paraId="1304C04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二、申请人的资格要求：</w:t>
      </w:r>
    </w:p>
    <w:p w14:paraId="005012E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1.满足《中华人民共和国政府采购法》第二十二条规定；</w:t>
      </w:r>
    </w:p>
    <w:p w14:paraId="4AD3BA8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（1）具有独立承担民事责任的能力；</w:t>
      </w:r>
    </w:p>
    <w:p w14:paraId="054FA50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（2）具有良好的商业信誉和健全的财务会计制度；</w:t>
      </w:r>
    </w:p>
    <w:p w14:paraId="694036F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（3）具有履行合同所必须的设备和专业技术能力；</w:t>
      </w:r>
    </w:p>
    <w:p w14:paraId="242881D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（4）有依法缴纳税收和社会保障资金的良好记录；</w:t>
      </w:r>
    </w:p>
    <w:p w14:paraId="2BD5B37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（5）参加政府采购活动前三年内，在经营活动中没有重大违法记录；</w:t>
      </w:r>
    </w:p>
    <w:p w14:paraId="6801F885">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（6）法律、行政法规规定的其他条件。</w:t>
      </w:r>
    </w:p>
    <w:p w14:paraId="6766B72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2.落实政府采购政策需满足的资格要求：</w:t>
      </w:r>
    </w:p>
    <w:p w14:paraId="591623B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①根据《遵义市财政局关于印发&lt;政府采购营商环境整改提升工作方案&gt;》</w:t>
      </w:r>
    </w:p>
    <w:p w14:paraId="1D3993C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遵财采〔2022〕17号）、《遵义市财政局关于转发&lt;关于进一步加大政府采购支持中小企业力度的通知&gt;的通知》（遵财采〔2022〕37号）文件规定，监狱企业视同小型、微型企业（以当地管理部门出具的证明为准）。</w:t>
      </w:r>
    </w:p>
    <w:p w14:paraId="3BAD764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②本项目为专门面向中小企业采购，投标供应商需根据《政府采购促进中小企业发展管理办法》（财库〔2020〕46号）规定提供《中小企业声明函》作为证明材料，若未提供，视为非中小企业参与投标，其投标无效。本项目对应的中小企业划分标准所属行业为建筑业。</w:t>
      </w:r>
    </w:p>
    <w:p w14:paraId="497E016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3.本项目的特定资格要求：</w:t>
      </w:r>
      <w:r>
        <w:rPr>
          <w:rFonts w:hint="eastAsia" w:ascii="仿宋" w:hAnsi="仿宋" w:eastAsia="仿宋" w:cs="仿宋"/>
          <w:spacing w:val="-2"/>
          <w:position w:val="6"/>
          <w:sz w:val="28"/>
          <w:szCs w:val="28"/>
          <w:highlight w:val="none"/>
          <w:lang w:val="en-US" w:eastAsia="zh-CN"/>
        </w:rPr>
        <w:t>/</w:t>
      </w:r>
      <w:r>
        <w:rPr>
          <w:rFonts w:ascii="仿宋" w:hAnsi="仿宋" w:eastAsia="仿宋" w:cs="仿宋"/>
          <w:spacing w:val="-2"/>
          <w:position w:val="6"/>
          <w:sz w:val="28"/>
          <w:szCs w:val="28"/>
          <w:highlight w:val="none"/>
        </w:rPr>
        <w:t>。</w:t>
      </w:r>
    </w:p>
    <w:p w14:paraId="3A8378F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三、获取竞争性磋商文件</w:t>
      </w:r>
    </w:p>
    <w:p w14:paraId="220CC30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时间：2025年月日至2025年月日，每天上午09:00至12:00，下午12:00至17:00（北京时间，法定节假日除外）。</w:t>
      </w:r>
    </w:p>
    <w:p w14:paraId="78D04BA1">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地点：登录全国公共资源交易平台（贵州省.遵义市）会员系统下载，无论下载与否都视为投标单位全部知晓已经公开发布的所有事项。</w:t>
      </w:r>
    </w:p>
    <w:p w14:paraId="4BEF0C3F">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方式：各潜在投标供应商请于规定时间内，登录全国公共资源交易平台(贵州省.遵义市）会员系统下载竞争性磋商文件及相关附件。（未注册的投标供应商需注册后登录）。</w:t>
      </w:r>
    </w:p>
    <w:p w14:paraId="14CFB5F6">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售价：0元。</w:t>
      </w:r>
    </w:p>
    <w:p w14:paraId="119638EF">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四、响应文件提交</w:t>
      </w:r>
    </w:p>
    <w:p w14:paraId="7B51A9E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截止时间：2025年月日时分（北京时间）（若延期，以全国公共资源交易平台（贵州省.遵义市）会员系统提示时间和澄清文件相关内容为准）。</w:t>
      </w:r>
    </w:p>
    <w:p w14:paraId="2287683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地点：遵义市公共资源交易中心（地址：遵义市新蒲新区播州大道东100米市政务服务中心大楼9楼）（具体标室详见交易中心9楼大厅大屏）。</w:t>
      </w:r>
    </w:p>
    <w:p w14:paraId="199E0421">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五、开启</w:t>
      </w:r>
    </w:p>
    <w:p w14:paraId="4A9648F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时间：2025年月日时分（北京时间）（若延期，以全国公共资源交易平台（贵州省.遵义市）会员系统提示时间和澄清文件相关内容为准）。</w:t>
      </w:r>
    </w:p>
    <w:p w14:paraId="799CE3D0">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地点：遵义市公共资源交易中心（地址：遵义市新蒲新区播州大道东100米市政务服务中心大楼9楼）（具体磋商室详见交易中心9楼大厅大屏）。</w:t>
      </w:r>
    </w:p>
    <w:p w14:paraId="68FB9A6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六、公告期限</w:t>
      </w:r>
    </w:p>
    <w:p w14:paraId="153E8B2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自本公告发布之日起3个工作日。</w:t>
      </w:r>
    </w:p>
    <w:p w14:paraId="53024D4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七、其他补充事宜</w:t>
      </w:r>
    </w:p>
    <w:p w14:paraId="727866F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投标保证金额（元）:0元。</w:t>
      </w:r>
    </w:p>
    <w:p w14:paraId="16E4493F">
      <w:pPr>
        <w:keepNext w:val="0"/>
        <w:keepLines w:val="0"/>
        <w:pageBreakBefore w:val="0"/>
        <w:widowControl/>
        <w:numPr>
          <w:ilvl w:val="0"/>
          <w:numId w:val="1"/>
        </w:numPr>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凡对本次采购提出询问，请按以下方式联系。</w:t>
      </w:r>
    </w:p>
    <w:p w14:paraId="2B415F9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1.采购人信息</w:t>
      </w:r>
    </w:p>
    <w:p w14:paraId="4848DC4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ascii="仿宋" w:hAnsi="仿宋" w:eastAsia="仿宋" w:cs="仿宋"/>
          <w:spacing w:val="-2"/>
          <w:position w:val="6"/>
          <w:sz w:val="28"/>
          <w:szCs w:val="28"/>
        </w:rPr>
        <w:t>名称：</w:t>
      </w:r>
      <w:r>
        <w:rPr>
          <w:rFonts w:hint="eastAsia" w:ascii="仿宋" w:hAnsi="仿宋" w:eastAsia="仿宋" w:cs="仿宋"/>
          <w:spacing w:val="-2"/>
          <w:position w:val="6"/>
          <w:sz w:val="28"/>
          <w:szCs w:val="28"/>
          <w:lang w:eastAsia="zh-CN"/>
        </w:rPr>
        <w:t>赤水市金华街道办事处</w:t>
      </w:r>
    </w:p>
    <w:p w14:paraId="2B7DD88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hint="eastAsia" w:ascii="仿宋" w:hAnsi="仿宋" w:eastAsia="仿宋" w:cs="仿宋"/>
          <w:spacing w:val="-2"/>
          <w:position w:val="6"/>
          <w:sz w:val="28"/>
          <w:szCs w:val="28"/>
          <w:lang w:eastAsia="zh-CN"/>
        </w:rPr>
        <w:t>地址：赤水市</w:t>
      </w:r>
    </w:p>
    <w:p w14:paraId="49580EBF">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default"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val="en-US" w:eastAsia="zh-CN"/>
        </w:rPr>
        <w:t xml:space="preserve">联系人：许光源 </w:t>
      </w:r>
    </w:p>
    <w:p w14:paraId="64211E1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hint="eastAsia" w:ascii="仿宋" w:hAnsi="仿宋" w:eastAsia="仿宋" w:cs="仿宋"/>
          <w:spacing w:val="-2"/>
          <w:position w:val="6"/>
          <w:sz w:val="28"/>
          <w:szCs w:val="28"/>
          <w:lang w:eastAsia="zh-CN"/>
        </w:rPr>
        <w:t>联系方式：15348218222</w:t>
      </w:r>
      <w:r>
        <w:rPr>
          <w:rFonts w:hint="eastAsia" w:ascii="仿宋" w:hAnsi="仿宋" w:eastAsia="仿宋" w:cs="仿宋"/>
          <w:spacing w:val="-2"/>
          <w:position w:val="6"/>
          <w:sz w:val="28"/>
          <w:szCs w:val="28"/>
          <w:lang w:val="en-US" w:eastAsia="zh-CN"/>
        </w:rPr>
        <w:t xml:space="preserve">  </w:t>
      </w:r>
    </w:p>
    <w:p w14:paraId="06C99BB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2.采购代理机构信息</w:t>
      </w:r>
    </w:p>
    <w:p w14:paraId="689460A0">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z w:val="28"/>
          <w:szCs w:val="28"/>
          <w:highlight w:val="none"/>
          <w:lang w:eastAsia="zh-CN"/>
        </w:rPr>
      </w:pPr>
      <w:r>
        <w:rPr>
          <w:rFonts w:ascii="仿宋" w:hAnsi="仿宋" w:eastAsia="仿宋" w:cs="仿宋"/>
          <w:spacing w:val="-2"/>
          <w:position w:val="6"/>
          <w:sz w:val="28"/>
          <w:szCs w:val="28"/>
          <w:highlight w:val="none"/>
        </w:rPr>
        <w:t>名称：</w:t>
      </w:r>
      <w:r>
        <w:rPr>
          <w:rFonts w:hint="eastAsia" w:ascii="仿宋" w:hAnsi="仿宋" w:eastAsia="仿宋" w:cs="仿宋"/>
          <w:spacing w:val="-2"/>
          <w:position w:val="6"/>
          <w:sz w:val="28"/>
          <w:szCs w:val="28"/>
          <w:highlight w:val="none"/>
          <w:lang w:eastAsia="zh-CN"/>
        </w:rPr>
        <w:t>贵州晋泽信息咨询有限公司</w:t>
      </w:r>
    </w:p>
    <w:p w14:paraId="12840CF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highlight w:val="none"/>
          <w:lang w:val="en-US" w:eastAsia="zh-CN"/>
        </w:rPr>
      </w:pPr>
      <w:r>
        <w:rPr>
          <w:rFonts w:hint="eastAsia" w:ascii="仿宋" w:hAnsi="仿宋" w:eastAsia="仿宋" w:cs="仿宋"/>
          <w:spacing w:val="-2"/>
          <w:position w:val="6"/>
          <w:sz w:val="28"/>
          <w:szCs w:val="28"/>
          <w:highlight w:val="none"/>
          <w:lang w:eastAsia="zh-CN"/>
        </w:rPr>
        <w:t>地址：</w:t>
      </w:r>
      <w:r>
        <w:rPr>
          <w:rFonts w:hint="eastAsia" w:ascii="仿宋" w:hAnsi="仿宋" w:eastAsia="仿宋" w:cs="仿宋"/>
          <w:spacing w:val="-2"/>
          <w:position w:val="6"/>
          <w:sz w:val="28"/>
          <w:szCs w:val="28"/>
          <w:highlight w:val="none"/>
          <w:lang w:val="en-US" w:eastAsia="zh-CN"/>
        </w:rPr>
        <w:t>遵义市新蒲新区实地蔷薇国际X1栋601室</w:t>
      </w:r>
    </w:p>
    <w:p w14:paraId="119B72E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default" w:ascii="仿宋" w:hAnsi="仿宋" w:eastAsia="仿宋" w:cs="仿宋"/>
          <w:spacing w:val="-2"/>
          <w:position w:val="6"/>
          <w:sz w:val="28"/>
          <w:szCs w:val="28"/>
          <w:highlight w:val="none"/>
          <w:lang w:val="en-US" w:eastAsia="zh-CN"/>
        </w:rPr>
      </w:pPr>
      <w:r>
        <w:rPr>
          <w:rFonts w:hint="eastAsia" w:ascii="仿宋" w:hAnsi="仿宋" w:eastAsia="仿宋" w:cs="仿宋"/>
          <w:spacing w:val="-2"/>
          <w:position w:val="6"/>
          <w:sz w:val="28"/>
          <w:szCs w:val="28"/>
          <w:highlight w:val="none"/>
          <w:lang w:val="en-US" w:eastAsia="zh-CN"/>
        </w:rPr>
        <w:t>联系人：钟劲、曹阳、胡吕惺</w:t>
      </w:r>
    </w:p>
    <w:p w14:paraId="523FE59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default" w:ascii="仿宋" w:hAnsi="仿宋" w:eastAsia="仿宋" w:cs="仿宋"/>
          <w:spacing w:val="-2"/>
          <w:position w:val="6"/>
          <w:sz w:val="28"/>
          <w:szCs w:val="28"/>
          <w:highlight w:val="none"/>
          <w:lang w:val="en-US" w:eastAsia="zh-CN"/>
        </w:rPr>
      </w:pPr>
      <w:r>
        <w:rPr>
          <w:rFonts w:hint="eastAsia" w:ascii="仿宋" w:hAnsi="仿宋" w:eastAsia="仿宋" w:cs="仿宋"/>
          <w:spacing w:val="-2"/>
          <w:position w:val="6"/>
          <w:sz w:val="28"/>
          <w:szCs w:val="28"/>
          <w:highlight w:val="none"/>
          <w:lang w:eastAsia="zh-CN"/>
        </w:rPr>
        <w:t>联系方式：</w:t>
      </w:r>
      <w:r>
        <w:rPr>
          <w:rFonts w:hint="eastAsia" w:ascii="仿宋" w:hAnsi="仿宋" w:eastAsia="仿宋" w:cs="仿宋"/>
          <w:spacing w:val="-2"/>
          <w:position w:val="6"/>
          <w:sz w:val="28"/>
          <w:szCs w:val="28"/>
          <w:highlight w:val="none"/>
          <w:lang w:val="en-US" w:eastAsia="zh-CN"/>
        </w:rPr>
        <w:t>15885621187</w:t>
      </w:r>
    </w:p>
    <w:p w14:paraId="6BEAC5E9">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3.项目联系方式</w:t>
      </w:r>
    </w:p>
    <w:p w14:paraId="30C6979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highlight w:val="none"/>
          <w:lang w:val="en-US" w:eastAsia="zh-CN"/>
        </w:rPr>
      </w:pPr>
      <w:r>
        <w:rPr>
          <w:rFonts w:ascii="仿宋" w:hAnsi="仿宋" w:eastAsia="仿宋" w:cs="仿宋"/>
          <w:spacing w:val="-2"/>
          <w:position w:val="6"/>
          <w:sz w:val="28"/>
          <w:szCs w:val="28"/>
          <w:highlight w:val="none"/>
        </w:rPr>
        <w:t>项目联系人：</w:t>
      </w:r>
      <w:r>
        <w:rPr>
          <w:rFonts w:hint="eastAsia" w:ascii="仿宋" w:hAnsi="仿宋" w:eastAsia="仿宋" w:cs="仿宋"/>
          <w:spacing w:val="-2"/>
          <w:position w:val="6"/>
          <w:sz w:val="28"/>
          <w:szCs w:val="28"/>
          <w:highlight w:val="none"/>
          <w:lang w:val="en-US" w:eastAsia="zh-CN"/>
        </w:rPr>
        <w:t>钟劲、曹阳、胡吕惺</w:t>
      </w:r>
    </w:p>
    <w:p w14:paraId="62AF63C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highlight w:val="none"/>
          <w:lang w:eastAsia="zh-CN"/>
        </w:rPr>
      </w:pPr>
      <w:r>
        <w:rPr>
          <w:rFonts w:ascii="仿宋" w:hAnsi="仿宋" w:eastAsia="仿宋" w:cs="仿宋"/>
          <w:spacing w:val="-2"/>
          <w:position w:val="6"/>
          <w:sz w:val="28"/>
          <w:szCs w:val="28"/>
          <w:highlight w:val="none"/>
        </w:rPr>
        <w:t>电话：</w:t>
      </w:r>
      <w:r>
        <w:rPr>
          <w:rFonts w:hint="eastAsia" w:ascii="仿宋" w:hAnsi="仿宋" w:eastAsia="仿宋" w:cs="仿宋"/>
          <w:spacing w:val="-2"/>
          <w:position w:val="6"/>
          <w:sz w:val="28"/>
          <w:szCs w:val="28"/>
          <w:highlight w:val="none"/>
          <w:lang w:val="en-US" w:eastAsia="zh-CN"/>
        </w:rPr>
        <w:t>15885621187</w:t>
      </w:r>
    </w:p>
    <w:p w14:paraId="26A12F55">
      <w:pPr>
        <w:pStyle w:val="3"/>
        <w:keepNext w:val="0"/>
        <w:keepLines w:val="0"/>
        <w:pageBreakBefore w:val="0"/>
        <w:widowControl/>
        <w:kinsoku/>
        <w:wordWrap/>
        <w:overflowPunct w:val="0"/>
        <w:topLinePunct w:val="0"/>
        <w:autoSpaceDE w:val="0"/>
        <w:autoSpaceDN w:val="0"/>
        <w:bidi w:val="0"/>
        <w:adjustRightInd w:val="0"/>
        <w:snapToGrid w:val="0"/>
        <w:spacing w:line="360" w:lineRule="auto"/>
        <w:ind w:left="420" w:leftChars="200"/>
        <w:jc w:val="both"/>
        <w:textAlignment w:val="baseline"/>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br w:type="page"/>
      </w:r>
    </w:p>
    <w:p w14:paraId="2FC9098F">
      <w:pPr>
        <w:pStyle w:val="3"/>
        <w:spacing w:before="139" w:line="222" w:lineRule="auto"/>
        <w:outlineLvl w:val="0"/>
        <w:rPr>
          <w:sz w:val="43"/>
          <w:szCs w:val="43"/>
          <w:highlight w:val="none"/>
        </w:rPr>
      </w:pPr>
      <w:r>
        <w:rPr>
          <w:rFonts w:hint="eastAsia"/>
          <w:spacing w:val="8"/>
          <w:sz w:val="43"/>
          <w:szCs w:val="43"/>
          <w:highlight w:val="none"/>
          <w:lang w:val="en-US" w:eastAsia="zh-CN"/>
          <w14:textOutline w14:w="7972" w14:cap="sq" w14:cmpd="sng">
            <w14:solidFill>
              <w14:srgbClr w14:val="000000"/>
            </w14:solidFill>
            <w14:prstDash w14:val="solid"/>
            <w14:bevel/>
          </w14:textOutline>
        </w:rPr>
        <w:t>二、</w:t>
      </w:r>
      <w:r>
        <w:rPr>
          <w:spacing w:val="8"/>
          <w:sz w:val="43"/>
          <w:szCs w:val="43"/>
          <w:highlight w:val="none"/>
          <w14:textOutline w14:w="7972" w14:cap="sq" w14:cmpd="sng">
            <w14:solidFill>
              <w14:srgbClr w14:val="000000"/>
            </w14:solidFill>
            <w14:prstDash w14:val="solid"/>
            <w14:bevel/>
          </w14:textOutline>
        </w:rPr>
        <w:t>采购需求</w:t>
      </w:r>
    </w:p>
    <w:p w14:paraId="1822D7D3">
      <w:pPr>
        <w:pStyle w:val="3"/>
        <w:spacing w:before="128" w:line="219" w:lineRule="auto"/>
        <w:ind w:left="507"/>
        <w:rPr>
          <w:rFonts w:ascii="仿宋" w:hAnsi="仿宋" w:eastAsia="仿宋" w:cs="仿宋"/>
          <w:spacing w:val="-2"/>
          <w:kern w:val="2"/>
          <w:position w:val="6"/>
          <w:sz w:val="28"/>
          <w:szCs w:val="28"/>
          <w:highlight w:val="none"/>
          <w:lang w:val="en-US" w:eastAsia="zh-CN" w:bidi="ar-SA"/>
        </w:rPr>
      </w:pPr>
      <w:r>
        <w:rPr>
          <w:rFonts w:ascii="仿宋" w:hAnsi="仿宋" w:eastAsia="仿宋" w:cs="仿宋"/>
          <w:spacing w:val="-2"/>
          <w:kern w:val="2"/>
          <w:position w:val="6"/>
          <w:sz w:val="28"/>
          <w:szCs w:val="28"/>
          <w:highlight w:val="none"/>
          <w:lang w:val="en-US" w:eastAsia="zh-CN" w:bidi="ar-SA"/>
        </w:rPr>
        <w:t>一、项目概况</w:t>
      </w:r>
    </w:p>
    <w:p w14:paraId="214AE3EC">
      <w:pPr>
        <w:pStyle w:val="3"/>
        <w:keepNext w:val="0"/>
        <w:keepLines w:val="0"/>
        <w:pageBreakBefore w:val="0"/>
        <w:widowControl/>
        <w:kinsoku/>
        <w:wordWrap/>
        <w:overflowPunct w:val="0"/>
        <w:topLinePunct w:val="0"/>
        <w:autoSpaceDE w:val="0"/>
        <w:autoSpaceDN w:val="0"/>
        <w:bidi w:val="0"/>
        <w:adjustRightInd w:val="0"/>
        <w:snapToGrid w:val="0"/>
        <w:spacing w:before="182" w:line="219" w:lineRule="auto"/>
        <w:ind w:left="420" w:leftChars="200"/>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为2025年金华街道产业路硬化项目(主材部分)提供相关服务。</w:t>
      </w:r>
    </w:p>
    <w:p w14:paraId="2093DBA7">
      <w:pPr>
        <w:pStyle w:val="3"/>
        <w:spacing w:before="183" w:line="219" w:lineRule="auto"/>
        <w:ind w:left="507"/>
        <w:rPr>
          <w:rFonts w:hint="default" w:ascii="仿宋" w:hAnsi="仿宋" w:eastAsia="仿宋" w:cs="仿宋"/>
          <w:spacing w:val="-2"/>
          <w:kern w:val="2"/>
          <w:position w:val="6"/>
          <w:sz w:val="28"/>
          <w:szCs w:val="28"/>
          <w:highlight w:val="none"/>
          <w:lang w:val="en-US" w:eastAsia="zh-CN" w:bidi="ar-SA"/>
        </w:rPr>
      </w:pPr>
      <w:r>
        <w:rPr>
          <w:rFonts w:ascii="仿宋" w:hAnsi="仿宋" w:eastAsia="仿宋" w:cs="仿宋"/>
          <w:spacing w:val="-2"/>
          <w:kern w:val="2"/>
          <w:position w:val="6"/>
          <w:sz w:val="28"/>
          <w:szCs w:val="28"/>
          <w:highlight w:val="none"/>
          <w:lang w:val="en-US" w:eastAsia="zh-CN" w:bidi="ar-SA"/>
        </w:rPr>
        <w:t>二、</w:t>
      </w:r>
      <w:r>
        <w:rPr>
          <w:rFonts w:hint="eastAsia" w:ascii="仿宋" w:hAnsi="仿宋" w:eastAsia="仿宋" w:cs="仿宋"/>
          <w:spacing w:val="-2"/>
          <w:kern w:val="2"/>
          <w:position w:val="6"/>
          <w:sz w:val="28"/>
          <w:szCs w:val="28"/>
          <w:highlight w:val="none"/>
          <w:lang w:val="en-US" w:eastAsia="zh-CN" w:bidi="ar-SA"/>
        </w:rPr>
        <w:t>采购主要内容</w:t>
      </w:r>
    </w:p>
    <w:p w14:paraId="32AFF4B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position w:val="6"/>
          <w:sz w:val="28"/>
          <w:szCs w:val="28"/>
          <w:highlight w:val="none"/>
          <w:lang w:val="en-US" w:eastAsia="zh-CN"/>
        </w:rPr>
        <w:t>普通硅酸盐水泥P.032.5、中(粗)砂、碎石、片石</w:t>
      </w:r>
      <w:r>
        <w:rPr>
          <w:rFonts w:hint="eastAsia" w:ascii="仿宋" w:hAnsi="仿宋" w:eastAsia="仿宋" w:cs="仿宋"/>
          <w:spacing w:val="-2"/>
          <w:kern w:val="2"/>
          <w:position w:val="6"/>
          <w:sz w:val="28"/>
          <w:szCs w:val="28"/>
          <w:highlight w:val="none"/>
          <w:lang w:val="en-US" w:eastAsia="zh-CN" w:bidi="ar-SA"/>
        </w:rPr>
        <w:t>。</w:t>
      </w:r>
    </w:p>
    <w:p w14:paraId="5389E8F5">
      <w:pPr>
        <w:pStyle w:val="3"/>
        <w:keepNext w:val="0"/>
        <w:keepLines w:val="0"/>
        <w:pageBreakBefore w:val="0"/>
        <w:widowControl/>
        <w:kinsoku/>
        <w:wordWrap/>
        <w:overflowPunct w:val="0"/>
        <w:topLinePunct w:val="0"/>
        <w:autoSpaceDE w:val="0"/>
        <w:autoSpaceDN w:val="0"/>
        <w:bidi w:val="0"/>
        <w:adjustRightInd w:val="0"/>
        <w:snapToGrid w:val="0"/>
        <w:spacing w:before="182" w:line="219" w:lineRule="auto"/>
        <w:ind w:left="420" w:leftChars="200"/>
        <w:textAlignment w:val="baseline"/>
        <w:rPr>
          <w:rFonts w:hint="default"/>
          <w:spacing w:val="-1"/>
          <w:sz w:val="24"/>
          <w:szCs w:val="24"/>
          <w:highlight w:val="none"/>
          <w:lang w:val="en-US" w:eastAsia="zh-CN"/>
        </w:rPr>
      </w:pPr>
    </w:p>
    <w:p w14:paraId="796784FE">
      <w:pPr>
        <w:pStyle w:val="3"/>
        <w:keepNext w:val="0"/>
        <w:keepLines w:val="0"/>
        <w:pageBreakBefore w:val="0"/>
        <w:widowControl/>
        <w:kinsoku/>
        <w:wordWrap/>
        <w:overflowPunct w:val="0"/>
        <w:topLinePunct w:val="0"/>
        <w:autoSpaceDE w:val="0"/>
        <w:autoSpaceDN w:val="0"/>
        <w:bidi w:val="0"/>
        <w:adjustRightInd w:val="0"/>
        <w:snapToGrid w:val="0"/>
        <w:spacing w:before="182" w:line="219" w:lineRule="auto"/>
        <w:ind w:left="420" w:leftChars="200"/>
        <w:textAlignment w:val="baseline"/>
        <w:rPr>
          <w:rFonts w:hint="eastAsia" w:ascii="宋体" w:hAnsi="宋体" w:eastAsia="宋体" w:cs="宋体"/>
          <w:spacing w:val="0"/>
          <w:sz w:val="24"/>
          <w:szCs w:val="24"/>
          <w:highlight w:val="none"/>
          <w:lang w:eastAsia="zh-CN"/>
        </w:rPr>
      </w:pPr>
    </w:p>
    <w:p w14:paraId="28FB5EDC">
      <w:pPr>
        <w:pStyle w:val="3"/>
        <w:keepNext w:val="0"/>
        <w:keepLines w:val="0"/>
        <w:pageBreakBefore w:val="0"/>
        <w:widowControl/>
        <w:kinsoku/>
        <w:wordWrap/>
        <w:overflowPunct w:val="0"/>
        <w:topLinePunct w:val="0"/>
        <w:autoSpaceDE w:val="0"/>
        <w:autoSpaceDN w:val="0"/>
        <w:bidi w:val="0"/>
        <w:adjustRightInd w:val="0"/>
        <w:snapToGrid w:val="0"/>
        <w:spacing w:before="182" w:line="219" w:lineRule="auto"/>
        <w:ind w:left="420" w:leftChars="200"/>
        <w:textAlignment w:val="baseline"/>
        <w:rPr>
          <w:rFonts w:hint="eastAsia" w:ascii="宋体" w:hAnsi="宋体" w:eastAsia="宋体" w:cs="宋体"/>
          <w:spacing w:val="0"/>
          <w:sz w:val="24"/>
          <w:szCs w:val="24"/>
          <w:highlight w:val="none"/>
          <w:lang w:eastAsia="zh-CN"/>
        </w:rPr>
        <w:sectPr>
          <w:footerReference r:id="rId3" w:type="default"/>
          <w:pgSz w:w="11906" w:h="16839"/>
          <w:pgMar w:top="1440" w:right="1080" w:bottom="1440" w:left="1080" w:header="0" w:footer="982" w:gutter="0"/>
          <w:cols w:space="720" w:num="1"/>
        </w:sectPr>
      </w:pPr>
    </w:p>
    <w:p w14:paraId="3C3C3396">
      <w:pPr>
        <w:pStyle w:val="3"/>
        <w:spacing w:before="140" w:line="223" w:lineRule="auto"/>
        <w:outlineLvl w:val="0"/>
        <w:rPr>
          <w:sz w:val="43"/>
          <w:szCs w:val="43"/>
          <w:highlight w:val="none"/>
        </w:rPr>
      </w:pPr>
      <w:r>
        <w:rPr>
          <w:rFonts w:hint="eastAsia"/>
          <w:spacing w:val="6"/>
          <w:sz w:val="43"/>
          <w:szCs w:val="43"/>
          <w:highlight w:val="none"/>
          <w:lang w:val="en-US" w:eastAsia="zh-CN"/>
          <w14:textOutline w14:w="7972" w14:cap="sq" w14:cmpd="sng">
            <w14:solidFill>
              <w14:srgbClr w14:val="000000"/>
            </w14:solidFill>
            <w14:prstDash w14:val="solid"/>
            <w14:bevel/>
          </w14:textOutline>
        </w:rPr>
        <w:t>三、</w:t>
      </w:r>
      <w:r>
        <w:rPr>
          <w:spacing w:val="6"/>
          <w:sz w:val="43"/>
          <w:szCs w:val="43"/>
          <w:highlight w:val="none"/>
          <w14:textOutline w14:w="7972" w14:cap="sq" w14:cmpd="sng">
            <w14:solidFill>
              <w14:srgbClr w14:val="000000"/>
            </w14:solidFill>
            <w14:prstDash w14:val="solid"/>
            <w14:bevel/>
          </w14:textOutline>
        </w:rPr>
        <w:t>商务部分</w:t>
      </w:r>
    </w:p>
    <w:p w14:paraId="2D252D6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一、工期及建设地点</w:t>
      </w:r>
    </w:p>
    <w:p w14:paraId="01A544C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工期：</w:t>
      </w:r>
      <w:r>
        <w:rPr>
          <w:rFonts w:hint="eastAsia" w:ascii="仿宋" w:hAnsi="仿宋" w:eastAsia="仿宋" w:cs="仿宋"/>
          <w:snapToGrid w:val="0"/>
          <w:color w:val="000000"/>
          <w:spacing w:val="-2"/>
          <w:kern w:val="0"/>
          <w:position w:val="6"/>
          <w:sz w:val="28"/>
          <w:szCs w:val="28"/>
          <w:highlight w:val="none"/>
          <w:lang w:val="en-US" w:eastAsia="zh-CN"/>
        </w:rPr>
        <w:t>90日历天内完工</w:t>
      </w:r>
      <w:r>
        <w:rPr>
          <w:rFonts w:ascii="仿宋" w:hAnsi="仿宋" w:eastAsia="仿宋" w:cs="仿宋"/>
          <w:snapToGrid w:val="0"/>
          <w:color w:val="000000"/>
          <w:spacing w:val="-2"/>
          <w:kern w:val="0"/>
          <w:position w:val="6"/>
          <w:sz w:val="28"/>
          <w:szCs w:val="28"/>
          <w:highlight w:val="none"/>
          <w:lang w:eastAsia="en-US"/>
        </w:rPr>
        <w:t>。</w:t>
      </w:r>
    </w:p>
    <w:p w14:paraId="099B7D2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建设地点：采购人指定的地点。</w:t>
      </w:r>
    </w:p>
    <w:p w14:paraId="49A9AF7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二、验收标准、规范</w:t>
      </w:r>
    </w:p>
    <w:p w14:paraId="7D4837D6">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质量验收规范标准：达到国家现行规范及验收合格标准。执行本项目所在国家和地区颁发的现行法律法规、规范、规定、规程、标准、规划和要求，如果颁发新的技术标准，则按新标准规定执行。</w:t>
      </w:r>
    </w:p>
    <w:p w14:paraId="02558B6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三、招标范围</w:t>
      </w:r>
    </w:p>
    <w:p w14:paraId="337B960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工程量清单所示的全部内容。</w:t>
      </w:r>
    </w:p>
    <w:p w14:paraId="3ADE8EE9">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四、履约保证金不要求。</w:t>
      </w:r>
    </w:p>
    <w:p w14:paraId="0D2F640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五、投标有效期</w:t>
      </w:r>
    </w:p>
    <w:p w14:paraId="59D3FBC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投标供应商的投标从开标之日起60个日历日内为投标有效期，在此期间，投标供应商不得以任何借口撤销自己的投标。</w:t>
      </w:r>
    </w:p>
    <w:p w14:paraId="3418141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六、不允许分包、转包。</w:t>
      </w:r>
    </w:p>
    <w:p w14:paraId="2DCF316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七、投标供应商不得存在下列情形之一：</w:t>
      </w:r>
    </w:p>
    <w:p w14:paraId="21FB94F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（1）为招标人不具有独立法人资格的附属机构（单位）；</w:t>
      </w:r>
    </w:p>
    <w:p w14:paraId="6848227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（2）为本项目前期准备提供设计或咨询服务的；</w:t>
      </w:r>
    </w:p>
    <w:p w14:paraId="4880D1D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（3）为本项目的监理人；</w:t>
      </w:r>
    </w:p>
    <w:p w14:paraId="6B338735">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（4）为本项目的代建人；</w:t>
      </w:r>
    </w:p>
    <w:p w14:paraId="3D3BAD8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（5）为本项目提供招标代理服务的；</w:t>
      </w:r>
    </w:p>
    <w:p w14:paraId="3839ACC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（6）与本项目的监理人或代建人或招标代理机构同为一个法定代表人的；</w:t>
      </w:r>
    </w:p>
    <w:p w14:paraId="11D73ED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（7）与本项目的监理人或代建人或招标代理机构相互控股或参股的；</w:t>
      </w:r>
    </w:p>
    <w:p w14:paraId="0A933C5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（8）与本项目的监理人或代建人或招标代理机构相互任职或工作的；</w:t>
      </w:r>
    </w:p>
    <w:p w14:paraId="0D1E196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（9）被责令停业的；</w:t>
      </w:r>
    </w:p>
    <w:p w14:paraId="4622942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（10）被暂停或取消投标资格的；</w:t>
      </w:r>
    </w:p>
    <w:p w14:paraId="56B80DB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（11）财产被接管或冻结的；</w:t>
      </w:r>
    </w:p>
    <w:p w14:paraId="40F4B7B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（12）在最近三年内有骗取中标或严重违约或重大工程质量问题的。</w:t>
      </w:r>
    </w:p>
    <w:p w14:paraId="7617795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highlight w:val="none"/>
          <w:lang w:eastAsia="en-US"/>
        </w:rPr>
      </w:pPr>
      <w:r>
        <w:rPr>
          <w:rFonts w:ascii="仿宋" w:hAnsi="仿宋" w:eastAsia="仿宋" w:cs="仿宋"/>
          <w:snapToGrid w:val="0"/>
          <w:color w:val="000000"/>
          <w:spacing w:val="-2"/>
          <w:kern w:val="0"/>
          <w:position w:val="6"/>
          <w:sz w:val="28"/>
          <w:szCs w:val="28"/>
          <w:highlight w:val="none"/>
          <w:lang w:eastAsia="en-US"/>
        </w:rPr>
        <w:t>（13）单位负责人为同一人或者存在直接控股、管理关系的不同单位，不得同时参加本项目投标。</w:t>
      </w:r>
    </w:p>
    <w:p w14:paraId="1909A4C1">
      <w:pPr>
        <w:rPr>
          <w:rFonts w:hint="eastAsia" w:ascii="宋体" w:hAnsi="宋体" w:eastAsia="宋体" w:cs="宋体"/>
          <w:spacing w:val="6"/>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spacing w:val="6"/>
          <w:sz w:val="43"/>
          <w:szCs w:val="43"/>
          <w:highlight w:val="none"/>
          <w:lang w:val="en-US" w:eastAsia="zh-CN"/>
          <w14:textOutline w14:w="7972" w14:cap="sq" w14:cmpd="sng">
            <w14:solidFill>
              <w14:srgbClr w14:val="000000"/>
            </w14:solidFill>
            <w14:prstDash w14:val="solid"/>
            <w14:bevel/>
          </w14:textOutline>
        </w:rPr>
        <w:br w:type="page"/>
      </w:r>
    </w:p>
    <w:p w14:paraId="7D267721">
      <w:pPr>
        <w:pStyle w:val="3"/>
        <w:spacing w:before="140" w:line="223" w:lineRule="auto"/>
        <w:outlineLvl w:val="0"/>
        <w:rPr>
          <w:rFonts w:hint="eastAsia" w:ascii="宋体" w:hAnsi="宋体" w:eastAsia="宋体" w:cs="宋体"/>
          <w:spacing w:val="6"/>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spacing w:val="6"/>
          <w:sz w:val="43"/>
          <w:szCs w:val="43"/>
          <w:highlight w:val="none"/>
          <w:lang w:val="en-US" w:eastAsia="zh-CN"/>
          <w14:textOutline w14:w="7972" w14:cap="sq" w14:cmpd="sng">
            <w14:solidFill>
              <w14:srgbClr w14:val="000000"/>
            </w14:solidFill>
            <w14:prstDash w14:val="solid"/>
            <w14:bevel/>
          </w14:textOutline>
        </w:rPr>
        <w:t>四、评标办法（综合评分法）</w:t>
      </w:r>
    </w:p>
    <w:p w14:paraId="1DA6B373">
      <w:pPr>
        <w:spacing w:line="145" w:lineRule="exact"/>
        <w:rPr>
          <w:highlight w:val="none"/>
        </w:rPr>
      </w:pPr>
    </w:p>
    <w:p w14:paraId="674BC285">
      <w:pPr>
        <w:spacing w:before="235" w:line="218" w:lineRule="auto"/>
        <w:ind w:left="574"/>
        <w:outlineLvl w:val="1"/>
        <w:rPr>
          <w:rFonts w:ascii="仿宋" w:hAnsi="仿宋" w:eastAsia="仿宋" w:cs="仿宋"/>
          <w:sz w:val="28"/>
          <w:szCs w:val="28"/>
          <w:highlight w:val="none"/>
        </w:rPr>
      </w:pPr>
      <w:r>
        <w:rPr>
          <w:rFonts w:ascii="仿宋" w:hAnsi="仿宋" w:eastAsia="仿宋" w:cs="仿宋"/>
          <w:b/>
          <w:bCs/>
          <w:spacing w:val="-7"/>
          <w:sz w:val="28"/>
          <w:szCs w:val="28"/>
          <w:highlight w:val="none"/>
        </w:rPr>
        <w:t>第一节评审办法</w:t>
      </w:r>
    </w:p>
    <w:p w14:paraId="013A204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一、评审办法</w:t>
      </w:r>
    </w:p>
    <w:p w14:paraId="52AFAFB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1、本项目采用</w:t>
      </w:r>
      <w:r>
        <w:rPr>
          <w:rFonts w:ascii="仿宋" w:hAnsi="仿宋" w:eastAsia="仿宋" w:cs="仿宋"/>
          <w:spacing w:val="-2"/>
          <w:position w:val="6"/>
          <w:sz w:val="28"/>
          <w:szCs w:val="28"/>
          <w:highlight w:val="none"/>
          <w:u w:val="single"/>
        </w:rPr>
        <w:t>综合评分法</w:t>
      </w:r>
      <w:r>
        <w:rPr>
          <w:rFonts w:ascii="仿宋" w:hAnsi="仿宋" w:eastAsia="仿宋" w:cs="仿宋"/>
          <w:spacing w:val="-2"/>
          <w:position w:val="6"/>
          <w:sz w:val="28"/>
          <w:szCs w:val="28"/>
          <w:highlight w:val="none"/>
        </w:rPr>
        <w:t>进行评审。</w:t>
      </w:r>
    </w:p>
    <w:p w14:paraId="328196E1">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fldChar w:fldCharType="begin"/>
      </w:r>
      <w:r>
        <w:rPr>
          <w:rFonts w:ascii="仿宋" w:hAnsi="仿宋" w:eastAsia="仿宋" w:cs="仿宋"/>
          <w:spacing w:val="-2"/>
          <w:position w:val="6"/>
          <w:sz w:val="28"/>
          <w:szCs w:val="28"/>
          <w:highlight w:val="none"/>
        </w:rPr>
        <w:instrText xml:space="preserve"> HYPERLINK "http://www.baidu.com/s?wd=%E6%8B%9B%E6%A0%87%E6%96%87%E4%BB%B6&amp;hl_tag=textlink&amp;tn=SE_hldp01350_v6v6zkg6" </w:instrText>
      </w:r>
      <w:r>
        <w:rPr>
          <w:rFonts w:ascii="仿宋" w:hAnsi="仿宋" w:eastAsia="仿宋" w:cs="仿宋"/>
          <w:spacing w:val="-2"/>
          <w:position w:val="6"/>
          <w:sz w:val="28"/>
          <w:szCs w:val="28"/>
          <w:highlight w:val="none"/>
        </w:rPr>
        <w:fldChar w:fldCharType="separate"/>
      </w:r>
      <w:r>
        <w:rPr>
          <w:rFonts w:ascii="仿宋" w:hAnsi="仿宋" w:eastAsia="仿宋" w:cs="仿宋"/>
          <w:spacing w:val="-2"/>
          <w:position w:val="6"/>
          <w:sz w:val="28"/>
          <w:szCs w:val="28"/>
          <w:highlight w:val="none"/>
        </w:rPr>
        <w:t>综合评分法，是指在满足竞争性磋商文件实质性要求的前提下，评标专家</w:t>
      </w:r>
      <w:r>
        <w:rPr>
          <w:rFonts w:ascii="仿宋" w:hAnsi="仿宋" w:eastAsia="仿宋" w:cs="仿宋"/>
          <w:spacing w:val="-2"/>
          <w:position w:val="6"/>
          <w:sz w:val="28"/>
          <w:szCs w:val="28"/>
          <w:highlight w:val="none"/>
        </w:rPr>
        <w:fldChar w:fldCharType="end"/>
      </w:r>
      <w:r>
        <w:rPr>
          <w:rFonts w:ascii="仿宋" w:hAnsi="仿宋" w:eastAsia="仿宋" w:cs="仿宋"/>
          <w:spacing w:val="-2"/>
          <w:position w:val="6"/>
          <w:sz w:val="28"/>
          <w:szCs w:val="28"/>
          <w:highlight w:val="none"/>
        </w:rPr>
        <w:fldChar w:fldCharType="begin"/>
      </w:r>
      <w:r>
        <w:rPr>
          <w:rFonts w:ascii="仿宋" w:hAnsi="仿宋" w:eastAsia="仿宋" w:cs="仿宋"/>
          <w:spacing w:val="-2"/>
          <w:position w:val="6"/>
          <w:sz w:val="28"/>
          <w:szCs w:val="28"/>
          <w:highlight w:val="none"/>
        </w:rPr>
        <w:instrText xml:space="preserve"> HYPERLINK "http://www.baidu.com/s?wd=%E6%8B%9B%E6%A0%87%E6%96%87%E4%BB%B6&amp;hl_tag=textlink&amp;tn=SE_hldp01350_v6v6zkg6" </w:instrText>
      </w:r>
      <w:r>
        <w:rPr>
          <w:rFonts w:ascii="仿宋" w:hAnsi="仿宋" w:eastAsia="仿宋" w:cs="仿宋"/>
          <w:spacing w:val="-2"/>
          <w:position w:val="6"/>
          <w:sz w:val="28"/>
          <w:szCs w:val="28"/>
          <w:highlight w:val="none"/>
        </w:rPr>
        <w:fldChar w:fldCharType="separate"/>
      </w:r>
      <w:r>
        <w:rPr>
          <w:rFonts w:ascii="仿宋" w:hAnsi="仿宋" w:eastAsia="仿宋" w:cs="仿宋"/>
          <w:spacing w:val="-2"/>
          <w:position w:val="6"/>
          <w:sz w:val="28"/>
          <w:szCs w:val="28"/>
          <w:highlight w:val="none"/>
        </w:rPr>
        <w:t>按照竞争性磋商文件</w:t>
      </w:r>
      <w:r>
        <w:rPr>
          <w:rFonts w:ascii="仿宋" w:hAnsi="仿宋" w:eastAsia="仿宋" w:cs="仿宋"/>
          <w:spacing w:val="-2"/>
          <w:position w:val="6"/>
          <w:sz w:val="28"/>
          <w:szCs w:val="28"/>
          <w:highlight w:val="none"/>
        </w:rPr>
        <w:fldChar w:fldCharType="end"/>
      </w:r>
      <w:r>
        <w:rPr>
          <w:rFonts w:ascii="仿宋" w:hAnsi="仿宋" w:eastAsia="仿宋" w:cs="仿宋"/>
          <w:spacing w:val="-2"/>
          <w:position w:val="6"/>
          <w:sz w:val="28"/>
          <w:szCs w:val="28"/>
          <w:highlight w:val="none"/>
        </w:rPr>
        <w:t>中规定的各项评审因素及其分值进行综合评分后，以评分从高到低的顺序推荐3家供应商作为成交候选供应商的评标方法。</w:t>
      </w:r>
    </w:p>
    <w:p w14:paraId="5C6B79FE">
      <w:pPr>
        <w:spacing w:before="45" w:line="219" w:lineRule="auto"/>
        <w:ind w:left="571"/>
        <w:outlineLvl w:val="3"/>
        <w:rPr>
          <w:rFonts w:ascii="仿宋" w:hAnsi="仿宋" w:eastAsia="仿宋" w:cs="仿宋"/>
          <w:sz w:val="28"/>
          <w:szCs w:val="28"/>
          <w:highlight w:val="none"/>
        </w:rPr>
      </w:pPr>
      <w:r>
        <w:rPr>
          <w:rFonts w:ascii="仿宋" w:hAnsi="仿宋" w:eastAsia="仿宋" w:cs="仿宋"/>
          <w:b/>
          <w:bCs/>
          <w:spacing w:val="-7"/>
          <w:sz w:val="28"/>
          <w:szCs w:val="28"/>
          <w:highlight w:val="none"/>
        </w:rPr>
        <w:t>二、评分因素</w:t>
      </w:r>
    </w:p>
    <w:p w14:paraId="4F74AEC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highlight w:val="none"/>
        </w:rPr>
      </w:pPr>
      <w:r>
        <w:rPr>
          <w:rFonts w:ascii="仿宋" w:hAnsi="仿宋" w:eastAsia="仿宋" w:cs="仿宋"/>
          <w:spacing w:val="-2"/>
          <w:position w:val="6"/>
          <w:sz w:val="28"/>
          <w:szCs w:val="28"/>
          <w:highlight w:val="none"/>
        </w:rPr>
        <w:t>评分的主要因素分为价格因素、技术因素（施工组织设计）和商务因素(如业绩等）。评分因素详见评分表。评标分值保留至两位小数。评标时，评标专家依照评分表对每个有效供应商的响应文件进行独立评价、打分。</w:t>
      </w:r>
    </w:p>
    <w:p w14:paraId="216C61F4">
      <w:pPr>
        <w:spacing w:line="349" w:lineRule="auto"/>
        <w:rPr>
          <w:rFonts w:ascii="仿宋" w:hAnsi="仿宋" w:eastAsia="仿宋" w:cs="仿宋"/>
          <w:sz w:val="28"/>
          <w:szCs w:val="28"/>
          <w:highlight w:val="none"/>
        </w:rPr>
        <w:sectPr>
          <w:footerReference r:id="rId4" w:type="default"/>
          <w:pgSz w:w="11907" w:h="16841"/>
          <w:pgMar w:top="1440" w:right="1080" w:bottom="1440" w:left="1080" w:header="0" w:footer="815" w:gutter="0"/>
          <w:cols w:space="720" w:num="1"/>
        </w:sectPr>
      </w:pPr>
    </w:p>
    <w:p w14:paraId="7638BB9F">
      <w:pPr>
        <w:spacing w:before="91" w:line="219" w:lineRule="auto"/>
        <w:ind w:left="595"/>
        <w:outlineLvl w:val="3"/>
        <w:rPr>
          <w:rFonts w:ascii="仿宋" w:hAnsi="仿宋" w:eastAsia="仿宋" w:cs="仿宋"/>
          <w:sz w:val="28"/>
          <w:szCs w:val="28"/>
          <w:highlight w:val="none"/>
        </w:rPr>
      </w:pPr>
      <w:r>
        <w:rPr>
          <w:rFonts w:ascii="仿宋" w:hAnsi="仿宋" w:eastAsia="仿宋" w:cs="仿宋"/>
          <w:b/>
          <w:bCs/>
          <w:spacing w:val="-7"/>
          <w:sz w:val="28"/>
          <w:szCs w:val="28"/>
          <w:highlight w:val="none"/>
        </w:rPr>
        <w:t>三、评分标准</w:t>
      </w:r>
    </w:p>
    <w:p w14:paraId="4F704733">
      <w:pPr>
        <w:spacing w:before="212" w:line="219" w:lineRule="auto"/>
        <w:ind w:left="599"/>
        <w:outlineLvl w:val="4"/>
        <w:rPr>
          <w:rFonts w:ascii="仿宋" w:hAnsi="仿宋" w:eastAsia="仿宋" w:cs="仿宋"/>
          <w:sz w:val="28"/>
          <w:szCs w:val="28"/>
          <w:highlight w:val="none"/>
        </w:rPr>
      </w:pPr>
      <w:r>
        <w:rPr>
          <w:rFonts w:ascii="仿宋" w:hAnsi="仿宋" w:eastAsia="仿宋" w:cs="仿宋"/>
          <w:b/>
          <w:bCs/>
          <w:spacing w:val="-6"/>
          <w:sz w:val="28"/>
          <w:szCs w:val="28"/>
          <w:highlight w:val="none"/>
        </w:rPr>
        <w:t>1.初步审查表</w:t>
      </w:r>
    </w:p>
    <w:p w14:paraId="73D222C2">
      <w:pPr>
        <w:spacing w:before="212" w:line="219" w:lineRule="auto"/>
        <w:ind w:left="585"/>
        <w:rPr>
          <w:rFonts w:ascii="仿宋" w:hAnsi="仿宋" w:eastAsia="仿宋" w:cs="仿宋"/>
          <w:sz w:val="28"/>
          <w:szCs w:val="28"/>
          <w:highlight w:val="none"/>
        </w:rPr>
      </w:pPr>
      <w:r>
        <w:rPr>
          <w:rFonts w:ascii="仿宋" w:hAnsi="仿宋" w:eastAsia="仿宋" w:cs="仿宋"/>
          <w:spacing w:val="-4"/>
          <w:sz w:val="28"/>
          <w:szCs w:val="28"/>
          <w:highlight w:val="none"/>
        </w:rPr>
        <w:t>初步审查表</w:t>
      </w:r>
    </w:p>
    <w:p w14:paraId="75E5FDF9">
      <w:pPr>
        <w:spacing w:line="176" w:lineRule="exact"/>
        <w:rPr>
          <w:highlight w:val="none"/>
        </w:rPr>
      </w:pPr>
    </w:p>
    <w:tbl>
      <w:tblPr>
        <w:tblStyle w:val="10"/>
        <w:tblW w:w="10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5415"/>
        <w:gridCol w:w="3138"/>
      </w:tblGrid>
      <w:tr w14:paraId="766B6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514" w:type="dxa"/>
            <w:tcBorders>
              <w:bottom w:val="single" w:color="auto" w:sz="4" w:space="0"/>
            </w:tcBorders>
            <w:vAlign w:val="top"/>
          </w:tcPr>
          <w:p w14:paraId="127627C2">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审查项目</w:t>
            </w:r>
          </w:p>
        </w:tc>
        <w:tc>
          <w:tcPr>
            <w:tcW w:w="5415" w:type="dxa"/>
            <w:tcBorders>
              <w:bottom w:val="single" w:color="auto" w:sz="4" w:space="0"/>
            </w:tcBorders>
            <w:vAlign w:val="top"/>
          </w:tcPr>
          <w:p w14:paraId="30281322">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审查因素</w:t>
            </w:r>
          </w:p>
        </w:tc>
        <w:tc>
          <w:tcPr>
            <w:tcW w:w="3138" w:type="dxa"/>
            <w:vAlign w:val="top"/>
          </w:tcPr>
          <w:p w14:paraId="55263B1A">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审查标准</w:t>
            </w:r>
          </w:p>
        </w:tc>
      </w:tr>
      <w:tr w14:paraId="169EF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14" w:type="dxa"/>
            <w:vMerge w:val="restart"/>
            <w:tcBorders>
              <w:top w:val="single" w:color="auto" w:sz="4" w:space="0"/>
              <w:left w:val="single" w:color="auto" w:sz="4" w:space="0"/>
              <w:bottom w:val="single" w:color="auto" w:sz="4" w:space="0"/>
              <w:right w:val="single" w:color="auto" w:sz="4" w:space="0"/>
            </w:tcBorders>
            <w:vAlign w:val="top"/>
          </w:tcPr>
          <w:p w14:paraId="61353E89">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p w14:paraId="6924E927">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p w14:paraId="5480CE64">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p w14:paraId="48D38EBA">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p w14:paraId="5BF85150">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p w14:paraId="5ABEAB20">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p w14:paraId="153EA3CC">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p w14:paraId="2FD6D1BD">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p w14:paraId="2B6E1C72">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p w14:paraId="0528A8B7">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p w14:paraId="3734CADB">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p w14:paraId="1614EE6C">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p w14:paraId="57F107A7">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p w14:paraId="2F1D884D">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p w14:paraId="19057827">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p w14:paraId="0872E2AE">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p w14:paraId="099EC736">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p w14:paraId="4B7A4AFD">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p w14:paraId="325199AA">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p w14:paraId="133DA8FF">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资格性审查</w:t>
            </w:r>
          </w:p>
        </w:tc>
        <w:tc>
          <w:tcPr>
            <w:tcW w:w="5415" w:type="dxa"/>
            <w:tcBorders>
              <w:top w:val="single" w:color="auto" w:sz="4" w:space="0"/>
              <w:left w:val="single" w:color="auto" w:sz="4" w:space="0"/>
              <w:bottom w:val="single" w:color="auto" w:sz="4" w:space="0"/>
              <w:right w:val="single" w:color="auto" w:sz="4" w:space="0"/>
            </w:tcBorders>
            <w:vAlign w:val="top"/>
          </w:tcPr>
          <w:p w14:paraId="5C7DF231">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法定代表人身份证明或授权委托书原件。</w:t>
            </w:r>
          </w:p>
        </w:tc>
        <w:tc>
          <w:tcPr>
            <w:tcW w:w="3138" w:type="dxa"/>
            <w:tcBorders>
              <w:left w:val="single" w:color="auto" w:sz="4" w:space="0"/>
            </w:tcBorders>
            <w:vAlign w:val="center"/>
          </w:tcPr>
          <w:p w14:paraId="0985E2D4">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符合竞争性磋商文件要求</w:t>
            </w:r>
          </w:p>
        </w:tc>
      </w:tr>
      <w:tr w14:paraId="0B083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514" w:type="dxa"/>
            <w:vMerge w:val="continue"/>
            <w:tcBorders>
              <w:top w:val="single" w:color="auto" w:sz="4" w:space="0"/>
              <w:left w:val="single" w:color="auto" w:sz="4" w:space="0"/>
              <w:bottom w:val="single" w:color="auto" w:sz="4" w:space="0"/>
              <w:right w:val="single" w:color="auto" w:sz="4" w:space="0"/>
            </w:tcBorders>
            <w:vAlign w:val="top"/>
          </w:tcPr>
          <w:p w14:paraId="0BD56BD0">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tc>
        <w:tc>
          <w:tcPr>
            <w:tcW w:w="5415" w:type="dxa"/>
            <w:tcBorders>
              <w:top w:val="single" w:color="auto" w:sz="4" w:space="0"/>
              <w:left w:val="single" w:color="auto" w:sz="4" w:space="0"/>
              <w:bottom w:val="single" w:color="auto" w:sz="4" w:space="0"/>
              <w:right w:val="single" w:color="auto" w:sz="4" w:space="0"/>
            </w:tcBorders>
            <w:vAlign w:val="top"/>
          </w:tcPr>
          <w:p w14:paraId="079B2AC5">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提供法人或其他组织的营业执照等证明文件或自然人身份证明。</w:t>
            </w:r>
          </w:p>
        </w:tc>
        <w:tc>
          <w:tcPr>
            <w:tcW w:w="3138" w:type="dxa"/>
            <w:tcBorders>
              <w:left w:val="single" w:color="auto" w:sz="4" w:space="0"/>
            </w:tcBorders>
            <w:vAlign w:val="center"/>
          </w:tcPr>
          <w:p w14:paraId="2E96F77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符合竞争性磋商文件要求</w:t>
            </w:r>
          </w:p>
        </w:tc>
      </w:tr>
      <w:tr w14:paraId="2642F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14" w:type="dxa"/>
            <w:vMerge w:val="continue"/>
            <w:tcBorders>
              <w:top w:val="single" w:color="auto" w:sz="4" w:space="0"/>
              <w:left w:val="single" w:color="auto" w:sz="4" w:space="0"/>
              <w:bottom w:val="single" w:color="auto" w:sz="4" w:space="0"/>
              <w:right w:val="single" w:color="auto" w:sz="4" w:space="0"/>
            </w:tcBorders>
            <w:vAlign w:val="top"/>
          </w:tcPr>
          <w:p w14:paraId="14998CAA">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tc>
        <w:tc>
          <w:tcPr>
            <w:tcW w:w="5415" w:type="dxa"/>
            <w:tcBorders>
              <w:top w:val="single" w:color="auto" w:sz="4" w:space="0"/>
              <w:left w:val="single" w:color="auto" w:sz="4" w:space="0"/>
              <w:bottom w:val="single" w:color="auto" w:sz="4" w:space="0"/>
              <w:right w:val="single" w:color="auto" w:sz="4" w:space="0"/>
            </w:tcBorders>
            <w:vAlign w:val="top"/>
          </w:tcPr>
          <w:p w14:paraId="1ADE0B98">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提供2023年或2024年度的财务报表复印件并加盖投标供应商公章。</w:t>
            </w:r>
          </w:p>
        </w:tc>
        <w:tc>
          <w:tcPr>
            <w:tcW w:w="3138" w:type="dxa"/>
            <w:tcBorders>
              <w:left w:val="single" w:color="auto" w:sz="4" w:space="0"/>
            </w:tcBorders>
            <w:vAlign w:val="center"/>
          </w:tcPr>
          <w:p w14:paraId="3DB0720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符合竞争性磋商文件要求</w:t>
            </w:r>
          </w:p>
        </w:tc>
      </w:tr>
      <w:tr w14:paraId="6F8A7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1514" w:type="dxa"/>
            <w:vMerge w:val="continue"/>
            <w:tcBorders>
              <w:top w:val="single" w:color="auto" w:sz="4" w:space="0"/>
              <w:left w:val="single" w:color="auto" w:sz="4" w:space="0"/>
              <w:bottom w:val="single" w:color="auto" w:sz="4" w:space="0"/>
              <w:right w:val="single" w:color="auto" w:sz="4" w:space="0"/>
            </w:tcBorders>
            <w:vAlign w:val="top"/>
          </w:tcPr>
          <w:p w14:paraId="7367FB8D">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tc>
        <w:tc>
          <w:tcPr>
            <w:tcW w:w="5415" w:type="dxa"/>
            <w:tcBorders>
              <w:top w:val="single" w:color="auto" w:sz="4" w:space="0"/>
              <w:left w:val="single" w:color="auto" w:sz="4" w:space="0"/>
              <w:bottom w:val="single" w:color="auto" w:sz="4" w:space="0"/>
              <w:right w:val="single" w:color="auto" w:sz="4" w:space="0"/>
            </w:tcBorders>
            <w:vAlign w:val="top"/>
          </w:tcPr>
          <w:p w14:paraId="7C1E3B96">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具有履行合同所必需的设备和专业技术能力的承诺函（格式自拟，加盖公章）。</w:t>
            </w:r>
          </w:p>
        </w:tc>
        <w:tc>
          <w:tcPr>
            <w:tcW w:w="3138" w:type="dxa"/>
            <w:tcBorders>
              <w:left w:val="single" w:color="auto" w:sz="4" w:space="0"/>
            </w:tcBorders>
            <w:vAlign w:val="center"/>
          </w:tcPr>
          <w:p w14:paraId="744C2D70">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符合竞争性磋商文件要求</w:t>
            </w:r>
          </w:p>
        </w:tc>
      </w:tr>
      <w:tr w14:paraId="36C4B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1514" w:type="dxa"/>
            <w:vMerge w:val="continue"/>
            <w:tcBorders>
              <w:top w:val="single" w:color="auto" w:sz="4" w:space="0"/>
              <w:left w:val="single" w:color="auto" w:sz="4" w:space="0"/>
              <w:bottom w:val="single" w:color="auto" w:sz="4" w:space="0"/>
              <w:right w:val="single" w:color="auto" w:sz="4" w:space="0"/>
            </w:tcBorders>
            <w:vAlign w:val="top"/>
          </w:tcPr>
          <w:p w14:paraId="66A3D5A9">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tc>
        <w:tc>
          <w:tcPr>
            <w:tcW w:w="5415" w:type="dxa"/>
            <w:tcBorders>
              <w:top w:val="single" w:color="auto" w:sz="4" w:space="0"/>
              <w:left w:val="single" w:color="auto" w:sz="4" w:space="0"/>
              <w:bottom w:val="single" w:color="auto" w:sz="4" w:space="0"/>
              <w:right w:val="single" w:color="auto" w:sz="4" w:space="0"/>
            </w:tcBorders>
            <w:vAlign w:val="top"/>
          </w:tcPr>
          <w:p w14:paraId="7CBDC03D">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zh-CN" w:bidi="ar-SA"/>
              </w:rPr>
              <w:t>（1）</w:t>
            </w:r>
            <w:r>
              <w:rPr>
                <w:rFonts w:hint="eastAsia" w:ascii="仿宋" w:hAnsi="仿宋" w:eastAsia="仿宋" w:cs="仿宋"/>
                <w:spacing w:val="-2"/>
                <w:kern w:val="2"/>
                <w:position w:val="6"/>
                <w:sz w:val="28"/>
                <w:szCs w:val="28"/>
                <w:highlight w:val="none"/>
                <w:lang w:val="en-US" w:eastAsia="en-US" w:bidi="ar-SA"/>
              </w:rPr>
              <w:t>提供缴纳税收的凭据或证明材料（依法免税的供应商须提供相应证明文件、零申报的供应商提供电子税务申报表或税务部门出具的无欠税证明）或承诺函；</w:t>
            </w:r>
          </w:p>
          <w:p w14:paraId="61521365">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（2）提供缴纳社会保障资金证明材料（不需要缴纳社保资金的供应商须提供相应证明文件）或承诺函。</w:t>
            </w:r>
          </w:p>
        </w:tc>
        <w:tc>
          <w:tcPr>
            <w:tcW w:w="3138" w:type="dxa"/>
            <w:tcBorders>
              <w:left w:val="single" w:color="auto" w:sz="4" w:space="0"/>
            </w:tcBorders>
            <w:vAlign w:val="center"/>
          </w:tcPr>
          <w:p w14:paraId="4374A4E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符合竞争性磋商文件要求</w:t>
            </w:r>
          </w:p>
        </w:tc>
      </w:tr>
      <w:tr w14:paraId="095EB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1514" w:type="dxa"/>
            <w:vMerge w:val="continue"/>
            <w:tcBorders>
              <w:top w:val="single" w:color="auto" w:sz="4" w:space="0"/>
              <w:left w:val="single" w:color="auto" w:sz="4" w:space="0"/>
              <w:bottom w:val="single" w:color="auto" w:sz="4" w:space="0"/>
              <w:right w:val="single" w:color="auto" w:sz="4" w:space="0"/>
            </w:tcBorders>
            <w:vAlign w:val="top"/>
          </w:tcPr>
          <w:p w14:paraId="4CBAEB50">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tc>
        <w:tc>
          <w:tcPr>
            <w:tcW w:w="5415" w:type="dxa"/>
            <w:tcBorders>
              <w:top w:val="single" w:color="auto" w:sz="4" w:space="0"/>
              <w:left w:val="single" w:color="auto" w:sz="4" w:space="0"/>
              <w:bottom w:val="single" w:color="auto" w:sz="4" w:space="0"/>
              <w:right w:val="single" w:color="auto" w:sz="4" w:space="0"/>
            </w:tcBorders>
            <w:vAlign w:val="top"/>
          </w:tcPr>
          <w:p w14:paraId="5B9BBBA7">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参加政府采购活动前3年内在经营活动中没有重大违法记录的书面声明，若企业成立不满三年，需承诺从成立之日到本项目开标前无重大违法记录（格式自拟，加盖公章）。</w:t>
            </w:r>
          </w:p>
        </w:tc>
        <w:tc>
          <w:tcPr>
            <w:tcW w:w="3138" w:type="dxa"/>
            <w:tcBorders>
              <w:left w:val="single" w:color="auto" w:sz="4" w:space="0"/>
            </w:tcBorders>
            <w:vAlign w:val="center"/>
          </w:tcPr>
          <w:p w14:paraId="082BD97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符合竞争性磋商文件要求</w:t>
            </w:r>
          </w:p>
        </w:tc>
      </w:tr>
      <w:tr w14:paraId="31F4E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14" w:type="dxa"/>
            <w:vMerge w:val="continue"/>
            <w:tcBorders>
              <w:top w:val="single" w:color="auto" w:sz="4" w:space="0"/>
              <w:left w:val="single" w:color="auto" w:sz="4" w:space="0"/>
              <w:bottom w:val="single" w:color="auto" w:sz="4" w:space="0"/>
              <w:right w:val="single" w:color="auto" w:sz="4" w:space="0"/>
            </w:tcBorders>
            <w:vAlign w:val="top"/>
          </w:tcPr>
          <w:p w14:paraId="247D1E15">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p>
        </w:tc>
        <w:tc>
          <w:tcPr>
            <w:tcW w:w="5415" w:type="dxa"/>
            <w:tcBorders>
              <w:top w:val="single" w:color="auto" w:sz="4" w:space="0"/>
              <w:left w:val="single" w:color="auto" w:sz="4" w:space="0"/>
              <w:bottom w:val="single" w:color="auto" w:sz="4" w:space="0"/>
              <w:right w:val="single" w:color="auto" w:sz="4" w:space="0"/>
            </w:tcBorders>
            <w:vAlign w:val="top"/>
          </w:tcPr>
          <w:p w14:paraId="4F401AD5">
            <w:pPr>
              <w:pStyle w:val="9"/>
              <w:spacing w:before="25" w:line="230" w:lineRule="auto"/>
              <w:ind w:left="126" w:right="97" w:hanging="4"/>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提供“信用中国”网站查询的重大税收违法失信主体、失信被执行人、政府采购严重违法失信行为记录名单的网页截图和“中国政府采购网”查询的政府采购严重违法失信行为信息记录的网页截图（时间为：下载标书当日起至开标前一天内任意时间）。</w:t>
            </w:r>
          </w:p>
        </w:tc>
        <w:tc>
          <w:tcPr>
            <w:tcW w:w="3138" w:type="dxa"/>
            <w:tcBorders>
              <w:left w:val="single" w:color="auto" w:sz="4" w:space="0"/>
            </w:tcBorders>
            <w:vAlign w:val="center"/>
          </w:tcPr>
          <w:p w14:paraId="16489F2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符合竞争性磋商文件要求</w:t>
            </w:r>
          </w:p>
        </w:tc>
      </w:tr>
      <w:tr w14:paraId="7E3C5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1514" w:type="dxa"/>
            <w:tcBorders>
              <w:top w:val="single" w:color="auto" w:sz="4" w:space="0"/>
              <w:left w:val="single" w:color="auto" w:sz="4" w:space="0"/>
              <w:bottom w:val="single" w:color="auto" w:sz="4" w:space="0"/>
              <w:right w:val="single" w:color="auto" w:sz="4" w:space="0"/>
            </w:tcBorders>
            <w:vAlign w:val="top"/>
          </w:tcPr>
          <w:p w14:paraId="2CF10497">
            <w:pPr>
              <w:rPr>
                <w:rFonts w:hint="eastAsia" w:ascii="仿宋" w:hAnsi="仿宋" w:eastAsia="仿宋" w:cs="仿宋"/>
                <w:spacing w:val="-2"/>
                <w:kern w:val="2"/>
                <w:position w:val="6"/>
                <w:sz w:val="28"/>
                <w:szCs w:val="28"/>
                <w:highlight w:val="none"/>
                <w:lang w:val="en-US" w:eastAsia="en-US" w:bidi="ar-SA"/>
              </w:rPr>
            </w:pPr>
          </w:p>
        </w:tc>
        <w:tc>
          <w:tcPr>
            <w:tcW w:w="5415" w:type="dxa"/>
            <w:tcBorders>
              <w:top w:val="single" w:color="auto" w:sz="4" w:space="0"/>
              <w:left w:val="single" w:color="auto" w:sz="4" w:space="0"/>
              <w:bottom w:val="single" w:color="auto" w:sz="4" w:space="0"/>
              <w:right w:val="single" w:color="auto" w:sz="4" w:space="0"/>
            </w:tcBorders>
            <w:vAlign w:val="top"/>
          </w:tcPr>
          <w:p w14:paraId="3AF4B43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供应商须根据《政府采购促进中小企业发展管理办法》（财库【2020】46号）规定提供“中小企业申明函”，并符合中型、小型和微型企业划分标准。</w:t>
            </w:r>
          </w:p>
        </w:tc>
        <w:tc>
          <w:tcPr>
            <w:tcW w:w="3138" w:type="dxa"/>
            <w:tcBorders>
              <w:left w:val="single" w:color="auto" w:sz="4" w:space="0"/>
            </w:tcBorders>
            <w:vAlign w:val="center"/>
          </w:tcPr>
          <w:p w14:paraId="76F943C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符合竞争性磋商文件要求</w:t>
            </w:r>
          </w:p>
        </w:tc>
      </w:tr>
      <w:tr w14:paraId="22460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1514" w:type="dxa"/>
            <w:vMerge w:val="restart"/>
            <w:tcBorders>
              <w:top w:val="single" w:color="auto" w:sz="4" w:space="0"/>
              <w:bottom w:val="nil"/>
            </w:tcBorders>
            <w:vAlign w:val="top"/>
          </w:tcPr>
          <w:p w14:paraId="21AED682">
            <w:pPr>
              <w:spacing w:line="251" w:lineRule="auto"/>
              <w:rPr>
                <w:rFonts w:hint="eastAsia" w:ascii="仿宋" w:hAnsi="仿宋" w:eastAsia="仿宋" w:cs="仿宋"/>
                <w:spacing w:val="-2"/>
                <w:kern w:val="2"/>
                <w:position w:val="6"/>
                <w:sz w:val="28"/>
                <w:szCs w:val="28"/>
                <w:highlight w:val="none"/>
                <w:lang w:val="en-US" w:eastAsia="en-US" w:bidi="ar-SA"/>
              </w:rPr>
            </w:pPr>
          </w:p>
          <w:p w14:paraId="12646DE0">
            <w:pPr>
              <w:spacing w:line="251" w:lineRule="auto"/>
              <w:rPr>
                <w:rFonts w:hint="eastAsia" w:ascii="仿宋" w:hAnsi="仿宋" w:eastAsia="仿宋" w:cs="仿宋"/>
                <w:spacing w:val="-2"/>
                <w:kern w:val="2"/>
                <w:position w:val="6"/>
                <w:sz w:val="28"/>
                <w:szCs w:val="28"/>
                <w:highlight w:val="none"/>
                <w:lang w:val="en-US" w:eastAsia="en-US" w:bidi="ar-SA"/>
              </w:rPr>
            </w:pPr>
          </w:p>
          <w:p w14:paraId="1EE6488C">
            <w:pPr>
              <w:spacing w:line="251" w:lineRule="auto"/>
              <w:rPr>
                <w:rFonts w:hint="eastAsia" w:ascii="仿宋" w:hAnsi="仿宋" w:eastAsia="仿宋" w:cs="仿宋"/>
                <w:spacing w:val="-2"/>
                <w:kern w:val="2"/>
                <w:position w:val="6"/>
                <w:sz w:val="28"/>
                <w:szCs w:val="28"/>
                <w:highlight w:val="none"/>
                <w:lang w:val="en-US" w:eastAsia="en-US" w:bidi="ar-SA"/>
              </w:rPr>
            </w:pPr>
          </w:p>
          <w:p w14:paraId="4374471A">
            <w:pPr>
              <w:spacing w:line="251" w:lineRule="auto"/>
              <w:rPr>
                <w:rFonts w:hint="eastAsia" w:ascii="仿宋" w:hAnsi="仿宋" w:eastAsia="仿宋" w:cs="仿宋"/>
                <w:spacing w:val="-2"/>
                <w:kern w:val="2"/>
                <w:position w:val="6"/>
                <w:sz w:val="28"/>
                <w:szCs w:val="28"/>
                <w:highlight w:val="none"/>
                <w:lang w:val="en-US" w:eastAsia="en-US" w:bidi="ar-SA"/>
              </w:rPr>
            </w:pPr>
          </w:p>
          <w:p w14:paraId="6FD758AC">
            <w:pPr>
              <w:spacing w:line="251" w:lineRule="auto"/>
              <w:rPr>
                <w:rFonts w:hint="eastAsia" w:ascii="仿宋" w:hAnsi="仿宋" w:eastAsia="仿宋" w:cs="仿宋"/>
                <w:spacing w:val="-2"/>
                <w:kern w:val="2"/>
                <w:position w:val="6"/>
                <w:sz w:val="28"/>
                <w:szCs w:val="28"/>
                <w:highlight w:val="none"/>
                <w:lang w:val="en-US" w:eastAsia="en-US" w:bidi="ar-SA"/>
              </w:rPr>
            </w:pPr>
          </w:p>
          <w:p w14:paraId="17AD947D">
            <w:pPr>
              <w:spacing w:line="251" w:lineRule="auto"/>
              <w:rPr>
                <w:rFonts w:hint="eastAsia" w:ascii="仿宋" w:hAnsi="仿宋" w:eastAsia="仿宋" w:cs="仿宋"/>
                <w:spacing w:val="-2"/>
                <w:kern w:val="2"/>
                <w:position w:val="6"/>
                <w:sz w:val="28"/>
                <w:szCs w:val="28"/>
                <w:highlight w:val="none"/>
                <w:lang w:val="en-US" w:eastAsia="en-US" w:bidi="ar-SA"/>
              </w:rPr>
            </w:pPr>
          </w:p>
          <w:p w14:paraId="1F425EBF">
            <w:pPr>
              <w:spacing w:line="251" w:lineRule="auto"/>
              <w:rPr>
                <w:rFonts w:hint="eastAsia" w:ascii="仿宋" w:hAnsi="仿宋" w:eastAsia="仿宋" w:cs="仿宋"/>
                <w:spacing w:val="-2"/>
                <w:kern w:val="2"/>
                <w:position w:val="6"/>
                <w:sz w:val="28"/>
                <w:szCs w:val="28"/>
                <w:highlight w:val="none"/>
                <w:lang w:val="en-US" w:eastAsia="en-US" w:bidi="ar-SA"/>
              </w:rPr>
            </w:pPr>
          </w:p>
          <w:p w14:paraId="63260313">
            <w:pPr>
              <w:spacing w:line="252" w:lineRule="auto"/>
              <w:rPr>
                <w:rFonts w:hint="eastAsia" w:ascii="仿宋" w:hAnsi="仿宋" w:eastAsia="仿宋" w:cs="仿宋"/>
                <w:spacing w:val="-2"/>
                <w:kern w:val="2"/>
                <w:position w:val="6"/>
                <w:sz w:val="28"/>
                <w:szCs w:val="28"/>
                <w:highlight w:val="none"/>
                <w:lang w:val="en-US" w:eastAsia="en-US" w:bidi="ar-SA"/>
              </w:rPr>
            </w:pPr>
          </w:p>
          <w:p w14:paraId="072BD229">
            <w:pPr>
              <w:spacing w:line="252" w:lineRule="auto"/>
              <w:rPr>
                <w:rFonts w:hint="eastAsia" w:ascii="仿宋" w:hAnsi="仿宋" w:eastAsia="仿宋" w:cs="仿宋"/>
                <w:spacing w:val="-2"/>
                <w:kern w:val="2"/>
                <w:position w:val="6"/>
                <w:sz w:val="28"/>
                <w:szCs w:val="28"/>
                <w:highlight w:val="none"/>
                <w:lang w:val="en-US" w:eastAsia="en-US" w:bidi="ar-SA"/>
              </w:rPr>
            </w:pPr>
          </w:p>
          <w:p w14:paraId="7DC43BF9">
            <w:pPr>
              <w:spacing w:line="252" w:lineRule="auto"/>
              <w:rPr>
                <w:rFonts w:hint="eastAsia" w:ascii="仿宋" w:hAnsi="仿宋" w:eastAsia="仿宋" w:cs="仿宋"/>
                <w:spacing w:val="-2"/>
                <w:kern w:val="2"/>
                <w:position w:val="6"/>
                <w:sz w:val="28"/>
                <w:szCs w:val="28"/>
                <w:highlight w:val="none"/>
                <w:lang w:val="en-US" w:eastAsia="en-US" w:bidi="ar-SA"/>
              </w:rPr>
            </w:pPr>
          </w:p>
          <w:p w14:paraId="64302CD6">
            <w:pPr>
              <w:spacing w:line="252" w:lineRule="auto"/>
              <w:rPr>
                <w:rFonts w:hint="eastAsia" w:ascii="仿宋" w:hAnsi="仿宋" w:eastAsia="仿宋" w:cs="仿宋"/>
                <w:spacing w:val="-2"/>
                <w:kern w:val="2"/>
                <w:position w:val="6"/>
                <w:sz w:val="28"/>
                <w:szCs w:val="28"/>
                <w:highlight w:val="none"/>
                <w:lang w:val="en-US" w:eastAsia="en-US" w:bidi="ar-SA"/>
              </w:rPr>
            </w:pPr>
          </w:p>
          <w:p w14:paraId="1FAE5902">
            <w:pPr>
              <w:spacing w:line="252" w:lineRule="auto"/>
              <w:rPr>
                <w:rFonts w:hint="eastAsia" w:ascii="仿宋" w:hAnsi="仿宋" w:eastAsia="仿宋" w:cs="仿宋"/>
                <w:spacing w:val="-2"/>
                <w:kern w:val="2"/>
                <w:position w:val="6"/>
                <w:sz w:val="28"/>
                <w:szCs w:val="28"/>
                <w:highlight w:val="none"/>
                <w:lang w:val="en-US" w:eastAsia="en-US" w:bidi="ar-SA"/>
              </w:rPr>
            </w:pPr>
          </w:p>
          <w:p w14:paraId="4270F66D">
            <w:pPr>
              <w:spacing w:line="252" w:lineRule="auto"/>
              <w:rPr>
                <w:rFonts w:hint="eastAsia" w:ascii="仿宋" w:hAnsi="仿宋" w:eastAsia="仿宋" w:cs="仿宋"/>
                <w:spacing w:val="-2"/>
                <w:kern w:val="2"/>
                <w:position w:val="6"/>
                <w:sz w:val="28"/>
                <w:szCs w:val="28"/>
                <w:highlight w:val="none"/>
                <w:lang w:val="en-US" w:eastAsia="en-US" w:bidi="ar-SA"/>
              </w:rPr>
            </w:pPr>
          </w:p>
          <w:p w14:paraId="13B0CB7F">
            <w:pPr>
              <w:spacing w:line="252" w:lineRule="auto"/>
              <w:rPr>
                <w:rFonts w:hint="eastAsia" w:ascii="仿宋" w:hAnsi="仿宋" w:eastAsia="仿宋" w:cs="仿宋"/>
                <w:spacing w:val="-2"/>
                <w:kern w:val="2"/>
                <w:position w:val="6"/>
                <w:sz w:val="28"/>
                <w:szCs w:val="28"/>
                <w:highlight w:val="none"/>
                <w:lang w:val="en-US" w:eastAsia="en-US" w:bidi="ar-SA"/>
              </w:rPr>
            </w:pPr>
          </w:p>
          <w:p w14:paraId="61AE69B3">
            <w:pPr>
              <w:spacing w:line="252" w:lineRule="auto"/>
              <w:rPr>
                <w:rFonts w:hint="eastAsia" w:ascii="仿宋" w:hAnsi="仿宋" w:eastAsia="仿宋" w:cs="仿宋"/>
                <w:spacing w:val="-2"/>
                <w:kern w:val="2"/>
                <w:position w:val="6"/>
                <w:sz w:val="28"/>
                <w:szCs w:val="28"/>
                <w:highlight w:val="none"/>
                <w:lang w:val="en-US" w:eastAsia="en-US" w:bidi="ar-SA"/>
              </w:rPr>
            </w:pPr>
          </w:p>
          <w:p w14:paraId="7DA55A27">
            <w:pPr>
              <w:spacing w:line="252" w:lineRule="auto"/>
              <w:rPr>
                <w:rFonts w:hint="eastAsia" w:ascii="仿宋" w:hAnsi="仿宋" w:eastAsia="仿宋" w:cs="仿宋"/>
                <w:spacing w:val="-2"/>
                <w:kern w:val="2"/>
                <w:position w:val="6"/>
                <w:sz w:val="28"/>
                <w:szCs w:val="28"/>
                <w:highlight w:val="none"/>
                <w:lang w:val="en-US" w:eastAsia="en-US" w:bidi="ar-SA"/>
              </w:rPr>
            </w:pPr>
          </w:p>
          <w:p w14:paraId="6A4E9692">
            <w:pPr>
              <w:spacing w:line="252" w:lineRule="auto"/>
              <w:rPr>
                <w:rFonts w:hint="eastAsia" w:ascii="仿宋" w:hAnsi="仿宋" w:eastAsia="仿宋" w:cs="仿宋"/>
                <w:spacing w:val="-2"/>
                <w:kern w:val="2"/>
                <w:position w:val="6"/>
                <w:sz w:val="28"/>
                <w:szCs w:val="28"/>
                <w:highlight w:val="none"/>
                <w:lang w:val="en-US" w:eastAsia="en-US" w:bidi="ar-SA"/>
              </w:rPr>
            </w:pPr>
          </w:p>
          <w:p w14:paraId="36C3E2FC">
            <w:pPr>
              <w:pStyle w:val="9"/>
              <w:spacing w:before="91" w:line="216" w:lineRule="auto"/>
              <w:ind w:left="27"/>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符合性审查</w:t>
            </w:r>
          </w:p>
        </w:tc>
        <w:tc>
          <w:tcPr>
            <w:tcW w:w="5415" w:type="dxa"/>
            <w:tcBorders>
              <w:top w:val="single" w:color="auto" w:sz="4" w:space="0"/>
            </w:tcBorders>
            <w:vAlign w:val="top"/>
          </w:tcPr>
          <w:p w14:paraId="2AD5775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rFonts w:hint="eastAsia" w:ascii="仿宋" w:hAnsi="仿宋" w:eastAsia="仿宋" w:cs="仿宋"/>
                <w:spacing w:val="-2"/>
                <w:kern w:val="2"/>
                <w:position w:val="6"/>
                <w:sz w:val="28"/>
                <w:szCs w:val="28"/>
                <w:highlight w:val="none"/>
                <w:lang w:val="en-US" w:eastAsia="en-US" w:bidi="ar-SA"/>
              </w:rPr>
            </w:pPr>
          </w:p>
          <w:p w14:paraId="11218413">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供应商名称</w:t>
            </w:r>
          </w:p>
        </w:tc>
        <w:tc>
          <w:tcPr>
            <w:tcW w:w="3138" w:type="dxa"/>
            <w:vAlign w:val="center"/>
          </w:tcPr>
          <w:p w14:paraId="693E12F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与营业执照、资质证书、安全生产许可证一致。</w:t>
            </w:r>
          </w:p>
        </w:tc>
      </w:tr>
      <w:tr w14:paraId="1B8B4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1514" w:type="dxa"/>
            <w:vMerge w:val="continue"/>
            <w:tcBorders>
              <w:top w:val="nil"/>
              <w:bottom w:val="nil"/>
            </w:tcBorders>
            <w:vAlign w:val="top"/>
          </w:tcPr>
          <w:p w14:paraId="00F638E1">
            <w:pPr>
              <w:rPr>
                <w:rFonts w:hint="eastAsia" w:ascii="仿宋" w:hAnsi="仿宋" w:eastAsia="仿宋" w:cs="仿宋"/>
                <w:spacing w:val="-2"/>
                <w:kern w:val="2"/>
                <w:position w:val="6"/>
                <w:sz w:val="28"/>
                <w:szCs w:val="28"/>
                <w:highlight w:val="none"/>
                <w:lang w:val="en-US" w:eastAsia="en-US" w:bidi="ar-SA"/>
              </w:rPr>
            </w:pPr>
          </w:p>
        </w:tc>
        <w:tc>
          <w:tcPr>
            <w:tcW w:w="5415" w:type="dxa"/>
            <w:vAlign w:val="center"/>
          </w:tcPr>
          <w:p w14:paraId="61211C7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磋商函签字盖章</w:t>
            </w:r>
          </w:p>
        </w:tc>
        <w:tc>
          <w:tcPr>
            <w:tcW w:w="3138" w:type="dxa"/>
            <w:vAlign w:val="top"/>
          </w:tcPr>
          <w:p w14:paraId="4D9331F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磋商函中的投标报价不得手写或作修改；符合竞争性磋商文件要求。</w:t>
            </w:r>
          </w:p>
        </w:tc>
      </w:tr>
      <w:tr w14:paraId="7DF85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14" w:type="dxa"/>
            <w:vMerge w:val="continue"/>
            <w:tcBorders>
              <w:top w:val="nil"/>
              <w:bottom w:val="nil"/>
            </w:tcBorders>
            <w:vAlign w:val="top"/>
          </w:tcPr>
          <w:p w14:paraId="5ABE6E07">
            <w:pPr>
              <w:rPr>
                <w:rFonts w:hint="eastAsia" w:ascii="仿宋" w:hAnsi="仿宋" w:eastAsia="仿宋" w:cs="仿宋"/>
                <w:spacing w:val="-2"/>
                <w:kern w:val="2"/>
                <w:position w:val="6"/>
                <w:sz w:val="28"/>
                <w:szCs w:val="28"/>
                <w:highlight w:val="none"/>
                <w:lang w:val="en-US" w:eastAsia="en-US" w:bidi="ar-SA"/>
              </w:rPr>
            </w:pPr>
          </w:p>
        </w:tc>
        <w:tc>
          <w:tcPr>
            <w:tcW w:w="5415" w:type="dxa"/>
            <w:vAlign w:val="center"/>
          </w:tcPr>
          <w:p w14:paraId="795DA52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响应文件份数、格式、签署</w:t>
            </w:r>
          </w:p>
        </w:tc>
        <w:tc>
          <w:tcPr>
            <w:tcW w:w="3138" w:type="dxa"/>
            <w:vAlign w:val="center"/>
          </w:tcPr>
          <w:p w14:paraId="7DAAC62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符合竞争性磋商文件要求</w:t>
            </w:r>
          </w:p>
        </w:tc>
      </w:tr>
      <w:tr w14:paraId="56C2D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514" w:type="dxa"/>
            <w:vMerge w:val="continue"/>
            <w:tcBorders>
              <w:top w:val="nil"/>
              <w:bottom w:val="nil"/>
            </w:tcBorders>
            <w:vAlign w:val="top"/>
          </w:tcPr>
          <w:p w14:paraId="68E33431">
            <w:pPr>
              <w:rPr>
                <w:rFonts w:hint="eastAsia" w:ascii="仿宋" w:hAnsi="仿宋" w:eastAsia="仿宋" w:cs="仿宋"/>
                <w:spacing w:val="-2"/>
                <w:kern w:val="2"/>
                <w:position w:val="6"/>
                <w:sz w:val="28"/>
                <w:szCs w:val="28"/>
                <w:highlight w:val="none"/>
                <w:lang w:val="en-US" w:eastAsia="en-US" w:bidi="ar-SA"/>
              </w:rPr>
            </w:pPr>
          </w:p>
        </w:tc>
        <w:tc>
          <w:tcPr>
            <w:tcW w:w="5415" w:type="dxa"/>
            <w:vAlign w:val="center"/>
          </w:tcPr>
          <w:p w14:paraId="3FE30DC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highlight w:val="none"/>
                <w:lang w:val="en-US" w:eastAsia="en-US" w:bidi="ar-SA"/>
              </w:rPr>
            </w:pPr>
          </w:p>
          <w:p w14:paraId="204CCE6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磋商报价有效性</w:t>
            </w:r>
          </w:p>
        </w:tc>
        <w:tc>
          <w:tcPr>
            <w:tcW w:w="3138" w:type="dxa"/>
            <w:vAlign w:val="center"/>
          </w:tcPr>
          <w:p w14:paraId="6369F43A">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未超出竞争性磋商文件规定的价格。</w:t>
            </w:r>
          </w:p>
        </w:tc>
      </w:tr>
      <w:tr w14:paraId="054A7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4" w:hRule="atLeast"/>
        </w:trPr>
        <w:tc>
          <w:tcPr>
            <w:tcW w:w="1514" w:type="dxa"/>
            <w:vMerge w:val="continue"/>
            <w:tcBorders>
              <w:top w:val="nil"/>
              <w:bottom w:val="nil"/>
            </w:tcBorders>
            <w:vAlign w:val="top"/>
          </w:tcPr>
          <w:p w14:paraId="4D3ADBBF">
            <w:pPr>
              <w:rPr>
                <w:rFonts w:hint="eastAsia" w:ascii="仿宋" w:hAnsi="仿宋" w:eastAsia="仿宋" w:cs="仿宋"/>
                <w:spacing w:val="-2"/>
                <w:kern w:val="2"/>
                <w:position w:val="6"/>
                <w:sz w:val="28"/>
                <w:szCs w:val="28"/>
                <w:highlight w:val="none"/>
                <w:lang w:val="en-US" w:eastAsia="en-US" w:bidi="ar-SA"/>
              </w:rPr>
            </w:pPr>
          </w:p>
        </w:tc>
        <w:tc>
          <w:tcPr>
            <w:tcW w:w="5415" w:type="dxa"/>
            <w:vAlign w:val="center"/>
          </w:tcPr>
          <w:p w14:paraId="53C3B990">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highlight w:val="none"/>
                <w:lang w:val="en-US" w:eastAsia="en-US" w:bidi="ar-SA"/>
              </w:rPr>
            </w:pPr>
          </w:p>
          <w:p w14:paraId="42D0A65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highlight w:val="none"/>
                <w:lang w:val="en-US" w:eastAsia="en-US" w:bidi="ar-SA"/>
              </w:rPr>
            </w:pPr>
          </w:p>
          <w:p w14:paraId="7BC2A5C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投标价格</w:t>
            </w:r>
          </w:p>
        </w:tc>
        <w:tc>
          <w:tcPr>
            <w:tcW w:w="3138" w:type="dxa"/>
            <w:vAlign w:val="center"/>
          </w:tcPr>
          <w:p w14:paraId="3F03C80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投标总价及其他价格未高于已公布的最高投标限价（招标控制价）及其他相应价格。</w:t>
            </w:r>
          </w:p>
        </w:tc>
      </w:tr>
      <w:tr w14:paraId="15D4B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14" w:type="dxa"/>
            <w:vMerge w:val="continue"/>
            <w:tcBorders>
              <w:top w:val="nil"/>
              <w:bottom w:val="nil"/>
            </w:tcBorders>
            <w:vAlign w:val="top"/>
          </w:tcPr>
          <w:p w14:paraId="03FE864D">
            <w:pPr>
              <w:rPr>
                <w:rFonts w:hint="eastAsia" w:ascii="仿宋" w:hAnsi="仿宋" w:eastAsia="仿宋" w:cs="仿宋"/>
                <w:spacing w:val="-2"/>
                <w:kern w:val="2"/>
                <w:position w:val="6"/>
                <w:sz w:val="28"/>
                <w:szCs w:val="28"/>
                <w:highlight w:val="none"/>
                <w:lang w:val="en-US" w:eastAsia="en-US" w:bidi="ar-SA"/>
              </w:rPr>
            </w:pPr>
          </w:p>
        </w:tc>
        <w:tc>
          <w:tcPr>
            <w:tcW w:w="5415" w:type="dxa"/>
            <w:vAlign w:val="center"/>
          </w:tcPr>
          <w:p w14:paraId="428D03A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工期</w:t>
            </w:r>
          </w:p>
        </w:tc>
        <w:tc>
          <w:tcPr>
            <w:tcW w:w="3138" w:type="dxa"/>
            <w:vAlign w:val="center"/>
          </w:tcPr>
          <w:p w14:paraId="0E3F2C01">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both"/>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90日历天内完工</w:t>
            </w:r>
          </w:p>
        </w:tc>
      </w:tr>
      <w:tr w14:paraId="76FE1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14" w:type="dxa"/>
            <w:vMerge w:val="continue"/>
            <w:tcBorders>
              <w:top w:val="nil"/>
              <w:bottom w:val="nil"/>
            </w:tcBorders>
            <w:vAlign w:val="top"/>
          </w:tcPr>
          <w:p w14:paraId="301E3833">
            <w:pPr>
              <w:rPr>
                <w:rFonts w:hint="eastAsia" w:ascii="仿宋" w:hAnsi="仿宋" w:eastAsia="仿宋" w:cs="仿宋"/>
                <w:spacing w:val="-2"/>
                <w:kern w:val="2"/>
                <w:position w:val="6"/>
                <w:sz w:val="28"/>
                <w:szCs w:val="28"/>
                <w:highlight w:val="none"/>
                <w:lang w:val="en-US" w:eastAsia="en-US" w:bidi="ar-SA"/>
              </w:rPr>
            </w:pPr>
          </w:p>
        </w:tc>
        <w:tc>
          <w:tcPr>
            <w:tcW w:w="5415" w:type="dxa"/>
            <w:vAlign w:val="center"/>
          </w:tcPr>
          <w:p w14:paraId="6B7E04B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建设地点</w:t>
            </w:r>
          </w:p>
        </w:tc>
        <w:tc>
          <w:tcPr>
            <w:tcW w:w="3138" w:type="dxa"/>
            <w:vAlign w:val="center"/>
          </w:tcPr>
          <w:p w14:paraId="3A7891E4">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采购人指定的地点。</w:t>
            </w:r>
          </w:p>
        </w:tc>
      </w:tr>
      <w:tr w14:paraId="182AB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0" w:hRule="atLeast"/>
        </w:trPr>
        <w:tc>
          <w:tcPr>
            <w:tcW w:w="1514" w:type="dxa"/>
            <w:vMerge w:val="continue"/>
            <w:tcBorders>
              <w:top w:val="nil"/>
              <w:bottom w:val="nil"/>
            </w:tcBorders>
            <w:vAlign w:val="top"/>
          </w:tcPr>
          <w:p w14:paraId="436A3A36">
            <w:pPr>
              <w:rPr>
                <w:rFonts w:hint="eastAsia" w:ascii="仿宋" w:hAnsi="仿宋" w:eastAsia="仿宋" w:cs="仿宋"/>
                <w:spacing w:val="-2"/>
                <w:kern w:val="2"/>
                <w:position w:val="6"/>
                <w:sz w:val="28"/>
                <w:szCs w:val="28"/>
                <w:highlight w:val="none"/>
                <w:lang w:val="en-US" w:eastAsia="en-US" w:bidi="ar-SA"/>
              </w:rPr>
            </w:pPr>
          </w:p>
        </w:tc>
        <w:tc>
          <w:tcPr>
            <w:tcW w:w="5415" w:type="dxa"/>
            <w:vAlign w:val="center"/>
          </w:tcPr>
          <w:p w14:paraId="2B1B5A8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center"/>
              <w:textAlignment w:val="baseline"/>
              <w:rPr>
                <w:rFonts w:hint="eastAsia" w:ascii="仿宋" w:hAnsi="仿宋" w:eastAsia="仿宋" w:cs="仿宋"/>
                <w:spacing w:val="-2"/>
                <w:kern w:val="2"/>
                <w:position w:val="6"/>
                <w:sz w:val="28"/>
                <w:szCs w:val="28"/>
                <w:highlight w:val="none"/>
                <w:lang w:val="en-US" w:eastAsia="en-US" w:bidi="ar-SA"/>
              </w:rPr>
            </w:pPr>
          </w:p>
          <w:p w14:paraId="70CA61B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质量标准</w:t>
            </w:r>
          </w:p>
        </w:tc>
        <w:tc>
          <w:tcPr>
            <w:tcW w:w="3138" w:type="dxa"/>
            <w:vAlign w:val="center"/>
          </w:tcPr>
          <w:p w14:paraId="1AB8927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达到国家现行规范及验收合格标准。执行本项目所在国家和地区颁发的现行法律法规、规范、规定、规程、标准、规划和要求,如果颁发新的技术标准,则按新标准规定执行。</w:t>
            </w:r>
          </w:p>
        </w:tc>
      </w:tr>
      <w:tr w14:paraId="1F2FF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14" w:type="dxa"/>
            <w:vMerge w:val="continue"/>
            <w:tcBorders>
              <w:top w:val="nil"/>
              <w:bottom w:val="nil"/>
            </w:tcBorders>
            <w:vAlign w:val="top"/>
          </w:tcPr>
          <w:p w14:paraId="0E64D164">
            <w:pPr>
              <w:rPr>
                <w:rFonts w:hint="eastAsia" w:ascii="仿宋" w:hAnsi="仿宋" w:eastAsia="仿宋" w:cs="仿宋"/>
                <w:spacing w:val="-2"/>
                <w:kern w:val="2"/>
                <w:position w:val="6"/>
                <w:sz w:val="28"/>
                <w:szCs w:val="28"/>
                <w:highlight w:val="none"/>
                <w:lang w:val="en-US" w:eastAsia="en-US" w:bidi="ar-SA"/>
              </w:rPr>
            </w:pPr>
          </w:p>
        </w:tc>
        <w:tc>
          <w:tcPr>
            <w:tcW w:w="5415" w:type="dxa"/>
            <w:vAlign w:val="center"/>
          </w:tcPr>
          <w:p w14:paraId="7CAFFD3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投标范围</w:t>
            </w:r>
          </w:p>
        </w:tc>
        <w:tc>
          <w:tcPr>
            <w:tcW w:w="3138" w:type="dxa"/>
            <w:vAlign w:val="center"/>
          </w:tcPr>
          <w:p w14:paraId="103C9146">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符合竞争性磋商文件要求</w:t>
            </w:r>
          </w:p>
        </w:tc>
      </w:tr>
      <w:tr w14:paraId="69A62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14" w:type="dxa"/>
            <w:vMerge w:val="continue"/>
            <w:tcBorders>
              <w:top w:val="nil"/>
              <w:bottom w:val="nil"/>
            </w:tcBorders>
            <w:vAlign w:val="top"/>
          </w:tcPr>
          <w:p w14:paraId="12C45059">
            <w:pPr>
              <w:rPr>
                <w:rFonts w:hint="eastAsia" w:ascii="仿宋" w:hAnsi="仿宋" w:eastAsia="仿宋" w:cs="仿宋"/>
                <w:spacing w:val="-2"/>
                <w:kern w:val="2"/>
                <w:position w:val="6"/>
                <w:sz w:val="28"/>
                <w:szCs w:val="28"/>
                <w:highlight w:val="none"/>
                <w:lang w:val="en-US" w:eastAsia="en-US" w:bidi="ar-SA"/>
              </w:rPr>
            </w:pPr>
          </w:p>
        </w:tc>
        <w:tc>
          <w:tcPr>
            <w:tcW w:w="5415" w:type="dxa"/>
            <w:vAlign w:val="center"/>
          </w:tcPr>
          <w:p w14:paraId="5302A78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投标有效期</w:t>
            </w:r>
          </w:p>
        </w:tc>
        <w:tc>
          <w:tcPr>
            <w:tcW w:w="3138" w:type="dxa"/>
            <w:vAlign w:val="center"/>
          </w:tcPr>
          <w:p w14:paraId="3A4AE19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both"/>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60个日历日。</w:t>
            </w:r>
          </w:p>
        </w:tc>
      </w:tr>
      <w:tr w14:paraId="17FFB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514" w:type="dxa"/>
            <w:vMerge w:val="continue"/>
            <w:tcBorders>
              <w:top w:val="nil"/>
              <w:bottom w:val="nil"/>
            </w:tcBorders>
            <w:vAlign w:val="top"/>
          </w:tcPr>
          <w:p w14:paraId="326B3EA0">
            <w:pPr>
              <w:rPr>
                <w:rFonts w:hint="eastAsia" w:ascii="仿宋" w:hAnsi="仿宋" w:eastAsia="仿宋" w:cs="仿宋"/>
                <w:spacing w:val="-2"/>
                <w:kern w:val="2"/>
                <w:position w:val="6"/>
                <w:sz w:val="28"/>
                <w:szCs w:val="28"/>
                <w:highlight w:val="none"/>
                <w:lang w:val="en-US" w:eastAsia="en-US" w:bidi="ar-SA"/>
              </w:rPr>
            </w:pPr>
          </w:p>
        </w:tc>
        <w:tc>
          <w:tcPr>
            <w:tcW w:w="5415" w:type="dxa"/>
            <w:vAlign w:val="center"/>
          </w:tcPr>
          <w:p w14:paraId="16E3235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投标承诺函--投标供应商不得存在的情形</w:t>
            </w:r>
          </w:p>
        </w:tc>
        <w:tc>
          <w:tcPr>
            <w:tcW w:w="3138" w:type="dxa"/>
            <w:vAlign w:val="center"/>
          </w:tcPr>
          <w:p w14:paraId="2C9F7E4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both"/>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提供承诺函，以响应文件格式为准。</w:t>
            </w:r>
          </w:p>
        </w:tc>
      </w:tr>
      <w:tr w14:paraId="618CD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1514" w:type="dxa"/>
            <w:vMerge w:val="continue"/>
            <w:tcBorders>
              <w:top w:val="nil"/>
            </w:tcBorders>
            <w:vAlign w:val="top"/>
          </w:tcPr>
          <w:p w14:paraId="634E79AD">
            <w:pPr>
              <w:rPr>
                <w:rFonts w:hint="eastAsia" w:ascii="仿宋" w:hAnsi="仿宋" w:eastAsia="仿宋" w:cs="仿宋"/>
                <w:spacing w:val="-2"/>
                <w:kern w:val="2"/>
                <w:position w:val="6"/>
                <w:sz w:val="28"/>
                <w:szCs w:val="28"/>
                <w:highlight w:val="none"/>
                <w:lang w:val="en-US" w:eastAsia="en-US" w:bidi="ar-SA"/>
              </w:rPr>
            </w:pPr>
          </w:p>
        </w:tc>
        <w:tc>
          <w:tcPr>
            <w:tcW w:w="5415" w:type="dxa"/>
            <w:vAlign w:val="center"/>
          </w:tcPr>
          <w:p w14:paraId="67088F8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zh-CN" w:bidi="ar-SA"/>
              </w:rPr>
              <w:t>无</w:t>
            </w:r>
            <w:r>
              <w:rPr>
                <w:rFonts w:hint="eastAsia" w:ascii="仿宋" w:hAnsi="仿宋" w:eastAsia="仿宋" w:cs="仿宋"/>
                <w:spacing w:val="-2"/>
                <w:kern w:val="2"/>
                <w:position w:val="6"/>
                <w:sz w:val="28"/>
                <w:szCs w:val="28"/>
                <w:highlight w:val="none"/>
                <w:lang w:val="en-US" w:eastAsia="en-US" w:bidi="ar-SA"/>
              </w:rPr>
              <w:t>效标审查</w:t>
            </w:r>
          </w:p>
        </w:tc>
        <w:tc>
          <w:tcPr>
            <w:tcW w:w="3138" w:type="dxa"/>
            <w:vAlign w:val="center"/>
          </w:tcPr>
          <w:p w14:paraId="1527812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both"/>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按本项目竞争性磋商文件第四章无效标条款规定，审查是否通过。</w:t>
            </w:r>
          </w:p>
        </w:tc>
      </w:tr>
    </w:tbl>
    <w:p w14:paraId="490C5A0E">
      <w:pPr>
        <w:pStyle w:val="3"/>
        <w:rPr>
          <w:highlight w:val="none"/>
        </w:rPr>
      </w:pPr>
    </w:p>
    <w:p w14:paraId="4D8E6BF1">
      <w:pPr>
        <w:rPr>
          <w:highlight w:val="none"/>
        </w:rPr>
        <w:sectPr>
          <w:footerReference r:id="rId5" w:type="default"/>
          <w:pgSz w:w="11907" w:h="16841"/>
          <w:pgMar w:top="1440" w:right="1080" w:bottom="1440" w:left="1080" w:header="0" w:footer="815" w:gutter="0"/>
          <w:cols w:space="720" w:num="1"/>
        </w:sectPr>
      </w:pPr>
    </w:p>
    <w:p w14:paraId="02277308">
      <w:pPr>
        <w:spacing w:before="91" w:line="229" w:lineRule="auto"/>
        <w:ind w:left="21" w:right="-133" w:rightChars="0" w:hanging="6"/>
        <w:rPr>
          <w:rFonts w:ascii="仿宋" w:hAnsi="仿宋" w:eastAsia="仿宋" w:cs="仿宋"/>
          <w:snapToGrid w:val="0"/>
          <w:color w:val="000000"/>
          <w:spacing w:val="-2"/>
          <w:kern w:val="0"/>
          <w:sz w:val="28"/>
          <w:szCs w:val="28"/>
          <w:highlight w:val="none"/>
          <w:lang w:val="en-US" w:eastAsia="en-US" w:bidi="ar-SA"/>
        </w:rPr>
      </w:pPr>
      <w:r>
        <w:rPr>
          <w:rFonts w:ascii="仿宋" w:hAnsi="仿宋" w:eastAsia="仿宋" w:cs="仿宋"/>
          <w:snapToGrid w:val="0"/>
          <w:color w:val="000000"/>
          <w:spacing w:val="-2"/>
          <w:kern w:val="0"/>
          <w:sz w:val="28"/>
          <w:szCs w:val="28"/>
          <w:highlight w:val="none"/>
          <w:lang w:val="en-US" w:eastAsia="en-US" w:bidi="ar-SA"/>
        </w:rPr>
        <w:t>2.评分表评分表</w:t>
      </w:r>
    </w:p>
    <w:p w14:paraId="30BE5CCB">
      <w:pPr>
        <w:spacing w:before="114"/>
        <w:rPr>
          <w:highlight w:val="none"/>
        </w:rPr>
      </w:pPr>
    </w:p>
    <w:tbl>
      <w:tblPr>
        <w:tblStyle w:val="10"/>
        <w:tblW w:w="99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4"/>
        <w:gridCol w:w="2721"/>
        <w:gridCol w:w="4573"/>
        <w:gridCol w:w="1218"/>
      </w:tblGrid>
      <w:tr w14:paraId="4DF27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906" w:type="dxa"/>
            <w:gridSpan w:val="4"/>
            <w:tcBorders>
              <w:tl2br w:val="single" w:color="000000" w:sz="2" w:space="0"/>
            </w:tcBorders>
            <w:vAlign w:val="top"/>
          </w:tcPr>
          <w:p w14:paraId="73256364">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供应商名称</w:t>
            </w:r>
          </w:p>
          <w:p w14:paraId="1032E81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评分项及分值</w:t>
            </w:r>
          </w:p>
        </w:tc>
      </w:tr>
      <w:tr w14:paraId="72BCD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688" w:type="dxa"/>
            <w:gridSpan w:val="3"/>
            <w:vAlign w:val="top"/>
          </w:tcPr>
          <w:p w14:paraId="54131AE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评分项</w:t>
            </w:r>
          </w:p>
        </w:tc>
        <w:tc>
          <w:tcPr>
            <w:tcW w:w="1218" w:type="dxa"/>
            <w:vAlign w:val="top"/>
          </w:tcPr>
          <w:p w14:paraId="0EFCF49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分值标准</w:t>
            </w:r>
          </w:p>
        </w:tc>
      </w:tr>
      <w:tr w14:paraId="11F74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8" w:hRule="atLeast"/>
        </w:trPr>
        <w:tc>
          <w:tcPr>
            <w:tcW w:w="1394" w:type="dxa"/>
            <w:vAlign w:val="top"/>
          </w:tcPr>
          <w:p w14:paraId="6CD6D91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6E7DA3D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10A0DD3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03DFEB96">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03C854B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7D4F240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5A79C6B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612ADB6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3AEAA16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590661F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214F8951">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4695CDB1">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价格分</w:t>
            </w:r>
          </w:p>
          <w:p w14:paraId="231C1A9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（30分）</w:t>
            </w:r>
          </w:p>
        </w:tc>
        <w:tc>
          <w:tcPr>
            <w:tcW w:w="7294" w:type="dxa"/>
            <w:gridSpan w:val="2"/>
            <w:vAlign w:val="top"/>
          </w:tcPr>
          <w:p w14:paraId="71584EA4">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满足竞争性磋商文件要求且价格最低的磋商报价为磋商基准价，其报价分为满分。其他有效供应商报价分统一按照下列公式计算：</w:t>
            </w:r>
          </w:p>
          <w:p w14:paraId="5EBD4654">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磋商报价得分=（磋商基准价/最后磋商报价）×30%×100。</w:t>
            </w:r>
          </w:p>
          <w:p w14:paraId="29AE0AB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注：（1）二次报价为最终评审依据，二次报价不得高于一次报价。</w:t>
            </w:r>
          </w:p>
          <w:p w14:paraId="0B24BF81">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①在评审过程中，供应商报价明显低于其他有效供应商的报价，有可能影响产品质量或者不能诚信履约的，评标委员会应当要求其在评审现场合理的时间（20分钟）内提供书面说明，并提交相关证明材料，供应商不能证明其报价合理性的，评标委员会应当将其投标作无效投标处理。②供应商的书面说明材料应当按照国家财务会计制度的规定要求，逐项就供应商提供的货物、工程和服务的主营业务成本、税金及附加、销售费用、管理费用、财务费用等成本构成事项详细陈述。③供应商书面说明应当签字确认并加盖公章，否则无效。书面说明的签字确认，由其法定代表人或者其授权代表签字确认。④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标委员会应当将其投标作无效投标处理。</w:t>
            </w:r>
          </w:p>
          <w:p w14:paraId="1C1EC88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（3）本项目专门面向中小微企业采购，不再执行价格扣除。</w:t>
            </w:r>
          </w:p>
        </w:tc>
        <w:tc>
          <w:tcPr>
            <w:tcW w:w="1218" w:type="dxa"/>
            <w:vAlign w:val="top"/>
          </w:tcPr>
          <w:p w14:paraId="71BBD3F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6880C3FA">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1BED8BC1">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04B99B0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1464E5C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2521A33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767176A8">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6EE3AC4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3ED3DD9A">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75D57C86">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3F3A6E46">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28C1666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0-30分</w:t>
            </w:r>
          </w:p>
        </w:tc>
      </w:tr>
      <w:tr w14:paraId="11180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7" w:hRule="atLeast"/>
        </w:trPr>
        <w:tc>
          <w:tcPr>
            <w:tcW w:w="1394" w:type="dxa"/>
            <w:vMerge w:val="restart"/>
            <w:tcBorders>
              <w:bottom w:val="nil"/>
            </w:tcBorders>
            <w:vAlign w:val="top"/>
          </w:tcPr>
          <w:p w14:paraId="1A9374CA">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0DFE0C4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5559A361">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6FC4E38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48ED2F3A">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p w14:paraId="50F1609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技术部分（45分）</w:t>
            </w:r>
          </w:p>
        </w:tc>
        <w:tc>
          <w:tcPr>
            <w:tcW w:w="2721" w:type="dxa"/>
            <w:vAlign w:val="center"/>
          </w:tcPr>
          <w:p w14:paraId="08118F4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实施方案</w:t>
            </w:r>
          </w:p>
        </w:tc>
        <w:tc>
          <w:tcPr>
            <w:tcW w:w="4573" w:type="dxa"/>
            <w:vAlign w:val="top"/>
          </w:tcPr>
          <w:p w14:paraId="3179A194">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针对本项目编制实施方案，包括质量保证措施、进度保证措施、重点难点的管理措施，磋商小组根据各供应商 </w:t>
            </w:r>
          </w:p>
          <w:p w14:paraId="57987484">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提供的方案独立评审。 </w:t>
            </w:r>
          </w:p>
          <w:p w14:paraId="1FD7032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方案科学合理，内容详细，措施充分： </w:t>
            </w:r>
          </w:p>
          <w:p w14:paraId="0AC8BBA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1. 方案完善，可行性强，满足并优于采购要求，得 12-15 分； </w:t>
            </w:r>
          </w:p>
          <w:p w14:paraId="7CB95511">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2.方案完整，具有合理性，内容较详细，措施合理，可行性较好，达到采购要求的，得 8-11 分； </w:t>
            </w:r>
          </w:p>
          <w:p w14:paraId="632B635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3.方案内容一般，欠合理，内容不够详细，措施不完善，可行性不够强，仅有部分能达到采购要求的，得 4-8 分； </w:t>
            </w:r>
          </w:p>
          <w:p w14:paraId="0977491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4.方案内容较差，不合理，内容欠缺，措施不完善，无可行性，基本不能满足采购要求的，得 1-3 分； </w:t>
            </w:r>
          </w:p>
          <w:p w14:paraId="4E473C0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5.缺项或不提供方案内容不得分。</w:t>
            </w:r>
          </w:p>
        </w:tc>
        <w:tc>
          <w:tcPr>
            <w:tcW w:w="1218" w:type="dxa"/>
            <w:vAlign w:val="center"/>
          </w:tcPr>
          <w:p w14:paraId="71846A7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0-15分</w:t>
            </w:r>
          </w:p>
        </w:tc>
      </w:tr>
      <w:tr w14:paraId="156F0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4" w:hRule="atLeast"/>
        </w:trPr>
        <w:tc>
          <w:tcPr>
            <w:tcW w:w="1394" w:type="dxa"/>
            <w:vMerge w:val="continue"/>
            <w:tcBorders>
              <w:top w:val="nil"/>
              <w:bottom w:val="nil"/>
            </w:tcBorders>
            <w:vAlign w:val="top"/>
          </w:tcPr>
          <w:p w14:paraId="4F7AB821">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tc>
        <w:tc>
          <w:tcPr>
            <w:tcW w:w="2721" w:type="dxa"/>
            <w:vAlign w:val="center"/>
          </w:tcPr>
          <w:p w14:paraId="14680BAA">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运输方案</w:t>
            </w:r>
          </w:p>
        </w:tc>
        <w:tc>
          <w:tcPr>
            <w:tcW w:w="4573" w:type="dxa"/>
            <w:vAlign w:val="top"/>
          </w:tcPr>
          <w:p w14:paraId="3DBDD3D1">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磋商小组根据供应商提供的货物运输方案进行独立评审： </w:t>
            </w:r>
          </w:p>
          <w:p w14:paraId="3FE66DB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1.运输方案的明确性、针对性、可行性、有效性等，非常有利于项目的实施，得 12-15 分； </w:t>
            </w:r>
          </w:p>
          <w:p w14:paraId="150D9BDA">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2.运输方案的明确性、针对性、可行性、有效性，能够保证本项目实施，得 8-11 分； </w:t>
            </w:r>
          </w:p>
          <w:p w14:paraId="378DD2E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3.运输方案的明确性、针对性、可行性、有效性欠缺，内容不全面，但基本能够保证本项目实施，得 4-7分； </w:t>
            </w:r>
          </w:p>
          <w:p w14:paraId="082264DA">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4.运输方案的明确性、针对性、可行性、有效性等，不有利于项目的实施的，得 1-3 分； </w:t>
            </w:r>
          </w:p>
          <w:p w14:paraId="746F91C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5.缺项或不提供方案内容不得分。</w:t>
            </w:r>
          </w:p>
        </w:tc>
        <w:tc>
          <w:tcPr>
            <w:tcW w:w="1218" w:type="dxa"/>
            <w:vAlign w:val="center"/>
          </w:tcPr>
          <w:p w14:paraId="506945A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0-15分</w:t>
            </w:r>
          </w:p>
        </w:tc>
      </w:tr>
      <w:tr w14:paraId="1E758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1394" w:type="dxa"/>
            <w:vMerge w:val="continue"/>
            <w:tcBorders>
              <w:top w:val="nil"/>
            </w:tcBorders>
            <w:vAlign w:val="top"/>
          </w:tcPr>
          <w:p w14:paraId="420613B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tc>
        <w:tc>
          <w:tcPr>
            <w:tcW w:w="2721" w:type="dxa"/>
            <w:vMerge w:val="restart"/>
            <w:vAlign w:val="center"/>
          </w:tcPr>
          <w:p w14:paraId="7F6BC02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default"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售后服务方案</w:t>
            </w:r>
          </w:p>
        </w:tc>
        <w:tc>
          <w:tcPr>
            <w:tcW w:w="4573" w:type="dxa"/>
            <w:vMerge w:val="restart"/>
            <w:vAlign w:val="top"/>
          </w:tcPr>
          <w:p w14:paraId="74232C63">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磋商小组根据供应商提供的售后服务案方案（包含但不限于服务人员安排及计划、响应及解决方案等）进行独 </w:t>
            </w:r>
          </w:p>
          <w:p w14:paraId="73A37B9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立评审： </w:t>
            </w:r>
          </w:p>
          <w:p w14:paraId="6949C9F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1.方案内容完整，人员安排合理，响应时间及时，解决方案可实施性强，满足采购人需求的得 12-15 分； </w:t>
            </w:r>
          </w:p>
          <w:p w14:paraId="2D26DDA1">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2.方案内容基本完整，响应时间及解决方案基本能满足采购人需求的得 8-11 分； </w:t>
            </w:r>
          </w:p>
          <w:p w14:paraId="13BDA343">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3.方案内容，响应时间及解决方案可实施性、针对性差的得 4-7 分； </w:t>
            </w:r>
          </w:p>
          <w:p w14:paraId="18A9C5F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4.方案内容，响应时间毫无针对性的不得 1-3 分。 </w:t>
            </w:r>
          </w:p>
          <w:p w14:paraId="6FF50E6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5.缺项或不提供方案内容不得分。</w:t>
            </w:r>
          </w:p>
        </w:tc>
        <w:tc>
          <w:tcPr>
            <w:tcW w:w="1218" w:type="dxa"/>
            <w:vMerge w:val="restart"/>
            <w:vAlign w:val="center"/>
          </w:tcPr>
          <w:p w14:paraId="6A3DABB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0-15分</w:t>
            </w:r>
          </w:p>
        </w:tc>
      </w:tr>
      <w:tr w14:paraId="08F22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8" w:hRule="atLeast"/>
        </w:trPr>
        <w:tc>
          <w:tcPr>
            <w:tcW w:w="1394" w:type="dxa"/>
            <w:vMerge w:val="restart"/>
            <w:tcBorders>
              <w:bottom w:val="nil"/>
            </w:tcBorders>
            <w:vAlign w:val="top"/>
          </w:tcPr>
          <w:p w14:paraId="2194568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tc>
        <w:tc>
          <w:tcPr>
            <w:tcW w:w="2721" w:type="dxa"/>
            <w:vMerge w:val="continue"/>
            <w:vAlign w:val="center"/>
          </w:tcPr>
          <w:p w14:paraId="6C01C574">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tc>
        <w:tc>
          <w:tcPr>
            <w:tcW w:w="4573" w:type="dxa"/>
            <w:vMerge w:val="continue"/>
            <w:vAlign w:val="top"/>
          </w:tcPr>
          <w:p w14:paraId="23A67600">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tc>
        <w:tc>
          <w:tcPr>
            <w:tcW w:w="1218" w:type="dxa"/>
            <w:vMerge w:val="continue"/>
            <w:vAlign w:val="center"/>
          </w:tcPr>
          <w:p w14:paraId="1F7B5440">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tc>
      </w:tr>
      <w:tr w14:paraId="61F7B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394" w:type="dxa"/>
            <w:vMerge w:val="continue"/>
            <w:tcBorders>
              <w:top w:val="nil"/>
            </w:tcBorders>
            <w:vAlign w:val="top"/>
          </w:tcPr>
          <w:p w14:paraId="39C5EBD4">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p>
        </w:tc>
        <w:tc>
          <w:tcPr>
            <w:tcW w:w="8512" w:type="dxa"/>
            <w:gridSpan w:val="3"/>
            <w:vAlign w:val="top"/>
          </w:tcPr>
          <w:p w14:paraId="568019C1">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注：技术方案总页数不得超过200页，每超过1页扣1分，扣完40分为止；</w:t>
            </w:r>
          </w:p>
        </w:tc>
      </w:tr>
      <w:tr w14:paraId="1BA5E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7" w:hRule="atLeast"/>
        </w:trPr>
        <w:tc>
          <w:tcPr>
            <w:tcW w:w="1394" w:type="dxa"/>
            <w:vMerge w:val="restart"/>
            <w:vAlign w:val="center"/>
          </w:tcPr>
          <w:p w14:paraId="18A800A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商务部分（</w:t>
            </w:r>
            <w:r>
              <w:rPr>
                <w:rFonts w:hint="eastAsia" w:ascii="仿宋" w:hAnsi="仿宋" w:eastAsia="仿宋" w:cs="仿宋"/>
                <w:spacing w:val="-2"/>
                <w:kern w:val="2"/>
                <w:position w:val="6"/>
                <w:sz w:val="28"/>
                <w:szCs w:val="28"/>
                <w:highlight w:val="none"/>
                <w:lang w:val="en-US" w:eastAsia="zh-CN" w:bidi="ar-SA"/>
              </w:rPr>
              <w:t>20</w:t>
            </w:r>
            <w:r>
              <w:rPr>
                <w:rFonts w:hint="eastAsia" w:ascii="仿宋" w:hAnsi="仿宋" w:eastAsia="仿宋" w:cs="仿宋"/>
                <w:spacing w:val="-2"/>
                <w:kern w:val="2"/>
                <w:position w:val="6"/>
                <w:sz w:val="28"/>
                <w:szCs w:val="28"/>
                <w:highlight w:val="none"/>
                <w:lang w:val="en-US" w:eastAsia="en-US" w:bidi="ar-SA"/>
              </w:rPr>
              <w:t>分）</w:t>
            </w:r>
          </w:p>
        </w:tc>
        <w:tc>
          <w:tcPr>
            <w:tcW w:w="2721" w:type="dxa"/>
            <w:vAlign w:val="center"/>
          </w:tcPr>
          <w:p w14:paraId="23E7C6C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产品技术参数</w:t>
            </w:r>
          </w:p>
          <w:p w14:paraId="139A306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p>
        </w:tc>
        <w:tc>
          <w:tcPr>
            <w:tcW w:w="4573" w:type="dxa"/>
            <w:vAlign w:val="top"/>
          </w:tcPr>
          <w:p w14:paraId="609E224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供应商根据货物清单及技术参数要求，如实填写技术偏离表，产品全部满足相应参数要求的，得10分。 </w:t>
            </w:r>
          </w:p>
          <w:p w14:paraId="106CFBA3">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其中，有一项不满足的，扣 1 分，直到扣完为止，供应商不得虚假响应。采购人在验收时将对各产品逐一验证，与供应商所响应产品不符的，将取消成交资格，给采购人造成损失 </w:t>
            </w:r>
          </w:p>
          <w:p w14:paraId="462E78E3">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zh-CN" w:bidi="ar-SA"/>
              </w:rPr>
              <w:t>的还将承担相应的法律责任及赔偿责任。</w:t>
            </w:r>
          </w:p>
        </w:tc>
        <w:tc>
          <w:tcPr>
            <w:tcW w:w="1218" w:type="dxa"/>
            <w:vAlign w:val="center"/>
          </w:tcPr>
          <w:p w14:paraId="762C9E9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zh-CN" w:bidi="ar-SA"/>
              </w:rPr>
              <w:t>10</w:t>
            </w:r>
            <w:r>
              <w:rPr>
                <w:rFonts w:hint="eastAsia" w:ascii="仿宋" w:hAnsi="仿宋" w:eastAsia="仿宋" w:cs="仿宋"/>
                <w:spacing w:val="-2"/>
                <w:kern w:val="2"/>
                <w:position w:val="6"/>
                <w:sz w:val="28"/>
                <w:szCs w:val="28"/>
                <w:highlight w:val="none"/>
                <w:lang w:val="en-US" w:eastAsia="en-US" w:bidi="ar-SA"/>
              </w:rPr>
              <w:t>分</w:t>
            </w:r>
          </w:p>
        </w:tc>
      </w:tr>
      <w:tr w14:paraId="03C05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1394" w:type="dxa"/>
            <w:vMerge w:val="continue"/>
            <w:vAlign w:val="top"/>
          </w:tcPr>
          <w:p w14:paraId="1B13D266">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p>
        </w:tc>
        <w:tc>
          <w:tcPr>
            <w:tcW w:w="2721" w:type="dxa"/>
            <w:vAlign w:val="center"/>
          </w:tcPr>
          <w:p w14:paraId="53D9C8E8">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响应承诺</w:t>
            </w:r>
          </w:p>
          <w:p w14:paraId="4098E85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p>
        </w:tc>
        <w:tc>
          <w:tcPr>
            <w:tcW w:w="4573" w:type="dxa"/>
            <w:vAlign w:val="top"/>
          </w:tcPr>
          <w:p w14:paraId="37A49C2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接采购人通知，供应商在＜2 小时响应并解决采购人相应问题得 5 分；2 小时≤响应时间＜4 小时得 3 分；4 小时≤响应时间＜8 小时得 1</w:t>
            </w:r>
            <w:bookmarkStart w:id="0" w:name="_GoBack"/>
            <w:bookmarkEnd w:id="0"/>
            <w:r>
              <w:rPr>
                <w:rFonts w:hint="eastAsia" w:ascii="仿宋" w:hAnsi="仿宋" w:eastAsia="仿宋" w:cs="仿宋"/>
                <w:spacing w:val="-2"/>
                <w:kern w:val="2"/>
                <w:position w:val="6"/>
                <w:sz w:val="28"/>
                <w:szCs w:val="28"/>
                <w:highlight w:val="none"/>
                <w:lang w:val="en-US" w:eastAsia="zh-CN" w:bidi="ar-SA"/>
              </w:rPr>
              <w:t xml:space="preserve"> 分；响应时间≥8 或小时未提供响应时间承诺不得分。 </w:t>
            </w:r>
          </w:p>
          <w:p w14:paraId="6B7818C3">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zh-CN" w:bidi="ar-SA"/>
              </w:rPr>
              <w:t>注：供应商根据实际情况，自行承诺并盖章，格式自拟。</w:t>
            </w:r>
          </w:p>
        </w:tc>
        <w:tc>
          <w:tcPr>
            <w:tcW w:w="1218" w:type="dxa"/>
            <w:vAlign w:val="center"/>
          </w:tcPr>
          <w:p w14:paraId="64C6922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zh-CN" w:bidi="ar-SA"/>
              </w:rPr>
              <w:t>5</w:t>
            </w:r>
            <w:r>
              <w:rPr>
                <w:rFonts w:hint="eastAsia" w:ascii="仿宋" w:hAnsi="仿宋" w:eastAsia="仿宋" w:cs="仿宋"/>
                <w:spacing w:val="-2"/>
                <w:kern w:val="2"/>
                <w:position w:val="6"/>
                <w:sz w:val="28"/>
                <w:szCs w:val="28"/>
                <w:highlight w:val="none"/>
                <w:lang w:val="en-US" w:eastAsia="en-US" w:bidi="ar-SA"/>
              </w:rPr>
              <w:t>分</w:t>
            </w:r>
          </w:p>
        </w:tc>
      </w:tr>
      <w:tr w14:paraId="4F159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394" w:type="dxa"/>
            <w:vMerge w:val="continue"/>
            <w:vAlign w:val="top"/>
          </w:tcPr>
          <w:p w14:paraId="5CF6903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p>
        </w:tc>
        <w:tc>
          <w:tcPr>
            <w:tcW w:w="2721" w:type="dxa"/>
            <w:vAlign w:val="center"/>
          </w:tcPr>
          <w:p w14:paraId="4F3475D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项目负责人</w:t>
            </w:r>
          </w:p>
          <w:p w14:paraId="3876136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p>
        </w:tc>
        <w:tc>
          <w:tcPr>
            <w:tcW w:w="4573" w:type="dxa"/>
            <w:vAlign w:val="top"/>
          </w:tcPr>
          <w:p w14:paraId="31C57CA1">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供应商拟派 1 名本项目负责人得 5 分。 </w:t>
            </w:r>
          </w:p>
          <w:p w14:paraId="385BF288">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 xml:space="preserve">注：提供身份证复印件、供应商为其缴纳社保证明（2025年至提交响应文件截止日前任意一个月社保）复印件加盖公章为佐证资料或提供劳动合同证明材料复印件加盖公章。 </w:t>
            </w:r>
          </w:p>
          <w:p w14:paraId="4FCF190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zh-CN" w:bidi="ar-SA"/>
              </w:rPr>
              <w:t>缺项或不提供不得分。</w:t>
            </w:r>
          </w:p>
        </w:tc>
        <w:tc>
          <w:tcPr>
            <w:tcW w:w="1218" w:type="dxa"/>
            <w:vAlign w:val="center"/>
          </w:tcPr>
          <w:p w14:paraId="6D837B7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r>
              <w:rPr>
                <w:rFonts w:hint="eastAsia" w:ascii="仿宋" w:hAnsi="仿宋" w:eastAsia="仿宋" w:cs="仿宋"/>
                <w:spacing w:val="-2"/>
                <w:kern w:val="2"/>
                <w:position w:val="6"/>
                <w:sz w:val="28"/>
                <w:szCs w:val="28"/>
                <w:highlight w:val="none"/>
                <w:lang w:val="en-US" w:eastAsia="en-US" w:bidi="ar-SA"/>
              </w:rPr>
              <w:t>5分</w:t>
            </w:r>
          </w:p>
        </w:tc>
      </w:tr>
      <w:tr w14:paraId="262C3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394" w:type="dxa"/>
            <w:vAlign w:val="center"/>
          </w:tcPr>
          <w:p w14:paraId="77265C9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其他（5分）</w:t>
            </w:r>
          </w:p>
          <w:p w14:paraId="27D2B641">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p>
        </w:tc>
        <w:tc>
          <w:tcPr>
            <w:tcW w:w="2721" w:type="dxa"/>
            <w:vAlign w:val="center"/>
          </w:tcPr>
          <w:p w14:paraId="5F3ADEE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投标文件的符合性和完整性</w:t>
            </w:r>
          </w:p>
          <w:p w14:paraId="50DB529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en-US" w:bidi="ar-SA"/>
              </w:rPr>
            </w:pPr>
          </w:p>
        </w:tc>
        <w:tc>
          <w:tcPr>
            <w:tcW w:w="4573" w:type="dxa"/>
            <w:vAlign w:val="center"/>
          </w:tcPr>
          <w:p w14:paraId="3828E14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《投标文件》是否编制规范、标注清楚、目录详尽、内容完整、叙述准确、文字简练、针对性强以及方案合理的得 0～5 分。每错误 1 处或涂改 1 处扣 1 分，扣完为止。</w:t>
            </w:r>
          </w:p>
        </w:tc>
        <w:tc>
          <w:tcPr>
            <w:tcW w:w="1218" w:type="dxa"/>
            <w:vAlign w:val="center"/>
          </w:tcPr>
          <w:p w14:paraId="4ED1A4B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default"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5分</w:t>
            </w:r>
          </w:p>
        </w:tc>
      </w:tr>
      <w:tr w14:paraId="7DBEB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688" w:type="dxa"/>
            <w:gridSpan w:val="3"/>
            <w:vAlign w:val="top"/>
          </w:tcPr>
          <w:p w14:paraId="3B866398">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得分</w:t>
            </w:r>
          </w:p>
        </w:tc>
        <w:tc>
          <w:tcPr>
            <w:tcW w:w="1218" w:type="dxa"/>
            <w:vAlign w:val="top"/>
          </w:tcPr>
          <w:p w14:paraId="3C2EF83A">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highlight w:val="none"/>
                <w:lang w:val="en-US" w:eastAsia="zh-CN" w:bidi="ar-SA"/>
              </w:rPr>
            </w:pPr>
            <w:r>
              <w:rPr>
                <w:rFonts w:hint="eastAsia" w:ascii="仿宋" w:hAnsi="仿宋" w:eastAsia="仿宋" w:cs="仿宋"/>
                <w:spacing w:val="-2"/>
                <w:kern w:val="2"/>
                <w:position w:val="6"/>
                <w:sz w:val="28"/>
                <w:szCs w:val="28"/>
                <w:highlight w:val="none"/>
                <w:lang w:val="en-US" w:eastAsia="zh-CN" w:bidi="ar-SA"/>
              </w:rPr>
              <w:t>100分</w:t>
            </w:r>
          </w:p>
        </w:tc>
      </w:tr>
    </w:tbl>
    <w:p w14:paraId="463AFB36">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default" w:ascii="仿宋" w:hAnsi="仿宋" w:eastAsia="仿宋" w:cs="仿宋"/>
          <w:spacing w:val="-2"/>
          <w:position w:val="6"/>
          <w:sz w:val="28"/>
          <w:szCs w:val="28"/>
          <w:highlight w:val="none"/>
          <w:lang w:val="en-US" w:eastAsia="zh-CN"/>
        </w:rPr>
      </w:pPr>
      <w:r>
        <w:rPr>
          <w:rFonts w:hint="default" w:ascii="仿宋" w:hAnsi="仿宋" w:eastAsia="仿宋" w:cs="仿宋"/>
          <w:spacing w:val="-2"/>
          <w:position w:val="6"/>
          <w:sz w:val="28"/>
          <w:szCs w:val="28"/>
          <w:highlight w:val="none"/>
          <w:lang w:val="en-US" w:eastAsia="zh-CN"/>
        </w:rPr>
        <w:t>注：除竞争性磋商文件作出的具体规定外，投标供应商须根据自身情况提供与评分标准有关的证明材料供磋商小组进行综合评审。</w:t>
      </w:r>
    </w:p>
    <w:p w14:paraId="2EA60211">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default" w:ascii="仿宋" w:hAnsi="仿宋" w:eastAsia="仿宋" w:cs="仿宋"/>
          <w:spacing w:val="-2"/>
          <w:position w:val="6"/>
          <w:sz w:val="28"/>
          <w:szCs w:val="28"/>
          <w:highlight w:val="none"/>
          <w:lang w:val="en-US" w:eastAsia="zh-CN"/>
        </w:rPr>
      </w:pPr>
    </w:p>
    <w:sectPr>
      <w:footerReference r:id="rId6"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88290">
    <w:pPr>
      <w:spacing w:line="176" w:lineRule="auto"/>
      <w:ind w:left="4512"/>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3D970">
    <w:pPr>
      <w:spacing w:line="174" w:lineRule="auto"/>
      <w:ind w:left="4988"/>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8D9FA">
    <w:pPr>
      <w:spacing w:line="174" w:lineRule="auto"/>
      <w:ind w:left="5013"/>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EB73B">
    <w:pPr>
      <w:spacing w:line="174" w:lineRule="auto"/>
      <w:ind w:left="5008"/>
      <w:rPr>
        <w:rFonts w:ascii="Times New Roman" w:hAnsi="Times New Roman" w:eastAsia="Times New Roman" w:cs="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C35B6"/>
    <w:multiLevelType w:val="singleLevel"/>
    <w:tmpl w:val="C02C35B6"/>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M2U1ZWUxOWQwMTEyMDliNjY5OWE2YmVhMDA3YjQifQ=="/>
  </w:docVars>
  <w:rsids>
    <w:rsidRoot w:val="788D7BA6"/>
    <w:rsid w:val="00292BAB"/>
    <w:rsid w:val="06E51AC0"/>
    <w:rsid w:val="0A826D29"/>
    <w:rsid w:val="0F017522"/>
    <w:rsid w:val="10604293"/>
    <w:rsid w:val="13055E1B"/>
    <w:rsid w:val="13A73595"/>
    <w:rsid w:val="14C9355F"/>
    <w:rsid w:val="223C3782"/>
    <w:rsid w:val="231C18CE"/>
    <w:rsid w:val="2AE543C2"/>
    <w:rsid w:val="383B4C4E"/>
    <w:rsid w:val="3B781D15"/>
    <w:rsid w:val="3C3A3DC4"/>
    <w:rsid w:val="4D376F4B"/>
    <w:rsid w:val="502F137B"/>
    <w:rsid w:val="506F13B4"/>
    <w:rsid w:val="55CC363C"/>
    <w:rsid w:val="68715AFA"/>
    <w:rsid w:val="6BB5616E"/>
    <w:rsid w:val="73E402A2"/>
    <w:rsid w:val="788D7BA6"/>
    <w:rsid w:val="7A690416"/>
    <w:rsid w:val="7B030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ahoma" w:hAnsi="Tahoma"/>
      <w:szCs w:val="24"/>
    </w:rPr>
  </w:style>
  <w:style w:type="paragraph" w:styleId="3">
    <w:name w:val="Body Text"/>
    <w:basedOn w:val="1"/>
    <w:autoRedefine/>
    <w:semiHidden/>
    <w:qFormat/>
    <w:uiPriority w:val="0"/>
    <w:rPr>
      <w:rFonts w:ascii="宋体" w:hAnsi="宋体" w:eastAsia="宋体" w:cs="宋体"/>
      <w:sz w:val="28"/>
      <w:szCs w:val="2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TML Sample"/>
    <w:basedOn w:val="6"/>
    <w:qFormat/>
    <w:uiPriority w:val="0"/>
    <w:rPr>
      <w:rFonts w:ascii="Courier New" w:hAnsi="Courier New"/>
    </w:rPr>
  </w:style>
  <w:style w:type="paragraph" w:customStyle="1" w:styleId="8">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9">
    <w:name w:val="Table Text"/>
    <w:basedOn w:val="1"/>
    <w:autoRedefine/>
    <w:semiHidden/>
    <w:qFormat/>
    <w:uiPriority w:val="0"/>
    <w:rPr>
      <w:rFonts w:ascii="宋体" w:hAnsi="宋体" w:eastAsia="宋体" w:cs="宋体"/>
      <w:sz w:val="24"/>
      <w:szCs w:val="24"/>
      <w:lang w:val="en-US" w:eastAsia="en-US"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4971</Words>
  <Characters>5210</Characters>
  <Lines>0</Lines>
  <Paragraphs>0</Paragraphs>
  <TotalTime>0</TotalTime>
  <ScaleCrop>false</ScaleCrop>
  <LinksUpToDate>false</LinksUpToDate>
  <CharactersWithSpaces>5286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2024-04-01T06:04:00Z</dcterms:created>
  <dc:creator>Administrator</dc:creator>
  <cp:lastModifiedBy>Administrator</cp:lastModifiedBy>
  <dcterms:modified xsi:type="dcterms:W3CDTF">2025-08-05T09:29:51Z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7A42CCDD17D34764B5897F2544FCF25D_11</vt:lpwstr>
  </property>
  <property fmtid="{D5CDD505-2E9C-101B-9397-08002B2CF9AE}" pid="4" name="KSOTemplateDocerSaveRecord">
    <vt:lpwstr>eyJoZGlkIjoiNmVjM2U1ZWUxOWQwMTEyMDliNjY5OWE2YmVhMDA3YjQiLCJ1c2VySWQiOiIyMTM4Mjk0ODUifQ==</vt:lpwstr>
  </property>
</Properties>
</file>