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2E3C7">
      <w:pPr>
        <w:pStyle w:val="8"/>
        <w:jc w:val="center"/>
        <w:rPr>
          <w:rFonts w:hint="eastAsia" w:ascii="宋体" w:hAnsi="宋体" w:eastAsia="宋体" w:cs="宋体"/>
          <w:b/>
          <w:bCs/>
          <w:color w:val="auto"/>
          <w:sz w:val="40"/>
          <w:szCs w:val="40"/>
          <w:highlight w:val="none"/>
          <w:lang w:val="en-US" w:eastAsia="zh-CN" w:bidi="zh-CN"/>
        </w:rPr>
      </w:pPr>
      <w:r>
        <w:rPr>
          <w:rFonts w:hint="eastAsia" w:ascii="宋体" w:hAnsi="宋体" w:eastAsia="宋体" w:cs="宋体"/>
          <w:b/>
          <w:bCs/>
          <w:color w:val="auto"/>
          <w:sz w:val="40"/>
          <w:szCs w:val="40"/>
          <w:highlight w:val="none"/>
          <w:lang w:val="en-US" w:eastAsia="zh-CN" w:bidi="zh-CN"/>
        </w:rPr>
        <w:t>赤水市文华街道“四在农家·和美乡村”项目</w:t>
      </w:r>
    </w:p>
    <w:p w14:paraId="27D54DF0">
      <w:pPr>
        <w:pStyle w:val="8"/>
        <w:jc w:val="center"/>
        <w:rPr>
          <w:rFonts w:hint="eastAsia" w:ascii="宋体" w:hAnsi="宋体" w:eastAsia="宋体" w:cs="宋体"/>
          <w:b/>
          <w:bCs/>
          <w:color w:val="auto"/>
          <w:sz w:val="40"/>
          <w:szCs w:val="40"/>
          <w:highlight w:val="none"/>
          <w:lang w:val="en-US" w:bidi="zh-CN"/>
        </w:rPr>
      </w:pPr>
      <w:r>
        <w:rPr>
          <w:rFonts w:hint="eastAsia" w:ascii="宋体" w:hAnsi="宋体" w:eastAsia="宋体" w:cs="宋体"/>
          <w:b/>
          <w:bCs/>
          <w:color w:val="auto"/>
          <w:sz w:val="40"/>
          <w:szCs w:val="40"/>
          <w:highlight w:val="none"/>
          <w:lang w:val="en-US" w:bidi="zh-CN"/>
        </w:rPr>
        <w:t>采购需求公示</w:t>
      </w:r>
    </w:p>
    <w:p w14:paraId="3E20B71A">
      <w:pPr>
        <w:pStyle w:val="8"/>
        <w:jc w:val="both"/>
        <w:rPr>
          <w:rFonts w:hint="eastAsia" w:ascii="宋体" w:hAnsi="宋体" w:eastAsia="宋体" w:cs="宋体"/>
          <w:b/>
          <w:bCs/>
          <w:color w:val="auto"/>
          <w:sz w:val="40"/>
          <w:szCs w:val="40"/>
          <w:highlight w:val="none"/>
          <w:lang w:val="en-US" w:bidi="zh-CN"/>
        </w:rPr>
      </w:pPr>
      <w:r>
        <w:rPr>
          <w:rFonts w:hint="eastAsia" w:cs="宋体"/>
          <w:b/>
          <w:bCs/>
          <w:color w:val="auto"/>
          <w:sz w:val="40"/>
          <w:szCs w:val="40"/>
          <w:highlight w:val="none"/>
          <w:lang w:val="en-US" w:eastAsia="zh-CN" w:bidi="zh-CN"/>
        </w:rPr>
        <w:t>一、</w:t>
      </w:r>
      <w:r>
        <w:rPr>
          <w:rFonts w:hint="eastAsia" w:ascii="宋体" w:hAnsi="宋体" w:eastAsia="宋体" w:cs="宋体"/>
          <w:b/>
          <w:bCs/>
          <w:color w:val="auto"/>
          <w:sz w:val="40"/>
          <w:szCs w:val="40"/>
          <w:highlight w:val="none"/>
          <w:lang w:val="en-US" w:eastAsia="zh-CN" w:bidi="zh-CN"/>
        </w:rPr>
        <w:t>项目基本信息</w:t>
      </w:r>
    </w:p>
    <w:p w14:paraId="1DD8DA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一、项目基本情况</w:t>
      </w:r>
    </w:p>
    <w:p w14:paraId="4F8BA0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项目编号：</w:t>
      </w: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"https://www.guizhou.zcygov.cn/project-center/project-result-detail/7190996814530858148?utm=web-project-center-front.54583802.0.0.46c403802d1c11efbf59696e3dfeeada" </w:instrText>
      </w:r>
      <w:r>
        <w:rPr>
          <w:rFonts w:ascii="仿宋" w:hAnsi="仿宋" w:eastAsia="仿宋" w:cs="仿宋"/>
          <w:spacing w:val="-2"/>
          <w:position w:val="6"/>
          <w:sz w:val="28"/>
          <w:szCs w:val="28"/>
        </w:rPr>
        <w:fldChar w:fldCharType="separate"/>
      </w:r>
      <w:r>
        <w:rPr>
          <w:rFonts w:hint="eastAsia" w:ascii="仿宋" w:hAnsi="仿宋" w:eastAsia="仿宋" w:cs="仿宋"/>
          <w:spacing w:val="-2"/>
          <w:position w:val="6"/>
          <w:sz w:val="28"/>
          <w:szCs w:val="28"/>
          <w:lang w:eastAsia="zh-CN"/>
        </w:rPr>
        <w:t>GZJZ-ZY-2025-026</w:t>
      </w:r>
      <w:r>
        <w:rPr>
          <w:rFonts w:ascii="仿宋" w:hAnsi="仿宋" w:eastAsia="仿宋" w:cs="仿宋"/>
          <w:spacing w:val="-2"/>
          <w:position w:val="6"/>
          <w:sz w:val="28"/>
          <w:szCs w:val="28"/>
        </w:rPr>
        <w:fldChar w:fldCharType="end"/>
      </w:r>
    </w:p>
    <w:p w14:paraId="549D3F9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项目名称：</w:t>
      </w:r>
      <w:r>
        <w:rPr>
          <w:rFonts w:hint="eastAsia" w:ascii="仿宋" w:hAnsi="仿宋" w:eastAsia="仿宋" w:cs="仿宋"/>
          <w:spacing w:val="-2"/>
          <w:position w:val="6"/>
          <w:sz w:val="28"/>
          <w:szCs w:val="28"/>
          <w:lang w:eastAsia="zh-CN"/>
        </w:rPr>
        <w:t>赤水市文华街道“四在农家·和美乡村”项目</w:t>
      </w:r>
    </w:p>
    <w:p w14:paraId="02FF47C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采购方式：竞争性磋商</w:t>
      </w:r>
    </w:p>
    <w:p w14:paraId="4B4BA7A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预算金额：</w:t>
      </w:r>
      <w:r>
        <w:rPr>
          <w:rFonts w:hint="eastAsia" w:ascii="仿宋" w:hAnsi="仿宋" w:eastAsia="仿宋" w:cs="仿宋"/>
          <w:spacing w:val="-2"/>
          <w:position w:val="6"/>
          <w:sz w:val="28"/>
          <w:szCs w:val="28"/>
        </w:rPr>
        <w:t>1991828.21</w:t>
      </w:r>
      <w:r>
        <w:rPr>
          <w:rFonts w:ascii="仿宋" w:hAnsi="仿宋" w:eastAsia="仿宋" w:cs="仿宋"/>
          <w:spacing w:val="-2"/>
          <w:position w:val="6"/>
          <w:sz w:val="28"/>
          <w:szCs w:val="28"/>
        </w:rPr>
        <w:t>元</w:t>
      </w:r>
      <w:bookmarkStart w:id="0" w:name="_GoBack"/>
      <w:bookmarkEnd w:id="0"/>
    </w:p>
    <w:p w14:paraId="587277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最高限价：</w:t>
      </w:r>
      <w:r>
        <w:rPr>
          <w:rFonts w:hint="eastAsia" w:ascii="仿宋" w:hAnsi="仿宋" w:eastAsia="仿宋" w:cs="仿宋"/>
          <w:spacing w:val="-2"/>
          <w:position w:val="6"/>
          <w:sz w:val="28"/>
          <w:szCs w:val="28"/>
        </w:rPr>
        <w:t>1991828.21</w:t>
      </w:r>
      <w:r>
        <w:rPr>
          <w:rFonts w:ascii="仿宋" w:hAnsi="仿宋" w:eastAsia="仿宋" w:cs="仿宋"/>
          <w:spacing w:val="-2"/>
          <w:position w:val="6"/>
          <w:sz w:val="28"/>
          <w:szCs w:val="28"/>
        </w:rPr>
        <w:t>元</w:t>
      </w:r>
    </w:p>
    <w:p w14:paraId="187B82B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采购需求：</w:t>
      </w:r>
    </w:p>
    <w:p w14:paraId="1DA4E56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（1）采购主要内容：</w:t>
      </w:r>
      <w:r>
        <w:rPr>
          <w:rFonts w:hint="eastAsia" w:ascii="仿宋" w:hAnsi="仿宋" w:eastAsia="仿宋" w:cs="仿宋"/>
          <w:spacing w:val="-2"/>
          <w:position w:val="6"/>
          <w:sz w:val="28"/>
          <w:szCs w:val="28"/>
          <w:lang w:val="en-US" w:eastAsia="zh-CN"/>
        </w:rPr>
        <w:t>不锈钢安全护栏140米、新建化粪池30m³、居民健身运动区540㎡、屋顶漏水整治改造2600㎡、下水道主管网改造1157米、联户路硬化3350㎡、环境整治1565㎡、雨污整治1200米、照明设施采购安装20盏</w:t>
      </w:r>
      <w:r>
        <w:rPr>
          <w:rFonts w:hint="eastAsia" w:ascii="仿宋" w:hAnsi="仿宋" w:eastAsia="仿宋" w:cs="仿宋"/>
          <w:spacing w:val="-2"/>
          <w:position w:val="6"/>
          <w:sz w:val="28"/>
          <w:szCs w:val="28"/>
        </w:rPr>
        <w:t>。</w:t>
      </w:r>
    </w:p>
    <w:p w14:paraId="02E6AC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（2）采购数量:1批；</w:t>
      </w:r>
    </w:p>
    <w:p w14:paraId="5314D3E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（3）简要技术要求、服务和安全要求:详见竞争性磋商文件；</w:t>
      </w:r>
    </w:p>
    <w:p w14:paraId="0D799D4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（4）工期:</w:t>
      </w:r>
      <w:r>
        <w:rPr>
          <w:rFonts w:hint="eastAsia" w:ascii="仿宋" w:hAnsi="仿宋" w:eastAsia="仿宋" w:cs="仿宋"/>
          <w:spacing w:val="-2"/>
          <w:position w:val="6"/>
          <w:sz w:val="28"/>
          <w:szCs w:val="28"/>
          <w:highlight w:val="none"/>
          <w:lang w:val="en-US" w:eastAsia="zh-CN"/>
        </w:rPr>
        <w:t>180</w:t>
      </w:r>
      <w:r>
        <w:rPr>
          <w:rFonts w:hint="eastAsia" w:ascii="仿宋" w:hAnsi="仿宋" w:eastAsia="仿宋" w:cs="仿宋"/>
          <w:spacing w:val="-2"/>
          <w:position w:val="6"/>
          <w:sz w:val="28"/>
          <w:szCs w:val="28"/>
          <w:highlight w:val="none"/>
          <w:lang w:eastAsia="zh-CN"/>
        </w:rPr>
        <w:t>日历天内完工</w:t>
      </w:r>
      <w:r>
        <w:rPr>
          <w:rFonts w:ascii="仿宋" w:hAnsi="仿宋" w:eastAsia="仿宋" w:cs="仿宋"/>
          <w:spacing w:val="-2"/>
          <w:position w:val="6"/>
          <w:sz w:val="28"/>
          <w:szCs w:val="28"/>
        </w:rPr>
        <w:t>；</w:t>
      </w:r>
    </w:p>
    <w:p w14:paraId="3DB1B96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（4）建设地点:采购人指定的地点；</w:t>
      </w:r>
    </w:p>
    <w:p w14:paraId="3EE3F4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（5）其他事项（如样品提交、现场踏勘等）:无；</w:t>
      </w:r>
    </w:p>
    <w:p w14:paraId="5F26AE2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PPP项目:否；</w:t>
      </w:r>
    </w:p>
    <w:p w14:paraId="3C6C11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本项目（是/否）接受联合体：否。</w:t>
      </w:r>
    </w:p>
    <w:p w14:paraId="1304C04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二、申请人的资格要求：</w:t>
      </w:r>
    </w:p>
    <w:p w14:paraId="005012E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1.满足《中华人民共和国政府采购法》第二十二条规定；</w:t>
      </w:r>
    </w:p>
    <w:p w14:paraId="4AD3BA8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（1）具有独立承担民事责任的能力；</w:t>
      </w:r>
    </w:p>
    <w:p w14:paraId="054FA50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（2）具有良好的商业信誉和健全的财务会计制度；</w:t>
      </w:r>
    </w:p>
    <w:p w14:paraId="694036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（3）具有履行合同所必须的设备和专业技术能力；</w:t>
      </w:r>
    </w:p>
    <w:p w14:paraId="242881D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（4）有依法缴纳税收和社会保障资金的良好记录；</w:t>
      </w:r>
    </w:p>
    <w:p w14:paraId="2BD5B3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（5）参加政府采购活动前三年内，在经营活动中没有重大违法记录；</w:t>
      </w:r>
    </w:p>
    <w:p w14:paraId="6801F88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（6）法律、行政法规规定的其他条件。</w:t>
      </w:r>
    </w:p>
    <w:p w14:paraId="6766B7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2.落实政府采购政策需满足的资格要求：</w:t>
      </w:r>
    </w:p>
    <w:p w14:paraId="591623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①根据《遵义市财政局关于印发&lt;政府采购营商环境整改提升工作方案&gt;》</w:t>
      </w:r>
    </w:p>
    <w:p w14:paraId="1D3993C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遵财采〔2022〕17号）、《遵义市财政局关于转发&lt;关于进一步加大政府采购支持中小企业力度的通知&gt;的通知》（遵财采〔2022〕37号）文件规定，监狱企业视同小型、微型企业（以当地管理部门出具的证明为准）。</w:t>
      </w:r>
    </w:p>
    <w:p w14:paraId="3BAD764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②本项目为专门面向中小企业采购，投标供应商需根据《政府采购促进中小企业发展管理办法》（财库〔2020〕46号）规定提供《中小企业声明函》作为证明材料，若未提供，视为非中小企业参与投标，其投标无效。本项目对应的中小企业划分标准所属行业为建筑业。</w:t>
      </w:r>
    </w:p>
    <w:p w14:paraId="497E01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3.本项目的特定资格要求：须具备</w:t>
      </w:r>
      <w:r>
        <w:rPr>
          <w:rFonts w:hint="eastAsia" w:ascii="仿宋" w:hAnsi="仿宋" w:eastAsia="仿宋" w:cs="仿宋"/>
          <w:spacing w:val="-2"/>
          <w:position w:val="6"/>
          <w:sz w:val="28"/>
          <w:szCs w:val="28"/>
          <w:lang w:eastAsia="zh-CN"/>
        </w:rPr>
        <w:t>建设行政主管部门颁发的建筑工程施工总承包贰级及以上资质</w:t>
      </w:r>
      <w:r>
        <w:rPr>
          <w:rFonts w:ascii="仿宋" w:hAnsi="仿宋" w:eastAsia="仿宋" w:cs="仿宋"/>
          <w:spacing w:val="-2"/>
          <w:position w:val="6"/>
          <w:sz w:val="28"/>
          <w:szCs w:val="28"/>
        </w:rPr>
        <w:t>，以及有效安全生产许可证。项目负责人（项目经理）须具备建筑工程专业贰级及以上注册建造师，具备有效的安全生产考核合格证书（B类），且未担任其他在建建设工程项目的项目经理。（提供加盖公章的复印件）。</w:t>
      </w:r>
    </w:p>
    <w:p w14:paraId="3A837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三、获取竞争性磋商文件</w:t>
      </w:r>
    </w:p>
    <w:p w14:paraId="220CC3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时间：2025年月日至2025年月日，每天上午09:00至12:00，下午12:00至17:00（北京时间，法定节假日除外）。</w:t>
      </w:r>
    </w:p>
    <w:p w14:paraId="78D04BA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地点：登录全国公共资源交易平台（贵州省.遵义市）会员系统下载，无论下载与否都视为投标单位全部知晓已经公开发布的所有事项。</w:t>
      </w:r>
    </w:p>
    <w:p w14:paraId="4BEF0C3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方式：各潜在投标供应商请于规定时间内，登录全国公共资源交易平台(贵州省.遵义市）会员系统下载竞争性磋商文件及相关附件。（未注册的投标供应商需注册后登录）。</w:t>
      </w:r>
    </w:p>
    <w:p w14:paraId="14CFB5F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售价：0元。</w:t>
      </w:r>
    </w:p>
    <w:p w14:paraId="119638E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四、响应文件提交</w:t>
      </w:r>
    </w:p>
    <w:p w14:paraId="7B51A9E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截止时间：2025年月日时分（北京时间）（若延期，以全国公共资源交易平台（贵州省.遵义市）会员系统提示时间和澄清文件相关内容为准）。</w:t>
      </w:r>
    </w:p>
    <w:p w14:paraId="2287683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地点：遵义市公共资源交易中心（地址：遵义市新蒲新区播州大道东100米市政务服务中心大楼9楼）（具体标室详见交易中心9楼大厅大屏）。</w:t>
      </w:r>
    </w:p>
    <w:p w14:paraId="199E042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五、开启</w:t>
      </w:r>
    </w:p>
    <w:p w14:paraId="4A9648F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时间：2025年月日时分（北京时间）（若延期，以全国公共资源交易平台（贵州省.遵义市）会员系统提示时间和澄清文件相关内容为准）。</w:t>
      </w:r>
    </w:p>
    <w:p w14:paraId="799CE3D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地点：遵义市公共资源交易中心（地址：遵义市新蒲新区播州大道东100米市政务服务中心大楼9楼）（具体磋商室详见交易中心9楼大厅大屏）。</w:t>
      </w:r>
    </w:p>
    <w:p w14:paraId="68FB9A6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六、公告期限</w:t>
      </w:r>
    </w:p>
    <w:p w14:paraId="153E8B2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自本公告发布之日起3个工作日。</w:t>
      </w:r>
    </w:p>
    <w:p w14:paraId="53024D4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七、其他补充事宜</w:t>
      </w:r>
    </w:p>
    <w:p w14:paraId="727866F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投标保证金额（元）:0元。</w:t>
      </w:r>
    </w:p>
    <w:p w14:paraId="16E4493F">
      <w:pPr>
        <w:keepNext w:val="0"/>
        <w:keepLines w:val="0"/>
        <w:pageBreakBefore w:val="0"/>
        <w:widowControl/>
        <w:numPr>
          <w:ilvl w:val="0"/>
          <w:numId w:val="1"/>
        </w:numPr>
        <w:kinsoku/>
        <w:wordWrap/>
        <w:overflowPunct w:val="0"/>
        <w:topLinePunct w:val="0"/>
        <w:autoSpaceDE w:val="0"/>
        <w:autoSpaceDN w:val="0"/>
        <w:bidi w:val="0"/>
        <w:adjustRightInd w:val="0"/>
        <w:snapToGrid w:val="0"/>
        <w:spacing w:before="175" w:line="240" w:lineRule="auto"/>
        <w:ind w:left="0" w:leftChars="0" w:firstLine="0" w:firstLineChars="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凡对本次采购提出询问，请按以下方式联系。</w:t>
      </w:r>
    </w:p>
    <w:p w14:paraId="2B415F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1.采购人信息</w:t>
      </w:r>
    </w:p>
    <w:p w14:paraId="4848DC4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赤水市文华街道办事处</w:t>
      </w:r>
    </w:p>
    <w:p w14:paraId="2B7DD88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地址：赤水市</w:t>
      </w:r>
    </w:p>
    <w:p w14:paraId="4324175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联系人：肖彦梅</w:t>
      </w:r>
    </w:p>
    <w:p w14:paraId="64211E1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hint="eastAsia" w:ascii="仿宋" w:hAnsi="仿宋" w:eastAsia="仿宋" w:cs="仿宋"/>
          <w:spacing w:val="-2"/>
          <w:position w:val="6"/>
          <w:sz w:val="28"/>
          <w:szCs w:val="28"/>
          <w:lang w:eastAsia="zh-CN"/>
        </w:rPr>
        <w:t>联系方式：15772284947</w:t>
      </w:r>
    </w:p>
    <w:p w14:paraId="06C99BB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2.采购代理机构信息</w:t>
      </w:r>
    </w:p>
    <w:p w14:paraId="689460A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z w:val="28"/>
          <w:szCs w:val="28"/>
          <w:lang w:eastAsia="zh-CN"/>
        </w:rPr>
      </w:pPr>
      <w:r>
        <w:rPr>
          <w:rFonts w:ascii="仿宋" w:hAnsi="仿宋" w:eastAsia="仿宋" w:cs="仿宋"/>
          <w:spacing w:val="-2"/>
          <w:position w:val="6"/>
          <w:sz w:val="28"/>
          <w:szCs w:val="28"/>
        </w:rPr>
        <w:t>名称：</w:t>
      </w:r>
      <w:r>
        <w:rPr>
          <w:rFonts w:hint="eastAsia" w:ascii="仿宋" w:hAnsi="仿宋" w:eastAsia="仿宋" w:cs="仿宋"/>
          <w:spacing w:val="-2"/>
          <w:position w:val="6"/>
          <w:sz w:val="28"/>
          <w:szCs w:val="28"/>
          <w:lang w:eastAsia="zh-CN"/>
        </w:rPr>
        <w:t>贵州晋泽信息咨询有限公司</w:t>
      </w:r>
    </w:p>
    <w:p w14:paraId="12840CF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地址：</w:t>
      </w:r>
      <w:r>
        <w:rPr>
          <w:rFonts w:hint="eastAsia" w:ascii="仿宋" w:hAnsi="仿宋" w:eastAsia="仿宋" w:cs="仿宋"/>
          <w:spacing w:val="-2"/>
          <w:position w:val="6"/>
          <w:sz w:val="28"/>
          <w:szCs w:val="28"/>
          <w:lang w:val="en-US" w:eastAsia="zh-CN"/>
        </w:rPr>
        <w:t>遵义市新蒲新区实地蔷薇国际X1栋601室</w:t>
      </w:r>
    </w:p>
    <w:p w14:paraId="119B72E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联系人：钟劲、曹阳、胡吕惺</w:t>
      </w:r>
    </w:p>
    <w:p w14:paraId="523FE59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eastAsia="zh-CN"/>
        </w:rPr>
        <w:t>联系方式：</w:t>
      </w:r>
      <w:r>
        <w:rPr>
          <w:rFonts w:hint="eastAsia" w:ascii="仿宋" w:hAnsi="仿宋" w:eastAsia="仿宋" w:cs="仿宋"/>
          <w:spacing w:val="-2"/>
          <w:position w:val="6"/>
          <w:sz w:val="28"/>
          <w:szCs w:val="28"/>
          <w:lang w:val="en-US" w:eastAsia="zh-CN"/>
        </w:rPr>
        <w:t>15885621187</w:t>
      </w:r>
    </w:p>
    <w:p w14:paraId="6BEAC5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3.项目联系方式</w:t>
      </w:r>
    </w:p>
    <w:p w14:paraId="30C6979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rPr>
        <w:t>项目联系人：</w:t>
      </w:r>
      <w:r>
        <w:rPr>
          <w:rFonts w:hint="eastAsia" w:ascii="仿宋" w:hAnsi="仿宋" w:eastAsia="仿宋" w:cs="仿宋"/>
          <w:spacing w:val="-2"/>
          <w:position w:val="6"/>
          <w:sz w:val="28"/>
          <w:szCs w:val="28"/>
          <w:lang w:val="en-US" w:eastAsia="zh-CN"/>
        </w:rPr>
        <w:t>钟劲、曹阳、胡吕惺</w:t>
      </w:r>
    </w:p>
    <w:p w14:paraId="62AF63C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eastAsia="zh-CN"/>
        </w:rPr>
      </w:pPr>
      <w:r>
        <w:rPr>
          <w:rFonts w:ascii="仿宋" w:hAnsi="仿宋" w:eastAsia="仿宋" w:cs="仿宋"/>
          <w:spacing w:val="-2"/>
          <w:position w:val="6"/>
          <w:sz w:val="28"/>
          <w:szCs w:val="28"/>
        </w:rPr>
        <w:t>电话：</w:t>
      </w:r>
      <w:r>
        <w:rPr>
          <w:rFonts w:hint="eastAsia" w:ascii="仿宋" w:hAnsi="仿宋" w:eastAsia="仿宋" w:cs="仿宋"/>
          <w:spacing w:val="-2"/>
          <w:position w:val="6"/>
          <w:sz w:val="28"/>
          <w:szCs w:val="28"/>
          <w:lang w:val="en-US" w:eastAsia="zh-CN"/>
        </w:rPr>
        <w:t>15885621187</w:t>
      </w:r>
    </w:p>
    <w:p w14:paraId="26A12F55">
      <w:pPr>
        <w:pStyle w:val="3"/>
        <w:keepNext w:val="0"/>
        <w:keepLines w:val="0"/>
        <w:pageBreakBefore w:val="0"/>
        <w:widowControl/>
        <w:kinsoku/>
        <w:wordWrap/>
        <w:overflowPunct w:val="0"/>
        <w:topLinePunct w:val="0"/>
        <w:autoSpaceDE w:val="0"/>
        <w:autoSpaceDN w:val="0"/>
        <w:bidi w:val="0"/>
        <w:adjustRightInd w:val="0"/>
        <w:snapToGrid w:val="0"/>
        <w:spacing w:line="360" w:lineRule="auto"/>
        <w:ind w:left="420" w:leftChars="200"/>
        <w:jc w:val="both"/>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br w:type="page"/>
      </w:r>
    </w:p>
    <w:p w14:paraId="2FC9098F">
      <w:pPr>
        <w:pStyle w:val="3"/>
        <w:spacing w:before="139" w:line="222" w:lineRule="auto"/>
        <w:outlineLvl w:val="0"/>
        <w:rPr>
          <w:sz w:val="43"/>
          <w:szCs w:val="43"/>
          <w:highlight w:val="none"/>
        </w:rPr>
      </w:pPr>
      <w:r>
        <w:rPr>
          <w:rFonts w:hint="eastAsia"/>
          <w:spacing w:val="8"/>
          <w:sz w:val="43"/>
          <w:szCs w:val="43"/>
          <w:highlight w:val="none"/>
          <w:lang w:val="en-US" w:eastAsia="zh-CN"/>
          <w14:textOutline w14:w="7972" w14:cap="sq" w14:cmpd="sng">
            <w14:solidFill>
              <w14:srgbClr w14:val="000000"/>
            </w14:solidFill>
            <w14:prstDash w14:val="solid"/>
            <w14:bevel/>
          </w14:textOutline>
        </w:rPr>
        <w:t>二、</w:t>
      </w:r>
      <w:r>
        <w:rPr>
          <w:spacing w:val="8"/>
          <w:sz w:val="43"/>
          <w:szCs w:val="43"/>
          <w:highlight w:val="none"/>
          <w14:textOutline w14:w="7972" w14:cap="sq" w14:cmpd="sng">
            <w14:solidFill>
              <w14:srgbClr w14:val="000000"/>
            </w14:solidFill>
            <w14:prstDash w14:val="solid"/>
            <w14:bevel/>
          </w14:textOutline>
        </w:rPr>
        <w:t>采购需求</w:t>
      </w:r>
    </w:p>
    <w:p w14:paraId="1822D7D3">
      <w:pPr>
        <w:pStyle w:val="3"/>
        <w:spacing w:before="128" w:line="219" w:lineRule="auto"/>
        <w:ind w:left="507"/>
        <w:rPr>
          <w:sz w:val="24"/>
          <w:szCs w:val="24"/>
          <w:highlight w:val="none"/>
        </w:rPr>
      </w:pPr>
      <w:r>
        <w:rPr>
          <w:spacing w:val="-2"/>
          <w:sz w:val="24"/>
          <w:szCs w:val="24"/>
          <w:highlight w:val="none"/>
          <w14:textOutline w14:w="4358" w14:cap="sq" w14:cmpd="sng">
            <w14:solidFill>
              <w14:srgbClr w14:val="000000"/>
            </w14:solidFill>
            <w14:prstDash w14:val="solid"/>
            <w14:bevel/>
          </w14:textOutline>
        </w:rPr>
        <w:t>一、项目概况</w:t>
      </w:r>
    </w:p>
    <w:p w14:paraId="214AE3E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r>
        <w:rPr>
          <w:rFonts w:hint="eastAsia" w:ascii="宋体" w:hAnsi="宋体" w:eastAsia="宋体" w:cs="宋体"/>
          <w:spacing w:val="0"/>
          <w:sz w:val="24"/>
          <w:szCs w:val="24"/>
          <w:highlight w:val="none"/>
          <w:lang w:eastAsia="zh-CN"/>
        </w:rPr>
        <w:t>为赤水市文华街道“四在农家·和美乡村”项目提供相关服务。</w:t>
      </w:r>
    </w:p>
    <w:p w14:paraId="2093DBA7">
      <w:pPr>
        <w:pStyle w:val="3"/>
        <w:spacing w:before="183" w:line="219" w:lineRule="auto"/>
        <w:ind w:left="507"/>
        <w:rPr>
          <w:rFonts w:hint="default" w:eastAsia="宋体"/>
          <w:sz w:val="24"/>
          <w:szCs w:val="24"/>
          <w:highlight w:val="none"/>
          <w:lang w:val="en-US" w:eastAsia="zh-CN"/>
        </w:rPr>
      </w:pPr>
      <w:r>
        <w:rPr>
          <w:spacing w:val="-2"/>
          <w:sz w:val="24"/>
          <w:szCs w:val="24"/>
          <w:highlight w:val="none"/>
          <w14:textOutline w14:w="4358" w14:cap="sq" w14:cmpd="sng">
            <w14:solidFill>
              <w14:srgbClr w14:val="000000"/>
            </w14:solidFill>
            <w14:prstDash w14:val="solid"/>
            <w14:bevel/>
          </w14:textOutline>
        </w:rPr>
        <w:t>二、</w:t>
      </w:r>
      <w:r>
        <w:rPr>
          <w:rFonts w:hint="eastAsia"/>
          <w:spacing w:val="-2"/>
          <w:sz w:val="24"/>
          <w:szCs w:val="24"/>
          <w:highlight w:val="none"/>
          <w:lang w:val="en-US" w:eastAsia="zh-CN"/>
          <w14:textOutline w14:w="4358" w14:cap="sq" w14:cmpd="sng">
            <w14:solidFill>
              <w14:srgbClr w14:val="000000"/>
            </w14:solidFill>
            <w14:prstDash w14:val="solid"/>
            <w14:bevel/>
          </w14:textOutline>
        </w:rPr>
        <w:t>采购主要内容</w:t>
      </w:r>
    </w:p>
    <w:p w14:paraId="32AFF4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480" w:firstLineChars="200"/>
        <w:textAlignment w:val="baseline"/>
        <w:rPr>
          <w:rFonts w:hint="eastAsia" w:ascii="宋体" w:hAnsi="宋体" w:eastAsia="宋体" w:cs="宋体"/>
          <w:spacing w:val="0"/>
          <w:kern w:val="2"/>
          <w:sz w:val="24"/>
          <w:szCs w:val="24"/>
          <w:highlight w:val="none"/>
          <w:lang w:val="en-US" w:eastAsia="zh-CN" w:bidi="ar-SA"/>
        </w:rPr>
      </w:pPr>
      <w:r>
        <w:rPr>
          <w:rFonts w:hint="eastAsia" w:ascii="宋体" w:hAnsi="宋体" w:eastAsia="宋体" w:cs="宋体"/>
          <w:spacing w:val="0"/>
          <w:kern w:val="2"/>
          <w:sz w:val="24"/>
          <w:szCs w:val="24"/>
          <w:highlight w:val="none"/>
          <w:lang w:val="en-US" w:eastAsia="zh-CN" w:bidi="ar-SA"/>
        </w:rPr>
        <w:t>工程量清单（另册）。</w:t>
      </w:r>
    </w:p>
    <w:p w14:paraId="5389E8F5">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default"/>
          <w:spacing w:val="-1"/>
          <w:sz w:val="24"/>
          <w:szCs w:val="24"/>
          <w:lang w:val="en-US" w:eastAsia="zh-CN"/>
        </w:rPr>
      </w:pPr>
    </w:p>
    <w:p w14:paraId="796784FE">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pPr>
    </w:p>
    <w:p w14:paraId="28FB5EDC">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3" w:type="default"/>
          <w:pgSz w:w="11906" w:h="16839"/>
          <w:pgMar w:top="1440" w:right="1080" w:bottom="1440" w:left="1080" w:header="0" w:footer="982" w:gutter="0"/>
          <w:cols w:space="720" w:num="1"/>
        </w:sectPr>
      </w:pPr>
    </w:p>
    <w:p w14:paraId="3C3C3396">
      <w:pPr>
        <w:pStyle w:val="3"/>
        <w:spacing w:before="140" w:line="223" w:lineRule="auto"/>
        <w:outlineLvl w:val="0"/>
        <w:rPr>
          <w:sz w:val="43"/>
          <w:szCs w:val="43"/>
          <w:highlight w:val="none"/>
        </w:rPr>
      </w:pPr>
      <w:r>
        <w:rPr>
          <w:rFonts w:hint="eastAsia"/>
          <w:spacing w:val="6"/>
          <w:sz w:val="43"/>
          <w:szCs w:val="43"/>
          <w:highlight w:val="none"/>
          <w:lang w:val="en-US" w:eastAsia="zh-CN"/>
          <w14:textOutline w14:w="7972" w14:cap="sq" w14:cmpd="sng">
            <w14:solidFill>
              <w14:srgbClr w14:val="000000"/>
            </w14:solidFill>
            <w14:prstDash w14:val="solid"/>
            <w14:bevel/>
          </w14:textOutline>
        </w:rPr>
        <w:t>三、</w:t>
      </w:r>
      <w:r>
        <w:rPr>
          <w:spacing w:val="6"/>
          <w:sz w:val="43"/>
          <w:szCs w:val="43"/>
          <w:highlight w:val="none"/>
          <w14:textOutline w14:w="7972" w14:cap="sq" w14:cmpd="sng">
            <w14:solidFill>
              <w14:srgbClr w14:val="000000"/>
            </w14:solidFill>
            <w14:prstDash w14:val="solid"/>
            <w14:bevel/>
          </w14:textOutline>
        </w:rPr>
        <w:t>商务部分</w:t>
      </w:r>
    </w:p>
    <w:p w14:paraId="2D252D6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一、工期及建设地点</w:t>
      </w:r>
    </w:p>
    <w:p w14:paraId="01A544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工期：</w:t>
      </w:r>
      <w:r>
        <w:rPr>
          <w:rFonts w:hint="eastAsia" w:ascii="仿宋" w:hAnsi="仿宋" w:eastAsia="仿宋" w:cs="仿宋"/>
          <w:snapToGrid w:val="0"/>
          <w:color w:val="000000"/>
          <w:spacing w:val="-2"/>
          <w:kern w:val="0"/>
          <w:position w:val="6"/>
          <w:sz w:val="28"/>
          <w:szCs w:val="28"/>
          <w:highlight w:val="none"/>
          <w:lang w:val="en-US" w:eastAsia="zh-CN"/>
        </w:rPr>
        <w:t>180</w:t>
      </w:r>
      <w:r>
        <w:rPr>
          <w:rFonts w:hint="eastAsia" w:ascii="仿宋" w:hAnsi="仿宋" w:eastAsia="仿宋" w:cs="仿宋"/>
          <w:snapToGrid w:val="0"/>
          <w:color w:val="000000"/>
          <w:spacing w:val="-2"/>
          <w:kern w:val="0"/>
          <w:position w:val="6"/>
          <w:sz w:val="28"/>
          <w:szCs w:val="28"/>
          <w:highlight w:val="none"/>
          <w:lang w:eastAsia="zh-CN"/>
        </w:rPr>
        <w:t>日历天内完工</w:t>
      </w:r>
      <w:r>
        <w:rPr>
          <w:rFonts w:ascii="仿宋" w:hAnsi="仿宋" w:eastAsia="仿宋" w:cs="仿宋"/>
          <w:snapToGrid w:val="0"/>
          <w:color w:val="000000"/>
          <w:spacing w:val="-2"/>
          <w:kern w:val="0"/>
          <w:position w:val="6"/>
          <w:sz w:val="28"/>
          <w:szCs w:val="28"/>
          <w:lang w:eastAsia="en-US"/>
        </w:rPr>
        <w:t>。</w:t>
      </w:r>
    </w:p>
    <w:p w14:paraId="099B7D2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建设地点：采购人指定的地点。</w:t>
      </w:r>
    </w:p>
    <w:p w14:paraId="49A9AF7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二、验收标准、规范</w:t>
      </w:r>
    </w:p>
    <w:p w14:paraId="7D4837D6">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质量验收规范标准：达到国家现行规范及验收合格标准。执行本项目所在国家和地区颁发的现行法律法规、规范、规定、规程、标准、规划和要求，如果颁发新的技术标准，则按新标准规定执行。</w:t>
      </w:r>
    </w:p>
    <w:p w14:paraId="02558B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三、招标范围</w:t>
      </w:r>
    </w:p>
    <w:p w14:paraId="337B960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工程量清单所示的全部内容。</w:t>
      </w:r>
    </w:p>
    <w:p w14:paraId="3ADE8EE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四、履约保证金不要求。</w:t>
      </w:r>
    </w:p>
    <w:p w14:paraId="0D2F640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五、投标有效期</w:t>
      </w:r>
    </w:p>
    <w:p w14:paraId="59D3FBC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投标供应商的投标从开标之日起60个日历日内为投标有效期，在此期间，投标供应商不得以任何借口撤销自己的投标。</w:t>
      </w:r>
    </w:p>
    <w:p w14:paraId="3418141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六、不允许分包、转包。</w:t>
      </w:r>
    </w:p>
    <w:p w14:paraId="2DCF316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七、投标供应商不得存在下列情形之一：</w:t>
      </w:r>
    </w:p>
    <w:p w14:paraId="21FB94F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（1）为招标人不具有独立法人资格的附属机构（单位）；</w:t>
      </w:r>
    </w:p>
    <w:p w14:paraId="6848227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（2）为本项目前期准备提供设计或咨询服务的；</w:t>
      </w:r>
    </w:p>
    <w:p w14:paraId="4880D1D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（3）为本项目的监理人；</w:t>
      </w:r>
    </w:p>
    <w:p w14:paraId="6B338735">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（4）为本项目的代建人；</w:t>
      </w:r>
    </w:p>
    <w:p w14:paraId="3D3BAD8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（5）为本项目提供招标代理服务的；</w:t>
      </w:r>
    </w:p>
    <w:p w14:paraId="3839ACC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（6）与本项目的监理人或代建人或招标代理机构同为一个法定代表人的；</w:t>
      </w:r>
    </w:p>
    <w:p w14:paraId="11D73ED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（7）与本项目的监理人或代建人或招标代理机构相互控股或参股的；</w:t>
      </w:r>
    </w:p>
    <w:p w14:paraId="0A933C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（8）与本项目的监理人或代建人或招标代理机构相互任职或工作的；</w:t>
      </w:r>
    </w:p>
    <w:p w14:paraId="0D1E196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（9）被责令停业的；</w:t>
      </w:r>
    </w:p>
    <w:p w14:paraId="4622942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（10）被暂停或取消投标资格的；</w:t>
      </w:r>
    </w:p>
    <w:p w14:paraId="56B80DB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（11）财产被接管或冻结的；</w:t>
      </w:r>
    </w:p>
    <w:p w14:paraId="40F4B7B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（12）在最近三年内有骗取中标或严重违约或重大工程质量问题的。</w:t>
      </w:r>
    </w:p>
    <w:p w14:paraId="7617795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（13）单位负责人为同一人或者存在直接控股、管理关系的不同单位，不得同时参加本项目投标。</w:t>
      </w:r>
    </w:p>
    <w:p w14:paraId="591E0F5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八、其他</w:t>
      </w:r>
    </w:p>
    <w:p w14:paraId="310F7AE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1、本项目合同价格形式为单价合同。</w:t>
      </w:r>
    </w:p>
    <w:p w14:paraId="3A4518E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2、各种主要材料（包括各种防滑地砖维修、墙砖、真石漆、屋顶、顶棚铝板吊顶维修等）必须符合设计性能、规格、型号和质量标准；并报监理单位和发包人确认封样后方可进场，否则监理单位和发包人不予认可，由此造成一切经济损失和其它责任由承包人全权负责。</w:t>
      </w:r>
    </w:p>
    <w:p w14:paraId="51BEBE9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3、该项目无工程预付款。项目按基础完工验收合格后退履约保证金，工程进度款按验收合格分部分项工程的70%支付，竣工验收后付至合同价款的80%，</w:t>
      </w:r>
    </w:p>
    <w:p w14:paraId="13930EB0">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余款在工程审计完成后支付至审定金额的97%，预留3%作为保修金，保修金在竣工验收满1年后支付，保修金不计银行利息。</w:t>
      </w:r>
    </w:p>
    <w:p w14:paraId="21B43DE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4、因施工方原因导致的工期延误，每天支付甲方工期延误违约金200元，工期延误违约金最高处罚额度累计不超过10000元。</w:t>
      </w:r>
    </w:p>
    <w:p w14:paraId="624CE3E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5、工程量增减必须由发包人、施工单位、监理单位、跟踪审计单位共同书面确认，否则不予计量。</w:t>
      </w:r>
    </w:p>
    <w:p w14:paraId="7BC7F7C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6、主体工程施工图所示范围内工程量增加、设计变更及现场签证，按《贵州省建筑安装工程》（2016版）计价定额中相应子目予以结算。</w:t>
      </w:r>
    </w:p>
    <w:p w14:paraId="0B91B6A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7、本项目所有材料</w:t>
      </w:r>
      <w:r>
        <w:rPr>
          <w:rFonts w:hint="eastAsia" w:ascii="仿宋" w:hAnsi="仿宋" w:eastAsia="仿宋" w:cs="仿宋"/>
          <w:snapToGrid w:val="0"/>
          <w:color w:val="000000"/>
          <w:spacing w:val="-2"/>
          <w:kern w:val="0"/>
          <w:position w:val="6"/>
          <w:sz w:val="28"/>
          <w:szCs w:val="28"/>
          <w:lang w:val="en-US" w:eastAsia="zh-CN"/>
        </w:rPr>
        <w:t>可</w:t>
      </w:r>
      <w:r>
        <w:rPr>
          <w:rFonts w:ascii="仿宋" w:hAnsi="仿宋" w:eastAsia="仿宋" w:cs="仿宋"/>
          <w:snapToGrid w:val="0"/>
          <w:color w:val="000000"/>
          <w:spacing w:val="-2"/>
          <w:kern w:val="0"/>
          <w:position w:val="6"/>
          <w:sz w:val="28"/>
          <w:szCs w:val="28"/>
          <w:lang w:eastAsia="en-US"/>
        </w:rPr>
        <w:t>予调差。</w:t>
      </w:r>
    </w:p>
    <w:p w14:paraId="76D66F0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8、工程结算审计约定：审减金额在5%以下（含5%），审减效益费由发包人承担；审减金额在5%-8%（含8%）的，审减效益费由发包人和承包人各承担一半；审减金额超过8%的，审减效益费由承包人全部承担。且送审金额必须经跟踪审计单位、监理单位、现场管理人员及发包人签字确认后送审；否则发包人不予认可。</w:t>
      </w:r>
    </w:p>
    <w:p w14:paraId="077C6C03">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ascii="仿宋" w:hAnsi="仿宋" w:eastAsia="仿宋" w:cs="仿宋"/>
          <w:snapToGrid w:val="0"/>
          <w:color w:val="000000"/>
          <w:spacing w:val="-2"/>
          <w:kern w:val="0"/>
          <w:position w:val="6"/>
          <w:sz w:val="28"/>
          <w:szCs w:val="28"/>
          <w:lang w:eastAsia="en-US"/>
        </w:rPr>
      </w:pPr>
      <w:r>
        <w:rPr>
          <w:rFonts w:ascii="仿宋" w:hAnsi="仿宋" w:eastAsia="仿宋" w:cs="仿宋"/>
          <w:snapToGrid w:val="0"/>
          <w:color w:val="000000"/>
          <w:spacing w:val="-2"/>
          <w:kern w:val="0"/>
          <w:position w:val="6"/>
          <w:sz w:val="28"/>
          <w:szCs w:val="28"/>
          <w:lang w:eastAsia="en-US"/>
        </w:rPr>
        <w:t>9、乙方工程竣工验收合格后30日内不办理工程竣工结算，甲方有权根据自己所掌握的资料办理竣工结算。乙方不得有任何异议并承担由此造成的一切经济损失和责任。</w:t>
      </w:r>
    </w:p>
    <w:p w14:paraId="58D9504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jc w:val="left"/>
        <w:textAlignment w:val="baseline"/>
        <w:rPr>
          <w:rFonts w:hint="eastAsia" w:ascii="宋体" w:hAnsi="宋体" w:eastAsia="宋体" w:cs="宋体"/>
          <w:spacing w:val="0"/>
          <w:sz w:val="24"/>
          <w:szCs w:val="24"/>
          <w:highlight w:val="none"/>
          <w:lang w:eastAsia="zh-CN"/>
        </w:rPr>
      </w:pPr>
      <w:r>
        <w:rPr>
          <w:rFonts w:ascii="仿宋" w:hAnsi="仿宋" w:eastAsia="仿宋" w:cs="仿宋"/>
          <w:snapToGrid w:val="0"/>
          <w:color w:val="000000"/>
          <w:spacing w:val="-2"/>
          <w:kern w:val="0"/>
          <w:position w:val="6"/>
          <w:sz w:val="28"/>
          <w:szCs w:val="28"/>
          <w:lang w:eastAsia="en-US"/>
        </w:rPr>
        <w:t>10、民工工资每月发放一次，工人每天上下班按时签到签退，工资发放以项目学校，施工单位和民工签字确认为准，并按法律要求方式发放民工工资。</w:t>
      </w:r>
    </w:p>
    <w:p w14:paraId="5DDE8CB0">
      <w:pPr>
        <w:pStyle w:val="3"/>
        <w:keepNext w:val="0"/>
        <w:keepLines w:val="0"/>
        <w:pageBreakBefore w:val="0"/>
        <w:widowControl/>
        <w:kinsoku/>
        <w:wordWrap/>
        <w:overflowPunct w:val="0"/>
        <w:topLinePunct w:val="0"/>
        <w:autoSpaceDE w:val="0"/>
        <w:autoSpaceDN w:val="0"/>
        <w:bidi w:val="0"/>
        <w:adjustRightInd w:val="0"/>
        <w:snapToGrid w:val="0"/>
        <w:spacing w:before="182" w:line="219" w:lineRule="auto"/>
        <w:ind w:left="420" w:leftChars="200"/>
        <w:textAlignment w:val="baseline"/>
        <w:rPr>
          <w:rFonts w:hint="eastAsia" w:ascii="宋体" w:hAnsi="宋体" w:eastAsia="宋体" w:cs="宋体"/>
          <w:spacing w:val="0"/>
          <w:sz w:val="24"/>
          <w:szCs w:val="24"/>
          <w:highlight w:val="none"/>
          <w:lang w:eastAsia="zh-CN"/>
        </w:rPr>
        <w:sectPr>
          <w:footerReference r:id="rId4" w:type="default"/>
          <w:pgSz w:w="11900" w:h="16839"/>
          <w:pgMar w:top="1440" w:right="1080" w:bottom="1440" w:left="1080" w:header="0" w:footer="1123" w:gutter="0"/>
          <w:cols w:space="720" w:num="1"/>
        </w:sectPr>
      </w:pPr>
    </w:p>
    <w:p w14:paraId="7D267721">
      <w:pPr>
        <w:pStyle w:val="3"/>
        <w:spacing w:before="140" w:line="223" w:lineRule="auto"/>
        <w:outlineLvl w:val="0"/>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pPr>
      <w:r>
        <w:rPr>
          <w:rFonts w:hint="eastAsia" w:ascii="宋体" w:hAnsi="宋体" w:eastAsia="宋体" w:cs="宋体"/>
          <w:spacing w:val="6"/>
          <w:sz w:val="43"/>
          <w:szCs w:val="43"/>
          <w:highlight w:val="none"/>
          <w:lang w:val="en-US" w:eastAsia="zh-CN"/>
          <w14:textOutline w14:w="7972" w14:cap="sq" w14:cmpd="sng">
            <w14:solidFill>
              <w14:srgbClr w14:val="000000"/>
            </w14:solidFill>
            <w14:prstDash w14:val="solid"/>
            <w14:bevel/>
          </w14:textOutline>
        </w:rPr>
        <w:t>四、评标办法（综合评分法）</w:t>
      </w:r>
    </w:p>
    <w:p w14:paraId="1DA6B373">
      <w:pPr>
        <w:spacing w:line="145" w:lineRule="exact"/>
        <w:rPr>
          <w:highlight w:val="none"/>
        </w:rPr>
      </w:pPr>
    </w:p>
    <w:p w14:paraId="674BC285">
      <w:pPr>
        <w:spacing w:before="235" w:line="218" w:lineRule="auto"/>
        <w:ind w:left="574"/>
        <w:outlineLvl w:val="1"/>
        <w:rPr>
          <w:rFonts w:ascii="仿宋" w:hAnsi="仿宋" w:eastAsia="仿宋" w:cs="仿宋"/>
          <w:sz w:val="28"/>
          <w:szCs w:val="28"/>
        </w:rPr>
      </w:pPr>
      <w:r>
        <w:rPr>
          <w:rFonts w:ascii="仿宋" w:hAnsi="仿宋" w:eastAsia="仿宋" w:cs="仿宋"/>
          <w:b/>
          <w:bCs/>
          <w:spacing w:val="-7"/>
          <w:sz w:val="28"/>
          <w:szCs w:val="28"/>
        </w:rPr>
        <w:t>第一节评审办法</w:t>
      </w:r>
    </w:p>
    <w:p w14:paraId="013A204A">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一、评审办法</w:t>
      </w:r>
    </w:p>
    <w:p w14:paraId="52AFAFBC">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1、本项目采用</w:t>
      </w:r>
      <w:r>
        <w:rPr>
          <w:rFonts w:ascii="仿宋" w:hAnsi="仿宋" w:eastAsia="仿宋" w:cs="仿宋"/>
          <w:spacing w:val="-2"/>
          <w:position w:val="6"/>
          <w:sz w:val="28"/>
          <w:szCs w:val="28"/>
          <w:u w:val="single"/>
        </w:rPr>
        <w:t>综合评分法</w:t>
      </w:r>
      <w:r>
        <w:rPr>
          <w:rFonts w:ascii="仿宋" w:hAnsi="仿宋" w:eastAsia="仿宋" w:cs="仿宋"/>
          <w:spacing w:val="-2"/>
          <w:position w:val="6"/>
          <w:sz w:val="28"/>
          <w:szCs w:val="28"/>
        </w:rPr>
        <w:t>进行评审。</w:t>
      </w:r>
    </w:p>
    <w:p w14:paraId="328196E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综合评分法，是指在满足竞争性磋商文件实质性要求的前提下，评标专家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fldChar w:fldCharType="begin"/>
      </w:r>
      <w:r>
        <w:rPr>
          <w:rFonts w:ascii="仿宋" w:hAnsi="仿宋" w:eastAsia="仿宋" w:cs="仿宋"/>
          <w:spacing w:val="-2"/>
          <w:position w:val="6"/>
          <w:sz w:val="28"/>
          <w:szCs w:val="28"/>
        </w:rPr>
        <w:instrText xml:space="preserve"> HYPERLINK "http://www.baidu.com/s?wd=%E6%8B%9B%E6%A0%87%E6%96%87%E4%BB%B6&amp;hl_tag=textlink&amp;tn=SE_hldp01350_v6v6zkg6" </w:instrText>
      </w:r>
      <w:r>
        <w:rPr>
          <w:rFonts w:ascii="仿宋" w:hAnsi="仿宋" w:eastAsia="仿宋" w:cs="仿宋"/>
          <w:spacing w:val="-2"/>
          <w:position w:val="6"/>
          <w:sz w:val="28"/>
          <w:szCs w:val="28"/>
        </w:rPr>
        <w:fldChar w:fldCharType="separate"/>
      </w:r>
      <w:r>
        <w:rPr>
          <w:rFonts w:ascii="仿宋" w:hAnsi="仿宋" w:eastAsia="仿宋" w:cs="仿宋"/>
          <w:spacing w:val="-2"/>
          <w:position w:val="6"/>
          <w:sz w:val="28"/>
          <w:szCs w:val="28"/>
        </w:rPr>
        <w:t>按照竞争性磋商文件</w:t>
      </w:r>
      <w:r>
        <w:rPr>
          <w:rFonts w:ascii="仿宋" w:hAnsi="仿宋" w:eastAsia="仿宋" w:cs="仿宋"/>
          <w:spacing w:val="-2"/>
          <w:position w:val="6"/>
          <w:sz w:val="28"/>
          <w:szCs w:val="28"/>
        </w:rPr>
        <w:fldChar w:fldCharType="end"/>
      </w:r>
      <w:r>
        <w:rPr>
          <w:rFonts w:ascii="仿宋" w:hAnsi="仿宋" w:eastAsia="仿宋" w:cs="仿宋"/>
          <w:spacing w:val="-2"/>
          <w:position w:val="6"/>
          <w:sz w:val="28"/>
          <w:szCs w:val="28"/>
        </w:rPr>
        <w:t>中规定的各项评审因素及其分值进行综合评分后，以评分从高到低的顺序推荐3家供应商作为成交候选供应商的评标方法。</w:t>
      </w:r>
    </w:p>
    <w:p w14:paraId="5C6B79FE">
      <w:pPr>
        <w:spacing w:before="45" w:line="219" w:lineRule="auto"/>
        <w:ind w:left="571"/>
        <w:outlineLvl w:val="3"/>
        <w:rPr>
          <w:rFonts w:ascii="仿宋" w:hAnsi="仿宋" w:eastAsia="仿宋" w:cs="仿宋"/>
          <w:sz w:val="28"/>
          <w:szCs w:val="28"/>
        </w:rPr>
      </w:pPr>
      <w:r>
        <w:rPr>
          <w:rFonts w:ascii="仿宋" w:hAnsi="仿宋" w:eastAsia="仿宋" w:cs="仿宋"/>
          <w:b/>
          <w:bCs/>
          <w:spacing w:val="-7"/>
          <w:sz w:val="28"/>
          <w:szCs w:val="28"/>
        </w:rPr>
        <w:t>二、评分因素</w:t>
      </w:r>
    </w:p>
    <w:p w14:paraId="4F74AEC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rPr>
      </w:pPr>
      <w:r>
        <w:rPr>
          <w:rFonts w:ascii="仿宋" w:hAnsi="仿宋" w:eastAsia="仿宋" w:cs="仿宋"/>
          <w:spacing w:val="-2"/>
          <w:position w:val="6"/>
          <w:sz w:val="28"/>
          <w:szCs w:val="28"/>
        </w:rPr>
        <w:t>评分的主要因素分为价格因素、技术因素（施工组织设计）和商务因素(如业绩等）。评分因素详见评分表。评标分值保留至两位小数。评标时，评标专家依照评分表对每个有效供应商的响应文件进行独立评价、打分。</w:t>
      </w:r>
    </w:p>
    <w:p w14:paraId="216C61F4">
      <w:pPr>
        <w:spacing w:line="349" w:lineRule="auto"/>
        <w:rPr>
          <w:rFonts w:ascii="仿宋" w:hAnsi="仿宋" w:eastAsia="仿宋" w:cs="仿宋"/>
          <w:sz w:val="28"/>
          <w:szCs w:val="28"/>
        </w:rPr>
        <w:sectPr>
          <w:footerReference r:id="rId5" w:type="default"/>
          <w:pgSz w:w="11907" w:h="16841"/>
          <w:pgMar w:top="1440" w:right="1080" w:bottom="1440" w:left="1080" w:header="0" w:footer="815" w:gutter="0"/>
          <w:cols w:space="720" w:num="1"/>
        </w:sectPr>
      </w:pPr>
    </w:p>
    <w:p w14:paraId="7638BB9F">
      <w:pPr>
        <w:spacing w:before="91" w:line="219" w:lineRule="auto"/>
        <w:ind w:left="595"/>
        <w:outlineLvl w:val="3"/>
        <w:rPr>
          <w:rFonts w:ascii="仿宋" w:hAnsi="仿宋" w:eastAsia="仿宋" w:cs="仿宋"/>
          <w:sz w:val="28"/>
          <w:szCs w:val="28"/>
        </w:rPr>
      </w:pPr>
      <w:r>
        <w:rPr>
          <w:rFonts w:ascii="仿宋" w:hAnsi="仿宋" w:eastAsia="仿宋" w:cs="仿宋"/>
          <w:b/>
          <w:bCs/>
          <w:spacing w:val="-7"/>
          <w:sz w:val="28"/>
          <w:szCs w:val="28"/>
        </w:rPr>
        <w:t>三、评分标准</w:t>
      </w:r>
    </w:p>
    <w:p w14:paraId="4F704733">
      <w:pPr>
        <w:spacing w:before="212" w:line="219" w:lineRule="auto"/>
        <w:ind w:left="599"/>
        <w:outlineLvl w:val="4"/>
        <w:rPr>
          <w:rFonts w:ascii="仿宋" w:hAnsi="仿宋" w:eastAsia="仿宋" w:cs="仿宋"/>
          <w:sz w:val="28"/>
          <w:szCs w:val="28"/>
        </w:rPr>
      </w:pPr>
      <w:r>
        <w:rPr>
          <w:rFonts w:ascii="仿宋" w:hAnsi="仿宋" w:eastAsia="仿宋" w:cs="仿宋"/>
          <w:b/>
          <w:bCs/>
          <w:spacing w:val="-6"/>
          <w:sz w:val="28"/>
          <w:szCs w:val="28"/>
        </w:rPr>
        <w:t>1.初步审查表</w:t>
      </w:r>
    </w:p>
    <w:p w14:paraId="73D222C2">
      <w:pPr>
        <w:spacing w:before="212" w:line="219" w:lineRule="auto"/>
        <w:ind w:left="585"/>
        <w:rPr>
          <w:rFonts w:ascii="仿宋" w:hAnsi="仿宋" w:eastAsia="仿宋" w:cs="仿宋"/>
          <w:sz w:val="28"/>
          <w:szCs w:val="28"/>
        </w:rPr>
      </w:pPr>
      <w:r>
        <w:rPr>
          <w:rFonts w:ascii="仿宋" w:hAnsi="仿宋" w:eastAsia="仿宋" w:cs="仿宋"/>
          <w:spacing w:val="-4"/>
          <w:sz w:val="28"/>
          <w:szCs w:val="28"/>
        </w:rPr>
        <w:t>初步审查表</w:t>
      </w:r>
    </w:p>
    <w:p w14:paraId="75E5FDF9">
      <w:pPr>
        <w:spacing w:line="176" w:lineRule="exact"/>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66B6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514" w:type="dxa"/>
            <w:vAlign w:val="top"/>
          </w:tcPr>
          <w:p w14:paraId="127627C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审查项目</w:t>
            </w:r>
          </w:p>
        </w:tc>
        <w:tc>
          <w:tcPr>
            <w:tcW w:w="5415" w:type="dxa"/>
            <w:vAlign w:val="top"/>
          </w:tcPr>
          <w:p w14:paraId="3028132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审查因素</w:t>
            </w:r>
          </w:p>
        </w:tc>
        <w:tc>
          <w:tcPr>
            <w:tcW w:w="3138" w:type="dxa"/>
            <w:vAlign w:val="top"/>
          </w:tcPr>
          <w:p w14:paraId="55263B1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审查标准</w:t>
            </w:r>
          </w:p>
        </w:tc>
      </w:tr>
      <w:tr w14:paraId="169EF7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restart"/>
            <w:tcBorders>
              <w:bottom w:val="nil"/>
            </w:tcBorders>
            <w:vAlign w:val="top"/>
          </w:tcPr>
          <w:p w14:paraId="61353E8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924E9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480CE6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8D38EB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BF8515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ABEAB2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53EA3C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FD6D1B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B6E1C7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528A8B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734CAD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614EE6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57F107A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F1D88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90578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872E2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99EC73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B7A4AF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25199A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33DA8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资格性审查</w:t>
            </w:r>
          </w:p>
        </w:tc>
        <w:tc>
          <w:tcPr>
            <w:tcW w:w="5415" w:type="dxa"/>
            <w:vAlign w:val="top"/>
          </w:tcPr>
          <w:p w14:paraId="5C7DF23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法定代表人身份证明或授权委托书原件。</w:t>
            </w:r>
          </w:p>
        </w:tc>
        <w:tc>
          <w:tcPr>
            <w:tcW w:w="3138" w:type="dxa"/>
            <w:vAlign w:val="top"/>
          </w:tcPr>
          <w:p w14:paraId="0985E2D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0B083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continue"/>
            <w:tcBorders>
              <w:top w:val="nil"/>
              <w:bottom w:val="nil"/>
            </w:tcBorders>
            <w:vAlign w:val="top"/>
          </w:tcPr>
          <w:p w14:paraId="0BD56BD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079B2A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提供法人或其他组织的营业执照等证明文件或自然人身份证明。</w:t>
            </w:r>
          </w:p>
        </w:tc>
        <w:tc>
          <w:tcPr>
            <w:tcW w:w="3138" w:type="dxa"/>
            <w:vAlign w:val="top"/>
          </w:tcPr>
          <w:p w14:paraId="03C65EC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E96F77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2642F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514" w:type="dxa"/>
            <w:vMerge w:val="continue"/>
            <w:tcBorders>
              <w:top w:val="nil"/>
              <w:bottom w:val="nil"/>
            </w:tcBorders>
            <w:vAlign w:val="top"/>
          </w:tcPr>
          <w:p w14:paraId="14998CA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1ADE0B98">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提供2023年或2024年度的财务报表复印件并加盖投标供应商公章。</w:t>
            </w:r>
          </w:p>
        </w:tc>
        <w:tc>
          <w:tcPr>
            <w:tcW w:w="3138" w:type="dxa"/>
            <w:vAlign w:val="top"/>
          </w:tcPr>
          <w:p w14:paraId="0F59DFA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DB0720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6F8A7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1514" w:type="dxa"/>
            <w:vMerge w:val="continue"/>
            <w:tcBorders>
              <w:top w:val="nil"/>
              <w:bottom w:val="nil"/>
            </w:tcBorders>
            <w:vAlign w:val="top"/>
          </w:tcPr>
          <w:p w14:paraId="7367FB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7C1E3B9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具有履行合同所必需的设备和专业技术能力的承诺函（格式自拟，加盖公章）。</w:t>
            </w:r>
          </w:p>
        </w:tc>
        <w:tc>
          <w:tcPr>
            <w:tcW w:w="3138" w:type="dxa"/>
            <w:vAlign w:val="top"/>
          </w:tcPr>
          <w:p w14:paraId="3A82C83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44C2D7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36C4B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1" w:hRule="atLeast"/>
        </w:trPr>
        <w:tc>
          <w:tcPr>
            <w:tcW w:w="1514" w:type="dxa"/>
            <w:vMerge w:val="continue"/>
            <w:tcBorders>
              <w:top w:val="nil"/>
              <w:bottom w:val="nil"/>
            </w:tcBorders>
            <w:vAlign w:val="top"/>
          </w:tcPr>
          <w:p w14:paraId="66A3D5A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7CBDC03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提供缴纳税收的凭据或证明材料（依法免税的供应商须提供相应证明文件、零申报的供应商提供电子税务申报表或税务部门出具的无欠税证明）或承诺函；</w:t>
            </w:r>
          </w:p>
          <w:p w14:paraId="6152136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（2）提供缴纳社会保障资金证明材料（不需要缴纳社保资金的供应商须提供相应证明文件）或承诺函。</w:t>
            </w:r>
          </w:p>
        </w:tc>
        <w:tc>
          <w:tcPr>
            <w:tcW w:w="3138" w:type="dxa"/>
            <w:vAlign w:val="top"/>
          </w:tcPr>
          <w:p w14:paraId="0AD0634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FF86F2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4F4D4F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8A1EB9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374A4E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095E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trPr>
        <w:tc>
          <w:tcPr>
            <w:tcW w:w="1514" w:type="dxa"/>
            <w:vMerge w:val="continue"/>
            <w:tcBorders>
              <w:top w:val="nil"/>
              <w:bottom w:val="nil"/>
            </w:tcBorders>
            <w:vAlign w:val="top"/>
          </w:tcPr>
          <w:p w14:paraId="4CBAEB5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5B9BBBA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参加政府采购活动前3年内在经营活动中没有重大违法记录的书面声明，若企业成立不满三年，需承诺从成立之日到本项目开标前无重大违法记录（格式自拟，加盖公章）。</w:t>
            </w:r>
          </w:p>
        </w:tc>
        <w:tc>
          <w:tcPr>
            <w:tcW w:w="3138" w:type="dxa"/>
            <w:vAlign w:val="top"/>
          </w:tcPr>
          <w:p w14:paraId="01D8054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FDA75F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082BD97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31F4E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1" w:hRule="atLeast"/>
        </w:trPr>
        <w:tc>
          <w:tcPr>
            <w:tcW w:w="1514" w:type="dxa"/>
            <w:vMerge w:val="continue"/>
            <w:tcBorders>
              <w:top w:val="nil"/>
              <w:bottom w:val="nil"/>
            </w:tcBorders>
            <w:vAlign w:val="top"/>
          </w:tcPr>
          <w:p w14:paraId="247D1E1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tc>
        <w:tc>
          <w:tcPr>
            <w:tcW w:w="5415" w:type="dxa"/>
            <w:vAlign w:val="top"/>
          </w:tcPr>
          <w:p w14:paraId="4F401AD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信用中国”网站查询的重大税收违法失信主体、失信被执行人、政府采购严重违法失信行为记录名单的网页截图和“中国政府采购网”查询的政府采购严重违法失信行为信息记录的网页截图（时间为：下载标书当日起至开标前一天内任意时间）。</w:t>
            </w:r>
          </w:p>
        </w:tc>
        <w:tc>
          <w:tcPr>
            <w:tcW w:w="3138" w:type="dxa"/>
            <w:vAlign w:val="center"/>
          </w:tcPr>
          <w:p w14:paraId="16489F2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right="51"/>
              <w:jc w:val="left"/>
              <w:textAlignment w:val="baseline"/>
              <w:rPr>
                <w:spacing w:val="-2"/>
              </w:rPr>
            </w:pPr>
            <w:r>
              <w:rPr>
                <w:spacing w:val="-2"/>
              </w:rPr>
              <w:t>符合竞争性磋商文件要求</w:t>
            </w:r>
          </w:p>
        </w:tc>
      </w:tr>
    </w:tbl>
    <w:p w14:paraId="7A7E9353">
      <w:pPr>
        <w:pStyle w:val="3"/>
      </w:pPr>
    </w:p>
    <w:p w14:paraId="0D44A07C">
      <w:pPr>
        <w:sectPr>
          <w:footerReference r:id="rId6" w:type="default"/>
          <w:pgSz w:w="11907" w:h="16841"/>
          <w:pgMar w:top="1440" w:right="1080" w:bottom="1440" w:left="1080" w:header="0" w:footer="815" w:gutter="0"/>
          <w:cols w:space="720" w:num="1"/>
        </w:sectPr>
      </w:pPr>
    </w:p>
    <w:tbl>
      <w:tblPr>
        <w:tblStyle w:val="10"/>
        <w:tblW w:w="100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4"/>
        <w:gridCol w:w="5415"/>
        <w:gridCol w:w="3138"/>
      </w:tblGrid>
      <w:tr w14:paraId="7E3C5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1514" w:type="dxa"/>
            <w:tcBorders>
              <w:top w:val="nil"/>
            </w:tcBorders>
            <w:vAlign w:val="top"/>
          </w:tcPr>
          <w:p w14:paraId="2CF10497">
            <w:pPr>
              <w:rPr>
                <w:rFonts w:ascii="Arial"/>
                <w:sz w:val="21"/>
              </w:rPr>
            </w:pPr>
          </w:p>
        </w:tc>
        <w:tc>
          <w:tcPr>
            <w:tcW w:w="5415" w:type="dxa"/>
            <w:vAlign w:val="top"/>
          </w:tcPr>
          <w:p w14:paraId="3AF4B4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供应商须根据《政府采购促进中小企业发展管理办法》（财库【2020】46号）规定提供“中小企业申明函”，并符合中型、小型和微型企业划分标准。</w:t>
            </w:r>
          </w:p>
        </w:tc>
        <w:tc>
          <w:tcPr>
            <w:tcW w:w="3138" w:type="dxa"/>
            <w:vAlign w:val="top"/>
          </w:tcPr>
          <w:p w14:paraId="02D32BB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31124B4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6F943C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22460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1514" w:type="dxa"/>
            <w:vMerge w:val="restart"/>
            <w:tcBorders>
              <w:bottom w:val="nil"/>
            </w:tcBorders>
            <w:vAlign w:val="top"/>
          </w:tcPr>
          <w:p w14:paraId="21AED682">
            <w:pPr>
              <w:spacing w:line="251" w:lineRule="auto"/>
              <w:rPr>
                <w:rFonts w:ascii="Arial"/>
                <w:sz w:val="21"/>
              </w:rPr>
            </w:pPr>
          </w:p>
          <w:p w14:paraId="12646DE0">
            <w:pPr>
              <w:spacing w:line="251" w:lineRule="auto"/>
              <w:rPr>
                <w:rFonts w:ascii="Arial"/>
                <w:sz w:val="21"/>
              </w:rPr>
            </w:pPr>
          </w:p>
          <w:p w14:paraId="1EE6488C">
            <w:pPr>
              <w:spacing w:line="251" w:lineRule="auto"/>
              <w:rPr>
                <w:rFonts w:ascii="Arial"/>
                <w:sz w:val="21"/>
              </w:rPr>
            </w:pPr>
          </w:p>
          <w:p w14:paraId="4374471A">
            <w:pPr>
              <w:spacing w:line="251" w:lineRule="auto"/>
              <w:rPr>
                <w:rFonts w:ascii="Arial"/>
                <w:sz w:val="21"/>
              </w:rPr>
            </w:pPr>
          </w:p>
          <w:p w14:paraId="6FD758AC">
            <w:pPr>
              <w:spacing w:line="251" w:lineRule="auto"/>
              <w:rPr>
                <w:rFonts w:ascii="Arial"/>
                <w:sz w:val="21"/>
              </w:rPr>
            </w:pPr>
          </w:p>
          <w:p w14:paraId="17AD947D">
            <w:pPr>
              <w:spacing w:line="251" w:lineRule="auto"/>
              <w:rPr>
                <w:rFonts w:ascii="Arial"/>
                <w:sz w:val="21"/>
              </w:rPr>
            </w:pPr>
          </w:p>
          <w:p w14:paraId="1F425EBF">
            <w:pPr>
              <w:spacing w:line="251" w:lineRule="auto"/>
              <w:rPr>
                <w:rFonts w:ascii="Arial"/>
                <w:sz w:val="21"/>
              </w:rPr>
            </w:pPr>
          </w:p>
          <w:p w14:paraId="63260313">
            <w:pPr>
              <w:spacing w:line="252" w:lineRule="auto"/>
              <w:rPr>
                <w:rFonts w:ascii="Arial"/>
                <w:sz w:val="21"/>
              </w:rPr>
            </w:pPr>
          </w:p>
          <w:p w14:paraId="072BD229">
            <w:pPr>
              <w:spacing w:line="252" w:lineRule="auto"/>
              <w:rPr>
                <w:rFonts w:ascii="Arial"/>
                <w:sz w:val="21"/>
              </w:rPr>
            </w:pPr>
          </w:p>
          <w:p w14:paraId="7DC43BF9">
            <w:pPr>
              <w:spacing w:line="252" w:lineRule="auto"/>
              <w:rPr>
                <w:rFonts w:ascii="Arial"/>
                <w:sz w:val="21"/>
              </w:rPr>
            </w:pPr>
          </w:p>
          <w:p w14:paraId="64302CD6">
            <w:pPr>
              <w:spacing w:line="252" w:lineRule="auto"/>
              <w:rPr>
                <w:rFonts w:ascii="Arial"/>
                <w:sz w:val="21"/>
              </w:rPr>
            </w:pPr>
          </w:p>
          <w:p w14:paraId="1FAE5902">
            <w:pPr>
              <w:spacing w:line="252" w:lineRule="auto"/>
              <w:rPr>
                <w:rFonts w:ascii="Arial"/>
                <w:sz w:val="21"/>
              </w:rPr>
            </w:pPr>
          </w:p>
          <w:p w14:paraId="4270F66D">
            <w:pPr>
              <w:spacing w:line="252" w:lineRule="auto"/>
              <w:rPr>
                <w:rFonts w:ascii="Arial"/>
                <w:sz w:val="21"/>
              </w:rPr>
            </w:pPr>
          </w:p>
          <w:p w14:paraId="13B0CB7F">
            <w:pPr>
              <w:spacing w:line="252" w:lineRule="auto"/>
              <w:rPr>
                <w:rFonts w:ascii="Arial"/>
                <w:sz w:val="21"/>
              </w:rPr>
            </w:pPr>
          </w:p>
          <w:p w14:paraId="61AE69B3">
            <w:pPr>
              <w:spacing w:line="252" w:lineRule="auto"/>
              <w:rPr>
                <w:rFonts w:ascii="Arial"/>
                <w:sz w:val="21"/>
              </w:rPr>
            </w:pPr>
          </w:p>
          <w:p w14:paraId="7DA55A27">
            <w:pPr>
              <w:spacing w:line="252" w:lineRule="auto"/>
              <w:rPr>
                <w:rFonts w:ascii="Arial"/>
                <w:sz w:val="21"/>
              </w:rPr>
            </w:pPr>
          </w:p>
          <w:p w14:paraId="6A4E9692">
            <w:pPr>
              <w:spacing w:line="252" w:lineRule="auto"/>
              <w:rPr>
                <w:rFonts w:ascii="Arial"/>
                <w:sz w:val="21"/>
              </w:rPr>
            </w:pPr>
          </w:p>
          <w:p w14:paraId="36C3E2FC">
            <w:pPr>
              <w:pStyle w:val="9"/>
              <w:spacing w:before="91" w:line="216" w:lineRule="auto"/>
              <w:ind w:left="27"/>
            </w:pPr>
            <w:r>
              <w:rPr>
                <w:spacing w:val="-5"/>
              </w:rPr>
              <w:t>符合性审查</w:t>
            </w:r>
          </w:p>
        </w:tc>
        <w:tc>
          <w:tcPr>
            <w:tcW w:w="5415" w:type="dxa"/>
            <w:vAlign w:val="top"/>
          </w:tcPr>
          <w:p w14:paraId="2AD5775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1218413">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供应商名称</w:t>
            </w:r>
          </w:p>
        </w:tc>
        <w:tc>
          <w:tcPr>
            <w:tcW w:w="3138" w:type="dxa"/>
            <w:vAlign w:val="top"/>
          </w:tcPr>
          <w:p w14:paraId="693E12F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与营业执照、资质证书、安全生产许可证一致。</w:t>
            </w:r>
          </w:p>
        </w:tc>
      </w:tr>
      <w:tr w14:paraId="1B8B4C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2" w:hRule="atLeast"/>
        </w:trPr>
        <w:tc>
          <w:tcPr>
            <w:tcW w:w="1514" w:type="dxa"/>
            <w:vMerge w:val="continue"/>
            <w:tcBorders>
              <w:top w:val="nil"/>
              <w:bottom w:val="nil"/>
            </w:tcBorders>
            <w:vAlign w:val="top"/>
          </w:tcPr>
          <w:p w14:paraId="00F638E1">
            <w:pPr>
              <w:rPr>
                <w:rFonts w:ascii="Arial"/>
                <w:sz w:val="21"/>
              </w:rPr>
            </w:pPr>
          </w:p>
        </w:tc>
        <w:tc>
          <w:tcPr>
            <w:tcW w:w="5415" w:type="dxa"/>
            <w:vAlign w:val="center"/>
          </w:tcPr>
          <w:p w14:paraId="61211C7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磋商函签字盖章</w:t>
            </w:r>
          </w:p>
        </w:tc>
        <w:tc>
          <w:tcPr>
            <w:tcW w:w="3138" w:type="dxa"/>
            <w:vAlign w:val="top"/>
          </w:tcPr>
          <w:p w14:paraId="4D9331F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磋商函中的投标报价不得手写或作修改；符合竞争性磋商文件要求。</w:t>
            </w:r>
          </w:p>
        </w:tc>
      </w:tr>
      <w:tr w14:paraId="7DF85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5ABE6E07">
            <w:pPr>
              <w:rPr>
                <w:rFonts w:ascii="Arial"/>
                <w:sz w:val="21"/>
              </w:rPr>
            </w:pPr>
          </w:p>
        </w:tc>
        <w:tc>
          <w:tcPr>
            <w:tcW w:w="5415" w:type="dxa"/>
            <w:vAlign w:val="top"/>
          </w:tcPr>
          <w:p w14:paraId="795DA52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响应文件份数、格式、签署</w:t>
            </w:r>
          </w:p>
        </w:tc>
        <w:tc>
          <w:tcPr>
            <w:tcW w:w="3138" w:type="dxa"/>
            <w:vAlign w:val="top"/>
          </w:tcPr>
          <w:p w14:paraId="7DAAC627">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56C2D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1514" w:type="dxa"/>
            <w:vMerge w:val="continue"/>
            <w:tcBorders>
              <w:top w:val="nil"/>
              <w:bottom w:val="nil"/>
            </w:tcBorders>
            <w:vAlign w:val="top"/>
          </w:tcPr>
          <w:p w14:paraId="68E33431">
            <w:pPr>
              <w:rPr>
                <w:rFonts w:ascii="Arial"/>
                <w:sz w:val="21"/>
              </w:rPr>
            </w:pPr>
          </w:p>
        </w:tc>
        <w:tc>
          <w:tcPr>
            <w:tcW w:w="5415" w:type="dxa"/>
            <w:vAlign w:val="top"/>
          </w:tcPr>
          <w:p w14:paraId="3FE30D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204CCE6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磋商报价有效性</w:t>
            </w:r>
          </w:p>
        </w:tc>
        <w:tc>
          <w:tcPr>
            <w:tcW w:w="3138" w:type="dxa"/>
            <w:vAlign w:val="top"/>
          </w:tcPr>
          <w:p w14:paraId="6369F43A">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未超出竞争性磋商文件规定的价格。</w:t>
            </w:r>
          </w:p>
        </w:tc>
      </w:tr>
      <w:tr w14:paraId="054A7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4" w:hRule="atLeast"/>
        </w:trPr>
        <w:tc>
          <w:tcPr>
            <w:tcW w:w="1514" w:type="dxa"/>
            <w:vMerge w:val="continue"/>
            <w:tcBorders>
              <w:top w:val="nil"/>
              <w:bottom w:val="nil"/>
            </w:tcBorders>
            <w:vAlign w:val="top"/>
          </w:tcPr>
          <w:p w14:paraId="4D3ADBBF">
            <w:pPr>
              <w:rPr>
                <w:rFonts w:ascii="Arial"/>
                <w:sz w:val="21"/>
              </w:rPr>
            </w:pPr>
          </w:p>
        </w:tc>
        <w:tc>
          <w:tcPr>
            <w:tcW w:w="5415" w:type="dxa"/>
            <w:vAlign w:val="top"/>
          </w:tcPr>
          <w:p w14:paraId="53C3B990">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42D0A65C">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BC2A5C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投标价格</w:t>
            </w:r>
          </w:p>
        </w:tc>
        <w:tc>
          <w:tcPr>
            <w:tcW w:w="3138" w:type="dxa"/>
            <w:vAlign w:val="top"/>
          </w:tcPr>
          <w:p w14:paraId="3F03C80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投标总价及其他价格未高于已公布的最高投标限价（招标控制价）及其他相应价格。</w:t>
            </w:r>
          </w:p>
        </w:tc>
      </w:tr>
      <w:tr w14:paraId="15D4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3FE864D">
            <w:pPr>
              <w:rPr>
                <w:rFonts w:ascii="Arial"/>
                <w:sz w:val="21"/>
              </w:rPr>
            </w:pPr>
          </w:p>
        </w:tc>
        <w:tc>
          <w:tcPr>
            <w:tcW w:w="5415" w:type="dxa"/>
            <w:vAlign w:val="top"/>
          </w:tcPr>
          <w:p w14:paraId="428D03A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工期</w:t>
            </w:r>
          </w:p>
        </w:tc>
        <w:tc>
          <w:tcPr>
            <w:tcW w:w="3138" w:type="dxa"/>
            <w:vAlign w:val="top"/>
          </w:tcPr>
          <w:p w14:paraId="0E3F2C01">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rFonts w:hint="eastAsia" w:eastAsia="仿宋"/>
                <w:spacing w:val="-2"/>
                <w:lang w:eastAsia="zh-CN"/>
              </w:rPr>
            </w:pPr>
            <w:r>
              <w:rPr>
                <w:rFonts w:hint="eastAsia"/>
                <w:spacing w:val="-2"/>
                <w:lang w:val="en-US" w:eastAsia="zh-CN"/>
              </w:rPr>
              <w:t>180</w:t>
            </w:r>
            <w:r>
              <w:rPr>
                <w:rFonts w:hint="eastAsia"/>
                <w:spacing w:val="-2"/>
                <w:lang w:eastAsia="zh-CN"/>
              </w:rPr>
              <w:t>日历天内完工</w:t>
            </w:r>
          </w:p>
        </w:tc>
      </w:tr>
      <w:tr w14:paraId="76FE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301E3833">
            <w:pPr>
              <w:rPr>
                <w:rFonts w:ascii="Arial"/>
                <w:sz w:val="21"/>
              </w:rPr>
            </w:pPr>
          </w:p>
        </w:tc>
        <w:tc>
          <w:tcPr>
            <w:tcW w:w="5415" w:type="dxa"/>
            <w:vAlign w:val="top"/>
          </w:tcPr>
          <w:p w14:paraId="6B7E04B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建设地点</w:t>
            </w:r>
          </w:p>
        </w:tc>
        <w:tc>
          <w:tcPr>
            <w:tcW w:w="3138" w:type="dxa"/>
            <w:vAlign w:val="top"/>
          </w:tcPr>
          <w:p w14:paraId="3A7891E4">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采购人指定的地点。</w:t>
            </w:r>
          </w:p>
        </w:tc>
      </w:tr>
      <w:tr w14:paraId="182AB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0" w:hRule="atLeast"/>
        </w:trPr>
        <w:tc>
          <w:tcPr>
            <w:tcW w:w="1514" w:type="dxa"/>
            <w:vMerge w:val="continue"/>
            <w:tcBorders>
              <w:top w:val="nil"/>
              <w:bottom w:val="nil"/>
            </w:tcBorders>
            <w:vAlign w:val="top"/>
          </w:tcPr>
          <w:p w14:paraId="436A3A36">
            <w:pPr>
              <w:rPr>
                <w:rFonts w:ascii="Arial"/>
                <w:sz w:val="21"/>
              </w:rPr>
            </w:pPr>
          </w:p>
        </w:tc>
        <w:tc>
          <w:tcPr>
            <w:tcW w:w="5415" w:type="dxa"/>
            <w:vAlign w:val="top"/>
          </w:tcPr>
          <w:p w14:paraId="2B1B5A8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70CA61B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质量标准</w:t>
            </w:r>
          </w:p>
        </w:tc>
        <w:tc>
          <w:tcPr>
            <w:tcW w:w="3138" w:type="dxa"/>
            <w:vAlign w:val="top"/>
          </w:tcPr>
          <w:p w14:paraId="1AB8927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达到国家现行规范及验收合格标准。执行本项目所在国家和地区颁发的现行法律法规、规范、规定、规程、标准、规划和要求,如果颁发新的技术标准,则按新标准规定执行。</w:t>
            </w:r>
          </w:p>
        </w:tc>
      </w:tr>
      <w:tr w14:paraId="1F2FF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514" w:type="dxa"/>
            <w:vMerge w:val="continue"/>
            <w:tcBorders>
              <w:top w:val="nil"/>
              <w:bottom w:val="nil"/>
            </w:tcBorders>
            <w:vAlign w:val="top"/>
          </w:tcPr>
          <w:p w14:paraId="0E64D164">
            <w:pPr>
              <w:rPr>
                <w:rFonts w:ascii="Arial"/>
                <w:sz w:val="21"/>
              </w:rPr>
            </w:pPr>
          </w:p>
        </w:tc>
        <w:tc>
          <w:tcPr>
            <w:tcW w:w="5415" w:type="dxa"/>
            <w:vAlign w:val="top"/>
          </w:tcPr>
          <w:p w14:paraId="7CAFFD32">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投标范围</w:t>
            </w:r>
          </w:p>
        </w:tc>
        <w:tc>
          <w:tcPr>
            <w:tcW w:w="3138" w:type="dxa"/>
            <w:vAlign w:val="top"/>
          </w:tcPr>
          <w:p w14:paraId="103C914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符合竞争性磋商文件要求</w:t>
            </w:r>
          </w:p>
        </w:tc>
      </w:tr>
      <w:tr w14:paraId="69A62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514" w:type="dxa"/>
            <w:vMerge w:val="continue"/>
            <w:tcBorders>
              <w:top w:val="nil"/>
              <w:bottom w:val="nil"/>
            </w:tcBorders>
            <w:vAlign w:val="top"/>
          </w:tcPr>
          <w:p w14:paraId="12C45059">
            <w:pPr>
              <w:rPr>
                <w:rFonts w:ascii="Arial"/>
                <w:sz w:val="21"/>
              </w:rPr>
            </w:pPr>
          </w:p>
        </w:tc>
        <w:tc>
          <w:tcPr>
            <w:tcW w:w="5415" w:type="dxa"/>
            <w:vAlign w:val="top"/>
          </w:tcPr>
          <w:p w14:paraId="5302A78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投标有效期</w:t>
            </w:r>
          </w:p>
        </w:tc>
        <w:tc>
          <w:tcPr>
            <w:tcW w:w="3138" w:type="dxa"/>
            <w:vAlign w:val="top"/>
          </w:tcPr>
          <w:p w14:paraId="3A4AE19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60个日历日。</w:t>
            </w:r>
          </w:p>
        </w:tc>
      </w:tr>
      <w:tr w14:paraId="17FFB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514" w:type="dxa"/>
            <w:vMerge w:val="continue"/>
            <w:tcBorders>
              <w:top w:val="nil"/>
              <w:bottom w:val="nil"/>
            </w:tcBorders>
            <w:vAlign w:val="top"/>
          </w:tcPr>
          <w:p w14:paraId="326B3EA0">
            <w:pPr>
              <w:rPr>
                <w:rFonts w:ascii="Arial"/>
                <w:sz w:val="21"/>
              </w:rPr>
            </w:pPr>
          </w:p>
        </w:tc>
        <w:tc>
          <w:tcPr>
            <w:tcW w:w="5415" w:type="dxa"/>
            <w:vAlign w:val="top"/>
          </w:tcPr>
          <w:p w14:paraId="67BE065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16E32359">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投标承诺函--投标供应商不得存在的情形</w:t>
            </w:r>
          </w:p>
        </w:tc>
        <w:tc>
          <w:tcPr>
            <w:tcW w:w="3138" w:type="dxa"/>
            <w:vAlign w:val="top"/>
          </w:tcPr>
          <w:p w14:paraId="2C9F7E4B">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提供承诺函，以响应文件格式为准。</w:t>
            </w:r>
          </w:p>
        </w:tc>
      </w:tr>
      <w:tr w14:paraId="618CD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trPr>
        <w:tc>
          <w:tcPr>
            <w:tcW w:w="1514" w:type="dxa"/>
            <w:vMerge w:val="continue"/>
            <w:tcBorders>
              <w:top w:val="nil"/>
            </w:tcBorders>
            <w:vAlign w:val="top"/>
          </w:tcPr>
          <w:p w14:paraId="634E79AD">
            <w:pPr>
              <w:rPr>
                <w:rFonts w:ascii="Arial"/>
                <w:sz w:val="21"/>
              </w:rPr>
            </w:pPr>
          </w:p>
        </w:tc>
        <w:tc>
          <w:tcPr>
            <w:tcW w:w="5415" w:type="dxa"/>
            <w:vAlign w:val="top"/>
          </w:tcPr>
          <w:p w14:paraId="3F9F36D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4078CA5">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p>
          <w:p w14:paraId="67088F8F">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无效标审查</w:t>
            </w:r>
          </w:p>
        </w:tc>
        <w:tc>
          <w:tcPr>
            <w:tcW w:w="3138" w:type="dxa"/>
            <w:vAlign w:val="top"/>
          </w:tcPr>
          <w:p w14:paraId="1527812E">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按本项目竞争性磋商文件第四章无效标条款规定，审查是否通过。</w:t>
            </w:r>
          </w:p>
        </w:tc>
      </w:tr>
    </w:tbl>
    <w:p w14:paraId="490C5A0E">
      <w:pPr>
        <w:pStyle w:val="3"/>
      </w:pPr>
    </w:p>
    <w:p w14:paraId="4D8E6BF1">
      <w:pPr>
        <w:sectPr>
          <w:pgSz w:w="11907" w:h="16841"/>
          <w:pgMar w:top="1440" w:right="1080" w:bottom="1440" w:left="1080" w:header="0" w:footer="815" w:gutter="0"/>
          <w:cols w:space="720" w:num="1"/>
        </w:sectPr>
      </w:pPr>
    </w:p>
    <w:p w14:paraId="0AE83A0D">
      <w:pPr>
        <w:spacing w:before="91" w:line="229" w:lineRule="auto"/>
        <w:ind w:left="21" w:right="-133" w:rightChars="0" w:hanging="6"/>
        <w:rPr>
          <w:rFonts w:ascii="仿宋" w:hAnsi="仿宋" w:eastAsia="仿宋" w:cs="仿宋"/>
          <w:snapToGrid w:val="0"/>
          <w:color w:val="000000"/>
          <w:spacing w:val="-2"/>
          <w:kern w:val="0"/>
          <w:sz w:val="28"/>
          <w:szCs w:val="28"/>
          <w:lang w:val="en-US" w:eastAsia="en-US" w:bidi="ar-SA"/>
        </w:rPr>
      </w:pPr>
      <w:r>
        <w:rPr>
          <w:rFonts w:ascii="仿宋" w:hAnsi="仿宋" w:eastAsia="仿宋" w:cs="仿宋"/>
          <w:snapToGrid w:val="0"/>
          <w:color w:val="000000"/>
          <w:spacing w:val="-2"/>
          <w:kern w:val="0"/>
          <w:sz w:val="28"/>
          <w:szCs w:val="28"/>
          <w:lang w:val="en-US" w:eastAsia="en-US" w:bidi="ar-SA"/>
        </w:rPr>
        <w:t>2.评分表评分表</w:t>
      </w:r>
    </w:p>
    <w:p w14:paraId="1DB79549">
      <w:pPr>
        <w:spacing w:before="114"/>
      </w:pPr>
    </w:p>
    <w:tbl>
      <w:tblPr>
        <w:tblStyle w:val="10"/>
        <w:tblW w:w="99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4"/>
        <w:gridCol w:w="2721"/>
        <w:gridCol w:w="4573"/>
        <w:gridCol w:w="1218"/>
      </w:tblGrid>
      <w:tr w14:paraId="0AD1E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906" w:type="dxa"/>
            <w:gridSpan w:val="4"/>
            <w:tcBorders>
              <w:tl2br w:val="single" w:color="000000" w:sz="2" w:space="0"/>
            </w:tcBorders>
            <w:vAlign w:val="top"/>
          </w:tcPr>
          <w:p w14:paraId="3D4F9BF5">
            <w:pPr>
              <w:pStyle w:val="9"/>
              <w:spacing w:before="39" w:line="217" w:lineRule="auto"/>
              <w:ind w:left="17"/>
            </w:pPr>
            <w:r>
              <w:rPr>
                <w:spacing w:val="-4"/>
              </w:rPr>
              <w:t>供应商名称</w:t>
            </w:r>
          </w:p>
          <w:p w14:paraId="36EEE41D">
            <w:pPr>
              <w:pStyle w:val="9"/>
              <w:spacing w:before="32" w:line="210" w:lineRule="auto"/>
              <w:ind w:left="17"/>
            </w:pPr>
            <w:r>
              <w:rPr>
                <w:spacing w:val="-3"/>
              </w:rPr>
              <w:t>评分项及分值</w:t>
            </w:r>
          </w:p>
        </w:tc>
      </w:tr>
      <w:tr w14:paraId="68FB1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688" w:type="dxa"/>
            <w:gridSpan w:val="3"/>
            <w:vAlign w:val="top"/>
          </w:tcPr>
          <w:p w14:paraId="1A34116C">
            <w:pPr>
              <w:pStyle w:val="9"/>
              <w:spacing w:before="36" w:line="208" w:lineRule="auto"/>
              <w:ind w:left="17"/>
            </w:pPr>
            <w:r>
              <w:rPr>
                <w:spacing w:val="-4"/>
              </w:rPr>
              <w:t>评分项</w:t>
            </w:r>
          </w:p>
        </w:tc>
        <w:tc>
          <w:tcPr>
            <w:tcW w:w="1218" w:type="dxa"/>
            <w:vAlign w:val="top"/>
          </w:tcPr>
          <w:p w14:paraId="37E58050">
            <w:pPr>
              <w:pStyle w:val="9"/>
              <w:spacing w:before="36" w:line="208" w:lineRule="auto"/>
              <w:ind w:left="21"/>
            </w:pPr>
            <w:r>
              <w:rPr>
                <w:spacing w:val="-4"/>
              </w:rPr>
              <w:t>分值标准</w:t>
            </w:r>
          </w:p>
        </w:tc>
      </w:tr>
      <w:tr w14:paraId="60CE3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7" w:hRule="atLeast"/>
        </w:trPr>
        <w:tc>
          <w:tcPr>
            <w:tcW w:w="1394" w:type="dxa"/>
            <w:vAlign w:val="top"/>
          </w:tcPr>
          <w:p w14:paraId="1E3A9AE5">
            <w:pPr>
              <w:spacing w:line="257" w:lineRule="auto"/>
              <w:rPr>
                <w:rFonts w:ascii="Arial"/>
                <w:sz w:val="21"/>
              </w:rPr>
            </w:pPr>
          </w:p>
          <w:p w14:paraId="20740B57">
            <w:pPr>
              <w:spacing w:line="257" w:lineRule="auto"/>
              <w:rPr>
                <w:rFonts w:ascii="Arial"/>
                <w:sz w:val="21"/>
              </w:rPr>
            </w:pPr>
          </w:p>
          <w:p w14:paraId="1A313DAC">
            <w:pPr>
              <w:spacing w:line="257" w:lineRule="auto"/>
              <w:rPr>
                <w:rFonts w:ascii="Arial"/>
                <w:sz w:val="21"/>
              </w:rPr>
            </w:pPr>
          </w:p>
          <w:p w14:paraId="7F960A39">
            <w:pPr>
              <w:spacing w:line="257" w:lineRule="auto"/>
              <w:rPr>
                <w:rFonts w:ascii="Arial"/>
                <w:sz w:val="21"/>
              </w:rPr>
            </w:pPr>
          </w:p>
          <w:p w14:paraId="535E735E">
            <w:pPr>
              <w:spacing w:line="257" w:lineRule="auto"/>
              <w:rPr>
                <w:rFonts w:ascii="Arial"/>
                <w:sz w:val="21"/>
              </w:rPr>
            </w:pPr>
          </w:p>
          <w:p w14:paraId="2B833B01">
            <w:pPr>
              <w:spacing w:line="257" w:lineRule="auto"/>
              <w:rPr>
                <w:rFonts w:ascii="Arial"/>
                <w:sz w:val="21"/>
              </w:rPr>
            </w:pPr>
          </w:p>
          <w:p w14:paraId="61CC1A34">
            <w:pPr>
              <w:spacing w:line="258" w:lineRule="auto"/>
              <w:rPr>
                <w:rFonts w:ascii="Arial"/>
                <w:sz w:val="21"/>
              </w:rPr>
            </w:pPr>
          </w:p>
          <w:p w14:paraId="358DB215">
            <w:pPr>
              <w:spacing w:line="258" w:lineRule="auto"/>
              <w:rPr>
                <w:rFonts w:ascii="Arial"/>
                <w:sz w:val="21"/>
              </w:rPr>
            </w:pPr>
          </w:p>
          <w:p w14:paraId="3C56247C">
            <w:pPr>
              <w:spacing w:line="258" w:lineRule="auto"/>
              <w:rPr>
                <w:rFonts w:ascii="Arial"/>
                <w:sz w:val="21"/>
              </w:rPr>
            </w:pPr>
          </w:p>
          <w:p w14:paraId="31F4B080">
            <w:pPr>
              <w:spacing w:line="258" w:lineRule="auto"/>
              <w:rPr>
                <w:rFonts w:ascii="Arial"/>
                <w:sz w:val="21"/>
              </w:rPr>
            </w:pPr>
          </w:p>
          <w:p w14:paraId="694B1215">
            <w:pPr>
              <w:spacing w:line="258" w:lineRule="auto"/>
              <w:rPr>
                <w:rFonts w:ascii="Arial"/>
                <w:sz w:val="21"/>
              </w:rPr>
            </w:pPr>
          </w:p>
          <w:p w14:paraId="0D59D32D">
            <w:pPr>
              <w:pStyle w:val="9"/>
              <w:spacing w:before="91" w:line="219" w:lineRule="auto"/>
              <w:ind w:left="17"/>
            </w:pPr>
            <w:r>
              <w:rPr>
                <w:spacing w:val="-4"/>
              </w:rPr>
              <w:t>价格分</w:t>
            </w:r>
          </w:p>
          <w:p w14:paraId="75F1E1CE">
            <w:pPr>
              <w:pStyle w:val="9"/>
              <w:spacing w:before="33" w:line="220" w:lineRule="auto"/>
              <w:ind w:left="16"/>
            </w:pPr>
            <w:r>
              <w:rPr>
                <w:spacing w:val="-8"/>
              </w:rPr>
              <w:t>（30分）</w:t>
            </w:r>
          </w:p>
        </w:tc>
        <w:tc>
          <w:tcPr>
            <w:tcW w:w="7294" w:type="dxa"/>
            <w:gridSpan w:val="2"/>
            <w:vAlign w:val="top"/>
          </w:tcPr>
          <w:p w14:paraId="5D6403EF">
            <w:pPr>
              <w:pStyle w:val="9"/>
              <w:spacing w:before="38" w:line="232" w:lineRule="auto"/>
              <w:ind w:left="17" w:right="12"/>
              <w:jc w:val="both"/>
            </w:pPr>
            <w:r>
              <w:rPr>
                <w:spacing w:val="-1"/>
              </w:rPr>
              <w:t>满足竞争性磋商文件要求且价格最低的磋商报价为磋商基准价，其报价分为满分。其他有效供应商报价分统一按照下列</w:t>
            </w:r>
            <w:r>
              <w:rPr>
                <w:spacing w:val="-4"/>
              </w:rPr>
              <w:t>公式计算：</w:t>
            </w:r>
          </w:p>
          <w:p w14:paraId="094F2CED">
            <w:pPr>
              <w:pStyle w:val="9"/>
              <w:spacing w:before="31" w:line="219" w:lineRule="auto"/>
              <w:ind w:left="15"/>
            </w:pPr>
            <w:r>
              <w:rPr>
                <w:spacing w:val="-2"/>
              </w:rPr>
              <w:t>磋商报价得分=（磋商基准价/最后磋商报价</w:t>
            </w:r>
            <w:r>
              <w:rPr>
                <w:spacing w:val="-3"/>
              </w:rPr>
              <w:t>）×30%×100。</w:t>
            </w:r>
          </w:p>
          <w:p w14:paraId="6630E1CA">
            <w:pPr>
              <w:pStyle w:val="9"/>
              <w:spacing w:before="21" w:line="219" w:lineRule="auto"/>
              <w:ind w:left="18"/>
              <w:rPr>
                <w:sz w:val="21"/>
                <w:szCs w:val="21"/>
              </w:rPr>
            </w:pPr>
            <w:r>
              <w:rPr>
                <w:b/>
                <w:bCs/>
                <w:spacing w:val="-2"/>
                <w:sz w:val="21"/>
                <w:szCs w:val="21"/>
              </w:rPr>
              <w:t>注</w:t>
            </w:r>
            <w:r>
              <w:rPr>
                <w:b/>
                <w:bCs/>
                <w:spacing w:val="-14"/>
                <w:sz w:val="21"/>
                <w:szCs w:val="21"/>
              </w:rPr>
              <w:t>：（</w:t>
            </w:r>
            <w:r>
              <w:rPr>
                <w:b/>
                <w:bCs/>
                <w:spacing w:val="-2"/>
                <w:sz w:val="21"/>
                <w:szCs w:val="21"/>
              </w:rPr>
              <w:t>1）二次报价为最终评审依据，二次报价不得高于一次报价。</w:t>
            </w:r>
          </w:p>
          <w:p w14:paraId="692CBBB2">
            <w:pPr>
              <w:pStyle w:val="9"/>
              <w:spacing w:before="20" w:line="238" w:lineRule="auto"/>
              <w:ind w:left="11" w:right="33" w:firstLine="1"/>
              <w:jc w:val="both"/>
              <w:rPr>
                <w:sz w:val="21"/>
                <w:szCs w:val="21"/>
              </w:rPr>
            </w:pPr>
            <w:r>
              <w:rPr>
                <w:b/>
                <w:bCs/>
                <w:spacing w:val="-2"/>
                <w:sz w:val="21"/>
                <w:szCs w:val="21"/>
              </w:rPr>
              <w:t>（2）①在评审过程中，供应商报价明显低于其他有效</w:t>
            </w:r>
            <w:r>
              <w:rPr>
                <w:b/>
                <w:bCs/>
                <w:spacing w:val="-3"/>
                <w:sz w:val="21"/>
                <w:szCs w:val="21"/>
              </w:rPr>
              <w:t>供应商的报价，有可能影</w:t>
            </w:r>
            <w:r>
              <w:rPr>
                <w:b/>
                <w:bCs/>
                <w:spacing w:val="-2"/>
                <w:sz w:val="21"/>
                <w:szCs w:val="21"/>
              </w:rPr>
              <w:t>响产品质量或者不能诚信履约的，评标委员会应当要求其在评审现场合理的时间（20分钟）内提供书面说明，并提交相关证明材料，供应商不能证明其报价合理性的，评标委员会应当将其投标作无效投标处理。②供应商的书面说明材料应当按照国家财务会计制度的规定要求，逐项就供应商提供的货物、工程和服务的主营业务成本、税金及附加、销售费用、管理费用、财务费用等成本构成事项详细陈述。③供应商书面说明应当签字确认并加盖公章，否则无效。书面说明的签字确认，由其法定代表人或者其授权代表签字确认。④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标委员会应当将其投标作无效</w:t>
            </w:r>
            <w:r>
              <w:rPr>
                <w:b/>
                <w:bCs/>
                <w:spacing w:val="-8"/>
                <w:sz w:val="21"/>
                <w:szCs w:val="21"/>
              </w:rPr>
              <w:t>投标处理。</w:t>
            </w:r>
          </w:p>
          <w:p w14:paraId="08849255">
            <w:pPr>
              <w:pStyle w:val="9"/>
              <w:spacing w:before="25" w:line="206" w:lineRule="auto"/>
              <w:ind w:left="12"/>
              <w:rPr>
                <w:sz w:val="21"/>
                <w:szCs w:val="21"/>
              </w:rPr>
            </w:pPr>
            <w:r>
              <w:rPr>
                <w:b/>
                <w:bCs/>
                <w:spacing w:val="-3"/>
                <w:sz w:val="21"/>
                <w:szCs w:val="21"/>
              </w:rPr>
              <w:t>（3）本项目专门面向中小微企业采购，不再执行价格扣除。</w:t>
            </w:r>
          </w:p>
        </w:tc>
        <w:tc>
          <w:tcPr>
            <w:tcW w:w="1218" w:type="dxa"/>
            <w:vAlign w:val="top"/>
          </w:tcPr>
          <w:p w14:paraId="2BA2B872">
            <w:pPr>
              <w:spacing w:line="257" w:lineRule="auto"/>
              <w:rPr>
                <w:rFonts w:ascii="Arial"/>
                <w:sz w:val="21"/>
              </w:rPr>
            </w:pPr>
          </w:p>
          <w:p w14:paraId="292BD6B9">
            <w:pPr>
              <w:spacing w:line="257" w:lineRule="auto"/>
              <w:rPr>
                <w:rFonts w:ascii="Arial"/>
                <w:sz w:val="21"/>
              </w:rPr>
            </w:pPr>
          </w:p>
          <w:p w14:paraId="742F1DA5">
            <w:pPr>
              <w:spacing w:line="257" w:lineRule="auto"/>
              <w:rPr>
                <w:rFonts w:ascii="Arial"/>
                <w:sz w:val="21"/>
              </w:rPr>
            </w:pPr>
          </w:p>
          <w:p w14:paraId="3F0B6022">
            <w:pPr>
              <w:spacing w:line="257" w:lineRule="auto"/>
              <w:rPr>
                <w:rFonts w:ascii="Arial"/>
                <w:sz w:val="21"/>
              </w:rPr>
            </w:pPr>
          </w:p>
          <w:p w14:paraId="5D682E15">
            <w:pPr>
              <w:spacing w:line="257" w:lineRule="auto"/>
              <w:rPr>
                <w:rFonts w:ascii="Arial"/>
                <w:sz w:val="21"/>
              </w:rPr>
            </w:pPr>
          </w:p>
          <w:p w14:paraId="78F30C53">
            <w:pPr>
              <w:spacing w:line="257" w:lineRule="auto"/>
              <w:rPr>
                <w:rFonts w:ascii="Arial"/>
                <w:sz w:val="21"/>
              </w:rPr>
            </w:pPr>
          </w:p>
          <w:p w14:paraId="1CD4DEA7">
            <w:pPr>
              <w:spacing w:line="258" w:lineRule="auto"/>
              <w:rPr>
                <w:rFonts w:ascii="Arial"/>
                <w:sz w:val="21"/>
              </w:rPr>
            </w:pPr>
          </w:p>
          <w:p w14:paraId="2D248257">
            <w:pPr>
              <w:spacing w:line="258" w:lineRule="auto"/>
              <w:rPr>
                <w:rFonts w:ascii="Arial"/>
                <w:sz w:val="21"/>
              </w:rPr>
            </w:pPr>
          </w:p>
          <w:p w14:paraId="2105C62C">
            <w:pPr>
              <w:spacing w:line="258" w:lineRule="auto"/>
              <w:rPr>
                <w:rFonts w:ascii="Arial"/>
                <w:sz w:val="21"/>
              </w:rPr>
            </w:pPr>
          </w:p>
          <w:p w14:paraId="3CC71E92">
            <w:pPr>
              <w:spacing w:line="258" w:lineRule="auto"/>
              <w:rPr>
                <w:rFonts w:ascii="Arial"/>
                <w:sz w:val="21"/>
              </w:rPr>
            </w:pPr>
          </w:p>
          <w:p w14:paraId="77FB9A14">
            <w:pPr>
              <w:spacing w:line="258" w:lineRule="auto"/>
              <w:rPr>
                <w:rFonts w:ascii="Arial"/>
                <w:sz w:val="21"/>
              </w:rPr>
            </w:pPr>
          </w:p>
          <w:p w14:paraId="1733C7E7">
            <w:pPr>
              <w:pStyle w:val="9"/>
              <w:spacing w:before="91" w:line="220" w:lineRule="auto"/>
              <w:ind w:left="11"/>
            </w:pPr>
            <w:r>
              <w:rPr>
                <w:spacing w:val="-3"/>
              </w:rPr>
              <w:t>0-30分</w:t>
            </w:r>
          </w:p>
        </w:tc>
      </w:tr>
      <w:tr w14:paraId="45674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6" w:hRule="atLeast"/>
        </w:trPr>
        <w:tc>
          <w:tcPr>
            <w:tcW w:w="1394" w:type="dxa"/>
            <w:vMerge w:val="restart"/>
            <w:tcBorders>
              <w:bottom w:val="nil"/>
            </w:tcBorders>
            <w:vAlign w:val="top"/>
          </w:tcPr>
          <w:p w14:paraId="2003C22E">
            <w:pPr>
              <w:spacing w:line="279" w:lineRule="auto"/>
              <w:rPr>
                <w:rFonts w:ascii="Arial"/>
                <w:sz w:val="21"/>
              </w:rPr>
            </w:pPr>
          </w:p>
          <w:p w14:paraId="3E717B3C">
            <w:pPr>
              <w:spacing w:line="279" w:lineRule="auto"/>
              <w:rPr>
                <w:rFonts w:ascii="Arial"/>
                <w:sz w:val="21"/>
              </w:rPr>
            </w:pPr>
          </w:p>
          <w:p w14:paraId="7DA8F7CF">
            <w:pPr>
              <w:spacing w:line="279" w:lineRule="auto"/>
              <w:rPr>
                <w:rFonts w:ascii="Arial"/>
                <w:sz w:val="21"/>
              </w:rPr>
            </w:pPr>
          </w:p>
          <w:p w14:paraId="1D15FF45">
            <w:pPr>
              <w:spacing w:line="280" w:lineRule="auto"/>
              <w:rPr>
                <w:rFonts w:ascii="Arial"/>
                <w:sz w:val="21"/>
              </w:rPr>
            </w:pPr>
          </w:p>
          <w:p w14:paraId="4A7B92CB">
            <w:pPr>
              <w:spacing w:line="280" w:lineRule="auto"/>
              <w:rPr>
                <w:rFonts w:ascii="Arial"/>
                <w:sz w:val="21"/>
              </w:rPr>
            </w:pPr>
          </w:p>
          <w:p w14:paraId="0E614AF0">
            <w:pPr>
              <w:pStyle w:val="9"/>
              <w:spacing w:before="91" w:line="229" w:lineRule="auto"/>
              <w:ind w:left="16" w:right="268"/>
            </w:pPr>
            <w:r>
              <w:rPr>
                <w:spacing w:val="-5"/>
              </w:rPr>
              <w:t>技术部分</w:t>
            </w:r>
            <w:r>
              <w:rPr>
                <w:spacing w:val="-6"/>
              </w:rPr>
              <w:t>（40分）</w:t>
            </w:r>
          </w:p>
        </w:tc>
        <w:tc>
          <w:tcPr>
            <w:tcW w:w="2721" w:type="dxa"/>
            <w:vAlign w:val="top"/>
          </w:tcPr>
          <w:p w14:paraId="43CEBB65">
            <w:pPr>
              <w:pStyle w:val="9"/>
              <w:spacing w:before="42" w:line="219" w:lineRule="auto"/>
              <w:ind w:left="15"/>
            </w:pPr>
            <w:r>
              <w:rPr>
                <w:spacing w:val="-2"/>
              </w:rPr>
              <w:t>施工方案与技术措施</w:t>
            </w:r>
          </w:p>
        </w:tc>
        <w:tc>
          <w:tcPr>
            <w:tcW w:w="4573" w:type="dxa"/>
            <w:vAlign w:val="top"/>
          </w:tcPr>
          <w:p w14:paraId="39FEE839">
            <w:pPr>
              <w:pStyle w:val="9"/>
              <w:spacing w:before="33" w:line="228" w:lineRule="auto"/>
              <w:ind w:left="141" w:right="97" w:hanging="6"/>
              <w:rPr>
                <w:sz w:val="21"/>
                <w:szCs w:val="21"/>
              </w:rPr>
            </w:pPr>
            <w:r>
              <w:rPr>
                <w:spacing w:val="-13"/>
                <w:sz w:val="21"/>
                <w:szCs w:val="21"/>
              </w:rPr>
              <w:t>1.方案完整、科学合理、切实可行、内容详细充分</w:t>
            </w:r>
            <w:r>
              <w:rPr>
                <w:spacing w:val="-14"/>
                <w:sz w:val="21"/>
                <w:szCs w:val="21"/>
              </w:rPr>
              <w:t>、符合项目实际情况的得10分；</w:t>
            </w:r>
          </w:p>
          <w:p w14:paraId="15C7184F">
            <w:pPr>
              <w:pStyle w:val="9"/>
              <w:spacing w:before="25" w:line="230" w:lineRule="auto"/>
              <w:ind w:left="126" w:right="97" w:hanging="4"/>
              <w:rPr>
                <w:sz w:val="21"/>
                <w:szCs w:val="21"/>
              </w:rPr>
            </w:pPr>
            <w:r>
              <w:rPr>
                <w:spacing w:val="-12"/>
                <w:sz w:val="21"/>
                <w:szCs w:val="21"/>
              </w:rPr>
              <w:t>2.方案较完整、基本科学合理、可行性一般，仅基</w:t>
            </w:r>
            <w:r>
              <w:rPr>
                <w:spacing w:val="-14"/>
                <w:sz w:val="21"/>
                <w:szCs w:val="21"/>
              </w:rPr>
              <w:t>本满足采购要求的得6分；</w:t>
            </w:r>
          </w:p>
          <w:p w14:paraId="19FE7DF2">
            <w:pPr>
              <w:pStyle w:val="9"/>
              <w:spacing w:before="23" w:line="233" w:lineRule="auto"/>
              <w:ind w:left="127" w:right="96" w:hanging="4"/>
              <w:jc w:val="both"/>
              <w:rPr>
                <w:sz w:val="21"/>
                <w:szCs w:val="21"/>
              </w:rPr>
            </w:pPr>
            <w:r>
              <w:rPr>
                <w:spacing w:val="-12"/>
                <w:sz w:val="21"/>
                <w:szCs w:val="21"/>
              </w:rPr>
              <w:t>3.方案内容较差，不合理，内容欠缺，措施不完善且较差，无可行性，基本不能满足采购要求的</w:t>
            </w:r>
            <w:r>
              <w:rPr>
                <w:spacing w:val="-13"/>
                <w:sz w:val="21"/>
                <w:szCs w:val="21"/>
              </w:rPr>
              <w:t>得2</w:t>
            </w:r>
            <w:r>
              <w:rPr>
                <w:spacing w:val="-19"/>
                <w:sz w:val="21"/>
                <w:szCs w:val="21"/>
              </w:rPr>
              <w:t>分；</w:t>
            </w:r>
          </w:p>
          <w:p w14:paraId="7F9E949B">
            <w:pPr>
              <w:pStyle w:val="9"/>
              <w:spacing w:before="22" w:line="206" w:lineRule="auto"/>
              <w:ind w:left="8"/>
              <w:rPr>
                <w:sz w:val="21"/>
                <w:szCs w:val="21"/>
              </w:rPr>
            </w:pPr>
            <w:r>
              <w:rPr>
                <w:spacing w:val="-10"/>
                <w:sz w:val="21"/>
                <w:szCs w:val="21"/>
              </w:rPr>
              <w:t>4.不提供得0分。</w:t>
            </w:r>
          </w:p>
        </w:tc>
        <w:tc>
          <w:tcPr>
            <w:tcW w:w="1218" w:type="dxa"/>
            <w:vAlign w:val="top"/>
          </w:tcPr>
          <w:p w14:paraId="2A96D505">
            <w:pPr>
              <w:pStyle w:val="9"/>
              <w:spacing w:before="43" w:line="220" w:lineRule="auto"/>
              <w:ind w:left="11"/>
            </w:pPr>
            <w:r>
              <w:rPr>
                <w:spacing w:val="-3"/>
              </w:rPr>
              <w:t>0-10分</w:t>
            </w:r>
          </w:p>
        </w:tc>
      </w:tr>
      <w:tr w14:paraId="2399B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1394" w:type="dxa"/>
            <w:vMerge w:val="continue"/>
            <w:tcBorders>
              <w:top w:val="nil"/>
              <w:bottom w:val="nil"/>
            </w:tcBorders>
            <w:vAlign w:val="top"/>
          </w:tcPr>
          <w:p w14:paraId="20261074">
            <w:pPr>
              <w:rPr>
                <w:rFonts w:ascii="Arial"/>
                <w:sz w:val="21"/>
              </w:rPr>
            </w:pPr>
          </w:p>
        </w:tc>
        <w:tc>
          <w:tcPr>
            <w:tcW w:w="2721" w:type="dxa"/>
            <w:vAlign w:val="top"/>
          </w:tcPr>
          <w:p w14:paraId="0EA81ACA">
            <w:pPr>
              <w:pStyle w:val="9"/>
              <w:spacing w:before="43" w:line="217" w:lineRule="auto"/>
              <w:ind w:left="23"/>
            </w:pPr>
            <w:r>
              <w:rPr>
                <w:spacing w:val="-4"/>
              </w:rPr>
              <w:t>质量保证措施</w:t>
            </w:r>
          </w:p>
        </w:tc>
        <w:tc>
          <w:tcPr>
            <w:tcW w:w="4573" w:type="dxa"/>
            <w:vAlign w:val="top"/>
          </w:tcPr>
          <w:p w14:paraId="3916C729">
            <w:pPr>
              <w:pStyle w:val="9"/>
              <w:spacing w:before="80" w:line="250" w:lineRule="auto"/>
              <w:ind w:left="131" w:right="181"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2EC90FD9">
            <w:pPr>
              <w:pStyle w:val="9"/>
              <w:spacing w:before="121" w:line="252" w:lineRule="auto"/>
              <w:ind w:left="127" w:right="181" w:hanging="4"/>
              <w:rPr>
                <w:sz w:val="21"/>
                <w:szCs w:val="21"/>
              </w:rPr>
            </w:pPr>
            <w:r>
              <w:rPr>
                <w:spacing w:val="-12"/>
                <w:sz w:val="21"/>
                <w:szCs w:val="21"/>
              </w:rPr>
              <w:t>2、方案较完整、基本科学合理、可行性一般，仅</w:t>
            </w:r>
            <w:r>
              <w:rPr>
                <w:spacing w:val="-13"/>
                <w:sz w:val="21"/>
                <w:szCs w:val="21"/>
              </w:rPr>
              <w:t>基本满足采购要求的得3分，</w:t>
            </w:r>
          </w:p>
          <w:p w14:paraId="10939361">
            <w:pPr>
              <w:pStyle w:val="9"/>
              <w:spacing w:before="119" w:line="263" w:lineRule="auto"/>
              <w:ind w:left="133" w:right="83"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569E5542">
            <w:pPr>
              <w:pStyle w:val="9"/>
              <w:spacing w:before="70" w:line="204" w:lineRule="auto"/>
              <w:ind w:left="7"/>
              <w:rPr>
                <w:sz w:val="21"/>
                <w:szCs w:val="21"/>
              </w:rPr>
            </w:pPr>
            <w:r>
              <w:rPr>
                <w:spacing w:val="-4"/>
                <w:sz w:val="21"/>
                <w:szCs w:val="21"/>
              </w:rPr>
              <w:t>4、不提供得0分。</w:t>
            </w:r>
          </w:p>
        </w:tc>
        <w:tc>
          <w:tcPr>
            <w:tcW w:w="1218" w:type="dxa"/>
            <w:vAlign w:val="top"/>
          </w:tcPr>
          <w:p w14:paraId="2C1A153D">
            <w:pPr>
              <w:pStyle w:val="9"/>
              <w:spacing w:before="43" w:line="220" w:lineRule="auto"/>
              <w:ind w:left="11"/>
            </w:pPr>
            <w:r>
              <w:rPr>
                <w:spacing w:val="-3"/>
              </w:rPr>
              <w:t>0-5分</w:t>
            </w:r>
          </w:p>
        </w:tc>
      </w:tr>
      <w:tr w14:paraId="76D70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394" w:type="dxa"/>
            <w:vMerge w:val="continue"/>
            <w:tcBorders>
              <w:top w:val="nil"/>
            </w:tcBorders>
            <w:vAlign w:val="top"/>
          </w:tcPr>
          <w:p w14:paraId="288F56A8">
            <w:pPr>
              <w:rPr>
                <w:rFonts w:ascii="Arial"/>
                <w:sz w:val="21"/>
              </w:rPr>
            </w:pPr>
          </w:p>
        </w:tc>
        <w:tc>
          <w:tcPr>
            <w:tcW w:w="2721" w:type="dxa"/>
            <w:vAlign w:val="top"/>
          </w:tcPr>
          <w:p w14:paraId="3974B9B5">
            <w:pPr>
              <w:pStyle w:val="9"/>
              <w:spacing w:before="46" w:line="217" w:lineRule="auto"/>
              <w:ind w:left="15"/>
            </w:pPr>
            <w:r>
              <w:rPr>
                <w:spacing w:val="-2"/>
              </w:rPr>
              <w:t>施工总进度保证措施</w:t>
            </w:r>
          </w:p>
        </w:tc>
        <w:tc>
          <w:tcPr>
            <w:tcW w:w="4573" w:type="dxa"/>
            <w:vAlign w:val="top"/>
          </w:tcPr>
          <w:p w14:paraId="3842A202">
            <w:pPr>
              <w:pStyle w:val="9"/>
              <w:spacing w:before="82" w:line="250" w:lineRule="auto"/>
              <w:ind w:left="131" w:right="181"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0BC3092">
            <w:pPr>
              <w:pStyle w:val="9"/>
              <w:spacing w:before="121" w:line="217" w:lineRule="auto"/>
              <w:ind w:left="123"/>
              <w:rPr>
                <w:sz w:val="21"/>
                <w:szCs w:val="21"/>
              </w:rPr>
            </w:pPr>
            <w:r>
              <w:rPr>
                <w:spacing w:val="-11"/>
                <w:sz w:val="21"/>
                <w:szCs w:val="21"/>
              </w:rPr>
              <w:t>2、方案较完整、基本科学合理、可行性一般，仅</w:t>
            </w:r>
          </w:p>
        </w:tc>
        <w:tc>
          <w:tcPr>
            <w:tcW w:w="1218" w:type="dxa"/>
            <w:vAlign w:val="top"/>
          </w:tcPr>
          <w:p w14:paraId="1987523C">
            <w:pPr>
              <w:pStyle w:val="9"/>
              <w:spacing w:before="46" w:line="220" w:lineRule="auto"/>
              <w:ind w:left="11"/>
            </w:pPr>
            <w:r>
              <w:rPr>
                <w:spacing w:val="-3"/>
              </w:rPr>
              <w:t>0-5分</w:t>
            </w:r>
          </w:p>
        </w:tc>
      </w:tr>
    </w:tbl>
    <w:p w14:paraId="58F93413">
      <w:pPr>
        <w:pStyle w:val="3"/>
      </w:pPr>
    </w:p>
    <w:p w14:paraId="16FB98CA">
      <w:pPr>
        <w:sectPr>
          <w:footerReference r:id="rId7" w:type="default"/>
          <w:pgSz w:w="11907" w:h="16841"/>
          <w:pgMar w:top="1440" w:right="1080" w:bottom="1440" w:left="1080" w:header="0" w:footer="815" w:gutter="0"/>
          <w:cols w:space="720" w:num="1"/>
        </w:sectPr>
      </w:pPr>
    </w:p>
    <w:tbl>
      <w:tblPr>
        <w:tblStyle w:val="10"/>
        <w:tblW w:w="99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6"/>
        <w:gridCol w:w="2"/>
        <w:gridCol w:w="2719"/>
        <w:gridCol w:w="2"/>
        <w:gridCol w:w="4563"/>
        <w:gridCol w:w="6"/>
        <w:gridCol w:w="1227"/>
      </w:tblGrid>
      <w:tr w14:paraId="09C25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416" w:type="dxa"/>
            <w:vMerge w:val="restart"/>
            <w:tcBorders>
              <w:bottom w:val="nil"/>
            </w:tcBorders>
            <w:vAlign w:val="top"/>
          </w:tcPr>
          <w:p w14:paraId="3C956978">
            <w:pPr>
              <w:rPr>
                <w:rFonts w:ascii="Arial"/>
                <w:sz w:val="21"/>
              </w:rPr>
            </w:pPr>
          </w:p>
        </w:tc>
        <w:tc>
          <w:tcPr>
            <w:tcW w:w="2721" w:type="dxa"/>
            <w:gridSpan w:val="2"/>
            <w:vAlign w:val="top"/>
          </w:tcPr>
          <w:p w14:paraId="7057D574">
            <w:pPr>
              <w:rPr>
                <w:rFonts w:ascii="Arial"/>
                <w:sz w:val="21"/>
              </w:rPr>
            </w:pPr>
          </w:p>
        </w:tc>
        <w:tc>
          <w:tcPr>
            <w:tcW w:w="4571" w:type="dxa"/>
            <w:gridSpan w:val="3"/>
            <w:vAlign w:val="top"/>
          </w:tcPr>
          <w:p w14:paraId="6125B483">
            <w:pPr>
              <w:pStyle w:val="9"/>
              <w:spacing w:before="34" w:line="219" w:lineRule="auto"/>
              <w:ind w:left="128"/>
              <w:rPr>
                <w:sz w:val="21"/>
                <w:szCs w:val="21"/>
              </w:rPr>
            </w:pPr>
            <w:r>
              <w:rPr>
                <w:spacing w:val="-13"/>
                <w:sz w:val="21"/>
                <w:szCs w:val="21"/>
              </w:rPr>
              <w:t>基本满足采购要求的得3分，</w:t>
            </w:r>
          </w:p>
          <w:p w14:paraId="3B95568C">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21C933FC">
            <w:pPr>
              <w:pStyle w:val="9"/>
              <w:spacing w:before="72" w:line="206" w:lineRule="auto"/>
              <w:ind w:left="7"/>
              <w:rPr>
                <w:sz w:val="21"/>
                <w:szCs w:val="21"/>
              </w:rPr>
            </w:pPr>
            <w:r>
              <w:rPr>
                <w:spacing w:val="-4"/>
                <w:sz w:val="21"/>
                <w:szCs w:val="21"/>
              </w:rPr>
              <w:t>4、不提供得0分。</w:t>
            </w:r>
          </w:p>
        </w:tc>
        <w:tc>
          <w:tcPr>
            <w:tcW w:w="1227" w:type="dxa"/>
            <w:vAlign w:val="top"/>
          </w:tcPr>
          <w:p w14:paraId="01BD0B66">
            <w:pPr>
              <w:rPr>
                <w:rFonts w:ascii="Arial"/>
                <w:sz w:val="21"/>
              </w:rPr>
            </w:pPr>
          </w:p>
        </w:tc>
      </w:tr>
      <w:tr w14:paraId="60947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7" w:hRule="atLeast"/>
        </w:trPr>
        <w:tc>
          <w:tcPr>
            <w:tcW w:w="1416" w:type="dxa"/>
            <w:vMerge w:val="continue"/>
            <w:tcBorders>
              <w:top w:val="nil"/>
              <w:bottom w:val="nil"/>
            </w:tcBorders>
            <w:vAlign w:val="top"/>
          </w:tcPr>
          <w:p w14:paraId="49B8593D">
            <w:pPr>
              <w:rPr>
                <w:rFonts w:ascii="Arial"/>
                <w:sz w:val="21"/>
              </w:rPr>
            </w:pPr>
          </w:p>
        </w:tc>
        <w:tc>
          <w:tcPr>
            <w:tcW w:w="2721" w:type="dxa"/>
            <w:gridSpan w:val="2"/>
            <w:vAlign w:val="top"/>
          </w:tcPr>
          <w:p w14:paraId="7DD2656D">
            <w:pPr>
              <w:pStyle w:val="9"/>
              <w:spacing w:before="44" w:line="219" w:lineRule="auto"/>
              <w:ind w:left="15"/>
            </w:pPr>
            <w:r>
              <w:rPr>
                <w:spacing w:val="-3"/>
              </w:rPr>
              <w:t>施工安全措施</w:t>
            </w:r>
          </w:p>
        </w:tc>
        <w:tc>
          <w:tcPr>
            <w:tcW w:w="4571" w:type="dxa"/>
            <w:gridSpan w:val="3"/>
            <w:vAlign w:val="top"/>
          </w:tcPr>
          <w:p w14:paraId="1B737CBD">
            <w:pPr>
              <w:pStyle w:val="9"/>
              <w:spacing w:before="80" w:line="250" w:lineRule="auto"/>
              <w:ind w:left="130" w:right="179" w:firstLine="4"/>
              <w:rPr>
                <w:sz w:val="21"/>
                <w:szCs w:val="21"/>
              </w:rPr>
            </w:pPr>
            <w:r>
              <w:rPr>
                <w:spacing w:val="-12"/>
                <w:sz w:val="21"/>
                <w:szCs w:val="21"/>
              </w:rPr>
              <w:t>1、方案完整、科学合理、切实可行、内容详</w:t>
            </w:r>
            <w:r>
              <w:rPr>
                <w:spacing w:val="-13"/>
                <w:sz w:val="21"/>
                <w:szCs w:val="21"/>
              </w:rPr>
              <w:t>细充分、符合项目实际情况的得10分，</w:t>
            </w:r>
          </w:p>
          <w:p w14:paraId="0F2CD492">
            <w:pPr>
              <w:pStyle w:val="9"/>
              <w:spacing w:before="121" w:line="251"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基本满足采购要求的得6分，</w:t>
            </w:r>
          </w:p>
          <w:p w14:paraId="46C20B95">
            <w:pPr>
              <w:pStyle w:val="9"/>
              <w:spacing w:before="119" w:line="263" w:lineRule="auto"/>
              <w:ind w:left="124" w:right="81"/>
              <w:rPr>
                <w:sz w:val="21"/>
                <w:szCs w:val="21"/>
              </w:rPr>
            </w:pPr>
            <w:r>
              <w:rPr>
                <w:spacing w:val="-12"/>
                <w:sz w:val="21"/>
                <w:szCs w:val="21"/>
              </w:rPr>
              <w:t>3、方案内容较差，不合理，内容欠缺，措施不完善且较差，无可行性，基本不能满足采购要求的得</w:t>
            </w:r>
            <w:r>
              <w:rPr>
                <w:spacing w:val="-3"/>
                <w:sz w:val="21"/>
                <w:szCs w:val="21"/>
              </w:rPr>
              <w:t>2分，</w:t>
            </w:r>
          </w:p>
          <w:p w14:paraId="484C5254">
            <w:pPr>
              <w:pStyle w:val="9"/>
              <w:spacing w:before="73" w:line="206" w:lineRule="auto"/>
              <w:ind w:left="7"/>
              <w:rPr>
                <w:sz w:val="21"/>
                <w:szCs w:val="21"/>
              </w:rPr>
            </w:pPr>
            <w:r>
              <w:rPr>
                <w:spacing w:val="-4"/>
                <w:sz w:val="21"/>
                <w:szCs w:val="21"/>
              </w:rPr>
              <w:t>4、不提供得0分。</w:t>
            </w:r>
          </w:p>
        </w:tc>
        <w:tc>
          <w:tcPr>
            <w:tcW w:w="1227" w:type="dxa"/>
            <w:vAlign w:val="top"/>
          </w:tcPr>
          <w:p w14:paraId="6926EE4B">
            <w:pPr>
              <w:pStyle w:val="9"/>
              <w:spacing w:before="44" w:line="220" w:lineRule="auto"/>
              <w:ind w:left="13"/>
            </w:pPr>
            <w:r>
              <w:rPr>
                <w:spacing w:val="-3"/>
              </w:rPr>
              <w:t>0-10分</w:t>
            </w:r>
          </w:p>
        </w:tc>
      </w:tr>
      <w:tr w14:paraId="40D1A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16" w:type="dxa"/>
            <w:vMerge w:val="continue"/>
            <w:tcBorders>
              <w:top w:val="nil"/>
              <w:bottom w:val="nil"/>
            </w:tcBorders>
            <w:vAlign w:val="top"/>
          </w:tcPr>
          <w:p w14:paraId="18A16A40">
            <w:pPr>
              <w:rPr>
                <w:rFonts w:ascii="Arial"/>
                <w:sz w:val="21"/>
              </w:rPr>
            </w:pPr>
          </w:p>
        </w:tc>
        <w:tc>
          <w:tcPr>
            <w:tcW w:w="2721" w:type="dxa"/>
            <w:gridSpan w:val="2"/>
            <w:vAlign w:val="top"/>
          </w:tcPr>
          <w:p w14:paraId="79225D54">
            <w:pPr>
              <w:pStyle w:val="9"/>
              <w:spacing w:before="43" w:line="219" w:lineRule="auto"/>
              <w:ind w:left="16"/>
            </w:pPr>
            <w:r>
              <w:rPr>
                <w:spacing w:val="-3"/>
              </w:rPr>
              <w:t>文明施工措施</w:t>
            </w:r>
          </w:p>
        </w:tc>
        <w:tc>
          <w:tcPr>
            <w:tcW w:w="4571" w:type="dxa"/>
            <w:gridSpan w:val="3"/>
            <w:vAlign w:val="top"/>
          </w:tcPr>
          <w:p w14:paraId="49F80EA4">
            <w:pPr>
              <w:pStyle w:val="9"/>
              <w:spacing w:before="79" w:line="250" w:lineRule="auto"/>
              <w:ind w:left="130" w:right="179"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A2EBA87">
            <w:pPr>
              <w:pStyle w:val="9"/>
              <w:spacing w:before="121" w:line="252"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基本满足采购要求的得3分，</w:t>
            </w:r>
          </w:p>
          <w:p w14:paraId="7608C75D">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4E8B4E80">
            <w:pPr>
              <w:pStyle w:val="9"/>
              <w:spacing w:before="70" w:line="206" w:lineRule="auto"/>
              <w:ind w:left="7"/>
              <w:rPr>
                <w:sz w:val="21"/>
                <w:szCs w:val="21"/>
              </w:rPr>
            </w:pPr>
            <w:r>
              <w:rPr>
                <w:spacing w:val="-4"/>
                <w:sz w:val="21"/>
                <w:szCs w:val="21"/>
              </w:rPr>
              <w:t>4、不提供得0分。</w:t>
            </w:r>
          </w:p>
        </w:tc>
        <w:tc>
          <w:tcPr>
            <w:tcW w:w="1227" w:type="dxa"/>
            <w:vAlign w:val="top"/>
          </w:tcPr>
          <w:p w14:paraId="487F584C">
            <w:pPr>
              <w:pStyle w:val="9"/>
              <w:spacing w:before="43" w:line="220" w:lineRule="auto"/>
              <w:ind w:left="13"/>
            </w:pPr>
            <w:r>
              <w:rPr>
                <w:spacing w:val="-3"/>
              </w:rPr>
              <w:t>0-5分</w:t>
            </w:r>
          </w:p>
        </w:tc>
      </w:tr>
      <w:tr w14:paraId="3BA20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5" w:hRule="atLeast"/>
        </w:trPr>
        <w:tc>
          <w:tcPr>
            <w:tcW w:w="1416" w:type="dxa"/>
            <w:vMerge w:val="continue"/>
            <w:tcBorders>
              <w:top w:val="nil"/>
              <w:bottom w:val="nil"/>
            </w:tcBorders>
            <w:vAlign w:val="top"/>
          </w:tcPr>
          <w:p w14:paraId="112D1756">
            <w:pPr>
              <w:rPr>
                <w:rFonts w:ascii="Arial"/>
                <w:sz w:val="21"/>
              </w:rPr>
            </w:pPr>
          </w:p>
        </w:tc>
        <w:tc>
          <w:tcPr>
            <w:tcW w:w="2721" w:type="dxa"/>
            <w:gridSpan w:val="2"/>
            <w:vAlign w:val="top"/>
          </w:tcPr>
          <w:p w14:paraId="63C2892E">
            <w:pPr>
              <w:pStyle w:val="9"/>
              <w:spacing w:before="44" w:line="217" w:lineRule="auto"/>
              <w:ind w:left="15"/>
            </w:pPr>
            <w:r>
              <w:rPr>
                <w:spacing w:val="-3"/>
              </w:rPr>
              <w:t>施工环保措施</w:t>
            </w:r>
          </w:p>
        </w:tc>
        <w:tc>
          <w:tcPr>
            <w:tcW w:w="4571" w:type="dxa"/>
            <w:gridSpan w:val="3"/>
            <w:vAlign w:val="top"/>
          </w:tcPr>
          <w:p w14:paraId="4AC47697">
            <w:pPr>
              <w:pStyle w:val="9"/>
              <w:spacing w:before="80" w:line="250" w:lineRule="auto"/>
              <w:ind w:left="130" w:right="179" w:firstLine="4"/>
              <w:rPr>
                <w:sz w:val="21"/>
                <w:szCs w:val="21"/>
              </w:rPr>
            </w:pPr>
            <w:r>
              <w:rPr>
                <w:spacing w:val="-12"/>
                <w:sz w:val="21"/>
                <w:szCs w:val="21"/>
              </w:rPr>
              <w:t>1、方案完整、科学合理、切实可行、内容详</w:t>
            </w:r>
            <w:r>
              <w:rPr>
                <w:spacing w:val="-13"/>
                <w:sz w:val="21"/>
                <w:szCs w:val="21"/>
              </w:rPr>
              <w:t>细充</w:t>
            </w:r>
            <w:r>
              <w:rPr>
                <w:spacing w:val="-14"/>
                <w:sz w:val="21"/>
                <w:szCs w:val="21"/>
              </w:rPr>
              <w:t>分、符合项目实际情况的得5分，</w:t>
            </w:r>
          </w:p>
          <w:p w14:paraId="0BE82BF8">
            <w:pPr>
              <w:pStyle w:val="9"/>
              <w:spacing w:before="121" w:line="252" w:lineRule="auto"/>
              <w:ind w:left="127" w:right="179" w:hanging="4"/>
              <w:rPr>
                <w:sz w:val="21"/>
                <w:szCs w:val="21"/>
              </w:rPr>
            </w:pPr>
            <w:r>
              <w:rPr>
                <w:spacing w:val="-12"/>
                <w:sz w:val="21"/>
                <w:szCs w:val="21"/>
              </w:rPr>
              <w:t>2、方案较完整、基本科学合理、可行性一般，仅</w:t>
            </w:r>
            <w:r>
              <w:rPr>
                <w:spacing w:val="-13"/>
                <w:sz w:val="21"/>
                <w:szCs w:val="21"/>
              </w:rPr>
              <w:t>基本满足采购要求的得3分，</w:t>
            </w:r>
          </w:p>
          <w:p w14:paraId="1EB97012">
            <w:pPr>
              <w:pStyle w:val="9"/>
              <w:spacing w:before="119" w:line="263" w:lineRule="auto"/>
              <w:ind w:left="133" w:right="81" w:hanging="8"/>
              <w:rPr>
                <w:sz w:val="21"/>
                <w:szCs w:val="21"/>
              </w:rPr>
            </w:pPr>
            <w:r>
              <w:rPr>
                <w:spacing w:val="-12"/>
                <w:sz w:val="21"/>
                <w:szCs w:val="21"/>
              </w:rPr>
              <w:t>3、方案内容较差，不合理，内容欠缺，措施不完</w:t>
            </w:r>
            <w:r>
              <w:rPr>
                <w:spacing w:val="-13"/>
                <w:sz w:val="21"/>
                <w:szCs w:val="21"/>
              </w:rPr>
              <w:t>善且较差，无可行性，基本不能满足采购要求的得</w:t>
            </w:r>
            <w:r>
              <w:rPr>
                <w:spacing w:val="-6"/>
                <w:sz w:val="21"/>
                <w:szCs w:val="21"/>
              </w:rPr>
              <w:t>1分，</w:t>
            </w:r>
          </w:p>
          <w:p w14:paraId="29D7D8AC">
            <w:pPr>
              <w:pStyle w:val="9"/>
              <w:spacing w:before="70" w:line="205" w:lineRule="auto"/>
              <w:ind w:left="7"/>
              <w:rPr>
                <w:sz w:val="21"/>
                <w:szCs w:val="21"/>
              </w:rPr>
            </w:pPr>
            <w:r>
              <w:rPr>
                <w:spacing w:val="-4"/>
                <w:sz w:val="21"/>
                <w:szCs w:val="21"/>
              </w:rPr>
              <w:t>4、不提供得0分。</w:t>
            </w:r>
          </w:p>
        </w:tc>
        <w:tc>
          <w:tcPr>
            <w:tcW w:w="1227" w:type="dxa"/>
            <w:vAlign w:val="top"/>
          </w:tcPr>
          <w:p w14:paraId="5A3877DE">
            <w:pPr>
              <w:pStyle w:val="9"/>
              <w:spacing w:before="44" w:line="220" w:lineRule="auto"/>
              <w:ind w:left="13"/>
            </w:pPr>
            <w:r>
              <w:rPr>
                <w:spacing w:val="-3"/>
              </w:rPr>
              <w:t>0-5分</w:t>
            </w:r>
          </w:p>
        </w:tc>
      </w:tr>
      <w:tr w14:paraId="12C78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416" w:type="dxa"/>
            <w:vMerge w:val="continue"/>
            <w:tcBorders>
              <w:top w:val="nil"/>
            </w:tcBorders>
            <w:vAlign w:val="top"/>
          </w:tcPr>
          <w:p w14:paraId="30BB2A4B">
            <w:pPr>
              <w:rPr>
                <w:rFonts w:ascii="Arial"/>
                <w:sz w:val="21"/>
              </w:rPr>
            </w:pPr>
          </w:p>
        </w:tc>
        <w:tc>
          <w:tcPr>
            <w:tcW w:w="8519" w:type="dxa"/>
            <w:gridSpan w:val="6"/>
            <w:vAlign w:val="top"/>
          </w:tcPr>
          <w:p w14:paraId="3FB0129D">
            <w:pPr>
              <w:pStyle w:val="9"/>
              <w:spacing w:before="39" w:line="218" w:lineRule="auto"/>
              <w:ind w:left="20"/>
              <w:rPr>
                <w:sz w:val="24"/>
                <w:szCs w:val="24"/>
              </w:rPr>
            </w:pPr>
            <w:r>
              <w:rPr>
                <w:b/>
                <w:bCs/>
                <w:spacing w:val="-2"/>
                <w:sz w:val="24"/>
                <w:szCs w:val="24"/>
              </w:rPr>
              <w:t>注：技术方案总页数不得超过200页，每超过1页扣1分</w:t>
            </w:r>
            <w:r>
              <w:rPr>
                <w:b/>
                <w:bCs/>
                <w:spacing w:val="-3"/>
                <w:sz w:val="24"/>
                <w:szCs w:val="24"/>
              </w:rPr>
              <w:t>，扣完40分为止；</w:t>
            </w:r>
          </w:p>
        </w:tc>
      </w:tr>
      <w:tr w14:paraId="5DA7F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416" w:type="dxa"/>
            <w:vMerge w:val="restart"/>
            <w:vAlign w:val="center"/>
          </w:tcPr>
          <w:p w14:paraId="649FB82F">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商务部分（30分）</w:t>
            </w:r>
          </w:p>
        </w:tc>
        <w:tc>
          <w:tcPr>
            <w:tcW w:w="2721" w:type="dxa"/>
            <w:gridSpan w:val="2"/>
            <w:vAlign w:val="top"/>
          </w:tcPr>
          <w:p w14:paraId="73623B44">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项目经理</w:t>
            </w:r>
          </w:p>
        </w:tc>
        <w:tc>
          <w:tcPr>
            <w:tcW w:w="4571" w:type="dxa"/>
            <w:gridSpan w:val="3"/>
            <w:vAlign w:val="top"/>
          </w:tcPr>
          <w:p w14:paraId="5C2DD93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具有建筑工程专业贰级及以上注册建造师</w:t>
            </w:r>
            <w:r>
              <w:rPr>
                <w:rFonts w:hint="eastAsia" w:ascii="仿宋" w:hAnsi="仿宋" w:eastAsia="仿宋" w:cs="仿宋"/>
                <w:spacing w:val="-2"/>
                <w:position w:val="6"/>
                <w:sz w:val="28"/>
                <w:szCs w:val="28"/>
                <w:lang w:val="en-US" w:eastAsia="zh-CN"/>
              </w:rPr>
              <w:t>执业资格</w:t>
            </w:r>
            <w:r>
              <w:rPr>
                <w:rFonts w:ascii="仿宋" w:hAnsi="仿宋" w:eastAsia="仿宋" w:cs="仿宋"/>
                <w:spacing w:val="-2"/>
                <w:position w:val="6"/>
                <w:sz w:val="28"/>
                <w:szCs w:val="28"/>
                <w:lang w:val="en-US" w:eastAsia="en-US"/>
              </w:rPr>
              <w:t>、</w:t>
            </w:r>
            <w:r>
              <w:rPr>
                <w:rFonts w:hint="eastAsia" w:ascii="仿宋" w:hAnsi="仿宋" w:eastAsia="仿宋" w:cs="仿宋"/>
                <w:spacing w:val="-2"/>
                <w:position w:val="6"/>
                <w:sz w:val="28"/>
                <w:szCs w:val="28"/>
                <w:lang w:val="en-US" w:eastAsia="zh-CN"/>
              </w:rPr>
              <w:t>具备有效的</w:t>
            </w:r>
            <w:r>
              <w:rPr>
                <w:rFonts w:ascii="仿宋" w:hAnsi="仿宋" w:eastAsia="仿宋" w:cs="仿宋"/>
                <w:spacing w:val="-2"/>
                <w:position w:val="6"/>
                <w:sz w:val="28"/>
                <w:szCs w:val="28"/>
                <w:lang w:val="en-US" w:eastAsia="en-US"/>
              </w:rPr>
              <w:t>安全生产考核合格证书（B类）计</w:t>
            </w:r>
            <w:r>
              <w:rPr>
                <w:rFonts w:hint="eastAsia" w:ascii="仿宋" w:hAnsi="仿宋" w:eastAsia="仿宋" w:cs="仿宋"/>
                <w:spacing w:val="-2"/>
                <w:position w:val="6"/>
                <w:sz w:val="28"/>
                <w:szCs w:val="28"/>
                <w:lang w:val="en-US" w:eastAsia="zh-CN"/>
              </w:rPr>
              <w:t>10分，</w:t>
            </w:r>
            <w:r>
              <w:rPr>
                <w:rFonts w:ascii="仿宋" w:hAnsi="仿宋" w:eastAsia="仿宋" w:cs="仿宋"/>
                <w:spacing w:val="-2"/>
                <w:position w:val="6"/>
                <w:sz w:val="28"/>
                <w:szCs w:val="28"/>
                <w:lang w:val="en-US" w:eastAsia="en-US"/>
              </w:rPr>
              <w:t>注：</w:t>
            </w:r>
            <w:r>
              <w:rPr>
                <w:rFonts w:hint="eastAsia" w:ascii="仿宋" w:hAnsi="仿宋" w:eastAsia="仿宋" w:cs="仿宋"/>
                <w:spacing w:val="-2"/>
                <w:position w:val="6"/>
                <w:sz w:val="28"/>
                <w:szCs w:val="28"/>
                <w:lang w:val="en-US" w:eastAsia="zh-CN"/>
              </w:rPr>
              <w:t>需</w:t>
            </w:r>
            <w:r>
              <w:rPr>
                <w:rFonts w:ascii="仿宋" w:hAnsi="仿宋" w:eastAsia="仿宋" w:cs="仿宋"/>
                <w:spacing w:val="-2"/>
                <w:position w:val="6"/>
                <w:sz w:val="28"/>
                <w:szCs w:val="28"/>
                <w:lang w:val="en-US" w:eastAsia="en-US"/>
              </w:rPr>
              <w:t>提供</w:t>
            </w:r>
            <w:r>
              <w:rPr>
                <w:rFonts w:hint="eastAsia" w:ascii="仿宋" w:hAnsi="仿宋" w:eastAsia="仿宋" w:cs="仿宋"/>
                <w:spacing w:val="-2"/>
                <w:position w:val="6"/>
                <w:sz w:val="28"/>
                <w:szCs w:val="28"/>
                <w:lang w:val="en-US" w:eastAsia="zh-CN"/>
              </w:rPr>
              <w:t>建造师注册</w:t>
            </w:r>
            <w:r>
              <w:rPr>
                <w:rFonts w:ascii="仿宋" w:hAnsi="仿宋" w:eastAsia="仿宋" w:cs="仿宋"/>
                <w:spacing w:val="-2"/>
                <w:position w:val="6"/>
                <w:sz w:val="28"/>
                <w:szCs w:val="28"/>
                <w:lang w:val="en-US" w:eastAsia="en-US"/>
              </w:rPr>
              <w:t>证、安全生产考核合格证书（B类）、投标供应商为其缴纳养老保险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或劳动合同的复印件或扫描件，注册证中注册单位须与投标供应商单位一致，未提供或未按要求提供以上佐证资料的不得分。</w:t>
            </w:r>
          </w:p>
        </w:tc>
        <w:tc>
          <w:tcPr>
            <w:tcW w:w="1227" w:type="dxa"/>
            <w:vAlign w:val="top"/>
          </w:tcPr>
          <w:p w14:paraId="51DCD480">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w:t>
            </w:r>
            <w:r>
              <w:rPr>
                <w:rFonts w:hint="eastAsia" w:ascii="仿宋" w:hAnsi="仿宋" w:eastAsia="仿宋" w:cs="仿宋"/>
                <w:spacing w:val="-2"/>
                <w:position w:val="6"/>
                <w:sz w:val="28"/>
                <w:szCs w:val="28"/>
                <w:lang w:val="en-US" w:eastAsia="zh-CN"/>
              </w:rPr>
              <w:t>10</w:t>
            </w:r>
            <w:r>
              <w:rPr>
                <w:rFonts w:ascii="仿宋" w:hAnsi="仿宋" w:eastAsia="仿宋" w:cs="仿宋"/>
                <w:spacing w:val="-2"/>
                <w:position w:val="6"/>
                <w:sz w:val="28"/>
                <w:szCs w:val="28"/>
                <w:lang w:val="en-US" w:eastAsia="en-US"/>
              </w:rPr>
              <w:t>分</w:t>
            </w:r>
          </w:p>
        </w:tc>
      </w:tr>
      <w:tr w14:paraId="17495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418" w:type="dxa"/>
            <w:gridSpan w:val="2"/>
            <w:vMerge w:val="continue"/>
            <w:vAlign w:val="top"/>
          </w:tcPr>
          <w:p w14:paraId="04DE30FF">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p>
        </w:tc>
        <w:tc>
          <w:tcPr>
            <w:tcW w:w="2721" w:type="dxa"/>
            <w:gridSpan w:val="2"/>
            <w:vAlign w:val="top"/>
          </w:tcPr>
          <w:p w14:paraId="15A1231D">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w:t>
            </w:r>
          </w:p>
        </w:tc>
        <w:tc>
          <w:tcPr>
            <w:tcW w:w="4563" w:type="dxa"/>
            <w:vAlign w:val="top"/>
          </w:tcPr>
          <w:p w14:paraId="2CD9BB3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技术负责人具有中级及以上职称且从事工程项目管理经验3年以上得5分。本项满分5分。投标供应商为其缴纳养老保险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w:t>
            </w:r>
          </w:p>
        </w:tc>
        <w:tc>
          <w:tcPr>
            <w:tcW w:w="1233" w:type="dxa"/>
            <w:gridSpan w:val="2"/>
            <w:vAlign w:val="top"/>
          </w:tcPr>
          <w:p w14:paraId="7FFC0038">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5C089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1" w:hRule="atLeast"/>
        </w:trPr>
        <w:tc>
          <w:tcPr>
            <w:tcW w:w="1418" w:type="dxa"/>
            <w:gridSpan w:val="2"/>
            <w:vMerge w:val="continue"/>
            <w:vAlign w:val="top"/>
          </w:tcPr>
          <w:p w14:paraId="530FAA8C">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04A67AC8">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其他主要人员</w:t>
            </w:r>
          </w:p>
        </w:tc>
        <w:tc>
          <w:tcPr>
            <w:tcW w:w="4563" w:type="dxa"/>
            <w:vAlign w:val="top"/>
          </w:tcPr>
          <w:p w14:paraId="5F2376B7">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提供施工员、质检（量）员、材料员以及资料员岗位证复印件或扫描件，安全员附安全生产考核合格证（C类)复印件或扫描件得5分；缺项或不提供的得0分。投标供应商为其缴纳养老保险</w:t>
            </w:r>
            <w:r>
              <w:rPr>
                <w:rFonts w:hint="eastAsia" w:ascii="仿宋" w:hAnsi="仿宋" w:eastAsia="仿宋" w:cs="仿宋"/>
                <w:spacing w:val="-2"/>
                <w:position w:val="6"/>
                <w:sz w:val="28"/>
                <w:szCs w:val="28"/>
                <w:lang w:val="en-US" w:eastAsia="zh-CN"/>
              </w:rPr>
              <w:t>（提供2025年1月至今任意一个月证明）</w:t>
            </w:r>
            <w:r>
              <w:rPr>
                <w:rFonts w:ascii="仿宋" w:hAnsi="仿宋" w:eastAsia="仿宋" w:cs="仿宋"/>
                <w:spacing w:val="-2"/>
                <w:position w:val="6"/>
                <w:sz w:val="28"/>
                <w:szCs w:val="28"/>
                <w:lang w:val="en-US" w:eastAsia="en-US"/>
              </w:rPr>
              <w:t>或劳动合同的复印件或扫描件。</w:t>
            </w:r>
          </w:p>
        </w:tc>
        <w:tc>
          <w:tcPr>
            <w:tcW w:w="1233" w:type="dxa"/>
            <w:gridSpan w:val="2"/>
            <w:vAlign w:val="top"/>
          </w:tcPr>
          <w:p w14:paraId="17401921">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0-5分</w:t>
            </w:r>
          </w:p>
        </w:tc>
      </w:tr>
      <w:tr w14:paraId="6C178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418" w:type="dxa"/>
            <w:gridSpan w:val="2"/>
            <w:vMerge w:val="continue"/>
            <w:vAlign w:val="top"/>
          </w:tcPr>
          <w:p w14:paraId="4DE6380B">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36C61F0B">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承诺</w:t>
            </w:r>
          </w:p>
        </w:tc>
        <w:tc>
          <w:tcPr>
            <w:tcW w:w="4563" w:type="dxa"/>
            <w:vAlign w:val="top"/>
          </w:tcPr>
          <w:p w14:paraId="2E6ADE59">
            <w:pPr>
              <w:keepNext w:val="0"/>
              <w:keepLines w:val="0"/>
              <w:pageBreakBefore w:val="0"/>
              <w:widowControl/>
              <w:kinsoku/>
              <w:wordWrap/>
              <w:overflowPunct w:val="0"/>
              <w:topLinePunct w:val="0"/>
              <w:autoSpaceDE w:val="0"/>
              <w:autoSpaceDN w:val="0"/>
              <w:bidi w:val="0"/>
              <w:adjustRightInd w:val="0"/>
              <w:snapToGrid w:val="0"/>
              <w:spacing w:before="175" w:line="240" w:lineRule="auto"/>
              <w:ind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供应商提供不拖欠农民工工资承诺书计3分，未提供，或承诺函不符合要求计0分</w:t>
            </w:r>
            <w:r>
              <w:rPr>
                <w:rFonts w:hint="eastAsia" w:ascii="仿宋" w:hAnsi="仿宋" w:eastAsia="仿宋" w:cs="仿宋"/>
                <w:spacing w:val="-2"/>
                <w:position w:val="6"/>
                <w:sz w:val="28"/>
                <w:szCs w:val="28"/>
                <w:lang w:val="en-US" w:eastAsia="zh-CN"/>
              </w:rPr>
              <w:t>。</w:t>
            </w:r>
          </w:p>
        </w:tc>
        <w:tc>
          <w:tcPr>
            <w:tcW w:w="1233" w:type="dxa"/>
            <w:gridSpan w:val="2"/>
            <w:vAlign w:val="top"/>
          </w:tcPr>
          <w:p w14:paraId="19DD382C">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0-3分</w:t>
            </w:r>
          </w:p>
        </w:tc>
      </w:tr>
      <w:tr w14:paraId="6878A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2" w:hRule="atLeast"/>
        </w:trPr>
        <w:tc>
          <w:tcPr>
            <w:tcW w:w="1418" w:type="dxa"/>
            <w:gridSpan w:val="2"/>
            <w:vMerge w:val="continue"/>
            <w:vAlign w:val="top"/>
          </w:tcPr>
          <w:p w14:paraId="0066D452">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3E05134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hint="eastAsia" w:ascii="仿宋" w:hAnsi="仿宋" w:eastAsia="仿宋" w:cs="仿宋"/>
                <w:spacing w:val="-2"/>
                <w:position w:val="6"/>
                <w:sz w:val="28"/>
                <w:szCs w:val="28"/>
                <w:lang w:val="en-US" w:eastAsia="en-US"/>
              </w:rPr>
              <w:t>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w:t>
            </w:r>
          </w:p>
        </w:tc>
        <w:tc>
          <w:tcPr>
            <w:tcW w:w="4563" w:type="dxa"/>
            <w:vAlign w:val="top"/>
          </w:tcPr>
          <w:p w14:paraId="59487372">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eastAsia"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en-US"/>
              </w:rPr>
              <w:t>响应文件明确提出工程质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目标达到国家现行验收标准的计2.0分，没有质</w:t>
            </w:r>
            <w:r>
              <w:rPr>
                <w:rFonts w:hint="eastAsia" w:ascii="仿宋" w:hAnsi="仿宋" w:eastAsia="仿宋" w:cs="仿宋"/>
                <w:spacing w:val="-2"/>
                <w:position w:val="6"/>
                <w:sz w:val="28"/>
                <w:szCs w:val="28"/>
                <w:lang w:val="en-US" w:eastAsia="zh-CN"/>
              </w:rPr>
              <w:t>量</w:t>
            </w:r>
            <w:r>
              <w:rPr>
                <w:rFonts w:hint="eastAsia" w:ascii="仿宋" w:hAnsi="仿宋" w:eastAsia="仿宋" w:cs="仿宋"/>
                <w:spacing w:val="-2"/>
                <w:position w:val="6"/>
                <w:sz w:val="28"/>
                <w:szCs w:val="28"/>
                <w:lang w:val="en-US" w:eastAsia="en-US"/>
              </w:rPr>
              <w:t>目标的计0分</w:t>
            </w:r>
            <w:r>
              <w:rPr>
                <w:rFonts w:hint="eastAsia" w:ascii="仿宋" w:hAnsi="仿宋" w:eastAsia="仿宋" w:cs="仿宋"/>
                <w:spacing w:val="-2"/>
                <w:position w:val="6"/>
                <w:sz w:val="28"/>
                <w:szCs w:val="28"/>
                <w:lang w:val="en-US" w:eastAsia="zh-CN"/>
              </w:rPr>
              <w:t>。</w:t>
            </w:r>
          </w:p>
        </w:tc>
        <w:tc>
          <w:tcPr>
            <w:tcW w:w="1233" w:type="dxa"/>
            <w:gridSpan w:val="2"/>
            <w:vAlign w:val="top"/>
          </w:tcPr>
          <w:p w14:paraId="72CD199D">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default" w:ascii="仿宋" w:hAnsi="仿宋" w:eastAsia="仿宋" w:cs="仿宋"/>
                <w:spacing w:val="-2"/>
                <w:position w:val="6"/>
                <w:sz w:val="28"/>
                <w:szCs w:val="28"/>
                <w:lang w:val="en-US" w:eastAsia="zh-CN"/>
              </w:rPr>
            </w:pPr>
            <w:r>
              <w:rPr>
                <w:rFonts w:hint="eastAsia" w:ascii="仿宋" w:hAnsi="仿宋" w:eastAsia="仿宋" w:cs="仿宋"/>
                <w:spacing w:val="-2"/>
                <w:position w:val="6"/>
                <w:sz w:val="28"/>
                <w:szCs w:val="28"/>
                <w:lang w:val="en-US" w:eastAsia="zh-CN"/>
              </w:rPr>
              <w:t>0-2分</w:t>
            </w:r>
          </w:p>
        </w:tc>
      </w:tr>
      <w:tr w14:paraId="2806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418" w:type="dxa"/>
            <w:gridSpan w:val="2"/>
            <w:vMerge w:val="continue"/>
            <w:vAlign w:val="top"/>
          </w:tcPr>
          <w:p w14:paraId="34A94D5C">
            <w:pPr>
              <w:rPr>
                <w:rFonts w:ascii="仿宋" w:hAnsi="仿宋" w:eastAsia="仿宋" w:cs="仿宋"/>
                <w:snapToGrid w:val="0"/>
                <w:color w:val="000000"/>
                <w:spacing w:val="-2"/>
                <w:kern w:val="0"/>
                <w:sz w:val="28"/>
                <w:szCs w:val="28"/>
                <w:lang w:val="en-US" w:eastAsia="en-US" w:bidi="ar-SA"/>
              </w:rPr>
            </w:pPr>
          </w:p>
        </w:tc>
        <w:tc>
          <w:tcPr>
            <w:tcW w:w="2721" w:type="dxa"/>
            <w:gridSpan w:val="2"/>
            <w:vAlign w:val="top"/>
          </w:tcPr>
          <w:p w14:paraId="063DB3B9">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关于劳务用工中优先使用当地或全省建档立卡贫困劳动力的承诺（格式由磋商人自拟）</w:t>
            </w:r>
          </w:p>
        </w:tc>
        <w:tc>
          <w:tcPr>
            <w:tcW w:w="4563" w:type="dxa"/>
            <w:vAlign w:val="top"/>
          </w:tcPr>
          <w:p w14:paraId="68DCFC3E">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ascii="仿宋" w:hAnsi="仿宋" w:eastAsia="仿宋" w:cs="仿宋"/>
                <w:spacing w:val="-2"/>
                <w:position w:val="6"/>
                <w:sz w:val="28"/>
                <w:szCs w:val="28"/>
                <w:lang w:val="en-US" w:eastAsia="en-US"/>
              </w:rPr>
            </w:pPr>
            <w:r>
              <w:rPr>
                <w:rFonts w:ascii="仿宋" w:hAnsi="仿宋" w:eastAsia="仿宋" w:cs="仿宋"/>
                <w:spacing w:val="-2"/>
                <w:position w:val="6"/>
                <w:sz w:val="28"/>
                <w:szCs w:val="28"/>
                <w:lang w:val="en-US" w:eastAsia="en-US"/>
              </w:rPr>
              <w:t>根据“省人民政府办公厅关于鼓励工程施工企业在劳务用工中使用当地建档立卡贫困劳动力助力脱贫攻坚的通知”贵州省人民政府办公厅文件（黔府办函[2017]193号）要求,磋商人应对此做出实质性承诺，响应贯彻在劳务用工中使用当地建档立卡贫困劳动力助力脱贫攻坚。承诺使用30人（含30，下同）以上的，得5分，使用20人以上的得3分,使用10人以上的得2分。无承诺不得分。</w:t>
            </w:r>
          </w:p>
        </w:tc>
        <w:tc>
          <w:tcPr>
            <w:tcW w:w="1233" w:type="dxa"/>
            <w:gridSpan w:val="2"/>
            <w:vAlign w:val="top"/>
          </w:tcPr>
          <w:p w14:paraId="43EF60E4">
            <w:pPr>
              <w:keepNext w:val="0"/>
              <w:keepLines w:val="0"/>
              <w:pageBreakBefore w:val="0"/>
              <w:widowControl/>
              <w:kinsoku/>
              <w:wordWrap/>
              <w:overflowPunct w:val="0"/>
              <w:topLinePunct w:val="0"/>
              <w:autoSpaceDE w:val="0"/>
              <w:autoSpaceDN w:val="0"/>
              <w:bidi w:val="0"/>
              <w:adjustRightInd w:val="0"/>
              <w:snapToGrid w:val="0"/>
              <w:spacing w:before="175" w:line="240" w:lineRule="auto"/>
              <w:jc w:val="center"/>
              <w:textAlignment w:val="baseline"/>
              <w:rPr>
                <w:rFonts w:hint="eastAsia"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0-5</w:t>
            </w:r>
            <w:r>
              <w:rPr>
                <w:rFonts w:hint="eastAsia" w:ascii="仿宋" w:hAnsi="仿宋" w:eastAsia="仿宋" w:cs="仿宋"/>
                <w:spacing w:val="-2"/>
                <w:position w:val="6"/>
                <w:sz w:val="28"/>
                <w:szCs w:val="28"/>
                <w:lang w:val="en-US" w:eastAsia="zh-CN"/>
              </w:rPr>
              <w:t>分</w:t>
            </w:r>
          </w:p>
        </w:tc>
      </w:tr>
      <w:tr w14:paraId="3BE62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702" w:type="dxa"/>
            <w:gridSpan w:val="5"/>
            <w:vAlign w:val="top"/>
          </w:tcPr>
          <w:p w14:paraId="5EB5954D">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得分</w:t>
            </w:r>
          </w:p>
        </w:tc>
        <w:tc>
          <w:tcPr>
            <w:tcW w:w="1233" w:type="dxa"/>
            <w:gridSpan w:val="2"/>
            <w:vAlign w:val="top"/>
          </w:tcPr>
          <w:p w14:paraId="4FC86C06">
            <w:pPr>
              <w:pStyle w:val="9"/>
              <w:keepNext w:val="0"/>
              <w:keepLines w:val="0"/>
              <w:pageBreakBefore w:val="0"/>
              <w:widowControl/>
              <w:kinsoku/>
              <w:wordWrap/>
              <w:overflowPunct w:val="0"/>
              <w:topLinePunct w:val="0"/>
              <w:autoSpaceDE w:val="0"/>
              <w:autoSpaceDN w:val="0"/>
              <w:bidi w:val="0"/>
              <w:adjustRightInd w:val="0"/>
              <w:snapToGrid w:val="0"/>
              <w:spacing w:before="35" w:line="236" w:lineRule="auto"/>
              <w:ind w:left="17" w:right="51" w:firstLine="6"/>
              <w:textAlignment w:val="baseline"/>
              <w:rPr>
                <w:spacing w:val="-2"/>
              </w:rPr>
            </w:pPr>
            <w:r>
              <w:rPr>
                <w:spacing w:val="-2"/>
              </w:rPr>
              <w:t>100分</w:t>
            </w:r>
          </w:p>
        </w:tc>
      </w:tr>
    </w:tbl>
    <w:p w14:paraId="4A7B94F1">
      <w:pPr>
        <w:keepNext w:val="0"/>
        <w:keepLines w:val="0"/>
        <w:pageBreakBefore w:val="0"/>
        <w:widowControl/>
        <w:kinsoku/>
        <w:wordWrap/>
        <w:overflowPunct w:val="0"/>
        <w:topLinePunct w:val="0"/>
        <w:autoSpaceDE w:val="0"/>
        <w:autoSpaceDN w:val="0"/>
        <w:bidi w:val="0"/>
        <w:adjustRightInd w:val="0"/>
        <w:snapToGrid w:val="0"/>
        <w:spacing w:before="175" w:line="240" w:lineRule="auto"/>
        <w:ind w:left="0" w:leftChars="0" w:firstLine="552" w:firstLineChars="200"/>
        <w:textAlignment w:val="baseline"/>
        <w:rPr>
          <w:rFonts w:hint="default" w:ascii="仿宋" w:hAnsi="仿宋" w:eastAsia="仿宋" w:cs="仿宋"/>
          <w:spacing w:val="-2"/>
          <w:position w:val="6"/>
          <w:sz w:val="28"/>
          <w:szCs w:val="28"/>
          <w:lang w:val="en-US" w:eastAsia="zh-CN"/>
        </w:rPr>
      </w:pPr>
      <w:r>
        <w:rPr>
          <w:rFonts w:ascii="仿宋" w:hAnsi="仿宋" w:eastAsia="仿宋" w:cs="仿宋"/>
          <w:spacing w:val="-2"/>
          <w:position w:val="6"/>
          <w:sz w:val="28"/>
          <w:szCs w:val="28"/>
          <w:lang w:val="en-US" w:eastAsia="en-US"/>
        </w:rPr>
        <w:t>注：除竞争性磋商文件作出的具体规定外，投标供应商须根据自身情况提供与评分标准有关的证明材料供磋商小组进行综合评审。</w:t>
      </w:r>
    </w:p>
    <w:sectPr>
      <w:footerReference r:id="rId8"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8290">
    <w:pPr>
      <w:spacing w:line="176" w:lineRule="auto"/>
      <w:ind w:left="451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E9111">
    <w:pPr>
      <w:spacing w:line="176" w:lineRule="auto"/>
      <w:ind w:left="4488"/>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3D970">
    <w:pPr>
      <w:spacing w:line="174" w:lineRule="auto"/>
      <w:ind w:left="4988"/>
      <w:rPr>
        <w:rFonts w:ascii="Times New Roman" w:hAnsi="Times New Roman" w:eastAsia="Times New Roman" w:cs="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8D9FA">
    <w:pPr>
      <w:spacing w:line="174" w:lineRule="auto"/>
      <w:ind w:left="5013"/>
      <w:rPr>
        <w:rFonts w:ascii="Times New Roman" w:hAnsi="Times New Roman" w:eastAsia="Times New Roman"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8770B">
    <w:pPr>
      <w:spacing w:line="174" w:lineRule="auto"/>
      <w:ind w:left="5008"/>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EB73B">
    <w:pPr>
      <w:spacing w:line="174" w:lineRule="auto"/>
      <w:ind w:left="500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35B6"/>
    <w:multiLevelType w:val="singleLevel"/>
    <w:tmpl w:val="C02C35B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jM2U1ZWUxOWQwMTEyMDliNjY5OWE2YmVhMDA3YjQifQ=="/>
  </w:docVars>
  <w:rsids>
    <w:rsidRoot w:val="788D7BA6"/>
    <w:rsid w:val="00292BAB"/>
    <w:rsid w:val="0A826D29"/>
    <w:rsid w:val="0F017522"/>
    <w:rsid w:val="13055E1B"/>
    <w:rsid w:val="14C9355F"/>
    <w:rsid w:val="223C3782"/>
    <w:rsid w:val="231C18CE"/>
    <w:rsid w:val="2AE543C2"/>
    <w:rsid w:val="3B781D15"/>
    <w:rsid w:val="3C3A3DC4"/>
    <w:rsid w:val="4D376F4B"/>
    <w:rsid w:val="55CC363C"/>
    <w:rsid w:val="6BB5616E"/>
    <w:rsid w:val="73E402A2"/>
    <w:rsid w:val="788D7BA6"/>
    <w:rsid w:val="7A690416"/>
    <w:rsid w:val="7B03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ahoma" w:hAnsi="Tahoma"/>
      <w:szCs w:val="24"/>
    </w:rPr>
  </w:style>
  <w:style w:type="paragraph" w:styleId="3">
    <w:name w:val="Body Text"/>
    <w:basedOn w:val="1"/>
    <w:autoRedefine/>
    <w:semiHidden/>
    <w:qFormat/>
    <w:uiPriority w:val="0"/>
    <w:rPr>
      <w:rFonts w:ascii="宋体" w:hAnsi="宋体" w:eastAsia="宋体" w:cs="宋体"/>
      <w:sz w:val="28"/>
      <w:szCs w:val="28"/>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TML Sample"/>
    <w:basedOn w:val="6"/>
    <w:qFormat/>
    <w:uiPriority w:val="0"/>
    <w:rPr>
      <w:rFonts w:ascii="Courier New" w:hAnsi="Courier New"/>
    </w:rPr>
  </w:style>
  <w:style w:type="paragraph" w:customStyle="1" w:styleId="8">
    <w:name w:val="Default"/>
    <w:autoRedefine/>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9">
    <w:name w:val="Table Text"/>
    <w:basedOn w:val="1"/>
    <w:autoRedefine/>
    <w:semiHidden/>
    <w:qFormat/>
    <w:uiPriority w:val="0"/>
    <w:rPr>
      <w:rFonts w:ascii="宋体" w:hAnsi="宋体" w:eastAsia="宋体" w:cs="宋体"/>
      <w:sz w:val="24"/>
      <w:szCs w:val="24"/>
      <w:lang w:val="en-US" w:eastAsia="en-US" w:bidi="ar-SA"/>
    </w:rPr>
  </w:style>
  <w:style w:type="table" w:customStyle="1" w:styleId="1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6216</Words>
  <Characters>6484</Characters>
  <Lines>0</Lines>
  <Paragraphs>0</Paragraphs>
  <TotalTime>1</TotalTime>
  <ScaleCrop>false</ScaleCrop>
  <LinksUpToDate>false</LinksUpToDate>
  <CharactersWithSpaces>6484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2024-04-01T06:04:00Z</dcterms:created>
  <dc:creator>Administrator</dc:creator>
  <cp:lastModifiedBy>Administrator</cp:lastModifiedBy>
  <dcterms:modified xsi:type="dcterms:W3CDTF">2025-07-11T08:41:09Z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7A42CCDD17D34764B5897F2544FCF25D_11</vt:lpwstr>
  </property>
  <property fmtid="{D5CDD505-2E9C-101B-9397-08002B2CF9AE}" pid="4" name="KSOTemplateDocerSaveRecord">
    <vt:lpwstr>eyJoZGlkIjoiNmVjM2U1ZWUxOWQwMTEyMDliNjY5OWE2YmVhMDA3YjQiLCJ1c2VySWQiOiIyMTM4Mjk0ODUifQ==</vt:lpwstr>
  </property>
</Properties>
</file>