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DF15D">
      <w:pPr>
        <w:spacing w:line="360" w:lineRule="auto"/>
        <w:jc w:val="center"/>
        <w:rPr>
          <w:rFonts w:hint="eastAsia" w:ascii="宋体" w:hAnsi="宋体" w:cs="宋体"/>
          <w:color w:val="auto"/>
          <w:sz w:val="44"/>
          <w:szCs w:val="44"/>
          <w:highlight w:val="none"/>
          <w:lang w:val="zh-CN" w:eastAsia="zh-CN"/>
        </w:rPr>
      </w:pPr>
    </w:p>
    <w:p w14:paraId="36754969">
      <w:pPr>
        <w:spacing w:line="360" w:lineRule="auto"/>
        <w:jc w:val="center"/>
        <w:rPr>
          <w:rFonts w:hint="eastAsia" w:ascii="宋体" w:hAnsi="宋体" w:cs="宋体"/>
          <w:color w:val="auto"/>
          <w:sz w:val="44"/>
          <w:szCs w:val="44"/>
          <w:highlight w:val="none"/>
          <w:lang w:val="zh-CN" w:eastAsia="zh-CN"/>
        </w:rPr>
      </w:pPr>
      <w:r>
        <w:rPr>
          <w:rFonts w:hint="eastAsia" w:ascii="宋体" w:hAnsi="宋体" w:cs="宋体"/>
          <w:color w:val="auto"/>
          <w:sz w:val="44"/>
          <w:szCs w:val="44"/>
          <w:highlight w:val="none"/>
          <w:lang w:val="zh-CN" w:eastAsia="zh-CN"/>
        </w:rPr>
        <w:t>政府采购项目</w:t>
      </w:r>
    </w:p>
    <w:p w14:paraId="171EB544">
      <w:pPr>
        <w:spacing w:line="360" w:lineRule="auto"/>
        <w:jc w:val="center"/>
        <w:rPr>
          <w:rFonts w:hint="eastAsia" w:ascii="宋体" w:hAnsi="宋体" w:cs="宋体"/>
          <w:color w:val="auto"/>
          <w:sz w:val="44"/>
          <w:szCs w:val="44"/>
          <w:highlight w:val="none"/>
          <w:lang w:val="en-US" w:eastAsia="zh-CN"/>
        </w:rPr>
      </w:pPr>
      <w:r>
        <w:rPr>
          <w:rFonts w:hint="eastAsia" w:ascii="宋体" w:hAnsi="宋体" w:cs="宋体"/>
          <w:color w:val="auto"/>
          <w:sz w:val="44"/>
          <w:szCs w:val="44"/>
          <w:highlight w:val="none"/>
          <w:lang w:val="en-US" w:eastAsia="zh-CN"/>
        </w:rPr>
        <w:t>公开招标文件</w:t>
      </w:r>
    </w:p>
    <w:p w14:paraId="607AC05B">
      <w:pPr>
        <w:pStyle w:val="21"/>
        <w:spacing w:line="360" w:lineRule="auto"/>
        <w:rPr>
          <w:rFonts w:hint="eastAsia" w:ascii="宋体" w:hAnsi="宋体" w:cs="宋体"/>
          <w:color w:val="auto"/>
          <w:sz w:val="24"/>
          <w:szCs w:val="24"/>
          <w:highlight w:val="none"/>
          <w:lang w:val="en-US" w:eastAsia="zh-CN"/>
        </w:rPr>
      </w:pPr>
    </w:p>
    <w:p w14:paraId="1EA9DAC5">
      <w:pPr>
        <w:pStyle w:val="21"/>
        <w:spacing w:line="360" w:lineRule="auto"/>
        <w:rPr>
          <w:rFonts w:hint="eastAsia" w:ascii="宋体" w:hAnsi="宋体" w:cs="宋体"/>
          <w:color w:val="auto"/>
          <w:sz w:val="24"/>
          <w:szCs w:val="24"/>
          <w:highlight w:val="none"/>
          <w:lang w:val="en-US" w:eastAsia="zh-CN"/>
        </w:rPr>
      </w:pPr>
    </w:p>
    <w:p w14:paraId="589319C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项目名称：六盘水市第三人民医院两个重点专科建设所需设备采购项目（二次）</w:t>
      </w:r>
    </w:p>
    <w:p w14:paraId="1469255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项目编号：GZJZ-LPS-CY-2025-006</w:t>
      </w:r>
    </w:p>
    <w:p w14:paraId="65A441C7">
      <w:pPr>
        <w:pStyle w:val="13"/>
        <w:rPr>
          <w:rFonts w:hint="eastAsia"/>
          <w:lang w:val="zh-CN"/>
        </w:rPr>
      </w:pPr>
    </w:p>
    <w:p w14:paraId="7A49E114">
      <w:pPr>
        <w:spacing w:line="360" w:lineRule="auto"/>
        <w:jc w:val="center"/>
        <w:rPr>
          <w:rFonts w:hint="eastAsia" w:ascii="宋体" w:hAnsi="宋体" w:cs="宋体"/>
          <w:color w:val="auto"/>
          <w:sz w:val="30"/>
          <w:szCs w:val="30"/>
          <w:highlight w:val="none"/>
          <w:lang w:val="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7"/>
        <w:gridCol w:w="4763"/>
      </w:tblGrid>
      <w:tr w14:paraId="5954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4777" w:type="dxa"/>
          </w:tcPr>
          <w:p w14:paraId="026460DF">
            <w:pPr>
              <w:spacing w:line="360" w:lineRule="auto"/>
              <w:jc w:val="both"/>
              <w:rPr>
                <w:rFonts w:hint="eastAsia"/>
                <w:sz w:val="30"/>
                <w:szCs w:val="30"/>
                <w:highlight w:val="none"/>
                <w:lang w:val="en-US" w:eastAsia="zh-CN"/>
              </w:rPr>
            </w:pPr>
          </w:p>
          <w:p w14:paraId="38D3F89B">
            <w:pPr>
              <w:spacing w:line="360" w:lineRule="auto"/>
              <w:jc w:val="both"/>
              <w:rPr>
                <w:rFonts w:hint="eastAsia"/>
                <w:sz w:val="30"/>
                <w:szCs w:val="30"/>
                <w:highlight w:val="none"/>
                <w:lang w:val="en-US" w:eastAsia="zh-CN"/>
              </w:rPr>
            </w:pPr>
            <w:r>
              <w:rPr>
                <w:rFonts w:hint="eastAsia"/>
                <w:sz w:val="30"/>
                <w:szCs w:val="30"/>
                <w:highlight w:val="none"/>
                <w:lang w:val="en-US" w:eastAsia="zh-CN"/>
              </w:rPr>
              <w:t>采购人意见：</w:t>
            </w:r>
          </w:p>
          <w:p w14:paraId="6E5A0475">
            <w:pPr>
              <w:pStyle w:val="6"/>
              <w:spacing w:line="360" w:lineRule="auto"/>
              <w:rPr>
                <w:rFonts w:hint="eastAsia"/>
                <w:sz w:val="30"/>
                <w:szCs w:val="30"/>
                <w:highlight w:val="none"/>
                <w:lang w:val="en-US" w:eastAsia="zh-CN"/>
              </w:rPr>
            </w:pPr>
            <w:r>
              <w:rPr>
                <w:rFonts w:hint="eastAsia"/>
                <w:sz w:val="30"/>
                <w:szCs w:val="30"/>
                <w:highlight w:val="none"/>
                <w:lang w:val="en-US" w:eastAsia="zh-CN"/>
              </w:rPr>
              <w:t>采购人授权代表或项目联系人：</w:t>
            </w:r>
          </w:p>
          <w:p w14:paraId="519E3029">
            <w:pPr>
              <w:spacing w:line="360" w:lineRule="auto"/>
              <w:rPr>
                <w:rFonts w:hint="eastAsia"/>
                <w:sz w:val="30"/>
                <w:szCs w:val="30"/>
                <w:highlight w:val="none"/>
                <w:lang w:val="en-US" w:eastAsia="zh-CN"/>
              </w:rPr>
            </w:pPr>
            <w:r>
              <w:rPr>
                <w:rFonts w:hint="eastAsia"/>
                <w:sz w:val="30"/>
                <w:szCs w:val="30"/>
                <w:highlight w:val="none"/>
                <w:lang w:val="en-US" w:eastAsia="zh-CN"/>
              </w:rPr>
              <w:t>日期：</w:t>
            </w:r>
          </w:p>
          <w:p w14:paraId="3167BF35">
            <w:pPr>
              <w:spacing w:line="360" w:lineRule="auto"/>
              <w:rPr>
                <w:rFonts w:hint="eastAsia"/>
                <w:sz w:val="30"/>
                <w:szCs w:val="30"/>
                <w:highlight w:val="none"/>
                <w:lang w:val="en-US" w:eastAsia="zh-CN"/>
              </w:rPr>
            </w:pPr>
          </w:p>
          <w:p w14:paraId="793BD562">
            <w:pPr>
              <w:spacing w:line="360" w:lineRule="auto"/>
              <w:rPr>
                <w:rFonts w:hint="default"/>
                <w:sz w:val="30"/>
                <w:szCs w:val="30"/>
                <w:highlight w:val="none"/>
                <w:lang w:val="en-US" w:eastAsia="zh-CN"/>
              </w:rPr>
            </w:pPr>
            <w:r>
              <w:rPr>
                <w:rFonts w:hint="eastAsia"/>
                <w:sz w:val="30"/>
                <w:szCs w:val="30"/>
                <w:highlight w:val="none"/>
                <w:lang w:val="en-US" w:eastAsia="zh-CN"/>
              </w:rPr>
              <w:t>采购人盖章：</w:t>
            </w:r>
          </w:p>
        </w:tc>
        <w:tc>
          <w:tcPr>
            <w:tcW w:w="4763" w:type="dxa"/>
          </w:tcPr>
          <w:p w14:paraId="60050F0F">
            <w:pPr>
              <w:spacing w:line="360" w:lineRule="auto"/>
              <w:jc w:val="both"/>
              <w:rPr>
                <w:rFonts w:hint="eastAsia"/>
                <w:sz w:val="30"/>
                <w:szCs w:val="30"/>
                <w:highlight w:val="none"/>
                <w:lang w:val="en-US" w:eastAsia="zh-CN"/>
              </w:rPr>
            </w:pPr>
          </w:p>
          <w:p w14:paraId="34A51F19">
            <w:pPr>
              <w:spacing w:line="360" w:lineRule="auto"/>
              <w:jc w:val="both"/>
              <w:rPr>
                <w:rFonts w:hint="eastAsia"/>
                <w:sz w:val="30"/>
                <w:szCs w:val="30"/>
                <w:highlight w:val="none"/>
                <w:lang w:val="en-US" w:eastAsia="zh-CN"/>
              </w:rPr>
            </w:pPr>
            <w:r>
              <w:rPr>
                <w:rFonts w:hint="eastAsia"/>
                <w:sz w:val="30"/>
                <w:szCs w:val="30"/>
                <w:highlight w:val="none"/>
                <w:lang w:val="en-US" w:eastAsia="zh-CN"/>
              </w:rPr>
              <w:t>公证处意见：</w:t>
            </w:r>
          </w:p>
          <w:p w14:paraId="58A8D123">
            <w:pPr>
              <w:pStyle w:val="6"/>
              <w:spacing w:line="360" w:lineRule="auto"/>
              <w:rPr>
                <w:rFonts w:hint="eastAsia"/>
                <w:sz w:val="30"/>
                <w:szCs w:val="30"/>
                <w:highlight w:val="none"/>
                <w:lang w:val="en-US" w:eastAsia="zh-CN"/>
              </w:rPr>
            </w:pPr>
            <w:r>
              <w:rPr>
                <w:rFonts w:hint="eastAsia"/>
                <w:sz w:val="30"/>
                <w:szCs w:val="30"/>
                <w:highlight w:val="none"/>
                <w:lang w:val="en-US" w:eastAsia="zh-CN"/>
              </w:rPr>
              <w:t>公证处授权代表：</w:t>
            </w:r>
          </w:p>
          <w:p w14:paraId="7EB450E7">
            <w:pPr>
              <w:spacing w:line="360" w:lineRule="auto"/>
              <w:rPr>
                <w:rFonts w:hint="eastAsia"/>
                <w:sz w:val="30"/>
                <w:szCs w:val="30"/>
                <w:highlight w:val="none"/>
                <w:lang w:val="en-US" w:eastAsia="zh-CN"/>
              </w:rPr>
            </w:pPr>
            <w:r>
              <w:rPr>
                <w:rFonts w:hint="eastAsia"/>
                <w:sz w:val="30"/>
                <w:szCs w:val="30"/>
                <w:highlight w:val="none"/>
                <w:lang w:val="en-US" w:eastAsia="zh-CN"/>
              </w:rPr>
              <w:t>日期：</w:t>
            </w:r>
          </w:p>
          <w:p w14:paraId="0602B4CF">
            <w:pPr>
              <w:spacing w:line="360" w:lineRule="auto"/>
              <w:rPr>
                <w:rFonts w:hint="eastAsia"/>
                <w:sz w:val="30"/>
                <w:szCs w:val="30"/>
                <w:highlight w:val="none"/>
                <w:lang w:val="en-US" w:eastAsia="zh-CN"/>
              </w:rPr>
            </w:pPr>
          </w:p>
          <w:p w14:paraId="54C466A1">
            <w:pPr>
              <w:spacing w:line="360" w:lineRule="auto"/>
              <w:rPr>
                <w:rFonts w:hint="eastAsia"/>
                <w:sz w:val="30"/>
                <w:szCs w:val="30"/>
                <w:highlight w:val="none"/>
                <w:lang w:val="en-US" w:eastAsia="zh-CN"/>
              </w:rPr>
            </w:pPr>
            <w:r>
              <w:rPr>
                <w:rFonts w:hint="eastAsia"/>
                <w:sz w:val="30"/>
                <w:szCs w:val="30"/>
                <w:highlight w:val="none"/>
                <w:lang w:val="en-US" w:eastAsia="zh-CN"/>
              </w:rPr>
              <w:t>公证处盖章：</w:t>
            </w:r>
          </w:p>
        </w:tc>
      </w:tr>
    </w:tbl>
    <w:p w14:paraId="6BA56047">
      <w:pPr>
        <w:spacing w:line="360" w:lineRule="auto"/>
        <w:jc w:val="center"/>
        <w:rPr>
          <w:rFonts w:hint="eastAsia" w:ascii="宋体" w:hAnsi="宋体" w:cs="宋体"/>
          <w:color w:val="auto"/>
          <w:sz w:val="30"/>
          <w:szCs w:val="30"/>
          <w:highlight w:val="none"/>
          <w:lang w:val="zh-CN"/>
        </w:rPr>
      </w:pPr>
    </w:p>
    <w:p w14:paraId="15A71137">
      <w:pPr>
        <w:pStyle w:val="6"/>
        <w:spacing w:line="360" w:lineRule="auto"/>
        <w:rPr>
          <w:rFonts w:hint="eastAsia" w:ascii="宋体" w:hAnsi="宋体" w:cs="宋体"/>
          <w:color w:val="auto"/>
          <w:sz w:val="30"/>
          <w:szCs w:val="30"/>
          <w:highlight w:val="none"/>
          <w:lang w:val="zh-CN"/>
        </w:rPr>
      </w:pPr>
    </w:p>
    <w:p w14:paraId="229DBC10">
      <w:pPr>
        <w:pStyle w:val="6"/>
        <w:spacing w:line="360" w:lineRule="auto"/>
        <w:jc w:val="center"/>
        <w:rPr>
          <w:rFonts w:hint="eastAsia" w:ascii="宋体" w:hAnsi="宋体" w:cs="宋体"/>
          <w:color w:val="auto"/>
          <w:sz w:val="30"/>
          <w:szCs w:val="30"/>
          <w:highlight w:val="none"/>
          <w:shd w:val="clear" w:color="auto" w:fill="FFFFFF"/>
          <w:lang w:eastAsia="zh-CN"/>
        </w:rPr>
      </w:pPr>
    </w:p>
    <w:p w14:paraId="3D120009">
      <w:pPr>
        <w:rPr>
          <w:rFonts w:hint="eastAsia"/>
          <w:lang w:eastAsia="zh-CN"/>
        </w:rPr>
      </w:pPr>
    </w:p>
    <w:p w14:paraId="53A27544">
      <w:pPr>
        <w:pStyle w:val="6"/>
        <w:spacing w:line="360" w:lineRule="auto"/>
        <w:jc w:val="center"/>
        <w:rPr>
          <w:rFonts w:hint="eastAsia" w:ascii="宋体" w:hAnsi="宋体" w:cs="宋体"/>
          <w:color w:val="auto"/>
          <w:sz w:val="30"/>
          <w:szCs w:val="30"/>
          <w:highlight w:val="none"/>
          <w:shd w:val="clear" w:color="auto" w:fill="FFFFFF"/>
          <w:lang w:eastAsia="zh-CN"/>
        </w:rPr>
      </w:pPr>
      <w:r>
        <w:rPr>
          <w:rFonts w:hint="eastAsia" w:ascii="宋体" w:hAnsi="宋体" w:cs="宋体"/>
          <w:color w:val="auto"/>
          <w:sz w:val="30"/>
          <w:szCs w:val="30"/>
          <w:highlight w:val="none"/>
          <w:shd w:val="clear" w:color="auto" w:fill="FFFFFF"/>
          <w:lang w:eastAsia="zh-CN"/>
        </w:rPr>
        <w:t>贵州晋泽信息咨询有限公司</w:t>
      </w:r>
    </w:p>
    <w:p w14:paraId="4679AF98">
      <w:pPr>
        <w:pStyle w:val="6"/>
        <w:spacing w:line="360" w:lineRule="auto"/>
        <w:jc w:val="center"/>
        <w:rPr>
          <w:rFonts w:hint="default" w:eastAsia="宋体"/>
          <w:sz w:val="30"/>
          <w:szCs w:val="30"/>
          <w:highlight w:val="none"/>
          <w:lang w:val="en-US" w:eastAsia="zh-CN"/>
        </w:rPr>
      </w:pPr>
      <w:r>
        <w:rPr>
          <w:rFonts w:hint="eastAsia" w:ascii="宋体" w:hAnsi="宋体" w:cs="宋体"/>
          <w:color w:val="auto"/>
          <w:sz w:val="30"/>
          <w:szCs w:val="30"/>
          <w:highlight w:val="none"/>
          <w:shd w:val="clear" w:color="auto" w:fill="FFFFFF"/>
          <w:lang w:val="en-US" w:eastAsia="zh-CN"/>
        </w:rPr>
        <w:t>2025年七月</w:t>
      </w:r>
    </w:p>
    <w:p w14:paraId="0A6F68E1">
      <w:pPr>
        <w:spacing w:line="360" w:lineRule="auto"/>
        <w:jc w:val="center"/>
        <w:rPr>
          <w:rFonts w:hint="eastAsia" w:ascii="宋体" w:hAnsi="宋体" w:cs="宋体"/>
          <w:color w:val="auto"/>
          <w:sz w:val="24"/>
          <w:szCs w:val="24"/>
          <w:highlight w:val="none"/>
          <w:lang w:val="zh-CN"/>
        </w:rPr>
      </w:pPr>
    </w:p>
    <w:p w14:paraId="6D9F2114">
      <w:pPr>
        <w:spacing w:line="360" w:lineRule="auto"/>
        <w:jc w:val="center"/>
        <w:rPr>
          <w:rFonts w:hint="eastAsia" w:ascii="宋体" w:hAnsi="宋体" w:cs="宋体"/>
          <w:color w:val="auto"/>
          <w:sz w:val="24"/>
          <w:szCs w:val="24"/>
          <w:highlight w:val="none"/>
          <w:lang w:val="zh-CN"/>
        </w:rPr>
        <w:sectPr>
          <w:headerReference r:id="rId3" w:type="default"/>
          <w:pgSz w:w="11910" w:h="16840"/>
          <w:pgMar w:top="1440" w:right="1080" w:bottom="1440" w:left="1080" w:header="919" w:footer="927" w:gutter="0"/>
          <w:pgBorders>
            <w:top w:val="none" w:sz="0" w:space="0"/>
            <w:left w:val="none" w:sz="0" w:space="0"/>
            <w:bottom w:val="none" w:sz="0" w:space="0"/>
            <w:right w:val="none" w:sz="0" w:space="0"/>
          </w:pgBorders>
          <w:pgNumType w:fmt="decimal"/>
          <w:cols w:space="720" w:num="1"/>
        </w:sectPr>
      </w:pPr>
    </w:p>
    <w:p w14:paraId="5892C67C">
      <w:pPr>
        <w:pStyle w:val="21"/>
        <w:spacing w:line="360" w:lineRule="auto"/>
        <w:rPr>
          <w:color w:val="auto"/>
          <w:sz w:val="24"/>
          <w:szCs w:val="24"/>
          <w:highlight w:val="none"/>
          <w:lang w:val="zh-CN"/>
        </w:rPr>
      </w:pPr>
    </w:p>
    <w:sdt>
      <w:sdtPr>
        <w:rPr>
          <w:rFonts w:ascii="宋体" w:hAnsi="宋体" w:eastAsia="宋体" w:cs="Times New Roman"/>
          <w:kern w:val="2"/>
          <w:sz w:val="44"/>
          <w:szCs w:val="44"/>
          <w:lang w:val="en-US" w:eastAsia="zh-CN" w:bidi="ar-SA"/>
        </w:rPr>
        <w:id w:val="147474230"/>
        <w15:color w:val="DBDBDB"/>
        <w:docPartObj>
          <w:docPartGallery w:val="Table of Contents"/>
          <w:docPartUnique/>
        </w:docPartObj>
      </w:sdtPr>
      <w:sdtEndPr>
        <w:rPr>
          <w:rFonts w:hint="eastAsia" w:ascii="宋体" w:hAnsi="宋体" w:eastAsia="宋体" w:cs="宋体"/>
          <w:color w:val="auto"/>
          <w:kern w:val="2"/>
          <w:sz w:val="21"/>
          <w:szCs w:val="24"/>
          <w:highlight w:val="none"/>
          <w:lang w:val="en-US" w:eastAsia="zh-CN" w:bidi="ar-SA"/>
        </w:rPr>
      </w:sdtEndPr>
      <w:sdtContent>
        <w:p w14:paraId="0B2A2BD9">
          <w:pPr>
            <w:spacing w:before="0" w:beforeLines="0" w:after="0" w:afterLines="0" w:line="360" w:lineRule="auto"/>
            <w:ind w:left="0" w:leftChars="0" w:right="0" w:rightChars="0" w:firstLine="0" w:firstLineChars="0"/>
            <w:jc w:val="center"/>
            <w:rPr>
              <w:sz w:val="44"/>
              <w:szCs w:val="44"/>
            </w:rPr>
          </w:pPr>
          <w:r>
            <w:rPr>
              <w:rFonts w:ascii="宋体" w:hAnsi="宋体" w:eastAsia="宋体"/>
              <w:sz w:val="44"/>
              <w:szCs w:val="44"/>
            </w:rPr>
            <w:t>目</w:t>
          </w:r>
          <w:r>
            <w:rPr>
              <w:rFonts w:hint="eastAsia" w:ascii="宋体" w:hAnsi="宋体"/>
              <w:sz w:val="44"/>
              <w:szCs w:val="44"/>
              <w:lang w:val="en-US" w:eastAsia="zh-CN"/>
            </w:rPr>
            <w:t xml:space="preserve">  </w:t>
          </w:r>
          <w:r>
            <w:rPr>
              <w:rFonts w:ascii="宋体" w:hAnsi="宋体" w:eastAsia="宋体"/>
              <w:sz w:val="44"/>
              <w:szCs w:val="44"/>
            </w:rPr>
            <w:t>录</w:t>
          </w:r>
        </w:p>
        <w:p w14:paraId="3FFA350B">
          <w:pPr>
            <w:pStyle w:val="11"/>
            <w:tabs>
              <w:tab w:val="right" w:leader="dot" w:pos="9750"/>
            </w:tabs>
            <w:spacing w:line="360" w:lineRule="auto"/>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_Toc2080 </w:instrText>
          </w:r>
          <w:r>
            <w:rPr>
              <w:rFonts w:hint="eastAsia" w:ascii="宋体" w:hAnsi="宋体" w:eastAsia="宋体" w:cs="宋体"/>
              <w:szCs w:val="24"/>
              <w:highlight w:val="none"/>
            </w:rPr>
            <w:fldChar w:fldCharType="separate"/>
          </w:r>
          <w:r>
            <w:rPr>
              <w:rFonts w:hint="eastAsia" w:ascii="宋体" w:hAnsi="宋体" w:cs="宋体"/>
              <w:bCs w:val="0"/>
              <w:szCs w:val="36"/>
              <w:highlight w:val="none"/>
            </w:rPr>
            <w:t>第一章</w:t>
          </w:r>
          <w:r>
            <w:rPr>
              <w:rFonts w:hint="eastAsia" w:ascii="宋体" w:hAnsi="宋体" w:cs="宋体"/>
              <w:bCs w:val="0"/>
              <w:szCs w:val="36"/>
              <w:highlight w:val="none"/>
              <w:lang w:val="en-US" w:eastAsia="zh-CN"/>
            </w:rPr>
            <w:t xml:space="preserve"> </w:t>
          </w:r>
          <w:r>
            <w:rPr>
              <w:rFonts w:hint="eastAsia" w:ascii="宋体" w:hAnsi="宋体" w:cs="宋体"/>
              <w:bCs w:val="0"/>
              <w:szCs w:val="36"/>
              <w:highlight w:val="none"/>
              <w:lang w:eastAsia="zh-CN"/>
            </w:rPr>
            <w:t>招标公告</w:t>
          </w:r>
          <w:r>
            <w:tab/>
          </w:r>
          <w:r>
            <w:fldChar w:fldCharType="begin"/>
          </w:r>
          <w:r>
            <w:instrText xml:space="preserve"> PAGEREF _Toc2080 \h </w:instrText>
          </w:r>
          <w:r>
            <w:fldChar w:fldCharType="separate"/>
          </w:r>
          <w:r>
            <w:t>1</w:t>
          </w:r>
          <w:r>
            <w:fldChar w:fldCharType="end"/>
          </w:r>
          <w:r>
            <w:rPr>
              <w:rFonts w:hint="eastAsia" w:ascii="宋体" w:hAnsi="宋体" w:eastAsia="宋体" w:cs="宋体"/>
              <w:color w:val="auto"/>
              <w:szCs w:val="24"/>
              <w:highlight w:val="none"/>
            </w:rPr>
            <w:fldChar w:fldCharType="end"/>
          </w:r>
        </w:p>
        <w:p w14:paraId="1BCCFF73">
          <w:pPr>
            <w:pStyle w:val="11"/>
            <w:tabs>
              <w:tab w:val="right" w:leader="dot" w:pos="9750"/>
            </w:tabs>
            <w:spacing w:line="360" w:lineRule="auto"/>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_Toc18617 </w:instrText>
          </w:r>
          <w:r>
            <w:rPr>
              <w:rFonts w:hint="eastAsia" w:ascii="宋体" w:hAnsi="宋体" w:eastAsia="宋体" w:cs="宋体"/>
              <w:szCs w:val="24"/>
              <w:highlight w:val="none"/>
            </w:rPr>
            <w:fldChar w:fldCharType="separate"/>
          </w:r>
          <w:r>
            <w:rPr>
              <w:rFonts w:hint="eastAsia" w:ascii="宋体" w:hAnsi="宋体" w:cs="宋体"/>
              <w:bCs w:val="0"/>
              <w:szCs w:val="44"/>
              <w:highlight w:val="none"/>
            </w:rPr>
            <w:t>第二章</w:t>
          </w:r>
          <w:r>
            <w:rPr>
              <w:rFonts w:hint="eastAsia" w:ascii="宋体" w:hAnsi="宋体" w:cs="宋体"/>
              <w:bCs w:val="0"/>
              <w:szCs w:val="44"/>
              <w:highlight w:val="none"/>
              <w:lang w:val="en-US" w:eastAsia="zh-CN"/>
            </w:rPr>
            <w:t xml:space="preserve"> </w:t>
          </w:r>
          <w:r>
            <w:rPr>
              <w:rFonts w:hint="eastAsia" w:ascii="宋体" w:hAnsi="宋体" w:cs="宋体"/>
              <w:bCs w:val="0"/>
              <w:szCs w:val="44"/>
              <w:highlight w:val="none"/>
            </w:rPr>
            <w:t>投标人须知</w:t>
          </w:r>
          <w:r>
            <w:tab/>
          </w:r>
          <w:r>
            <w:fldChar w:fldCharType="begin"/>
          </w:r>
          <w:r>
            <w:instrText xml:space="preserve"> PAGEREF _Toc18617 \h </w:instrText>
          </w:r>
          <w:r>
            <w:fldChar w:fldCharType="separate"/>
          </w:r>
          <w:r>
            <w:t>5</w:t>
          </w:r>
          <w:r>
            <w:fldChar w:fldCharType="end"/>
          </w:r>
          <w:r>
            <w:rPr>
              <w:rFonts w:hint="eastAsia" w:ascii="宋体" w:hAnsi="宋体" w:eastAsia="宋体" w:cs="宋体"/>
              <w:color w:val="auto"/>
              <w:szCs w:val="24"/>
              <w:highlight w:val="none"/>
            </w:rPr>
            <w:fldChar w:fldCharType="end"/>
          </w:r>
        </w:p>
        <w:p w14:paraId="6555DA9C">
          <w:pPr>
            <w:pStyle w:val="11"/>
            <w:tabs>
              <w:tab w:val="right" w:leader="dot" w:pos="9750"/>
            </w:tabs>
            <w:spacing w:line="360" w:lineRule="auto"/>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_Toc21727 </w:instrText>
          </w:r>
          <w:r>
            <w:rPr>
              <w:rFonts w:hint="eastAsia" w:ascii="宋体" w:hAnsi="宋体" w:eastAsia="宋体" w:cs="宋体"/>
              <w:szCs w:val="24"/>
              <w:highlight w:val="none"/>
            </w:rPr>
            <w:fldChar w:fldCharType="separate"/>
          </w:r>
          <w:r>
            <w:t>第三章</w:t>
          </w:r>
          <w:r>
            <w:rPr>
              <w:rFonts w:hint="eastAsia"/>
              <w:lang w:val="en-US" w:eastAsia="zh-CN"/>
            </w:rPr>
            <w:t xml:space="preserve"> </w:t>
          </w:r>
          <w:r>
            <w:t>投标人须提交的资格、资信证明文件</w:t>
          </w:r>
          <w:r>
            <w:tab/>
          </w:r>
          <w:r>
            <w:fldChar w:fldCharType="begin"/>
          </w:r>
          <w:r>
            <w:instrText xml:space="preserve"> PAGEREF _Toc21727 \h </w:instrText>
          </w:r>
          <w:r>
            <w:fldChar w:fldCharType="separate"/>
          </w:r>
          <w:r>
            <w:t>23</w:t>
          </w:r>
          <w:r>
            <w:fldChar w:fldCharType="end"/>
          </w:r>
          <w:r>
            <w:rPr>
              <w:rFonts w:hint="eastAsia" w:ascii="宋体" w:hAnsi="宋体" w:eastAsia="宋体" w:cs="宋体"/>
              <w:color w:val="auto"/>
              <w:szCs w:val="24"/>
              <w:highlight w:val="none"/>
            </w:rPr>
            <w:fldChar w:fldCharType="end"/>
          </w:r>
        </w:p>
        <w:p w14:paraId="72D193AB">
          <w:pPr>
            <w:pStyle w:val="11"/>
            <w:tabs>
              <w:tab w:val="right" w:leader="dot" w:pos="9750"/>
            </w:tabs>
            <w:spacing w:line="360" w:lineRule="auto"/>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_Toc9094 </w:instrText>
          </w:r>
          <w:r>
            <w:rPr>
              <w:rFonts w:hint="eastAsia" w:ascii="宋体" w:hAnsi="宋体" w:eastAsia="宋体" w:cs="宋体"/>
              <w:szCs w:val="24"/>
              <w:highlight w:val="none"/>
            </w:rPr>
            <w:fldChar w:fldCharType="separate"/>
          </w:r>
          <w:r>
            <w:t>第四章</w:t>
          </w:r>
          <w:r>
            <w:rPr>
              <w:rFonts w:hint="eastAsia"/>
              <w:lang w:val="en-US" w:eastAsia="zh-CN"/>
            </w:rPr>
            <w:t xml:space="preserve"> </w:t>
          </w:r>
          <w:r>
            <w:t>为落实政府采购政策，采购标的需满足的要求，以及投标人须提供的证明材料</w:t>
          </w:r>
          <w:r>
            <w:tab/>
          </w:r>
          <w:r>
            <w:fldChar w:fldCharType="begin"/>
          </w:r>
          <w:r>
            <w:instrText xml:space="preserve"> PAGEREF _Toc9094 \h </w:instrText>
          </w:r>
          <w:r>
            <w:fldChar w:fldCharType="separate"/>
          </w:r>
          <w:r>
            <w:t>25</w:t>
          </w:r>
          <w:r>
            <w:fldChar w:fldCharType="end"/>
          </w:r>
          <w:r>
            <w:rPr>
              <w:rFonts w:hint="eastAsia" w:ascii="宋体" w:hAnsi="宋体" w:eastAsia="宋体" w:cs="宋体"/>
              <w:color w:val="auto"/>
              <w:szCs w:val="24"/>
              <w:highlight w:val="none"/>
            </w:rPr>
            <w:fldChar w:fldCharType="end"/>
          </w:r>
        </w:p>
        <w:p w14:paraId="12EBB315">
          <w:pPr>
            <w:pStyle w:val="11"/>
            <w:tabs>
              <w:tab w:val="right" w:leader="dot" w:pos="9750"/>
            </w:tabs>
            <w:spacing w:line="360" w:lineRule="auto"/>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_Toc1912 </w:instrText>
          </w:r>
          <w:r>
            <w:rPr>
              <w:rFonts w:hint="eastAsia" w:ascii="宋体" w:hAnsi="宋体" w:eastAsia="宋体" w:cs="宋体"/>
              <w:szCs w:val="24"/>
              <w:highlight w:val="none"/>
            </w:rPr>
            <w:fldChar w:fldCharType="separate"/>
          </w:r>
          <w:r>
            <w:rPr>
              <w:bCs/>
              <w:spacing w:val="8"/>
              <w:szCs w:val="31"/>
            </w:rPr>
            <w:t>第五章</w:t>
          </w:r>
          <w:r>
            <w:rPr>
              <w:rFonts w:hint="eastAsia"/>
              <w:bCs/>
              <w:spacing w:val="8"/>
              <w:szCs w:val="31"/>
              <w:lang w:val="en-US" w:eastAsia="zh-CN"/>
            </w:rPr>
            <w:t xml:space="preserve"> </w:t>
          </w:r>
          <w:r>
            <w:rPr>
              <w:bCs/>
              <w:spacing w:val="8"/>
              <w:szCs w:val="31"/>
            </w:rPr>
            <w:t>投标文件编制要求，投标报价要求和投标保证金交纳、退还</w:t>
          </w:r>
          <w:r>
            <w:rPr>
              <w:spacing w:val="1"/>
              <w:szCs w:val="31"/>
            </w:rPr>
            <w:t xml:space="preserve"> </w:t>
          </w:r>
          <w:r>
            <w:rPr>
              <w:bCs/>
              <w:spacing w:val="7"/>
              <w:szCs w:val="31"/>
            </w:rPr>
            <w:t>方式以及不予退还投标保证金的情形</w:t>
          </w:r>
          <w:r>
            <w:tab/>
          </w:r>
          <w:r>
            <w:fldChar w:fldCharType="begin"/>
          </w:r>
          <w:r>
            <w:instrText xml:space="preserve"> PAGEREF _Toc1912 \h </w:instrText>
          </w:r>
          <w:r>
            <w:fldChar w:fldCharType="separate"/>
          </w:r>
          <w:r>
            <w:t>31</w:t>
          </w:r>
          <w:r>
            <w:fldChar w:fldCharType="end"/>
          </w:r>
          <w:r>
            <w:rPr>
              <w:rFonts w:hint="eastAsia" w:ascii="宋体" w:hAnsi="宋体" w:eastAsia="宋体" w:cs="宋体"/>
              <w:color w:val="auto"/>
              <w:szCs w:val="24"/>
              <w:highlight w:val="none"/>
            </w:rPr>
            <w:fldChar w:fldCharType="end"/>
          </w:r>
        </w:p>
        <w:p w14:paraId="44937264">
          <w:pPr>
            <w:pStyle w:val="11"/>
            <w:tabs>
              <w:tab w:val="right" w:leader="dot" w:pos="9750"/>
            </w:tabs>
            <w:spacing w:line="360" w:lineRule="auto"/>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_Toc12382 </w:instrText>
          </w:r>
          <w:r>
            <w:rPr>
              <w:rFonts w:hint="eastAsia" w:ascii="宋体" w:hAnsi="宋体" w:eastAsia="宋体" w:cs="宋体"/>
              <w:szCs w:val="24"/>
              <w:highlight w:val="none"/>
            </w:rPr>
            <w:fldChar w:fldCharType="separate"/>
          </w:r>
          <w:r>
            <w:rPr>
              <w:bCs/>
              <w:spacing w:val="7"/>
              <w:szCs w:val="31"/>
            </w:rPr>
            <w:t>第六章</w:t>
          </w:r>
          <w:r>
            <w:rPr>
              <w:rFonts w:hint="eastAsia"/>
              <w:bCs/>
              <w:spacing w:val="7"/>
              <w:szCs w:val="31"/>
              <w:lang w:val="en-US" w:eastAsia="zh-CN"/>
            </w:rPr>
            <w:t xml:space="preserve"> </w:t>
          </w:r>
          <w:r>
            <w:rPr>
              <w:bCs/>
              <w:spacing w:val="7"/>
              <w:szCs w:val="31"/>
            </w:rPr>
            <w:t>采购项目预算金额，设定最高限价的，还应当公开最高限价</w:t>
          </w:r>
          <w:r>
            <w:tab/>
          </w:r>
          <w:r>
            <w:fldChar w:fldCharType="begin"/>
          </w:r>
          <w:r>
            <w:instrText xml:space="preserve"> PAGEREF _Toc12382 \h </w:instrText>
          </w:r>
          <w:r>
            <w:fldChar w:fldCharType="separate"/>
          </w:r>
          <w:r>
            <w:t>35</w:t>
          </w:r>
          <w:r>
            <w:fldChar w:fldCharType="end"/>
          </w:r>
          <w:r>
            <w:rPr>
              <w:rFonts w:hint="eastAsia" w:ascii="宋体" w:hAnsi="宋体" w:eastAsia="宋体" w:cs="宋体"/>
              <w:color w:val="auto"/>
              <w:szCs w:val="24"/>
              <w:highlight w:val="none"/>
            </w:rPr>
            <w:fldChar w:fldCharType="end"/>
          </w:r>
        </w:p>
        <w:p w14:paraId="098178C2">
          <w:pPr>
            <w:pStyle w:val="11"/>
            <w:tabs>
              <w:tab w:val="right" w:leader="dot" w:pos="9750"/>
            </w:tabs>
            <w:spacing w:line="360" w:lineRule="auto"/>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_Toc10790 </w:instrText>
          </w:r>
          <w:r>
            <w:rPr>
              <w:rFonts w:hint="eastAsia" w:ascii="宋体" w:hAnsi="宋体" w:eastAsia="宋体" w:cs="宋体"/>
              <w:szCs w:val="24"/>
              <w:highlight w:val="none"/>
            </w:rPr>
            <w:fldChar w:fldCharType="separate"/>
          </w:r>
          <w:r>
            <w:rPr>
              <w:bCs/>
              <w:spacing w:val="7"/>
              <w:szCs w:val="31"/>
            </w:rPr>
            <w:t>第七章</w:t>
          </w:r>
          <w:r>
            <w:rPr>
              <w:rFonts w:hint="eastAsia"/>
              <w:bCs/>
              <w:spacing w:val="7"/>
              <w:szCs w:val="31"/>
              <w:lang w:val="en-US" w:eastAsia="zh-CN"/>
            </w:rPr>
            <w:t xml:space="preserve"> </w:t>
          </w:r>
          <w:r>
            <w:rPr>
              <w:bCs/>
              <w:spacing w:val="7"/>
              <w:szCs w:val="31"/>
            </w:rPr>
            <w:t>采购项目的规格、数量、服务标准、验收等要求</w:t>
          </w:r>
          <w:r>
            <w:tab/>
          </w:r>
          <w:r>
            <w:fldChar w:fldCharType="begin"/>
          </w:r>
          <w:r>
            <w:instrText xml:space="preserve"> PAGEREF _Toc10790 \h </w:instrText>
          </w:r>
          <w:r>
            <w:fldChar w:fldCharType="separate"/>
          </w:r>
          <w:r>
            <w:t>36</w:t>
          </w:r>
          <w:r>
            <w:fldChar w:fldCharType="end"/>
          </w:r>
          <w:r>
            <w:rPr>
              <w:rFonts w:hint="eastAsia" w:ascii="宋体" w:hAnsi="宋体" w:eastAsia="宋体" w:cs="宋体"/>
              <w:color w:val="auto"/>
              <w:szCs w:val="24"/>
              <w:highlight w:val="none"/>
            </w:rPr>
            <w:fldChar w:fldCharType="end"/>
          </w:r>
        </w:p>
        <w:p w14:paraId="68B623DA">
          <w:pPr>
            <w:pStyle w:val="11"/>
            <w:tabs>
              <w:tab w:val="right" w:leader="dot" w:pos="9750"/>
            </w:tabs>
            <w:spacing w:line="360" w:lineRule="auto"/>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_Toc18260 </w:instrText>
          </w:r>
          <w:r>
            <w:rPr>
              <w:rFonts w:hint="eastAsia" w:ascii="宋体" w:hAnsi="宋体" w:eastAsia="宋体" w:cs="宋体"/>
              <w:szCs w:val="24"/>
              <w:highlight w:val="none"/>
            </w:rPr>
            <w:fldChar w:fldCharType="separate"/>
          </w:r>
          <w:r>
            <w:rPr>
              <w:bCs/>
              <w:spacing w:val="6"/>
              <w:szCs w:val="31"/>
            </w:rPr>
            <w:t>第八章</w:t>
          </w:r>
          <w:r>
            <w:rPr>
              <w:spacing w:val="6"/>
              <w:szCs w:val="31"/>
            </w:rPr>
            <w:t xml:space="preserve"> </w:t>
          </w:r>
          <w:r>
            <w:rPr>
              <w:bCs/>
              <w:spacing w:val="6"/>
              <w:szCs w:val="31"/>
            </w:rPr>
            <w:t>拟签订的合同文本</w:t>
          </w:r>
          <w:r>
            <w:tab/>
          </w:r>
          <w:r>
            <w:fldChar w:fldCharType="begin"/>
          </w:r>
          <w:r>
            <w:instrText xml:space="preserve"> PAGEREF _Toc18260 \h </w:instrText>
          </w:r>
          <w:r>
            <w:fldChar w:fldCharType="separate"/>
          </w:r>
          <w:r>
            <w:t>59</w:t>
          </w:r>
          <w:r>
            <w:fldChar w:fldCharType="end"/>
          </w:r>
          <w:r>
            <w:rPr>
              <w:rFonts w:hint="eastAsia" w:ascii="宋体" w:hAnsi="宋体" w:eastAsia="宋体" w:cs="宋体"/>
              <w:color w:val="auto"/>
              <w:szCs w:val="24"/>
              <w:highlight w:val="none"/>
            </w:rPr>
            <w:fldChar w:fldCharType="end"/>
          </w:r>
        </w:p>
        <w:p w14:paraId="29FE2819">
          <w:pPr>
            <w:pStyle w:val="11"/>
            <w:tabs>
              <w:tab w:val="right" w:leader="dot" w:pos="9750"/>
            </w:tabs>
            <w:spacing w:line="360" w:lineRule="auto"/>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_Toc22636 </w:instrText>
          </w:r>
          <w:r>
            <w:rPr>
              <w:rFonts w:hint="eastAsia" w:ascii="宋体" w:hAnsi="宋体" w:eastAsia="宋体" w:cs="宋体"/>
              <w:szCs w:val="24"/>
              <w:highlight w:val="none"/>
            </w:rPr>
            <w:fldChar w:fldCharType="separate"/>
          </w:r>
          <w:r>
            <w:rPr>
              <w:bCs/>
              <w:spacing w:val="6"/>
              <w:szCs w:val="31"/>
            </w:rPr>
            <w:t>第九章</w:t>
          </w:r>
          <w:r>
            <w:rPr>
              <w:rFonts w:hint="eastAsia"/>
              <w:bCs/>
              <w:spacing w:val="6"/>
              <w:szCs w:val="31"/>
              <w:lang w:val="en-US" w:eastAsia="zh-CN"/>
            </w:rPr>
            <w:t xml:space="preserve"> </w:t>
          </w:r>
          <w:r>
            <w:rPr>
              <w:bCs/>
              <w:spacing w:val="6"/>
              <w:szCs w:val="31"/>
            </w:rPr>
            <w:t>货物、服务提供的时间、地点、方式</w:t>
          </w:r>
          <w:r>
            <w:tab/>
          </w:r>
          <w:r>
            <w:fldChar w:fldCharType="begin"/>
          </w:r>
          <w:r>
            <w:instrText xml:space="preserve"> PAGEREF _Toc22636 \h </w:instrText>
          </w:r>
          <w:r>
            <w:fldChar w:fldCharType="separate"/>
          </w:r>
          <w:r>
            <w:t>62</w:t>
          </w:r>
          <w:r>
            <w:fldChar w:fldCharType="end"/>
          </w:r>
          <w:r>
            <w:rPr>
              <w:rFonts w:hint="eastAsia" w:ascii="宋体" w:hAnsi="宋体" w:eastAsia="宋体" w:cs="宋体"/>
              <w:color w:val="auto"/>
              <w:szCs w:val="24"/>
              <w:highlight w:val="none"/>
            </w:rPr>
            <w:fldChar w:fldCharType="end"/>
          </w:r>
        </w:p>
        <w:p w14:paraId="113307BD">
          <w:pPr>
            <w:pStyle w:val="11"/>
            <w:tabs>
              <w:tab w:val="right" w:leader="dot" w:pos="9750"/>
            </w:tabs>
            <w:spacing w:line="360" w:lineRule="auto"/>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_Toc4778 </w:instrText>
          </w:r>
          <w:r>
            <w:rPr>
              <w:rFonts w:hint="eastAsia" w:ascii="宋体" w:hAnsi="宋体" w:eastAsia="宋体" w:cs="宋体"/>
              <w:szCs w:val="24"/>
              <w:highlight w:val="none"/>
            </w:rPr>
            <w:fldChar w:fldCharType="separate"/>
          </w:r>
          <w:r>
            <w:t>第十章</w:t>
          </w:r>
          <w:r>
            <w:rPr>
              <w:rFonts w:hint="eastAsia"/>
              <w:lang w:val="en-US" w:eastAsia="zh-CN"/>
            </w:rPr>
            <w:t xml:space="preserve"> </w:t>
          </w:r>
          <w:r>
            <w:t>采购资金的支付方式、时间、条件</w:t>
          </w:r>
          <w:r>
            <w:tab/>
          </w:r>
          <w:r>
            <w:fldChar w:fldCharType="begin"/>
          </w:r>
          <w:r>
            <w:instrText xml:space="preserve"> PAGEREF _Toc4778 \h </w:instrText>
          </w:r>
          <w:r>
            <w:fldChar w:fldCharType="separate"/>
          </w:r>
          <w:r>
            <w:t>63</w:t>
          </w:r>
          <w:r>
            <w:fldChar w:fldCharType="end"/>
          </w:r>
          <w:r>
            <w:rPr>
              <w:rFonts w:hint="eastAsia" w:ascii="宋体" w:hAnsi="宋体" w:eastAsia="宋体" w:cs="宋体"/>
              <w:color w:val="auto"/>
              <w:szCs w:val="24"/>
              <w:highlight w:val="none"/>
            </w:rPr>
            <w:fldChar w:fldCharType="end"/>
          </w:r>
        </w:p>
        <w:p w14:paraId="1D4ED9A7">
          <w:pPr>
            <w:pStyle w:val="11"/>
            <w:tabs>
              <w:tab w:val="right" w:leader="dot" w:pos="9750"/>
            </w:tabs>
            <w:spacing w:line="360" w:lineRule="auto"/>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_Toc25870 </w:instrText>
          </w:r>
          <w:r>
            <w:rPr>
              <w:rFonts w:hint="eastAsia" w:ascii="宋体" w:hAnsi="宋体" w:eastAsia="宋体" w:cs="宋体"/>
              <w:szCs w:val="24"/>
              <w:highlight w:val="none"/>
            </w:rPr>
            <w:fldChar w:fldCharType="separate"/>
          </w:r>
          <w:r>
            <w:rPr>
              <w:bCs/>
              <w:spacing w:val="7"/>
              <w:szCs w:val="31"/>
            </w:rPr>
            <w:t>第十一章</w:t>
          </w:r>
          <w:r>
            <w:rPr>
              <w:spacing w:val="7"/>
              <w:szCs w:val="31"/>
            </w:rPr>
            <w:t xml:space="preserve"> </w:t>
          </w:r>
          <w:r>
            <w:rPr>
              <w:bCs/>
              <w:spacing w:val="7"/>
              <w:szCs w:val="31"/>
            </w:rPr>
            <w:t>评标办法、评标标准和投标无效情形</w:t>
          </w:r>
          <w:r>
            <w:tab/>
          </w:r>
          <w:r>
            <w:fldChar w:fldCharType="begin"/>
          </w:r>
          <w:r>
            <w:instrText xml:space="preserve"> PAGEREF _Toc25870 \h </w:instrText>
          </w:r>
          <w:r>
            <w:fldChar w:fldCharType="separate"/>
          </w:r>
          <w:r>
            <w:t>64</w:t>
          </w:r>
          <w:r>
            <w:fldChar w:fldCharType="end"/>
          </w:r>
          <w:r>
            <w:rPr>
              <w:rFonts w:hint="eastAsia" w:ascii="宋体" w:hAnsi="宋体" w:eastAsia="宋体" w:cs="宋体"/>
              <w:color w:val="auto"/>
              <w:szCs w:val="24"/>
              <w:highlight w:val="none"/>
            </w:rPr>
            <w:fldChar w:fldCharType="end"/>
          </w:r>
        </w:p>
        <w:p w14:paraId="2E24C1F7">
          <w:pPr>
            <w:pStyle w:val="11"/>
            <w:tabs>
              <w:tab w:val="right" w:leader="dot" w:pos="9750"/>
            </w:tabs>
            <w:spacing w:line="360" w:lineRule="auto"/>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_Toc19837 </w:instrText>
          </w:r>
          <w:r>
            <w:rPr>
              <w:rFonts w:hint="eastAsia" w:ascii="宋体" w:hAnsi="宋体" w:eastAsia="宋体" w:cs="宋体"/>
              <w:szCs w:val="24"/>
              <w:highlight w:val="none"/>
            </w:rPr>
            <w:fldChar w:fldCharType="separate"/>
          </w:r>
          <w:r>
            <w:rPr>
              <w:bCs/>
              <w:spacing w:val="6"/>
              <w:szCs w:val="31"/>
            </w:rPr>
            <w:t>第十二章</w:t>
          </w:r>
          <w:r>
            <w:rPr>
              <w:spacing w:val="6"/>
              <w:szCs w:val="31"/>
            </w:rPr>
            <w:t xml:space="preserve"> </w:t>
          </w:r>
          <w:r>
            <w:rPr>
              <w:bCs/>
              <w:spacing w:val="6"/>
              <w:szCs w:val="31"/>
            </w:rPr>
            <w:t>投标有效期</w:t>
          </w:r>
          <w:r>
            <w:tab/>
          </w:r>
          <w:r>
            <w:fldChar w:fldCharType="begin"/>
          </w:r>
          <w:r>
            <w:instrText xml:space="preserve"> PAGEREF _Toc19837 \h </w:instrText>
          </w:r>
          <w:r>
            <w:fldChar w:fldCharType="separate"/>
          </w:r>
          <w:r>
            <w:t>73</w:t>
          </w:r>
          <w:r>
            <w:fldChar w:fldCharType="end"/>
          </w:r>
          <w:r>
            <w:rPr>
              <w:rFonts w:hint="eastAsia" w:ascii="宋体" w:hAnsi="宋体" w:eastAsia="宋体" w:cs="宋体"/>
              <w:color w:val="auto"/>
              <w:szCs w:val="24"/>
              <w:highlight w:val="none"/>
            </w:rPr>
            <w:fldChar w:fldCharType="end"/>
          </w:r>
        </w:p>
        <w:p w14:paraId="7791A224">
          <w:pPr>
            <w:pStyle w:val="11"/>
            <w:tabs>
              <w:tab w:val="right" w:leader="dot" w:pos="9750"/>
            </w:tabs>
            <w:spacing w:line="360" w:lineRule="auto"/>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_Toc3211 </w:instrText>
          </w:r>
          <w:r>
            <w:rPr>
              <w:rFonts w:hint="eastAsia" w:ascii="宋体" w:hAnsi="宋体" w:eastAsia="宋体" w:cs="宋体"/>
              <w:szCs w:val="24"/>
              <w:highlight w:val="none"/>
            </w:rPr>
            <w:fldChar w:fldCharType="separate"/>
          </w:r>
          <w:r>
            <w:rPr>
              <w:bCs/>
              <w:spacing w:val="6"/>
              <w:szCs w:val="31"/>
            </w:rPr>
            <w:t>第十三章</w:t>
          </w:r>
          <w:r>
            <w:rPr>
              <w:spacing w:val="-21"/>
              <w:szCs w:val="31"/>
            </w:rPr>
            <w:t xml:space="preserve"> </w:t>
          </w:r>
          <w:r>
            <w:rPr>
              <w:bCs/>
              <w:spacing w:val="6"/>
              <w:szCs w:val="31"/>
            </w:rPr>
            <w:t>投标截止时间、开标时间及地点</w:t>
          </w:r>
          <w:r>
            <w:tab/>
          </w:r>
          <w:r>
            <w:fldChar w:fldCharType="begin"/>
          </w:r>
          <w:r>
            <w:instrText xml:space="preserve"> PAGEREF _Toc3211 \h </w:instrText>
          </w:r>
          <w:r>
            <w:fldChar w:fldCharType="separate"/>
          </w:r>
          <w:r>
            <w:t>74</w:t>
          </w:r>
          <w:r>
            <w:fldChar w:fldCharType="end"/>
          </w:r>
          <w:r>
            <w:rPr>
              <w:rFonts w:hint="eastAsia" w:ascii="宋体" w:hAnsi="宋体" w:eastAsia="宋体" w:cs="宋体"/>
              <w:color w:val="auto"/>
              <w:szCs w:val="24"/>
              <w:highlight w:val="none"/>
            </w:rPr>
            <w:fldChar w:fldCharType="end"/>
          </w:r>
        </w:p>
        <w:p w14:paraId="24D32324">
          <w:pPr>
            <w:pStyle w:val="11"/>
            <w:tabs>
              <w:tab w:val="right" w:leader="dot" w:pos="9750"/>
            </w:tabs>
            <w:spacing w:line="360" w:lineRule="auto"/>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_Toc24766 </w:instrText>
          </w:r>
          <w:r>
            <w:rPr>
              <w:rFonts w:hint="eastAsia" w:ascii="宋体" w:hAnsi="宋体" w:eastAsia="宋体" w:cs="宋体"/>
              <w:szCs w:val="24"/>
              <w:highlight w:val="none"/>
            </w:rPr>
            <w:fldChar w:fldCharType="separate"/>
          </w:r>
          <w:r>
            <w:t>第十四章</w:t>
          </w:r>
          <w:r>
            <w:rPr>
              <w:rFonts w:hint="eastAsia"/>
              <w:lang w:val="en-US" w:eastAsia="zh-CN"/>
            </w:rPr>
            <w:t xml:space="preserve"> </w:t>
          </w:r>
          <w:r>
            <w:t>采购代理机构代理费用的收取标准和方式</w:t>
          </w:r>
          <w:r>
            <w:tab/>
          </w:r>
          <w:r>
            <w:fldChar w:fldCharType="begin"/>
          </w:r>
          <w:r>
            <w:instrText xml:space="preserve"> PAGEREF _Toc24766 \h </w:instrText>
          </w:r>
          <w:r>
            <w:fldChar w:fldCharType="separate"/>
          </w:r>
          <w:r>
            <w:t>75</w:t>
          </w:r>
          <w:r>
            <w:fldChar w:fldCharType="end"/>
          </w:r>
          <w:r>
            <w:rPr>
              <w:rFonts w:hint="eastAsia" w:ascii="宋体" w:hAnsi="宋体" w:eastAsia="宋体" w:cs="宋体"/>
              <w:color w:val="auto"/>
              <w:szCs w:val="24"/>
              <w:highlight w:val="none"/>
            </w:rPr>
            <w:fldChar w:fldCharType="end"/>
          </w:r>
        </w:p>
        <w:p w14:paraId="13A80205">
          <w:pPr>
            <w:pStyle w:val="11"/>
            <w:tabs>
              <w:tab w:val="right" w:leader="dot" w:pos="9750"/>
            </w:tabs>
            <w:spacing w:line="360" w:lineRule="auto"/>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_Toc193 </w:instrText>
          </w:r>
          <w:r>
            <w:rPr>
              <w:rFonts w:hint="eastAsia" w:ascii="宋体" w:hAnsi="宋体" w:eastAsia="宋体" w:cs="宋体"/>
              <w:szCs w:val="24"/>
              <w:highlight w:val="none"/>
            </w:rPr>
            <w:fldChar w:fldCharType="separate"/>
          </w:r>
          <w:r>
            <w:t>第十五章</w:t>
          </w:r>
          <w:r>
            <w:rPr>
              <w:rFonts w:hint="eastAsia"/>
              <w:lang w:val="en-US" w:eastAsia="zh-CN"/>
            </w:rPr>
            <w:t xml:space="preserve"> </w:t>
          </w:r>
          <w:r>
            <w:rPr>
              <w:rFonts w:hint="eastAsia"/>
            </w:rPr>
            <w:t>投标人信用信息查询渠道及截止时间地点、信用信息查询记录和证据留存的具体方式、信用信息的使用规则等</w:t>
          </w:r>
          <w:r>
            <w:tab/>
          </w:r>
          <w:r>
            <w:fldChar w:fldCharType="begin"/>
          </w:r>
          <w:r>
            <w:instrText xml:space="preserve"> PAGEREF _Toc193 \h </w:instrText>
          </w:r>
          <w:r>
            <w:fldChar w:fldCharType="separate"/>
          </w:r>
          <w:r>
            <w:t>76</w:t>
          </w:r>
          <w:r>
            <w:fldChar w:fldCharType="end"/>
          </w:r>
          <w:r>
            <w:rPr>
              <w:rFonts w:hint="eastAsia" w:ascii="宋体" w:hAnsi="宋体" w:eastAsia="宋体" w:cs="宋体"/>
              <w:color w:val="auto"/>
              <w:szCs w:val="24"/>
              <w:highlight w:val="none"/>
            </w:rPr>
            <w:fldChar w:fldCharType="end"/>
          </w:r>
        </w:p>
        <w:p w14:paraId="52901B32">
          <w:pPr>
            <w:pStyle w:val="11"/>
            <w:tabs>
              <w:tab w:val="right" w:leader="dot" w:pos="9750"/>
            </w:tabs>
            <w:spacing w:line="360" w:lineRule="auto"/>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_Toc6359 </w:instrText>
          </w:r>
          <w:r>
            <w:rPr>
              <w:rFonts w:hint="eastAsia" w:ascii="宋体" w:hAnsi="宋体" w:eastAsia="宋体" w:cs="宋体"/>
              <w:szCs w:val="24"/>
              <w:highlight w:val="none"/>
            </w:rPr>
            <w:fldChar w:fldCharType="separate"/>
          </w:r>
          <w:r>
            <w:t>第十六</w:t>
          </w:r>
          <w:r>
            <w:rPr>
              <w:rFonts w:hint="eastAsia"/>
              <w:lang w:val="en-US" w:eastAsia="zh-CN"/>
            </w:rPr>
            <w:t xml:space="preserve"> </w:t>
          </w:r>
          <w:r>
            <w:t>章省级以上财政部门规定的其他事项</w:t>
          </w:r>
          <w:r>
            <w:tab/>
          </w:r>
          <w:r>
            <w:fldChar w:fldCharType="begin"/>
          </w:r>
          <w:r>
            <w:instrText xml:space="preserve"> PAGEREF _Toc6359 \h </w:instrText>
          </w:r>
          <w:r>
            <w:fldChar w:fldCharType="separate"/>
          </w:r>
          <w:r>
            <w:t>77</w:t>
          </w:r>
          <w:r>
            <w:fldChar w:fldCharType="end"/>
          </w:r>
          <w:r>
            <w:rPr>
              <w:rFonts w:hint="eastAsia" w:ascii="宋体" w:hAnsi="宋体" w:eastAsia="宋体" w:cs="宋体"/>
              <w:color w:val="auto"/>
              <w:szCs w:val="24"/>
              <w:highlight w:val="none"/>
            </w:rPr>
            <w:fldChar w:fldCharType="end"/>
          </w:r>
        </w:p>
        <w:p w14:paraId="52974C36">
          <w:pPr>
            <w:pStyle w:val="11"/>
            <w:tabs>
              <w:tab w:val="right" w:leader="dot" w:pos="9750"/>
            </w:tabs>
            <w:spacing w:line="360" w:lineRule="auto"/>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_Toc15972 </w:instrText>
          </w:r>
          <w:r>
            <w:rPr>
              <w:rFonts w:hint="eastAsia" w:ascii="宋体" w:hAnsi="宋体" w:eastAsia="宋体" w:cs="宋体"/>
              <w:szCs w:val="24"/>
              <w:highlight w:val="none"/>
            </w:rPr>
            <w:fldChar w:fldCharType="separate"/>
          </w:r>
          <w:r>
            <w:rPr>
              <w:bCs/>
              <w:spacing w:val="6"/>
              <w:szCs w:val="31"/>
            </w:rPr>
            <w:t>第十七章</w:t>
          </w:r>
          <w:r>
            <w:rPr>
              <w:spacing w:val="6"/>
              <w:szCs w:val="31"/>
            </w:rPr>
            <w:t xml:space="preserve"> </w:t>
          </w:r>
          <w:r>
            <w:rPr>
              <w:bCs/>
              <w:spacing w:val="6"/>
              <w:szCs w:val="31"/>
            </w:rPr>
            <w:t>投标文件格式</w:t>
          </w:r>
          <w:r>
            <w:tab/>
          </w:r>
          <w:r>
            <w:fldChar w:fldCharType="begin"/>
          </w:r>
          <w:r>
            <w:instrText xml:space="preserve"> PAGEREF _Toc15972 \h </w:instrText>
          </w:r>
          <w:r>
            <w:fldChar w:fldCharType="separate"/>
          </w:r>
          <w:r>
            <w:t>78</w:t>
          </w:r>
          <w:r>
            <w:fldChar w:fldCharType="end"/>
          </w:r>
          <w:r>
            <w:rPr>
              <w:rFonts w:hint="eastAsia" w:ascii="宋体" w:hAnsi="宋体" w:eastAsia="宋体" w:cs="宋体"/>
              <w:color w:val="auto"/>
              <w:szCs w:val="24"/>
              <w:highlight w:val="none"/>
            </w:rPr>
            <w:fldChar w:fldCharType="end"/>
          </w:r>
        </w:p>
        <w:p w14:paraId="4A90540A">
          <w:pPr>
            <w:pStyle w:val="11"/>
            <w:tabs>
              <w:tab w:val="right" w:leader="dot" w:pos="9750"/>
            </w:tabs>
            <w:spacing w:line="360" w:lineRule="auto"/>
          </w:pPr>
        </w:p>
        <w:p w14:paraId="1094EFE2">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fldChar w:fldCharType="end"/>
          </w:r>
        </w:p>
      </w:sdtContent>
    </w:sdt>
    <w:p w14:paraId="648824BC">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4"/>
          <w:highlight w:val="none"/>
          <w:lang w:val="en-US" w:eastAsia="zh-CN" w:bidi="ar-SA"/>
        </w:rPr>
      </w:pPr>
    </w:p>
    <w:p w14:paraId="097D80AA">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14:paraId="788DA20E">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p>
    <w:p w14:paraId="1D9AFA95">
      <w:pPr>
        <w:spacing w:line="360" w:lineRule="auto"/>
        <w:jc w:val="left"/>
        <w:rPr>
          <w:rFonts w:ascii="宋体" w:hAnsi="宋体" w:cs="宋体"/>
          <w:color w:val="auto"/>
          <w:sz w:val="24"/>
          <w:szCs w:val="24"/>
          <w:highlight w:val="none"/>
        </w:rPr>
      </w:pPr>
    </w:p>
    <w:p w14:paraId="7C667E2B">
      <w:pPr>
        <w:pStyle w:val="3"/>
        <w:spacing w:after="240" w:line="360" w:lineRule="auto"/>
        <w:outlineLvl w:val="9"/>
        <w:rPr>
          <w:rFonts w:ascii="宋体" w:hAnsi="宋体" w:cs="宋体"/>
          <w:b w:val="0"/>
          <w:bCs w:val="0"/>
          <w:color w:val="auto"/>
          <w:sz w:val="24"/>
          <w:szCs w:val="24"/>
          <w:highlight w:val="none"/>
        </w:rPr>
        <w:sectPr>
          <w:footerReference r:id="rId4" w:type="default"/>
          <w:pgSz w:w="11910" w:h="16840"/>
          <w:pgMar w:top="1440" w:right="1080" w:bottom="1440" w:left="1080" w:header="919" w:footer="927" w:gutter="0"/>
          <w:pgBorders>
            <w:top w:val="none" w:sz="0" w:space="0"/>
            <w:left w:val="none" w:sz="0" w:space="0"/>
            <w:bottom w:val="none" w:sz="0" w:space="0"/>
            <w:right w:val="none" w:sz="0" w:space="0"/>
          </w:pgBorders>
          <w:pgNumType w:fmt="decimal" w:start="1"/>
          <w:cols w:space="720" w:num="1"/>
        </w:sectPr>
      </w:pPr>
      <w:bookmarkStart w:id="0" w:name="_Toc1152"/>
    </w:p>
    <w:p w14:paraId="0D31BE72">
      <w:pPr>
        <w:pStyle w:val="3"/>
        <w:spacing w:after="240" w:line="360" w:lineRule="auto"/>
        <w:jc w:val="center"/>
        <w:rPr>
          <w:rFonts w:hint="eastAsia" w:ascii="宋体" w:hAnsi="宋体" w:eastAsia="宋体" w:cs="宋体"/>
          <w:b w:val="0"/>
          <w:bCs w:val="0"/>
          <w:color w:val="auto"/>
          <w:sz w:val="36"/>
          <w:szCs w:val="36"/>
          <w:highlight w:val="none"/>
          <w:lang w:eastAsia="zh-CN"/>
        </w:rPr>
      </w:pPr>
      <w:bookmarkStart w:id="1" w:name="_Toc2080"/>
      <w:r>
        <w:rPr>
          <w:rFonts w:hint="eastAsia" w:ascii="宋体" w:hAnsi="宋体" w:cs="宋体"/>
          <w:b w:val="0"/>
          <w:bCs w:val="0"/>
          <w:color w:val="auto"/>
          <w:sz w:val="36"/>
          <w:szCs w:val="36"/>
          <w:highlight w:val="none"/>
        </w:rPr>
        <w:t xml:space="preserve">第一章  </w:t>
      </w:r>
      <w:bookmarkEnd w:id="0"/>
      <w:r>
        <w:rPr>
          <w:rFonts w:hint="eastAsia" w:ascii="宋体" w:hAnsi="宋体" w:cs="宋体"/>
          <w:b w:val="0"/>
          <w:bCs w:val="0"/>
          <w:color w:val="auto"/>
          <w:sz w:val="36"/>
          <w:szCs w:val="36"/>
          <w:highlight w:val="none"/>
          <w:lang w:eastAsia="zh-CN"/>
        </w:rPr>
        <w:t>招标公告</w:t>
      </w:r>
      <w:bookmarkEnd w:id="1"/>
    </w:p>
    <w:p w14:paraId="187684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14:paraId="104754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六盘水市第三人民医院两个重点专科建设所需设备采购项目（二次）</w:t>
      </w:r>
      <w:r>
        <w:rPr>
          <w:rFonts w:hint="eastAsia" w:ascii="宋体" w:hAnsi="宋体" w:eastAsia="宋体" w:cs="宋体"/>
          <w:sz w:val="24"/>
          <w:szCs w:val="24"/>
          <w:highlight w:val="none"/>
        </w:rPr>
        <w:t>的潜在投标人应在全国公共资源交易平台(贵州省·六盘水市)获取招标文件，并于</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 09:30:00（北京时间）前递交投标文件。</w:t>
      </w:r>
    </w:p>
    <w:p w14:paraId="021F81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一、项目基本信息</w:t>
      </w:r>
    </w:p>
    <w:p w14:paraId="7BA817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六盘水市第三人民医院两个重点专科建设所需设备采购项目（二次）</w:t>
      </w:r>
    </w:p>
    <w:p w14:paraId="6AA8B8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采购项目</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GZJZ-LPS-CY-2025-00</w:t>
      </w:r>
      <w:r>
        <w:rPr>
          <w:rFonts w:hint="eastAsia" w:ascii="宋体" w:hAnsi="宋体" w:cs="宋体"/>
          <w:sz w:val="24"/>
          <w:szCs w:val="24"/>
          <w:highlight w:val="none"/>
          <w:lang w:val="en-US" w:eastAsia="zh-CN"/>
        </w:rPr>
        <w:t>6</w:t>
      </w:r>
    </w:p>
    <w:p w14:paraId="7C68EA7E">
      <w:pPr>
        <w:pStyle w:val="1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sz w:val="24"/>
          <w:szCs w:val="24"/>
          <w:highlight w:val="none"/>
        </w:rPr>
        <w:t>采购主要内容：</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8"/>
        <w:gridCol w:w="5168"/>
        <w:gridCol w:w="1009"/>
        <w:gridCol w:w="1009"/>
        <w:gridCol w:w="1766"/>
      </w:tblGrid>
      <w:tr w14:paraId="7F2D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06" w:type="pct"/>
            <w:shd w:val="clear" w:color="auto" w:fill="auto"/>
            <w:vAlign w:val="center"/>
          </w:tcPr>
          <w:p w14:paraId="09EF12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序号</w:t>
            </w:r>
          </w:p>
        </w:tc>
        <w:tc>
          <w:tcPr>
            <w:tcW w:w="2593" w:type="pct"/>
            <w:shd w:val="clear" w:color="auto" w:fill="auto"/>
            <w:vAlign w:val="center"/>
          </w:tcPr>
          <w:p w14:paraId="4002F2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设备名称</w:t>
            </w:r>
          </w:p>
        </w:tc>
        <w:tc>
          <w:tcPr>
            <w:tcW w:w="506" w:type="pct"/>
            <w:shd w:val="clear" w:color="auto" w:fill="auto"/>
            <w:vAlign w:val="center"/>
          </w:tcPr>
          <w:p w14:paraId="0F3A2A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数量</w:t>
            </w:r>
          </w:p>
        </w:tc>
        <w:tc>
          <w:tcPr>
            <w:tcW w:w="506" w:type="pct"/>
            <w:shd w:val="clear" w:color="auto" w:fill="auto"/>
            <w:vAlign w:val="center"/>
          </w:tcPr>
          <w:p w14:paraId="1F6DB0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单位</w:t>
            </w:r>
          </w:p>
        </w:tc>
        <w:tc>
          <w:tcPr>
            <w:tcW w:w="886" w:type="pct"/>
            <w:shd w:val="clear" w:color="auto" w:fill="auto"/>
            <w:vAlign w:val="center"/>
          </w:tcPr>
          <w:p w14:paraId="624AB5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tc>
      </w:tr>
      <w:tr w14:paraId="7C25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59F7A7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2593" w:type="pct"/>
            <w:shd w:val="clear" w:color="auto" w:fill="auto"/>
            <w:vAlign w:val="center"/>
          </w:tcPr>
          <w:p w14:paraId="676043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全自动分枝杆菌液体培养仪</w:t>
            </w:r>
          </w:p>
        </w:tc>
        <w:tc>
          <w:tcPr>
            <w:tcW w:w="506" w:type="pct"/>
            <w:shd w:val="clear" w:color="auto" w:fill="auto"/>
            <w:vAlign w:val="center"/>
          </w:tcPr>
          <w:p w14:paraId="700C80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506" w:type="pct"/>
            <w:shd w:val="clear" w:color="auto" w:fill="auto"/>
            <w:vAlign w:val="center"/>
          </w:tcPr>
          <w:p w14:paraId="63BC7B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台</w:t>
            </w:r>
          </w:p>
        </w:tc>
        <w:tc>
          <w:tcPr>
            <w:tcW w:w="886" w:type="pct"/>
            <w:shd w:val="clear" w:color="auto" w:fill="auto"/>
            <w:vAlign w:val="center"/>
          </w:tcPr>
          <w:p w14:paraId="0908DD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highlight w:val="none"/>
                <w:lang w:val="en-US" w:eastAsia="zh-CN"/>
              </w:rPr>
            </w:pPr>
          </w:p>
        </w:tc>
      </w:tr>
      <w:tr w14:paraId="27CA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4A054D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2593" w:type="pct"/>
            <w:shd w:val="clear" w:color="auto" w:fill="auto"/>
            <w:vAlign w:val="center"/>
          </w:tcPr>
          <w:p w14:paraId="37769A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全自动微生物鉴定及药敏系统</w:t>
            </w:r>
          </w:p>
        </w:tc>
        <w:tc>
          <w:tcPr>
            <w:tcW w:w="506" w:type="pct"/>
            <w:shd w:val="clear" w:color="auto" w:fill="auto"/>
            <w:vAlign w:val="center"/>
          </w:tcPr>
          <w:p w14:paraId="12294E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506" w:type="pct"/>
            <w:shd w:val="clear" w:color="auto" w:fill="auto"/>
            <w:vAlign w:val="center"/>
          </w:tcPr>
          <w:p w14:paraId="133622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套</w:t>
            </w:r>
          </w:p>
        </w:tc>
        <w:tc>
          <w:tcPr>
            <w:tcW w:w="886" w:type="pct"/>
            <w:shd w:val="clear" w:color="auto" w:fill="auto"/>
            <w:vAlign w:val="center"/>
          </w:tcPr>
          <w:p w14:paraId="17AACE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进口产品</w:t>
            </w:r>
          </w:p>
        </w:tc>
      </w:tr>
      <w:tr w14:paraId="2884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0C6DC3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2593" w:type="pct"/>
            <w:shd w:val="clear" w:color="auto" w:fill="auto"/>
            <w:vAlign w:val="center"/>
          </w:tcPr>
          <w:p w14:paraId="371372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bookmarkStart w:id="2" w:name="OLE_LINK1"/>
            <w:r>
              <w:rPr>
                <w:rFonts w:hint="eastAsia" w:ascii="宋体" w:hAnsi="宋体" w:eastAsia="宋体" w:cs="宋体"/>
                <w:sz w:val="24"/>
                <w:szCs w:val="24"/>
                <w:highlight w:val="none"/>
                <w:lang w:val="en-US" w:eastAsia="zh-CN"/>
              </w:rPr>
              <w:t>全自动微生物血液培养系统</w:t>
            </w:r>
            <w:bookmarkEnd w:id="2"/>
          </w:p>
        </w:tc>
        <w:tc>
          <w:tcPr>
            <w:tcW w:w="506" w:type="pct"/>
            <w:shd w:val="clear" w:color="auto" w:fill="auto"/>
            <w:vAlign w:val="center"/>
          </w:tcPr>
          <w:p w14:paraId="581EB6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506" w:type="pct"/>
            <w:shd w:val="clear" w:color="auto" w:fill="auto"/>
            <w:vAlign w:val="center"/>
          </w:tcPr>
          <w:p w14:paraId="0B4AF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套</w:t>
            </w:r>
          </w:p>
        </w:tc>
        <w:tc>
          <w:tcPr>
            <w:tcW w:w="886" w:type="pct"/>
            <w:shd w:val="clear" w:color="auto" w:fill="auto"/>
            <w:vAlign w:val="center"/>
          </w:tcPr>
          <w:p w14:paraId="350C7E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highlight w:val="none"/>
                <w:lang w:val="en-US" w:eastAsia="zh-CN"/>
              </w:rPr>
            </w:pPr>
          </w:p>
        </w:tc>
      </w:tr>
      <w:tr w14:paraId="68AD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4DE386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2593" w:type="pct"/>
            <w:shd w:val="clear" w:color="auto" w:fill="auto"/>
            <w:vAlign w:val="center"/>
          </w:tcPr>
          <w:p w14:paraId="0176F2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电子支气管镜</w:t>
            </w:r>
          </w:p>
        </w:tc>
        <w:tc>
          <w:tcPr>
            <w:tcW w:w="506" w:type="pct"/>
            <w:shd w:val="clear" w:color="auto" w:fill="auto"/>
            <w:vAlign w:val="center"/>
          </w:tcPr>
          <w:p w14:paraId="7A41A3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506" w:type="pct"/>
            <w:shd w:val="clear" w:color="auto" w:fill="auto"/>
            <w:vAlign w:val="center"/>
          </w:tcPr>
          <w:p w14:paraId="0187F8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条</w:t>
            </w:r>
          </w:p>
        </w:tc>
        <w:tc>
          <w:tcPr>
            <w:tcW w:w="886" w:type="pct"/>
            <w:shd w:val="clear" w:color="auto" w:fill="auto"/>
            <w:vAlign w:val="center"/>
          </w:tcPr>
          <w:p w14:paraId="4150FC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进口产品</w:t>
            </w:r>
          </w:p>
        </w:tc>
      </w:tr>
      <w:tr w14:paraId="499B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323CF1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2593" w:type="pct"/>
            <w:shd w:val="clear" w:color="auto" w:fill="auto"/>
            <w:vAlign w:val="center"/>
          </w:tcPr>
          <w:p w14:paraId="782458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val="en-US" w:eastAsia="zh-CN"/>
              </w:rPr>
              <w:t>骨密度仪</w:t>
            </w:r>
          </w:p>
        </w:tc>
        <w:tc>
          <w:tcPr>
            <w:tcW w:w="506" w:type="pct"/>
            <w:shd w:val="clear" w:color="auto" w:fill="auto"/>
            <w:vAlign w:val="center"/>
          </w:tcPr>
          <w:p w14:paraId="564CF6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506" w:type="pct"/>
            <w:shd w:val="clear" w:color="auto" w:fill="auto"/>
            <w:vAlign w:val="center"/>
          </w:tcPr>
          <w:p w14:paraId="70599B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台</w:t>
            </w:r>
          </w:p>
        </w:tc>
        <w:tc>
          <w:tcPr>
            <w:tcW w:w="886" w:type="pct"/>
            <w:shd w:val="clear" w:color="auto" w:fill="auto"/>
            <w:vAlign w:val="center"/>
          </w:tcPr>
          <w:p w14:paraId="7569C6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color w:val="auto"/>
                <w:sz w:val="24"/>
                <w:szCs w:val="24"/>
                <w:lang w:val="en-US" w:eastAsia="zh-CN"/>
              </w:rPr>
              <w:t>核心产品</w:t>
            </w:r>
          </w:p>
        </w:tc>
      </w:tr>
      <w:tr w14:paraId="1013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0FBBAF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2593" w:type="pct"/>
            <w:shd w:val="clear" w:color="auto" w:fill="auto"/>
            <w:vAlign w:val="center"/>
          </w:tcPr>
          <w:p w14:paraId="628614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val="en-US" w:eastAsia="zh-CN"/>
              </w:rPr>
              <w:t>视频脑电图</w:t>
            </w:r>
          </w:p>
        </w:tc>
        <w:tc>
          <w:tcPr>
            <w:tcW w:w="506" w:type="pct"/>
            <w:shd w:val="clear" w:color="auto" w:fill="auto"/>
            <w:vAlign w:val="center"/>
          </w:tcPr>
          <w:p w14:paraId="4C3FB0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506" w:type="pct"/>
            <w:shd w:val="clear" w:color="auto" w:fill="auto"/>
            <w:vAlign w:val="center"/>
          </w:tcPr>
          <w:p w14:paraId="5BE4EF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台</w:t>
            </w:r>
          </w:p>
        </w:tc>
        <w:tc>
          <w:tcPr>
            <w:tcW w:w="886" w:type="pct"/>
            <w:shd w:val="clear" w:color="auto" w:fill="auto"/>
            <w:vAlign w:val="center"/>
          </w:tcPr>
          <w:p w14:paraId="294BBA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color w:val="auto"/>
                <w:sz w:val="24"/>
                <w:szCs w:val="24"/>
                <w:lang w:val="en-US" w:eastAsia="zh-CN"/>
              </w:rPr>
              <w:t>核心产品</w:t>
            </w:r>
          </w:p>
        </w:tc>
      </w:tr>
      <w:tr w14:paraId="254A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60DA6E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2593" w:type="pct"/>
            <w:shd w:val="clear" w:color="auto" w:fill="auto"/>
            <w:vAlign w:val="center"/>
          </w:tcPr>
          <w:p w14:paraId="447D35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医用事件相关电位仪</w:t>
            </w:r>
          </w:p>
        </w:tc>
        <w:tc>
          <w:tcPr>
            <w:tcW w:w="506" w:type="pct"/>
            <w:shd w:val="clear" w:color="auto" w:fill="auto"/>
            <w:vAlign w:val="center"/>
          </w:tcPr>
          <w:p w14:paraId="76D53E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506" w:type="pct"/>
            <w:shd w:val="clear" w:color="auto" w:fill="auto"/>
            <w:vAlign w:val="center"/>
          </w:tcPr>
          <w:p w14:paraId="22EB02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台</w:t>
            </w:r>
          </w:p>
        </w:tc>
        <w:tc>
          <w:tcPr>
            <w:tcW w:w="886" w:type="pct"/>
            <w:shd w:val="clear" w:color="auto" w:fill="auto"/>
            <w:vAlign w:val="center"/>
          </w:tcPr>
          <w:p w14:paraId="64296A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highlight w:val="none"/>
                <w:lang w:val="en-US" w:eastAsia="zh-CN"/>
              </w:rPr>
            </w:pPr>
          </w:p>
        </w:tc>
      </w:tr>
      <w:tr w14:paraId="1EE0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11BF43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2593" w:type="pct"/>
            <w:shd w:val="clear" w:color="auto" w:fill="auto"/>
            <w:vAlign w:val="center"/>
          </w:tcPr>
          <w:p w14:paraId="708B6B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val="en-US" w:eastAsia="zh-CN"/>
              </w:rPr>
              <w:t>心电图机</w:t>
            </w:r>
          </w:p>
        </w:tc>
        <w:tc>
          <w:tcPr>
            <w:tcW w:w="506" w:type="pct"/>
            <w:shd w:val="clear" w:color="auto" w:fill="auto"/>
            <w:vAlign w:val="center"/>
          </w:tcPr>
          <w:p w14:paraId="7D858A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506" w:type="pct"/>
            <w:shd w:val="clear" w:color="auto" w:fill="auto"/>
            <w:vAlign w:val="center"/>
          </w:tcPr>
          <w:p w14:paraId="4CB86A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台</w:t>
            </w:r>
          </w:p>
        </w:tc>
        <w:tc>
          <w:tcPr>
            <w:tcW w:w="886" w:type="pct"/>
            <w:shd w:val="clear" w:color="auto" w:fill="auto"/>
            <w:vAlign w:val="center"/>
          </w:tcPr>
          <w:p w14:paraId="3338C4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color w:val="auto"/>
                <w:sz w:val="24"/>
                <w:szCs w:val="24"/>
                <w:lang w:val="en-US" w:eastAsia="zh-CN"/>
              </w:rPr>
              <w:t>核心产品</w:t>
            </w:r>
          </w:p>
        </w:tc>
      </w:tr>
      <w:tr w14:paraId="7447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73FCB5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2593" w:type="pct"/>
            <w:shd w:val="clear" w:color="auto" w:fill="auto"/>
            <w:vAlign w:val="center"/>
          </w:tcPr>
          <w:p w14:paraId="4E7B41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动态心电图</w:t>
            </w:r>
          </w:p>
        </w:tc>
        <w:tc>
          <w:tcPr>
            <w:tcW w:w="506" w:type="pct"/>
            <w:shd w:val="clear" w:color="auto" w:fill="auto"/>
            <w:vAlign w:val="center"/>
          </w:tcPr>
          <w:p w14:paraId="1067BB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506" w:type="pct"/>
            <w:shd w:val="clear" w:color="auto" w:fill="auto"/>
            <w:vAlign w:val="center"/>
          </w:tcPr>
          <w:p w14:paraId="32E059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台</w:t>
            </w:r>
          </w:p>
        </w:tc>
        <w:tc>
          <w:tcPr>
            <w:tcW w:w="886" w:type="pct"/>
            <w:shd w:val="clear" w:color="auto" w:fill="auto"/>
            <w:vAlign w:val="center"/>
          </w:tcPr>
          <w:p w14:paraId="470BFF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highlight w:val="none"/>
                <w:lang w:val="en-US" w:eastAsia="zh-CN"/>
              </w:rPr>
            </w:pPr>
          </w:p>
        </w:tc>
      </w:tr>
      <w:tr w14:paraId="6B02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1164AB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p>
        </w:tc>
        <w:tc>
          <w:tcPr>
            <w:tcW w:w="2593" w:type="pct"/>
            <w:shd w:val="clear" w:color="auto" w:fill="auto"/>
            <w:vAlign w:val="center"/>
          </w:tcPr>
          <w:p w14:paraId="536339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磁场刺激仪</w:t>
            </w:r>
          </w:p>
        </w:tc>
        <w:tc>
          <w:tcPr>
            <w:tcW w:w="506" w:type="pct"/>
            <w:shd w:val="clear" w:color="auto" w:fill="auto"/>
            <w:vAlign w:val="center"/>
          </w:tcPr>
          <w:p w14:paraId="3C9DEB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506" w:type="pct"/>
            <w:shd w:val="clear" w:color="auto" w:fill="auto"/>
            <w:vAlign w:val="center"/>
          </w:tcPr>
          <w:p w14:paraId="3D3797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台</w:t>
            </w:r>
          </w:p>
        </w:tc>
        <w:tc>
          <w:tcPr>
            <w:tcW w:w="886" w:type="pct"/>
            <w:shd w:val="clear" w:color="auto" w:fill="auto"/>
            <w:vAlign w:val="center"/>
          </w:tcPr>
          <w:p w14:paraId="3377D6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highlight w:val="none"/>
                <w:lang w:val="en-US" w:eastAsia="zh-CN"/>
              </w:rPr>
            </w:pPr>
          </w:p>
        </w:tc>
      </w:tr>
      <w:tr w14:paraId="6C52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06" w:type="pct"/>
            <w:shd w:val="clear" w:color="auto" w:fill="auto"/>
            <w:vAlign w:val="center"/>
          </w:tcPr>
          <w:p w14:paraId="55EF7C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11</w:t>
            </w:r>
          </w:p>
        </w:tc>
        <w:tc>
          <w:tcPr>
            <w:tcW w:w="2593" w:type="pct"/>
            <w:shd w:val="clear" w:color="auto" w:fill="auto"/>
            <w:vAlign w:val="center"/>
          </w:tcPr>
          <w:p w14:paraId="535224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自然光照治疗系统</w:t>
            </w:r>
          </w:p>
        </w:tc>
        <w:tc>
          <w:tcPr>
            <w:tcW w:w="506" w:type="pct"/>
            <w:shd w:val="clear" w:color="auto" w:fill="auto"/>
            <w:vAlign w:val="center"/>
          </w:tcPr>
          <w:p w14:paraId="73F1A8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506" w:type="pct"/>
            <w:shd w:val="clear" w:color="auto" w:fill="auto"/>
            <w:vAlign w:val="center"/>
          </w:tcPr>
          <w:p w14:paraId="377E85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套</w:t>
            </w:r>
          </w:p>
        </w:tc>
        <w:tc>
          <w:tcPr>
            <w:tcW w:w="886" w:type="pct"/>
            <w:shd w:val="clear" w:color="auto" w:fill="auto"/>
            <w:vAlign w:val="center"/>
          </w:tcPr>
          <w:p w14:paraId="50456E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highlight w:val="none"/>
                <w:lang w:val="en-US" w:eastAsia="zh-CN"/>
              </w:rPr>
            </w:pPr>
          </w:p>
        </w:tc>
      </w:tr>
    </w:tbl>
    <w:p w14:paraId="7814520D">
      <w:pPr>
        <w:pStyle w:val="1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i w:val="0"/>
          <w:caps w:val="0"/>
          <w:color w:val="auto"/>
          <w:spacing w:val="0"/>
          <w:sz w:val="24"/>
          <w:szCs w:val="24"/>
          <w:highlight w:val="none"/>
          <w:shd w:val="clear" w:color="auto" w:fill="FFFFFF"/>
        </w:rPr>
      </w:pPr>
    </w:p>
    <w:p w14:paraId="3799B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14:paraId="71139F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采购数量：1</w:t>
      </w:r>
      <w:r>
        <w:rPr>
          <w:rFonts w:hint="eastAsia" w:ascii="宋体" w:hAnsi="宋体" w:cs="宋体"/>
          <w:sz w:val="24"/>
          <w:szCs w:val="24"/>
          <w:highlight w:val="none"/>
          <w:lang w:val="en-US" w:eastAsia="zh-CN"/>
        </w:rPr>
        <w:t>批</w:t>
      </w:r>
    </w:p>
    <w:p w14:paraId="559FB6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预算金额：</w:t>
      </w:r>
      <w:r>
        <w:rPr>
          <w:rFonts w:hint="eastAsia" w:ascii="宋体" w:hAnsi="宋体" w:cs="宋体"/>
          <w:sz w:val="24"/>
          <w:szCs w:val="24"/>
          <w:highlight w:val="none"/>
          <w:lang w:val="en-US" w:eastAsia="zh-CN"/>
        </w:rPr>
        <w:t>34</w:t>
      </w:r>
      <w:r>
        <w:rPr>
          <w:rFonts w:hint="eastAsia" w:ascii="宋体" w:hAnsi="宋体" w:eastAsia="宋体" w:cs="宋体"/>
          <w:sz w:val="24"/>
          <w:szCs w:val="24"/>
          <w:highlight w:val="none"/>
          <w:lang w:val="en-US" w:eastAsia="zh-CN"/>
        </w:rPr>
        <w:t>00000.00元</w:t>
      </w:r>
    </w:p>
    <w:p w14:paraId="30D5D4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最高限价：</w:t>
      </w:r>
      <w:r>
        <w:rPr>
          <w:rFonts w:hint="eastAsia" w:ascii="宋体" w:hAnsi="宋体" w:cs="宋体"/>
          <w:sz w:val="24"/>
          <w:szCs w:val="24"/>
          <w:highlight w:val="none"/>
          <w:lang w:val="en-US" w:eastAsia="zh-CN"/>
        </w:rPr>
        <w:t>34</w:t>
      </w:r>
      <w:r>
        <w:rPr>
          <w:rFonts w:hint="eastAsia" w:ascii="宋体" w:hAnsi="宋体" w:eastAsia="宋体" w:cs="宋体"/>
          <w:sz w:val="24"/>
          <w:szCs w:val="24"/>
          <w:highlight w:val="none"/>
          <w:lang w:val="en-US" w:eastAsia="zh-CN"/>
        </w:rPr>
        <w:t>00000.00元</w:t>
      </w:r>
    </w:p>
    <w:p w14:paraId="17DE3D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本项目（是/否）接受联合体投标：否</w:t>
      </w:r>
    </w:p>
    <w:p w14:paraId="64817A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二、申请人的资格要求</w:t>
      </w:r>
    </w:p>
    <w:p w14:paraId="504598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一般资格要求：</w:t>
      </w:r>
    </w:p>
    <w:p w14:paraId="254AF9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1.符合中华人民共和国政府采购法第二十二条之规定。</w:t>
      </w:r>
    </w:p>
    <w:p w14:paraId="27D98C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1.1具有独立承担民事责任的能力；</w:t>
      </w:r>
    </w:p>
    <w:p w14:paraId="71B7FB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1.2具有良好的商业信誉和健全的财务会计制度；</w:t>
      </w:r>
    </w:p>
    <w:p w14:paraId="08F3F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1.3具有履行合同所必需的设备和专业技术能力；</w:t>
      </w:r>
    </w:p>
    <w:p w14:paraId="5B804D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cs="宋体"/>
          <w:sz w:val="24"/>
          <w:szCs w:val="24"/>
          <w:highlight w:val="none"/>
          <w:lang w:eastAsia="zh-CN"/>
        </w:rPr>
        <w:t>具</w:t>
      </w:r>
      <w:r>
        <w:rPr>
          <w:rFonts w:hint="eastAsia" w:ascii="宋体" w:hAnsi="宋体" w:eastAsia="宋体" w:cs="宋体"/>
          <w:sz w:val="24"/>
          <w:szCs w:val="24"/>
          <w:highlight w:val="none"/>
        </w:rPr>
        <w:t>有依法缴纳税收和社会保障资金的良好记录；</w:t>
      </w:r>
    </w:p>
    <w:p w14:paraId="0B79F4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1.5参加政府采购活动前三年内，在经营活动中没有重大违法记录；</w:t>
      </w:r>
    </w:p>
    <w:p w14:paraId="7BC598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1.6法律、行政法规规定的其他条件。</w:t>
      </w:r>
    </w:p>
    <w:p w14:paraId="669E0D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.本项目</w:t>
      </w:r>
      <w:r>
        <w:rPr>
          <w:rFonts w:hint="eastAsia" w:ascii="宋体" w:hAnsi="宋体" w:eastAsia="宋体" w:cs="宋体"/>
          <w:sz w:val="24"/>
          <w:szCs w:val="24"/>
          <w:highlight w:val="none"/>
          <w:u w:val="single"/>
        </w:rPr>
        <w:t>不接受</w:t>
      </w:r>
      <w:r>
        <w:rPr>
          <w:rFonts w:hint="eastAsia" w:ascii="宋体" w:hAnsi="宋体" w:eastAsia="宋体" w:cs="宋体"/>
          <w:sz w:val="24"/>
          <w:szCs w:val="24"/>
          <w:highlight w:val="none"/>
        </w:rPr>
        <w:t>联合体投标</w:t>
      </w:r>
    </w:p>
    <w:p w14:paraId="24C58A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特殊资格要求：</w:t>
      </w:r>
      <w:r>
        <w:rPr>
          <w:rFonts w:hint="eastAsia" w:ascii="宋体" w:hAnsi="宋体" w:cs="宋体"/>
          <w:sz w:val="24"/>
          <w:szCs w:val="24"/>
          <w:highlight w:val="none"/>
          <w:lang w:val="en-US" w:eastAsia="zh-CN"/>
        </w:rPr>
        <w:t>投标人若为生产厂家的需提供《医疗器械生产许可证》，投标人若为代理商的须提供有效的《医疗器械经营许可证》或医疗器械经营许可备案证明材料</w:t>
      </w:r>
      <w:r>
        <w:rPr>
          <w:rFonts w:hint="eastAsia" w:ascii="宋体" w:hAnsi="宋体" w:eastAsia="宋体" w:cs="宋体"/>
          <w:sz w:val="24"/>
          <w:szCs w:val="24"/>
          <w:highlight w:val="none"/>
          <w:lang w:eastAsia="zh-CN"/>
        </w:rPr>
        <w:t>。</w:t>
      </w:r>
    </w:p>
    <w:p w14:paraId="604923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三、获取招标文件</w:t>
      </w:r>
    </w:p>
    <w:p w14:paraId="5A4F71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日17时00分至202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日23时59分</w:t>
      </w:r>
    </w:p>
    <w:p w14:paraId="16140E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地点：全国公共资源交易平台(贵州省·六盘水市)网上获取</w:t>
      </w:r>
    </w:p>
    <w:p w14:paraId="4865ECD8">
      <w:pPr>
        <w:keepNext w:val="0"/>
        <w:keepLines w:val="0"/>
        <w:pageBreakBefore w:val="0"/>
        <w:widowControl/>
        <w:kinsoku/>
        <w:wordWrap/>
        <w:overflowPunct/>
        <w:topLinePunct w:val="0"/>
        <w:autoSpaceDE/>
        <w:autoSpaceDN/>
        <w:bidi w:val="0"/>
        <w:spacing w:line="360" w:lineRule="auto"/>
        <w:textAlignment w:val="auto"/>
        <w:rPr>
          <w:rFonts w:hint="eastAsia" w:ascii="宋体" w:hAnsi="宋体" w:cs="宋体"/>
          <w:color w:val="000000" w:themeColor="text1"/>
          <w:sz w:val="24"/>
          <w:szCs w:val="24"/>
          <w:highlight w:val="none"/>
          <w:shd w:val="clear"/>
          <w14:textFill>
            <w14:solidFill>
              <w14:schemeClr w14:val="tx1"/>
            </w14:solidFill>
          </w14:textFill>
        </w:rPr>
      </w:pPr>
      <w:r>
        <w:rPr>
          <w:rFonts w:hint="eastAsia" w:ascii="宋体" w:hAnsi="宋体" w:eastAsia="宋体" w:cs="宋体"/>
          <w:sz w:val="24"/>
          <w:szCs w:val="24"/>
          <w:highlight w:val="none"/>
        </w:rPr>
        <w:t>方式</w:t>
      </w:r>
      <w:r>
        <w:rPr>
          <w:rFonts w:hint="eastAsia" w:ascii="宋体" w:hAnsi="宋体" w:eastAsia="宋体" w:cs="宋体"/>
          <w:sz w:val="24"/>
          <w:szCs w:val="24"/>
          <w:highlight w:val="none"/>
          <w:shd w:val="clear"/>
        </w:rPr>
        <w:t>：</w:t>
      </w:r>
      <w:r>
        <w:rPr>
          <w:rFonts w:hint="eastAsia" w:ascii="宋体" w:hAnsi="宋体" w:eastAsia="宋体" w:cs="宋体"/>
          <w:sz w:val="24"/>
          <w:szCs w:val="24"/>
          <w:highlight w:val="none"/>
        </w:rPr>
        <w:t>潜在</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持CA证书登录六盘水市公共资源交易平台（http://58.42.212.28:8088/ggzy/），下载EGP格式</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，未按规定下载</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的，其</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将被拒绝。在贵州省公共资源交易统一注册平台成功注册企业诚信库并绑定CA证书的，仍登录不上六盘水市公共资源交易平台，请联系CA证书办理机构将企业信息及CA证书信息下发至六盘水市公共资源交易中心。成功登录六盘水市公共资源交易平台后，在左侧菜单‘系统功能’‘组件下载’下载</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企业操作手册及最新版本的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制作工具，根据操作手册进行参与</w:t>
      </w:r>
      <w:r>
        <w:rPr>
          <w:rFonts w:hint="eastAsia" w:ascii="宋体" w:hAnsi="宋体" w:eastAsia="宋体" w:cs="宋体"/>
          <w:sz w:val="24"/>
          <w:szCs w:val="24"/>
          <w:highlight w:val="none"/>
          <w:lang w:eastAsia="zh-CN"/>
        </w:rPr>
        <w:t>开标</w:t>
      </w:r>
      <w:r>
        <w:rPr>
          <w:rFonts w:hint="eastAsia" w:ascii="宋体" w:hAnsi="宋体" w:eastAsia="宋体" w:cs="宋体"/>
          <w:sz w:val="24"/>
          <w:szCs w:val="24"/>
          <w:highlight w:val="none"/>
        </w:rPr>
        <w:t>活动。</w:t>
      </w:r>
    </w:p>
    <w:p w14:paraId="50E57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售价：0元</w:t>
      </w:r>
    </w:p>
    <w:p w14:paraId="7D26B5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四、提交</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eastAsia="zh-CN"/>
        </w:rPr>
        <w:t>开标</w:t>
      </w:r>
      <w:r>
        <w:rPr>
          <w:rFonts w:hint="eastAsia" w:ascii="宋体" w:hAnsi="宋体" w:eastAsia="宋体" w:cs="宋体"/>
          <w:sz w:val="24"/>
          <w:szCs w:val="24"/>
          <w:highlight w:val="none"/>
        </w:rPr>
        <w:t>时间和地点</w:t>
      </w:r>
    </w:p>
    <w:p w14:paraId="2C799A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提交</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 09:30（北京时间）</w:t>
      </w:r>
    </w:p>
    <w:p w14:paraId="797FB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开标</w:t>
      </w: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 09:30（北京时间）</w:t>
      </w:r>
    </w:p>
    <w:p w14:paraId="6C43D41E">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开标</w:t>
      </w:r>
      <w:r>
        <w:rPr>
          <w:rFonts w:hint="eastAsia" w:ascii="宋体" w:hAnsi="宋体" w:eastAsia="宋体" w:cs="宋体"/>
          <w:sz w:val="24"/>
          <w:szCs w:val="24"/>
          <w:highlight w:val="none"/>
        </w:rPr>
        <w:t>地点：</w:t>
      </w:r>
      <w:r>
        <w:rPr>
          <w:rFonts w:hint="eastAsia" w:ascii="宋体" w:hAnsi="宋体" w:cs="宋体"/>
          <w:sz w:val="24"/>
          <w:szCs w:val="24"/>
          <w:highlight w:val="none"/>
          <w:lang w:eastAsia="zh-CN"/>
        </w:rPr>
        <w:t>投标人</w:t>
      </w:r>
      <w:r>
        <w:rPr>
          <w:rFonts w:hint="eastAsia" w:ascii="宋体" w:hAnsi="宋体" w:cs="宋体"/>
          <w:sz w:val="24"/>
          <w:szCs w:val="24"/>
          <w:highlight w:val="none"/>
        </w:rPr>
        <w:t>需在加密电子</w:t>
      </w:r>
      <w:r>
        <w:rPr>
          <w:rFonts w:hint="eastAsia" w:ascii="宋体" w:hAnsi="宋体" w:cs="宋体"/>
          <w:sz w:val="24"/>
          <w:szCs w:val="24"/>
          <w:highlight w:val="none"/>
          <w:lang w:eastAsia="zh-CN"/>
        </w:rPr>
        <w:t>投标文件</w:t>
      </w:r>
      <w:r>
        <w:rPr>
          <w:rFonts w:hint="eastAsia" w:ascii="宋体" w:hAnsi="宋体" w:cs="宋体"/>
          <w:sz w:val="24"/>
          <w:szCs w:val="24"/>
          <w:highlight w:val="none"/>
        </w:rPr>
        <w:t>上传</w:t>
      </w:r>
      <w:r>
        <w:rPr>
          <w:rFonts w:hint="eastAsia" w:ascii="宋体" w:hAnsi="宋体" w:cs="宋体"/>
          <w:sz w:val="24"/>
          <w:szCs w:val="24"/>
          <w:highlight w:val="none"/>
          <w:lang w:eastAsia="zh-CN"/>
        </w:rPr>
        <w:t>截止时间</w:t>
      </w:r>
      <w:r>
        <w:rPr>
          <w:rFonts w:hint="eastAsia" w:ascii="宋体" w:hAnsi="宋体" w:cs="宋体"/>
          <w:sz w:val="24"/>
          <w:szCs w:val="24"/>
          <w:highlight w:val="none"/>
        </w:rPr>
        <w:t>前使用《贵州六盘水市公共资源交易平台</w:t>
      </w:r>
      <w:r>
        <w:rPr>
          <w:rFonts w:hint="eastAsia" w:ascii="宋体" w:hAnsi="宋体" w:cs="宋体"/>
          <w:sz w:val="24"/>
          <w:szCs w:val="24"/>
          <w:highlight w:val="none"/>
          <w:lang w:eastAsia="zh-CN"/>
        </w:rPr>
        <w:t>投标文件</w:t>
      </w:r>
      <w:r>
        <w:rPr>
          <w:rFonts w:hint="eastAsia" w:ascii="宋体" w:hAnsi="宋体" w:cs="宋体"/>
          <w:sz w:val="24"/>
          <w:szCs w:val="24"/>
          <w:highlight w:val="none"/>
        </w:rPr>
        <w:t>制作工具》制作加密电子</w:t>
      </w:r>
      <w:r>
        <w:rPr>
          <w:rFonts w:hint="eastAsia" w:ascii="宋体" w:hAnsi="宋体" w:cs="宋体"/>
          <w:sz w:val="24"/>
          <w:szCs w:val="24"/>
          <w:highlight w:val="none"/>
          <w:lang w:eastAsia="zh-CN"/>
        </w:rPr>
        <w:t>投标文件</w:t>
      </w:r>
      <w:r>
        <w:rPr>
          <w:rFonts w:hint="eastAsia" w:ascii="宋体" w:hAnsi="宋体" w:cs="宋体"/>
          <w:sz w:val="24"/>
          <w:szCs w:val="24"/>
          <w:highlight w:val="none"/>
        </w:rPr>
        <w:t>上传至六盘水市公共资源交易平台(http://58.42.212.28:8088/ggzy/），</w:t>
      </w:r>
      <w:r>
        <w:rPr>
          <w:rFonts w:hint="eastAsia" w:ascii="宋体" w:hAnsi="宋体" w:cs="宋体"/>
          <w:sz w:val="24"/>
          <w:szCs w:val="24"/>
          <w:highlight w:val="none"/>
          <w:lang w:eastAsia="zh-CN"/>
        </w:rPr>
        <w:t>投标文件</w:t>
      </w:r>
      <w:r>
        <w:rPr>
          <w:rFonts w:hint="eastAsia" w:ascii="宋体" w:hAnsi="宋体" w:cs="宋体"/>
          <w:sz w:val="24"/>
          <w:szCs w:val="24"/>
          <w:highlight w:val="none"/>
        </w:rPr>
        <w:t>以加密电子文件上传至六盘水市公共资源交易平台为准。逾期递交的电子</w:t>
      </w:r>
      <w:r>
        <w:rPr>
          <w:rFonts w:hint="eastAsia" w:ascii="宋体" w:hAnsi="宋体" w:cs="宋体"/>
          <w:sz w:val="24"/>
          <w:szCs w:val="24"/>
          <w:highlight w:val="none"/>
          <w:lang w:eastAsia="zh-CN"/>
        </w:rPr>
        <w:t>投标文件</w:t>
      </w:r>
      <w:r>
        <w:rPr>
          <w:rFonts w:hint="eastAsia" w:ascii="宋体" w:hAnsi="宋体" w:cs="宋体"/>
          <w:sz w:val="24"/>
          <w:szCs w:val="24"/>
          <w:highlight w:val="none"/>
        </w:rPr>
        <w:t>概不接受。</w:t>
      </w:r>
    </w:p>
    <w:p w14:paraId="79207C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五、公告期限</w:t>
      </w:r>
    </w:p>
    <w:p w14:paraId="708652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自本公告发布之日起5个工作日 </w:t>
      </w:r>
    </w:p>
    <w:p w14:paraId="55736F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、其他补充事宜</w:t>
      </w:r>
    </w:p>
    <w:p w14:paraId="1F949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本项目是否专门面向中小企业采购：</w:t>
      </w:r>
      <w:r>
        <w:rPr>
          <w:rFonts w:hint="eastAsia" w:ascii="宋体" w:hAnsi="宋体" w:cs="宋体"/>
          <w:sz w:val="24"/>
          <w:szCs w:val="24"/>
          <w:highlight w:val="none"/>
          <w:lang w:eastAsia="zh-CN"/>
        </w:rPr>
        <w:t>否</w:t>
      </w:r>
    </w:p>
    <w:p w14:paraId="583713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保证金额（元）：</w:t>
      </w:r>
      <w:r>
        <w:rPr>
          <w:rFonts w:hint="eastAsia" w:ascii="宋体" w:hAnsi="宋体" w:eastAsia="宋体" w:cs="宋体"/>
          <w:sz w:val="24"/>
          <w:szCs w:val="24"/>
          <w:highlight w:val="none"/>
          <w:lang w:val="en-US" w:eastAsia="zh-CN"/>
        </w:rPr>
        <w:t>30000</w:t>
      </w:r>
      <w:r>
        <w:rPr>
          <w:rFonts w:hint="eastAsia" w:ascii="宋体" w:hAnsi="宋体" w:eastAsia="宋体" w:cs="宋体"/>
          <w:sz w:val="24"/>
          <w:szCs w:val="24"/>
          <w:highlight w:val="none"/>
        </w:rPr>
        <w:t>.00元</w:t>
      </w:r>
    </w:p>
    <w:p w14:paraId="7EEA58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保证金交纳截止时间：</w:t>
      </w:r>
      <w:r>
        <w:rPr>
          <w:rFonts w:hint="eastAsia" w:ascii="宋体" w:hAnsi="宋体" w:eastAsia="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 xml:space="preserve">日09时30分 </w:t>
      </w:r>
    </w:p>
    <w:p w14:paraId="6289A5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保证金交纳方式：银行转账、银行保函、保证保险 （采用担保函、电子保函的按如下要求递交：①</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可在六盘水市公共资源交易系统在线申请开具电子保函。②电子保函开具成功方可参与</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开</w:t>
      </w:r>
      <w:r>
        <w:rPr>
          <w:rFonts w:hint="eastAsia" w:ascii="宋体" w:hAnsi="宋体" w:eastAsia="宋体" w:cs="宋体"/>
          <w:sz w:val="24"/>
          <w:szCs w:val="24"/>
          <w:highlight w:val="none"/>
          <w:lang w:eastAsia="zh-CN"/>
        </w:rPr>
        <w:t>标</w:t>
      </w:r>
      <w:r>
        <w:rPr>
          <w:rFonts w:hint="eastAsia" w:ascii="宋体" w:hAnsi="宋体" w:eastAsia="宋体" w:cs="宋体"/>
          <w:sz w:val="24"/>
          <w:szCs w:val="24"/>
          <w:highlight w:val="none"/>
        </w:rPr>
        <w:t>前以六盘水市公共资源交易系统电子保函查询结果为准。③</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报名成功后必须在交易系统中选择为电子保函方式交纳。④</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在金融服务平台可自行选择相应的金融机构开具担保函或银行保函。⑤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可在中心网站通知公告版块查询（《投标保证金担保函操作手册》)</w:t>
      </w:r>
    </w:p>
    <w:p w14:paraId="5FD0BE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单位名称:六盘水市公共资源交易中心</w:t>
      </w:r>
    </w:p>
    <w:p w14:paraId="441F60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 贵州银行六盘水凉都支行</w:t>
      </w:r>
    </w:p>
    <w:p w14:paraId="3CB342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 号: 0802001200000507</w:t>
      </w:r>
    </w:p>
    <w:p w14:paraId="6FA368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自行在40分钟内远程解密</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文件，超过时限的按无效</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处理；解密完成后，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在不见面</w:t>
      </w:r>
      <w:r>
        <w:rPr>
          <w:rFonts w:hint="eastAsia" w:ascii="宋体" w:hAnsi="宋体" w:eastAsia="宋体" w:cs="宋体"/>
          <w:sz w:val="24"/>
          <w:szCs w:val="24"/>
          <w:highlight w:val="none"/>
          <w:lang w:eastAsia="zh-CN"/>
        </w:rPr>
        <w:t>开标</w:t>
      </w:r>
      <w:r>
        <w:rPr>
          <w:rFonts w:hint="eastAsia" w:ascii="宋体" w:hAnsi="宋体" w:eastAsia="宋体" w:cs="宋体"/>
          <w:sz w:val="24"/>
          <w:szCs w:val="24"/>
          <w:highlight w:val="none"/>
        </w:rPr>
        <w:t>大厅文字互动里面回复“已确认”，若未提出异议的，视为无异议。如</w:t>
      </w:r>
      <w:r>
        <w:rPr>
          <w:rFonts w:hint="eastAsia" w:ascii="宋体" w:hAnsi="宋体" w:eastAsia="宋体" w:cs="宋体"/>
          <w:sz w:val="24"/>
          <w:szCs w:val="24"/>
          <w:highlight w:val="none"/>
          <w:lang w:eastAsia="zh-CN"/>
        </w:rPr>
        <w:t>开标</w:t>
      </w:r>
      <w:r>
        <w:rPr>
          <w:rFonts w:hint="eastAsia" w:ascii="宋体" w:hAnsi="宋体" w:eastAsia="宋体" w:cs="宋体"/>
          <w:sz w:val="24"/>
          <w:szCs w:val="24"/>
          <w:highlight w:val="none"/>
        </w:rPr>
        <w:t>过程中存在问题，请及时联系代理机构。</w:t>
      </w:r>
    </w:p>
    <w:p w14:paraId="1D7C4A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请及时查看CA证书有效期，若临到期，请在</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下载前办理续期，避免出现因续期问题导致CA证书key值变化而无法参与</w:t>
      </w:r>
      <w:r>
        <w:rPr>
          <w:rFonts w:hint="eastAsia" w:ascii="宋体" w:hAnsi="宋体" w:eastAsia="宋体" w:cs="宋体"/>
          <w:sz w:val="24"/>
          <w:szCs w:val="24"/>
          <w:highlight w:val="none"/>
          <w:lang w:eastAsia="zh-CN"/>
        </w:rPr>
        <w:t>投标。</w:t>
      </w:r>
    </w:p>
    <w:p w14:paraId="301F3A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公告媒体：全国公共资源交易平台(贵州省·六盘水市)、贵州</w:t>
      </w:r>
      <w:r>
        <w:rPr>
          <w:rFonts w:hint="eastAsia" w:ascii="宋体" w:hAnsi="宋体" w:cs="宋体"/>
          <w:sz w:val="24"/>
          <w:szCs w:val="24"/>
          <w:highlight w:val="none"/>
          <w:lang w:eastAsia="zh-CN"/>
        </w:rPr>
        <w:t>政府采购网</w:t>
      </w:r>
    </w:p>
    <w:p w14:paraId="471293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交易系统技术支持QQ群：659313445 群名称：六盘水市公共资源交易系统（2022版）  交易系统技术支持联系电话：0858-6708767。</w:t>
      </w:r>
    </w:p>
    <w:p w14:paraId="225F75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其他事项（如样品提交、现场踏勘等）：详见本项目招标文件</w:t>
      </w:r>
    </w:p>
    <w:p w14:paraId="0AE561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七、对本次招标提出询问，请按以下方式联系</w:t>
      </w:r>
    </w:p>
    <w:p w14:paraId="13575F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采购人信息</w:t>
      </w:r>
    </w:p>
    <w:p w14:paraId="770B34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六盘水市第三人民医院</w:t>
      </w:r>
    </w:p>
    <w:p w14:paraId="0D8EF9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cs="宋体"/>
          <w:sz w:val="24"/>
          <w:szCs w:val="24"/>
          <w:highlight w:val="none"/>
          <w:lang w:eastAsia="zh-CN"/>
        </w:rPr>
        <w:t>刘主任</w:t>
      </w:r>
    </w:p>
    <w:p w14:paraId="369CB9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址：六盘水市钟山区南环西路188 号　</w:t>
      </w:r>
    </w:p>
    <w:p w14:paraId="00AE0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cs="宋体"/>
          <w:sz w:val="24"/>
          <w:szCs w:val="24"/>
          <w:highlight w:val="none"/>
          <w:lang w:val="en-US" w:eastAsia="zh-CN"/>
        </w:rPr>
        <w:t>13329684398</w:t>
      </w:r>
    </w:p>
    <w:p w14:paraId="2A5ECF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代理机构信息</w:t>
      </w:r>
    </w:p>
    <w:p w14:paraId="68BBD9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代理全称：</w:t>
      </w:r>
      <w:r>
        <w:rPr>
          <w:rFonts w:hint="eastAsia" w:ascii="宋体" w:hAnsi="宋体" w:eastAsia="宋体" w:cs="宋体"/>
          <w:sz w:val="24"/>
          <w:szCs w:val="24"/>
          <w:highlight w:val="none"/>
          <w:lang w:eastAsia="zh-CN"/>
        </w:rPr>
        <w:t>贵州晋泽信息咨询有限公司</w:t>
      </w:r>
    </w:p>
    <w:p w14:paraId="1A086A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曹工</w:t>
      </w:r>
    </w:p>
    <w:p w14:paraId="211993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贵州省六盘水市钟山区凉都明珠</w:t>
      </w:r>
      <w:r>
        <w:rPr>
          <w:rFonts w:hint="eastAsia" w:ascii="宋体" w:hAnsi="宋体" w:eastAsia="宋体" w:cs="宋体"/>
          <w:sz w:val="24"/>
          <w:szCs w:val="24"/>
          <w:highlight w:val="none"/>
          <w:lang w:val="en-US" w:eastAsia="zh-CN"/>
        </w:rPr>
        <w:t>1栋708</w:t>
      </w:r>
    </w:p>
    <w:p w14:paraId="5D3859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13368581475</w:t>
      </w:r>
    </w:p>
    <w:p w14:paraId="32C21B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项目联系方式</w:t>
      </w:r>
    </w:p>
    <w:p w14:paraId="24964A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曹工</w:t>
      </w:r>
    </w:p>
    <w:p w14:paraId="3DCA6D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val="en-US" w:eastAsia="zh-CN"/>
        </w:rPr>
        <w:t>13368581475</w:t>
      </w:r>
    </w:p>
    <w:p w14:paraId="3CC0C27C">
      <w:pPr>
        <w:pStyle w:val="23"/>
        <w:spacing w:line="360" w:lineRule="auto"/>
        <w:rPr>
          <w:rFonts w:hint="eastAsia"/>
          <w:color w:val="auto"/>
          <w:sz w:val="24"/>
          <w:szCs w:val="24"/>
          <w:highlight w:val="none"/>
        </w:rPr>
        <w:sectPr>
          <w:footerReference r:id="rId5" w:type="default"/>
          <w:pgSz w:w="11910" w:h="16840"/>
          <w:pgMar w:top="1440" w:right="1080" w:bottom="1440" w:left="1080" w:header="919" w:footer="927" w:gutter="0"/>
          <w:pgBorders>
            <w:top w:val="none" w:sz="0" w:space="0"/>
            <w:left w:val="none" w:sz="0" w:space="0"/>
            <w:bottom w:val="none" w:sz="0" w:space="0"/>
            <w:right w:val="none" w:sz="0" w:space="0"/>
          </w:pgBorders>
          <w:pgNumType w:fmt="decimal" w:start="1"/>
          <w:cols w:space="720" w:num="1"/>
        </w:sectPr>
      </w:pPr>
      <w:bookmarkStart w:id="3" w:name="_Toc3965"/>
    </w:p>
    <w:p w14:paraId="3CE44603">
      <w:pPr>
        <w:pStyle w:val="3"/>
        <w:spacing w:after="240" w:line="360" w:lineRule="auto"/>
        <w:jc w:val="center"/>
        <w:rPr>
          <w:rFonts w:ascii="宋体" w:hAnsi="宋体" w:cs="宋体"/>
          <w:b w:val="0"/>
          <w:bCs w:val="0"/>
          <w:color w:val="auto"/>
          <w:sz w:val="44"/>
          <w:szCs w:val="44"/>
          <w:highlight w:val="none"/>
        </w:rPr>
      </w:pPr>
      <w:bookmarkStart w:id="4" w:name="_Toc18617"/>
      <w:r>
        <w:rPr>
          <w:rFonts w:hint="eastAsia" w:ascii="宋体" w:hAnsi="宋体" w:cs="宋体"/>
          <w:b w:val="0"/>
          <w:bCs w:val="0"/>
          <w:color w:val="auto"/>
          <w:sz w:val="44"/>
          <w:szCs w:val="44"/>
          <w:highlight w:val="none"/>
        </w:rPr>
        <w:t>第二章  投标人须知</w:t>
      </w:r>
      <w:bookmarkEnd w:id="3"/>
      <w:bookmarkEnd w:id="4"/>
    </w:p>
    <w:p w14:paraId="521803E6">
      <w:pPr>
        <w:pStyle w:val="6"/>
        <w:spacing w:before="219" w:after="29" w:line="360" w:lineRule="auto"/>
        <w:ind w:left="251" w:right="412"/>
        <w:jc w:val="center"/>
        <w:rPr>
          <w:rFonts w:ascii="新宋体" w:hAnsi="新宋体" w:eastAsia="新宋体"/>
          <w:color w:val="auto"/>
          <w:sz w:val="24"/>
          <w:szCs w:val="24"/>
          <w:highlight w:val="none"/>
        </w:rPr>
      </w:pPr>
      <w:r>
        <w:rPr>
          <w:rFonts w:hint="eastAsia"/>
          <w:color w:val="auto"/>
          <w:sz w:val="24"/>
          <w:szCs w:val="24"/>
          <w:highlight w:val="none"/>
        </w:rPr>
        <w:t xml:space="preserve">A  </w:t>
      </w:r>
      <w:r>
        <w:rPr>
          <w:color w:val="auto"/>
          <w:sz w:val="24"/>
          <w:szCs w:val="24"/>
          <w:highlight w:val="none"/>
        </w:rPr>
        <w:t>投标人须知前附言</w:t>
      </w:r>
    </w:p>
    <w:tbl>
      <w:tblPr>
        <w:tblStyle w:val="15"/>
        <w:tblW w:w="10351"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1429"/>
        <w:gridCol w:w="8162"/>
      </w:tblGrid>
      <w:tr w14:paraId="4D22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760" w:type="dxa"/>
          </w:tcPr>
          <w:p w14:paraId="6BFBB7FF">
            <w:pPr>
              <w:pStyle w:val="24"/>
              <w:spacing w:before="69" w:line="360" w:lineRule="auto"/>
              <w:ind w:right="158"/>
              <w:rPr>
                <w:bCs/>
                <w:color w:val="auto"/>
                <w:sz w:val="24"/>
                <w:szCs w:val="24"/>
                <w:highlight w:val="none"/>
              </w:rPr>
            </w:pPr>
            <w:r>
              <w:rPr>
                <w:rFonts w:hint="eastAsia"/>
                <w:bCs/>
                <w:color w:val="auto"/>
                <w:sz w:val="24"/>
                <w:szCs w:val="24"/>
                <w:highlight w:val="none"/>
                <w:lang w:val="en-US"/>
              </w:rPr>
              <w:t>序号</w:t>
            </w:r>
          </w:p>
        </w:tc>
        <w:tc>
          <w:tcPr>
            <w:tcW w:w="1429" w:type="dxa"/>
          </w:tcPr>
          <w:p w14:paraId="11263F00">
            <w:pPr>
              <w:pStyle w:val="24"/>
              <w:tabs>
                <w:tab w:val="left" w:pos="536"/>
              </w:tabs>
              <w:spacing w:before="69" w:line="360" w:lineRule="auto"/>
              <w:ind w:left="8"/>
              <w:jc w:val="center"/>
              <w:rPr>
                <w:bCs/>
                <w:color w:val="auto"/>
                <w:sz w:val="24"/>
                <w:szCs w:val="24"/>
                <w:highlight w:val="none"/>
              </w:rPr>
            </w:pPr>
            <w:r>
              <w:rPr>
                <w:bCs/>
                <w:color w:val="auto"/>
                <w:sz w:val="24"/>
                <w:szCs w:val="24"/>
                <w:highlight w:val="none"/>
              </w:rPr>
              <w:t>内</w:t>
            </w:r>
            <w:r>
              <w:rPr>
                <w:bCs/>
                <w:color w:val="auto"/>
                <w:sz w:val="24"/>
                <w:szCs w:val="24"/>
                <w:highlight w:val="none"/>
              </w:rPr>
              <w:tab/>
            </w:r>
            <w:r>
              <w:rPr>
                <w:bCs/>
                <w:color w:val="auto"/>
                <w:sz w:val="24"/>
                <w:szCs w:val="24"/>
                <w:highlight w:val="none"/>
              </w:rPr>
              <w:t>容</w:t>
            </w:r>
          </w:p>
        </w:tc>
        <w:tc>
          <w:tcPr>
            <w:tcW w:w="8162" w:type="dxa"/>
          </w:tcPr>
          <w:p w14:paraId="11B2A4C5">
            <w:pPr>
              <w:pStyle w:val="24"/>
              <w:spacing w:before="69" w:line="360" w:lineRule="auto"/>
              <w:ind w:left="2843" w:right="2823"/>
              <w:jc w:val="center"/>
              <w:rPr>
                <w:bCs/>
                <w:color w:val="auto"/>
                <w:sz w:val="24"/>
                <w:szCs w:val="24"/>
                <w:highlight w:val="none"/>
              </w:rPr>
            </w:pPr>
            <w:r>
              <w:rPr>
                <w:bCs/>
                <w:color w:val="auto"/>
                <w:sz w:val="24"/>
                <w:szCs w:val="24"/>
                <w:highlight w:val="none"/>
              </w:rPr>
              <w:t>说明与要求</w:t>
            </w:r>
          </w:p>
        </w:tc>
      </w:tr>
      <w:tr w14:paraId="1502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760" w:type="dxa"/>
            <w:vAlign w:val="center"/>
          </w:tcPr>
          <w:p w14:paraId="1BBC0A50">
            <w:pPr>
              <w:pStyle w:val="24"/>
              <w:spacing w:line="360" w:lineRule="auto"/>
              <w:jc w:val="center"/>
              <w:rPr>
                <w:bCs/>
                <w:color w:val="auto"/>
                <w:sz w:val="24"/>
                <w:szCs w:val="24"/>
                <w:highlight w:val="none"/>
              </w:rPr>
            </w:pPr>
            <w:r>
              <w:rPr>
                <w:bCs/>
                <w:color w:val="auto"/>
                <w:w w:val="99"/>
                <w:sz w:val="24"/>
                <w:szCs w:val="24"/>
                <w:highlight w:val="none"/>
              </w:rPr>
              <w:t>1</w:t>
            </w:r>
          </w:p>
        </w:tc>
        <w:tc>
          <w:tcPr>
            <w:tcW w:w="1429" w:type="dxa"/>
            <w:vAlign w:val="center"/>
          </w:tcPr>
          <w:p w14:paraId="4E85C2A3">
            <w:pPr>
              <w:pStyle w:val="24"/>
              <w:spacing w:line="360" w:lineRule="auto"/>
              <w:jc w:val="center"/>
              <w:rPr>
                <w:bCs/>
                <w:color w:val="auto"/>
                <w:sz w:val="24"/>
                <w:szCs w:val="24"/>
                <w:highlight w:val="none"/>
              </w:rPr>
            </w:pPr>
            <w:r>
              <w:rPr>
                <w:bCs/>
                <w:color w:val="auto"/>
                <w:sz w:val="24"/>
                <w:szCs w:val="24"/>
                <w:highlight w:val="none"/>
              </w:rPr>
              <w:t>项目名称</w:t>
            </w:r>
          </w:p>
        </w:tc>
        <w:tc>
          <w:tcPr>
            <w:tcW w:w="8162" w:type="dxa"/>
            <w:vAlign w:val="center"/>
          </w:tcPr>
          <w:p w14:paraId="59575F79">
            <w:pPr>
              <w:pStyle w:val="24"/>
              <w:spacing w:before="71" w:line="360" w:lineRule="auto"/>
              <w:jc w:val="left"/>
              <w:rPr>
                <w:rFonts w:hint="eastAsia" w:eastAsia="宋体"/>
                <w:bCs/>
                <w:color w:val="auto"/>
                <w:sz w:val="24"/>
                <w:szCs w:val="24"/>
                <w:highlight w:val="none"/>
                <w:lang w:eastAsia="zh-CN"/>
              </w:rPr>
            </w:pPr>
            <w:r>
              <w:rPr>
                <w:rFonts w:hint="eastAsia"/>
                <w:bCs/>
                <w:color w:val="auto"/>
                <w:spacing w:val="-7"/>
                <w:sz w:val="24"/>
                <w:szCs w:val="24"/>
                <w:highlight w:val="none"/>
                <w:lang w:eastAsia="zh-CN"/>
              </w:rPr>
              <w:t>六盘水市第三人民医院两个重点专科建设所需设备采购项目（二次）</w:t>
            </w:r>
          </w:p>
        </w:tc>
      </w:tr>
      <w:tr w14:paraId="5293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760" w:type="dxa"/>
            <w:vAlign w:val="center"/>
          </w:tcPr>
          <w:p w14:paraId="3F443260">
            <w:pPr>
              <w:pStyle w:val="24"/>
              <w:spacing w:before="89" w:line="360" w:lineRule="auto"/>
              <w:jc w:val="center"/>
              <w:rPr>
                <w:bCs/>
                <w:color w:val="auto"/>
                <w:sz w:val="24"/>
                <w:szCs w:val="24"/>
                <w:highlight w:val="none"/>
              </w:rPr>
            </w:pPr>
            <w:r>
              <w:rPr>
                <w:bCs/>
                <w:color w:val="auto"/>
                <w:w w:val="99"/>
                <w:sz w:val="24"/>
                <w:szCs w:val="24"/>
                <w:highlight w:val="none"/>
              </w:rPr>
              <w:t>2</w:t>
            </w:r>
          </w:p>
        </w:tc>
        <w:tc>
          <w:tcPr>
            <w:tcW w:w="1429" w:type="dxa"/>
            <w:vAlign w:val="center"/>
          </w:tcPr>
          <w:p w14:paraId="54ED83DC">
            <w:pPr>
              <w:pStyle w:val="24"/>
              <w:spacing w:before="89" w:line="360" w:lineRule="auto"/>
              <w:ind w:left="8"/>
              <w:jc w:val="center"/>
              <w:rPr>
                <w:bCs/>
                <w:color w:val="auto"/>
                <w:sz w:val="24"/>
                <w:szCs w:val="24"/>
                <w:highlight w:val="none"/>
              </w:rPr>
            </w:pPr>
            <w:r>
              <w:rPr>
                <w:rFonts w:hint="eastAsia"/>
                <w:bCs/>
                <w:color w:val="auto"/>
                <w:sz w:val="24"/>
                <w:szCs w:val="24"/>
                <w:highlight w:val="none"/>
                <w:lang w:val="en-US"/>
              </w:rPr>
              <w:t>项目</w:t>
            </w:r>
            <w:r>
              <w:rPr>
                <w:bCs/>
                <w:color w:val="auto"/>
                <w:sz w:val="24"/>
                <w:szCs w:val="24"/>
                <w:highlight w:val="none"/>
              </w:rPr>
              <w:t>编号</w:t>
            </w:r>
          </w:p>
        </w:tc>
        <w:tc>
          <w:tcPr>
            <w:tcW w:w="8162" w:type="dxa"/>
            <w:vAlign w:val="center"/>
          </w:tcPr>
          <w:p w14:paraId="47641873">
            <w:pPr>
              <w:pStyle w:val="24"/>
              <w:spacing w:before="89" w:line="360" w:lineRule="auto"/>
              <w:ind w:left="107"/>
              <w:jc w:val="left"/>
              <w:rPr>
                <w:rFonts w:hint="eastAsia" w:eastAsia="宋体"/>
                <w:bCs/>
                <w:color w:val="auto"/>
                <w:sz w:val="24"/>
                <w:szCs w:val="24"/>
                <w:highlight w:val="none"/>
                <w:lang w:val="en-US" w:eastAsia="zh-CN"/>
              </w:rPr>
            </w:pPr>
            <w:r>
              <w:rPr>
                <w:rFonts w:hint="eastAsia"/>
                <w:bCs/>
                <w:color w:val="auto"/>
                <w:sz w:val="24"/>
                <w:szCs w:val="24"/>
                <w:highlight w:val="none"/>
                <w:lang w:val="en-US" w:eastAsia="zh-CN"/>
              </w:rPr>
              <w:t>GZJZ-LPS-CY-2025-006</w:t>
            </w:r>
          </w:p>
        </w:tc>
      </w:tr>
      <w:tr w14:paraId="6DED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760" w:type="dxa"/>
            <w:vAlign w:val="center"/>
          </w:tcPr>
          <w:p w14:paraId="46EA4928">
            <w:pPr>
              <w:pStyle w:val="24"/>
              <w:spacing w:before="88" w:line="360" w:lineRule="auto"/>
              <w:jc w:val="center"/>
              <w:rPr>
                <w:bCs/>
                <w:color w:val="auto"/>
                <w:sz w:val="24"/>
                <w:szCs w:val="24"/>
                <w:highlight w:val="none"/>
              </w:rPr>
            </w:pPr>
            <w:r>
              <w:rPr>
                <w:bCs/>
                <w:color w:val="auto"/>
                <w:w w:val="99"/>
                <w:sz w:val="24"/>
                <w:szCs w:val="24"/>
                <w:highlight w:val="none"/>
              </w:rPr>
              <w:t>3</w:t>
            </w:r>
          </w:p>
        </w:tc>
        <w:tc>
          <w:tcPr>
            <w:tcW w:w="1429" w:type="dxa"/>
            <w:vAlign w:val="center"/>
          </w:tcPr>
          <w:p w14:paraId="464F3571">
            <w:pPr>
              <w:pStyle w:val="24"/>
              <w:spacing w:before="88" w:line="360" w:lineRule="auto"/>
              <w:ind w:left="8"/>
              <w:jc w:val="center"/>
              <w:rPr>
                <w:bCs/>
                <w:color w:val="auto"/>
                <w:sz w:val="24"/>
                <w:szCs w:val="24"/>
                <w:highlight w:val="none"/>
              </w:rPr>
            </w:pPr>
            <w:r>
              <w:rPr>
                <w:bCs/>
                <w:color w:val="auto"/>
                <w:sz w:val="24"/>
                <w:szCs w:val="24"/>
                <w:highlight w:val="none"/>
              </w:rPr>
              <w:t>资金情况</w:t>
            </w:r>
          </w:p>
        </w:tc>
        <w:tc>
          <w:tcPr>
            <w:tcW w:w="8162" w:type="dxa"/>
            <w:vAlign w:val="center"/>
          </w:tcPr>
          <w:p w14:paraId="3835AB1A">
            <w:pPr>
              <w:pStyle w:val="24"/>
              <w:spacing w:before="88" w:line="360" w:lineRule="auto"/>
              <w:ind w:left="107"/>
              <w:jc w:val="left"/>
              <w:rPr>
                <w:bCs/>
                <w:color w:val="auto"/>
                <w:sz w:val="24"/>
                <w:szCs w:val="24"/>
                <w:highlight w:val="none"/>
              </w:rPr>
            </w:pPr>
            <w:r>
              <w:rPr>
                <w:bCs/>
                <w:color w:val="auto"/>
                <w:sz w:val="24"/>
                <w:szCs w:val="24"/>
                <w:highlight w:val="none"/>
              </w:rPr>
              <w:t>已落实</w:t>
            </w:r>
          </w:p>
        </w:tc>
      </w:tr>
      <w:tr w14:paraId="289D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exact"/>
        </w:trPr>
        <w:tc>
          <w:tcPr>
            <w:tcW w:w="760" w:type="dxa"/>
            <w:vAlign w:val="center"/>
          </w:tcPr>
          <w:p w14:paraId="29D81E24">
            <w:pPr>
              <w:pStyle w:val="24"/>
              <w:spacing w:before="70" w:line="360" w:lineRule="auto"/>
              <w:jc w:val="center"/>
              <w:rPr>
                <w:bCs/>
                <w:color w:val="auto"/>
                <w:sz w:val="24"/>
                <w:szCs w:val="24"/>
                <w:highlight w:val="none"/>
              </w:rPr>
            </w:pPr>
            <w:r>
              <w:rPr>
                <w:bCs/>
                <w:color w:val="auto"/>
                <w:w w:val="99"/>
                <w:sz w:val="24"/>
                <w:szCs w:val="24"/>
                <w:highlight w:val="none"/>
              </w:rPr>
              <w:t>4</w:t>
            </w:r>
          </w:p>
        </w:tc>
        <w:tc>
          <w:tcPr>
            <w:tcW w:w="1429" w:type="dxa"/>
            <w:vAlign w:val="center"/>
          </w:tcPr>
          <w:p w14:paraId="49BC2CB2">
            <w:pPr>
              <w:pStyle w:val="24"/>
              <w:spacing w:before="70" w:line="360" w:lineRule="auto"/>
              <w:ind w:left="8"/>
              <w:jc w:val="center"/>
              <w:rPr>
                <w:bCs/>
                <w:color w:val="auto"/>
                <w:sz w:val="24"/>
                <w:szCs w:val="24"/>
                <w:highlight w:val="none"/>
              </w:rPr>
            </w:pPr>
            <w:r>
              <w:rPr>
                <w:rFonts w:hint="eastAsia"/>
                <w:bCs/>
                <w:color w:val="auto"/>
                <w:sz w:val="24"/>
                <w:szCs w:val="24"/>
                <w:highlight w:val="none"/>
                <w:lang w:val="en-US"/>
              </w:rPr>
              <w:t>采购</w:t>
            </w:r>
            <w:r>
              <w:rPr>
                <w:bCs/>
                <w:color w:val="auto"/>
                <w:sz w:val="24"/>
                <w:szCs w:val="24"/>
                <w:highlight w:val="none"/>
              </w:rPr>
              <w:t>方式</w:t>
            </w:r>
          </w:p>
        </w:tc>
        <w:tc>
          <w:tcPr>
            <w:tcW w:w="8162" w:type="dxa"/>
            <w:vAlign w:val="center"/>
          </w:tcPr>
          <w:p w14:paraId="67C451EC">
            <w:pPr>
              <w:pStyle w:val="24"/>
              <w:spacing w:before="70" w:line="360" w:lineRule="auto"/>
              <w:ind w:left="107"/>
              <w:jc w:val="left"/>
              <w:rPr>
                <w:bCs/>
                <w:color w:val="auto"/>
                <w:sz w:val="24"/>
                <w:szCs w:val="24"/>
                <w:highlight w:val="none"/>
              </w:rPr>
            </w:pPr>
            <w:r>
              <w:rPr>
                <w:bCs/>
                <w:color w:val="auto"/>
                <w:sz w:val="24"/>
                <w:szCs w:val="24"/>
                <w:highlight w:val="none"/>
              </w:rPr>
              <w:t>公开招标</w:t>
            </w:r>
          </w:p>
        </w:tc>
      </w:tr>
      <w:tr w14:paraId="09B8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60" w:type="dxa"/>
            <w:vAlign w:val="center"/>
          </w:tcPr>
          <w:p w14:paraId="1B1D3688">
            <w:pPr>
              <w:pStyle w:val="24"/>
              <w:spacing w:before="70" w:line="360" w:lineRule="auto"/>
              <w:jc w:val="center"/>
              <w:rPr>
                <w:bCs/>
                <w:color w:val="auto"/>
                <w:w w:val="99"/>
                <w:sz w:val="24"/>
                <w:szCs w:val="24"/>
                <w:highlight w:val="none"/>
                <w:lang w:val="en-US"/>
              </w:rPr>
            </w:pPr>
            <w:r>
              <w:rPr>
                <w:rFonts w:hint="eastAsia"/>
                <w:bCs/>
                <w:color w:val="auto"/>
                <w:w w:val="99"/>
                <w:sz w:val="24"/>
                <w:szCs w:val="24"/>
                <w:highlight w:val="none"/>
                <w:lang w:val="en-US"/>
              </w:rPr>
              <w:t>5</w:t>
            </w:r>
          </w:p>
        </w:tc>
        <w:tc>
          <w:tcPr>
            <w:tcW w:w="1429" w:type="dxa"/>
            <w:vAlign w:val="center"/>
          </w:tcPr>
          <w:p w14:paraId="5154E67D">
            <w:pPr>
              <w:pStyle w:val="24"/>
              <w:spacing w:before="70" w:line="360" w:lineRule="auto"/>
              <w:ind w:left="8"/>
              <w:jc w:val="center"/>
              <w:rPr>
                <w:bCs/>
                <w:color w:val="auto"/>
                <w:sz w:val="24"/>
                <w:szCs w:val="24"/>
                <w:highlight w:val="none"/>
                <w:lang w:val="en-US"/>
              </w:rPr>
            </w:pPr>
            <w:r>
              <w:rPr>
                <w:rFonts w:hint="eastAsia"/>
                <w:bCs/>
                <w:color w:val="auto"/>
                <w:sz w:val="24"/>
                <w:szCs w:val="24"/>
                <w:highlight w:val="none"/>
                <w:lang w:val="en-US"/>
              </w:rPr>
              <w:t>采购主要内容</w:t>
            </w:r>
          </w:p>
        </w:tc>
        <w:tc>
          <w:tcPr>
            <w:tcW w:w="8162" w:type="dxa"/>
          </w:tcPr>
          <w:p w14:paraId="08449386">
            <w:pPr>
              <w:spacing w:line="360" w:lineRule="auto"/>
              <w:rPr>
                <w:rFonts w:hint="eastAsia"/>
                <w:bCs/>
                <w:color w:val="auto"/>
                <w:spacing w:val="-7"/>
                <w:sz w:val="24"/>
                <w:szCs w:val="24"/>
                <w:highlight w:val="none"/>
                <w:lang w:eastAsia="zh-CN"/>
              </w:rPr>
            </w:pPr>
            <w:r>
              <w:rPr>
                <w:rFonts w:hint="eastAsia"/>
                <w:bCs/>
                <w:color w:val="auto"/>
                <w:spacing w:val="-7"/>
                <w:sz w:val="24"/>
                <w:szCs w:val="24"/>
                <w:highlight w:val="none"/>
                <w:lang w:eastAsia="zh-CN"/>
              </w:rPr>
              <w:t>1、全自动分枝杆菌液体培养仪</w:t>
            </w:r>
          </w:p>
          <w:p w14:paraId="380BEE5C">
            <w:pPr>
              <w:spacing w:line="360" w:lineRule="auto"/>
              <w:rPr>
                <w:rFonts w:hint="eastAsia"/>
                <w:bCs/>
                <w:color w:val="auto"/>
                <w:spacing w:val="-7"/>
                <w:sz w:val="24"/>
                <w:szCs w:val="24"/>
                <w:highlight w:val="none"/>
                <w:lang w:eastAsia="zh-CN"/>
              </w:rPr>
            </w:pPr>
            <w:r>
              <w:rPr>
                <w:rFonts w:hint="eastAsia"/>
                <w:bCs/>
                <w:color w:val="auto"/>
                <w:spacing w:val="-7"/>
                <w:sz w:val="24"/>
                <w:szCs w:val="24"/>
                <w:highlight w:val="none"/>
                <w:lang w:eastAsia="zh-CN"/>
              </w:rPr>
              <w:t>2、全自动微生物鉴定及药敏系统（进口）</w:t>
            </w:r>
          </w:p>
          <w:p w14:paraId="7691CAB0">
            <w:pPr>
              <w:spacing w:line="360" w:lineRule="auto"/>
              <w:rPr>
                <w:rFonts w:hint="eastAsia"/>
                <w:bCs/>
                <w:color w:val="auto"/>
                <w:spacing w:val="-7"/>
                <w:sz w:val="24"/>
                <w:szCs w:val="24"/>
                <w:highlight w:val="none"/>
                <w:lang w:eastAsia="zh-CN"/>
              </w:rPr>
            </w:pPr>
            <w:r>
              <w:rPr>
                <w:rFonts w:hint="eastAsia"/>
                <w:bCs/>
                <w:color w:val="auto"/>
                <w:spacing w:val="-7"/>
                <w:sz w:val="24"/>
                <w:szCs w:val="24"/>
                <w:highlight w:val="none"/>
                <w:lang w:eastAsia="zh-CN"/>
              </w:rPr>
              <w:t>3、全自动微生物血液培养系统</w:t>
            </w:r>
          </w:p>
          <w:p w14:paraId="6CF947A5">
            <w:pPr>
              <w:spacing w:line="360" w:lineRule="auto"/>
              <w:rPr>
                <w:rFonts w:hint="eastAsia"/>
                <w:bCs/>
                <w:color w:val="auto"/>
                <w:spacing w:val="-7"/>
                <w:sz w:val="24"/>
                <w:szCs w:val="24"/>
                <w:highlight w:val="none"/>
                <w:lang w:eastAsia="zh-CN"/>
              </w:rPr>
            </w:pPr>
            <w:r>
              <w:rPr>
                <w:rFonts w:hint="eastAsia"/>
                <w:bCs/>
                <w:color w:val="auto"/>
                <w:spacing w:val="-7"/>
                <w:sz w:val="24"/>
                <w:szCs w:val="24"/>
                <w:highlight w:val="none"/>
                <w:lang w:eastAsia="zh-CN"/>
              </w:rPr>
              <w:t>4、电子支气管镜（进口）</w:t>
            </w:r>
          </w:p>
          <w:p w14:paraId="2A76249E">
            <w:pPr>
              <w:spacing w:line="360" w:lineRule="auto"/>
              <w:rPr>
                <w:rFonts w:hint="eastAsia"/>
                <w:bCs/>
                <w:color w:val="auto"/>
                <w:spacing w:val="-7"/>
                <w:sz w:val="24"/>
                <w:szCs w:val="24"/>
                <w:highlight w:val="none"/>
                <w:lang w:eastAsia="zh-CN"/>
              </w:rPr>
            </w:pPr>
            <w:r>
              <w:rPr>
                <w:rFonts w:hint="eastAsia"/>
                <w:bCs/>
                <w:color w:val="auto"/>
                <w:spacing w:val="-7"/>
                <w:sz w:val="24"/>
                <w:szCs w:val="24"/>
                <w:highlight w:val="none"/>
                <w:lang w:eastAsia="zh-CN"/>
              </w:rPr>
              <w:t>5、骨密度仪</w:t>
            </w:r>
          </w:p>
          <w:p w14:paraId="50CAE83A">
            <w:pPr>
              <w:spacing w:line="360" w:lineRule="auto"/>
              <w:rPr>
                <w:rFonts w:hint="eastAsia"/>
                <w:bCs/>
                <w:color w:val="auto"/>
                <w:spacing w:val="-7"/>
                <w:sz w:val="24"/>
                <w:szCs w:val="24"/>
                <w:highlight w:val="none"/>
                <w:lang w:eastAsia="zh-CN"/>
              </w:rPr>
            </w:pPr>
            <w:r>
              <w:rPr>
                <w:rFonts w:hint="eastAsia"/>
                <w:bCs/>
                <w:color w:val="auto"/>
                <w:spacing w:val="-7"/>
                <w:sz w:val="24"/>
                <w:szCs w:val="24"/>
                <w:highlight w:val="none"/>
                <w:lang w:eastAsia="zh-CN"/>
              </w:rPr>
              <w:t>6、视频脑电图</w:t>
            </w:r>
          </w:p>
          <w:p w14:paraId="02ACB958">
            <w:pPr>
              <w:spacing w:line="360" w:lineRule="auto"/>
              <w:rPr>
                <w:rFonts w:hint="eastAsia"/>
                <w:bCs/>
                <w:color w:val="auto"/>
                <w:spacing w:val="-7"/>
                <w:sz w:val="24"/>
                <w:szCs w:val="24"/>
                <w:highlight w:val="none"/>
                <w:lang w:eastAsia="zh-CN"/>
              </w:rPr>
            </w:pPr>
            <w:r>
              <w:rPr>
                <w:rFonts w:hint="eastAsia"/>
                <w:bCs/>
                <w:color w:val="auto"/>
                <w:spacing w:val="-7"/>
                <w:sz w:val="24"/>
                <w:szCs w:val="24"/>
                <w:highlight w:val="none"/>
                <w:lang w:eastAsia="zh-CN"/>
              </w:rPr>
              <w:t>7、医用事件相关电位仪</w:t>
            </w:r>
          </w:p>
          <w:p w14:paraId="5B21329F">
            <w:pPr>
              <w:spacing w:line="360" w:lineRule="auto"/>
              <w:rPr>
                <w:rFonts w:hint="eastAsia"/>
                <w:bCs/>
                <w:color w:val="auto"/>
                <w:spacing w:val="-7"/>
                <w:sz w:val="24"/>
                <w:szCs w:val="24"/>
                <w:highlight w:val="none"/>
                <w:lang w:eastAsia="zh-CN"/>
              </w:rPr>
            </w:pPr>
            <w:r>
              <w:rPr>
                <w:rFonts w:hint="eastAsia"/>
                <w:bCs/>
                <w:color w:val="auto"/>
                <w:spacing w:val="-7"/>
                <w:sz w:val="24"/>
                <w:szCs w:val="24"/>
                <w:highlight w:val="none"/>
                <w:lang w:eastAsia="zh-CN"/>
              </w:rPr>
              <w:t>8、心电图机</w:t>
            </w:r>
          </w:p>
          <w:p w14:paraId="082A1FCE">
            <w:pPr>
              <w:spacing w:line="360" w:lineRule="auto"/>
              <w:rPr>
                <w:rFonts w:hint="eastAsia"/>
                <w:bCs/>
                <w:color w:val="auto"/>
                <w:spacing w:val="-7"/>
                <w:sz w:val="24"/>
                <w:szCs w:val="24"/>
                <w:highlight w:val="none"/>
                <w:lang w:eastAsia="zh-CN"/>
              </w:rPr>
            </w:pPr>
            <w:r>
              <w:rPr>
                <w:rFonts w:hint="eastAsia"/>
                <w:bCs/>
                <w:color w:val="auto"/>
                <w:spacing w:val="-7"/>
                <w:sz w:val="24"/>
                <w:szCs w:val="24"/>
                <w:highlight w:val="none"/>
                <w:lang w:eastAsia="zh-CN"/>
              </w:rPr>
              <w:t>9、动态心电图</w:t>
            </w:r>
          </w:p>
          <w:p w14:paraId="4DFD71BC">
            <w:pPr>
              <w:spacing w:line="360" w:lineRule="auto"/>
              <w:rPr>
                <w:rFonts w:hint="eastAsia"/>
                <w:bCs/>
                <w:color w:val="auto"/>
                <w:spacing w:val="-7"/>
                <w:sz w:val="24"/>
                <w:szCs w:val="24"/>
                <w:highlight w:val="none"/>
                <w:lang w:eastAsia="zh-CN"/>
              </w:rPr>
            </w:pPr>
            <w:r>
              <w:rPr>
                <w:rFonts w:hint="eastAsia"/>
                <w:bCs/>
                <w:color w:val="auto"/>
                <w:spacing w:val="-7"/>
                <w:sz w:val="24"/>
                <w:szCs w:val="24"/>
                <w:highlight w:val="none"/>
                <w:lang w:eastAsia="zh-CN"/>
              </w:rPr>
              <w:t>10、磁场刺激仪</w:t>
            </w:r>
          </w:p>
          <w:p w14:paraId="66C4CE8E">
            <w:pPr>
              <w:spacing w:line="360" w:lineRule="auto"/>
              <w:rPr>
                <w:bCs/>
                <w:color w:val="auto"/>
                <w:sz w:val="24"/>
                <w:szCs w:val="24"/>
                <w:highlight w:val="none"/>
              </w:rPr>
            </w:pPr>
            <w:r>
              <w:rPr>
                <w:rFonts w:hint="eastAsia"/>
                <w:bCs/>
                <w:color w:val="auto"/>
                <w:spacing w:val="-7"/>
                <w:sz w:val="24"/>
                <w:szCs w:val="24"/>
                <w:highlight w:val="none"/>
                <w:lang w:eastAsia="zh-CN"/>
              </w:rPr>
              <w:t>11、自然光照治疗系统</w:t>
            </w:r>
          </w:p>
        </w:tc>
      </w:tr>
      <w:tr w14:paraId="68A0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0" w:type="dxa"/>
            <w:vAlign w:val="center"/>
          </w:tcPr>
          <w:p w14:paraId="3291F0F4">
            <w:pPr>
              <w:pStyle w:val="24"/>
              <w:spacing w:line="360" w:lineRule="auto"/>
              <w:jc w:val="center"/>
              <w:rPr>
                <w:bCs/>
                <w:color w:val="auto"/>
                <w:sz w:val="24"/>
                <w:szCs w:val="24"/>
                <w:highlight w:val="none"/>
              </w:rPr>
            </w:pPr>
            <w:r>
              <w:rPr>
                <w:rFonts w:hint="eastAsia"/>
                <w:bCs/>
                <w:color w:val="auto"/>
                <w:w w:val="99"/>
                <w:sz w:val="24"/>
                <w:szCs w:val="24"/>
                <w:highlight w:val="none"/>
                <w:lang w:val="en-US"/>
              </w:rPr>
              <w:t>6</w:t>
            </w:r>
          </w:p>
        </w:tc>
        <w:tc>
          <w:tcPr>
            <w:tcW w:w="1429" w:type="dxa"/>
            <w:vAlign w:val="center"/>
          </w:tcPr>
          <w:p w14:paraId="2EC108FB">
            <w:pPr>
              <w:pStyle w:val="24"/>
              <w:spacing w:line="360" w:lineRule="auto"/>
              <w:ind w:left="10"/>
              <w:jc w:val="center"/>
              <w:rPr>
                <w:bCs/>
                <w:color w:val="auto"/>
                <w:sz w:val="24"/>
                <w:szCs w:val="24"/>
                <w:highlight w:val="none"/>
              </w:rPr>
            </w:pPr>
            <w:r>
              <w:rPr>
                <w:bCs/>
                <w:color w:val="auto"/>
                <w:sz w:val="24"/>
                <w:szCs w:val="24"/>
                <w:highlight w:val="none"/>
              </w:rPr>
              <w:t>投标</w:t>
            </w:r>
            <w:r>
              <w:rPr>
                <w:rFonts w:hint="eastAsia"/>
                <w:bCs/>
                <w:color w:val="auto"/>
                <w:sz w:val="24"/>
                <w:szCs w:val="24"/>
                <w:highlight w:val="none"/>
                <w:lang w:val="en-US"/>
              </w:rPr>
              <w:t>人</w:t>
            </w:r>
            <w:r>
              <w:rPr>
                <w:bCs/>
                <w:color w:val="auto"/>
                <w:sz w:val="24"/>
                <w:szCs w:val="24"/>
                <w:highlight w:val="none"/>
              </w:rPr>
              <w:t>资格</w:t>
            </w:r>
          </w:p>
        </w:tc>
        <w:tc>
          <w:tcPr>
            <w:tcW w:w="8162" w:type="dxa"/>
          </w:tcPr>
          <w:p w14:paraId="25F2F178">
            <w:pPr>
              <w:keepNext w:val="0"/>
              <w:keepLines w:val="0"/>
              <w:pageBreakBefore w:val="0"/>
              <w:widowControl/>
              <w:kinsoku/>
              <w:wordWrap/>
              <w:overflowPunct/>
              <w:topLinePunct w:val="0"/>
              <w:autoSpaceDE/>
              <w:autoSpaceDN/>
              <w:bidi w:val="0"/>
              <w:adjustRightInd w:val="0"/>
              <w:snapToGrid w:val="0"/>
              <w:spacing w:after="150" w:line="360" w:lineRule="auto"/>
              <w:ind w:left="-360" w:firstLine="480" w:firstLineChars="200"/>
              <w:jc w:val="left"/>
              <w:textAlignment w:val="auto"/>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一般资格要求：</w:t>
            </w:r>
          </w:p>
          <w:p w14:paraId="28ACCCBD">
            <w:pPr>
              <w:keepNext w:val="0"/>
              <w:keepLines w:val="0"/>
              <w:pageBreakBefore w:val="0"/>
              <w:widowControl/>
              <w:kinsoku/>
              <w:wordWrap/>
              <w:overflowPunct/>
              <w:topLinePunct w:val="0"/>
              <w:autoSpaceDE/>
              <w:autoSpaceDN/>
              <w:bidi w:val="0"/>
              <w:adjustRightInd w:val="0"/>
              <w:snapToGrid w:val="0"/>
              <w:spacing w:after="150" w:line="360" w:lineRule="auto"/>
              <w:ind w:left="-360" w:firstLine="480" w:firstLineChars="200"/>
              <w:jc w:val="left"/>
              <w:textAlignment w:val="auto"/>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1.符合中华人民共和国政府采购法第二十二条之规定。</w:t>
            </w:r>
          </w:p>
          <w:p w14:paraId="692FCF0F">
            <w:pPr>
              <w:keepNext w:val="0"/>
              <w:keepLines w:val="0"/>
              <w:pageBreakBefore w:val="0"/>
              <w:widowControl/>
              <w:kinsoku/>
              <w:wordWrap/>
              <w:overflowPunct/>
              <w:topLinePunct w:val="0"/>
              <w:autoSpaceDE/>
              <w:autoSpaceDN/>
              <w:bidi w:val="0"/>
              <w:adjustRightInd w:val="0"/>
              <w:snapToGrid w:val="0"/>
              <w:spacing w:after="150" w:line="360" w:lineRule="auto"/>
              <w:ind w:left="-360" w:firstLine="480" w:firstLineChars="200"/>
              <w:jc w:val="left"/>
              <w:textAlignment w:val="auto"/>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1.1具有独立承担民事责任的能力；</w:t>
            </w:r>
          </w:p>
          <w:p w14:paraId="499CAB8A">
            <w:pPr>
              <w:keepNext w:val="0"/>
              <w:keepLines w:val="0"/>
              <w:pageBreakBefore w:val="0"/>
              <w:widowControl/>
              <w:kinsoku/>
              <w:wordWrap/>
              <w:overflowPunct/>
              <w:topLinePunct w:val="0"/>
              <w:autoSpaceDE/>
              <w:autoSpaceDN/>
              <w:bidi w:val="0"/>
              <w:adjustRightInd w:val="0"/>
              <w:snapToGrid w:val="0"/>
              <w:spacing w:after="150" w:line="360" w:lineRule="auto"/>
              <w:ind w:left="-360" w:firstLine="480" w:firstLineChars="200"/>
              <w:jc w:val="left"/>
              <w:textAlignment w:val="auto"/>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1.2具有良好的商业信誉和健全的财务会计制度；</w:t>
            </w:r>
          </w:p>
          <w:p w14:paraId="3A4BBA2D">
            <w:pPr>
              <w:keepNext w:val="0"/>
              <w:keepLines w:val="0"/>
              <w:pageBreakBefore w:val="0"/>
              <w:widowControl/>
              <w:kinsoku/>
              <w:wordWrap/>
              <w:overflowPunct/>
              <w:topLinePunct w:val="0"/>
              <w:autoSpaceDE/>
              <w:autoSpaceDN/>
              <w:bidi w:val="0"/>
              <w:adjustRightInd w:val="0"/>
              <w:snapToGrid w:val="0"/>
              <w:spacing w:after="150" w:line="360" w:lineRule="auto"/>
              <w:ind w:left="-360" w:firstLine="480" w:firstLineChars="200"/>
              <w:jc w:val="left"/>
              <w:textAlignment w:val="auto"/>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1.3具有履行合同所必需的设备和专业技术能力；</w:t>
            </w:r>
          </w:p>
          <w:p w14:paraId="6F61F614">
            <w:pPr>
              <w:keepNext w:val="0"/>
              <w:keepLines w:val="0"/>
              <w:pageBreakBefore w:val="0"/>
              <w:widowControl/>
              <w:kinsoku/>
              <w:wordWrap/>
              <w:overflowPunct/>
              <w:topLinePunct w:val="0"/>
              <w:autoSpaceDE/>
              <w:autoSpaceDN/>
              <w:bidi w:val="0"/>
              <w:adjustRightInd w:val="0"/>
              <w:snapToGrid w:val="0"/>
              <w:spacing w:after="150" w:line="360" w:lineRule="auto"/>
              <w:ind w:left="-360" w:firstLine="480" w:firstLineChars="200"/>
              <w:jc w:val="left"/>
              <w:textAlignment w:val="auto"/>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1.4有依法缴纳税收和社会保障资金的良好记录；</w:t>
            </w:r>
          </w:p>
          <w:p w14:paraId="16E8B865">
            <w:pPr>
              <w:keepNext w:val="0"/>
              <w:keepLines w:val="0"/>
              <w:pageBreakBefore w:val="0"/>
              <w:widowControl/>
              <w:kinsoku/>
              <w:wordWrap/>
              <w:overflowPunct/>
              <w:topLinePunct w:val="0"/>
              <w:autoSpaceDE/>
              <w:autoSpaceDN/>
              <w:bidi w:val="0"/>
              <w:adjustRightInd w:val="0"/>
              <w:snapToGrid w:val="0"/>
              <w:spacing w:after="150" w:line="360" w:lineRule="auto"/>
              <w:ind w:left="-360" w:firstLine="480" w:firstLineChars="200"/>
              <w:jc w:val="left"/>
              <w:textAlignment w:val="auto"/>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1.5参加政府采购活动前三年内，在经营活动中没有重大违法记录；</w:t>
            </w:r>
          </w:p>
          <w:p w14:paraId="1757403D">
            <w:pPr>
              <w:keepNext w:val="0"/>
              <w:keepLines w:val="0"/>
              <w:pageBreakBefore w:val="0"/>
              <w:widowControl/>
              <w:kinsoku/>
              <w:wordWrap/>
              <w:overflowPunct/>
              <w:topLinePunct w:val="0"/>
              <w:autoSpaceDE/>
              <w:autoSpaceDN/>
              <w:bidi w:val="0"/>
              <w:adjustRightInd w:val="0"/>
              <w:snapToGrid w:val="0"/>
              <w:spacing w:after="150" w:line="360" w:lineRule="auto"/>
              <w:ind w:left="-360" w:firstLine="480" w:firstLineChars="200"/>
              <w:jc w:val="left"/>
              <w:textAlignment w:val="auto"/>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1.6法律、行政法规规定的其他条件。</w:t>
            </w:r>
          </w:p>
          <w:p w14:paraId="1F74A672">
            <w:pPr>
              <w:keepNext w:val="0"/>
              <w:keepLines w:val="0"/>
              <w:pageBreakBefore w:val="0"/>
              <w:widowControl/>
              <w:kinsoku/>
              <w:wordWrap/>
              <w:overflowPunct/>
              <w:topLinePunct w:val="0"/>
              <w:autoSpaceDE/>
              <w:autoSpaceDN/>
              <w:bidi w:val="0"/>
              <w:adjustRightInd w:val="0"/>
              <w:snapToGrid w:val="0"/>
              <w:spacing w:after="150" w:line="360" w:lineRule="auto"/>
              <w:ind w:left="-360" w:firstLine="480" w:firstLineChars="200"/>
              <w:jc w:val="left"/>
              <w:textAlignment w:val="auto"/>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2</w:t>
            </w:r>
            <w:r>
              <w:rPr>
                <w:rFonts w:hint="eastAsia" w:ascii="宋体" w:hAnsi="宋体" w:cs="宋体"/>
                <w:color w:val="auto"/>
                <w:sz w:val="24"/>
                <w:szCs w:val="24"/>
                <w:highlight w:val="none"/>
                <w:shd w:val="clear" w:color="auto" w:fill="FFFFFF"/>
              </w:rPr>
              <w:t>.本项目不接受联合体投标</w:t>
            </w:r>
          </w:p>
          <w:p w14:paraId="44602462">
            <w:pPr>
              <w:keepNext w:val="0"/>
              <w:keepLines w:val="0"/>
              <w:pageBreakBefore w:val="0"/>
              <w:widowControl/>
              <w:kinsoku/>
              <w:wordWrap/>
              <w:overflowPunct/>
              <w:topLinePunct w:val="0"/>
              <w:autoSpaceDE/>
              <w:autoSpaceDN/>
              <w:bidi w:val="0"/>
              <w:adjustRightInd w:val="0"/>
              <w:snapToGrid w:val="0"/>
              <w:spacing w:after="150" w:line="360" w:lineRule="auto"/>
              <w:ind w:left="-360"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val="en-US" w:eastAsia="zh-CN"/>
              </w:rPr>
              <w:t>3.</w:t>
            </w:r>
            <w:r>
              <w:rPr>
                <w:rFonts w:hint="eastAsia" w:ascii="宋体" w:hAnsi="宋体" w:cs="宋体"/>
                <w:color w:val="auto"/>
                <w:sz w:val="24"/>
                <w:szCs w:val="24"/>
                <w:highlight w:val="none"/>
                <w:shd w:val="clear" w:color="auto" w:fill="FFFFFF"/>
              </w:rPr>
              <w:t>特殊资格要求：</w:t>
            </w:r>
            <w:r>
              <w:rPr>
                <w:rFonts w:hint="eastAsia" w:ascii="宋体" w:hAnsi="宋体" w:cs="宋体"/>
                <w:color w:val="auto"/>
                <w:sz w:val="24"/>
                <w:szCs w:val="24"/>
                <w:highlight w:val="none"/>
                <w:shd w:val="clear" w:color="auto" w:fill="FFFFFF"/>
                <w:lang w:val="en-US" w:eastAsia="zh-CN"/>
              </w:rPr>
              <w:t>投标人若为生产厂家的需提供《医疗器械生产许可证》，投标人若为代理商的须提供有效的《医疗器械经营许可证》或医疗器械经营许可备案证明材料</w:t>
            </w:r>
            <w:r>
              <w:rPr>
                <w:rFonts w:hint="eastAsia" w:ascii="宋体" w:hAnsi="宋体" w:cs="宋体"/>
                <w:color w:val="auto"/>
                <w:sz w:val="24"/>
                <w:szCs w:val="24"/>
                <w:highlight w:val="none"/>
                <w:shd w:val="clear" w:color="auto" w:fill="FFFFFF"/>
                <w:lang w:eastAsia="zh-CN"/>
              </w:rPr>
              <w:t>。</w:t>
            </w:r>
          </w:p>
          <w:p w14:paraId="36CE4930">
            <w:pPr>
              <w:spacing w:line="360" w:lineRule="auto"/>
              <w:rPr>
                <w:rFonts w:hint="default"/>
                <w:bCs/>
                <w:color w:val="auto"/>
                <w:sz w:val="24"/>
                <w:szCs w:val="24"/>
                <w:highlight w:val="none"/>
                <w:lang w:val="en-US"/>
              </w:rPr>
            </w:pPr>
            <w:r>
              <w:rPr>
                <w:rFonts w:hint="eastAsia"/>
                <w:sz w:val="24"/>
                <w:szCs w:val="24"/>
                <w:highlight w:val="none"/>
                <w:lang w:val="en-US" w:eastAsia="zh-CN"/>
              </w:rPr>
              <w:t>注：具体资格要求内容详见</w:t>
            </w:r>
            <w:r>
              <w:rPr>
                <w:rFonts w:hint="eastAsia" w:ascii="宋体" w:hAnsi="宋体" w:cs="宋体"/>
                <w:bCs/>
                <w:color w:val="000000" w:themeColor="text1"/>
                <w:sz w:val="24"/>
                <w:szCs w:val="24"/>
                <w:highlight w:val="none"/>
                <w:lang w:eastAsia="zh-CN"/>
                <w14:textFill>
                  <w14:solidFill>
                    <w14:schemeClr w14:val="tx1"/>
                  </w14:solidFill>
                </w14:textFill>
              </w:rPr>
              <w:t>招标文件</w:t>
            </w:r>
            <w:r>
              <w:rPr>
                <w:rFonts w:hint="eastAsia" w:ascii="宋体" w:hAnsi="宋体" w:cs="宋体"/>
                <w:bCs/>
                <w:color w:val="000000" w:themeColor="text1"/>
                <w:sz w:val="24"/>
                <w:szCs w:val="24"/>
                <w:highlight w:val="none"/>
                <w14:textFill>
                  <w14:solidFill>
                    <w14:schemeClr w14:val="tx1"/>
                  </w14:solidFill>
                </w14:textFill>
              </w:rPr>
              <w:t>第</w:t>
            </w:r>
            <w:r>
              <w:rPr>
                <w:rFonts w:hint="eastAsia" w:ascii="宋体" w:hAnsi="宋体" w:cs="宋体"/>
                <w:bCs/>
                <w:color w:val="000000" w:themeColor="text1"/>
                <w:sz w:val="24"/>
                <w:szCs w:val="24"/>
                <w:highlight w:val="none"/>
                <w:lang w:val="en-US" w:eastAsia="zh-CN"/>
                <w14:textFill>
                  <w14:solidFill>
                    <w14:schemeClr w14:val="tx1"/>
                  </w14:solidFill>
                </w14:textFill>
              </w:rPr>
              <w:t>三</w:t>
            </w:r>
            <w:r>
              <w:rPr>
                <w:rFonts w:hint="eastAsia" w:ascii="宋体" w:hAnsi="宋体" w:cs="宋体"/>
                <w:bCs/>
                <w:color w:val="000000" w:themeColor="text1"/>
                <w:sz w:val="24"/>
                <w:szCs w:val="24"/>
                <w:highlight w:val="none"/>
                <w14:textFill>
                  <w14:solidFill>
                    <w14:schemeClr w14:val="tx1"/>
                  </w14:solidFill>
                </w14:textFill>
              </w:rPr>
              <w:t>章</w:t>
            </w:r>
          </w:p>
        </w:tc>
      </w:tr>
      <w:tr w14:paraId="18FD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760" w:type="dxa"/>
          </w:tcPr>
          <w:p w14:paraId="14EFA4EE">
            <w:pPr>
              <w:pStyle w:val="24"/>
              <w:spacing w:before="172" w:line="360" w:lineRule="auto"/>
              <w:jc w:val="center"/>
              <w:rPr>
                <w:bCs/>
                <w:color w:val="auto"/>
                <w:sz w:val="24"/>
                <w:szCs w:val="24"/>
                <w:highlight w:val="none"/>
              </w:rPr>
            </w:pPr>
            <w:r>
              <w:rPr>
                <w:rFonts w:hint="eastAsia"/>
                <w:bCs/>
                <w:color w:val="auto"/>
                <w:w w:val="99"/>
                <w:sz w:val="24"/>
                <w:szCs w:val="24"/>
                <w:highlight w:val="none"/>
                <w:lang w:val="en-US"/>
              </w:rPr>
              <w:t>7</w:t>
            </w:r>
          </w:p>
        </w:tc>
        <w:tc>
          <w:tcPr>
            <w:tcW w:w="1429" w:type="dxa"/>
          </w:tcPr>
          <w:p w14:paraId="76117751">
            <w:pPr>
              <w:pStyle w:val="24"/>
              <w:spacing w:before="172" w:line="360" w:lineRule="auto"/>
              <w:ind w:left="5"/>
              <w:jc w:val="center"/>
              <w:rPr>
                <w:bCs/>
                <w:color w:val="auto"/>
                <w:sz w:val="24"/>
                <w:szCs w:val="24"/>
                <w:highlight w:val="none"/>
              </w:rPr>
            </w:pPr>
            <w:r>
              <w:rPr>
                <w:bCs/>
                <w:color w:val="auto"/>
                <w:sz w:val="24"/>
                <w:szCs w:val="24"/>
                <w:highlight w:val="none"/>
              </w:rPr>
              <w:t>项目实施地点</w:t>
            </w:r>
          </w:p>
        </w:tc>
        <w:tc>
          <w:tcPr>
            <w:tcW w:w="8162" w:type="dxa"/>
          </w:tcPr>
          <w:p w14:paraId="30ECBF5E">
            <w:pPr>
              <w:pStyle w:val="24"/>
              <w:spacing w:before="172" w:line="360" w:lineRule="auto"/>
              <w:ind w:left="107"/>
              <w:rPr>
                <w:bCs/>
                <w:color w:val="auto"/>
                <w:sz w:val="24"/>
                <w:szCs w:val="24"/>
                <w:highlight w:val="none"/>
              </w:rPr>
            </w:pPr>
            <w:r>
              <w:rPr>
                <w:bCs/>
                <w:color w:val="auto"/>
                <w:sz w:val="24"/>
                <w:szCs w:val="24"/>
                <w:highlight w:val="none"/>
              </w:rPr>
              <w:t>采购人指定地点。</w:t>
            </w:r>
          </w:p>
        </w:tc>
      </w:tr>
      <w:tr w14:paraId="2F47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760" w:type="dxa"/>
            <w:vAlign w:val="center"/>
          </w:tcPr>
          <w:p w14:paraId="41831B74">
            <w:pPr>
              <w:pStyle w:val="24"/>
              <w:spacing w:before="68" w:line="360" w:lineRule="auto"/>
              <w:jc w:val="center"/>
              <w:rPr>
                <w:bCs/>
                <w:color w:val="auto"/>
                <w:sz w:val="24"/>
                <w:szCs w:val="24"/>
                <w:highlight w:val="none"/>
              </w:rPr>
            </w:pPr>
            <w:r>
              <w:rPr>
                <w:rFonts w:hint="eastAsia"/>
                <w:bCs/>
                <w:color w:val="auto"/>
                <w:w w:val="99"/>
                <w:sz w:val="24"/>
                <w:szCs w:val="24"/>
                <w:highlight w:val="none"/>
                <w:lang w:val="en-US"/>
              </w:rPr>
              <w:t>8</w:t>
            </w:r>
          </w:p>
        </w:tc>
        <w:tc>
          <w:tcPr>
            <w:tcW w:w="1429" w:type="dxa"/>
            <w:vAlign w:val="center"/>
          </w:tcPr>
          <w:p w14:paraId="7F59F324">
            <w:pPr>
              <w:pStyle w:val="24"/>
              <w:spacing w:before="68" w:line="360" w:lineRule="auto"/>
              <w:ind w:left="8"/>
              <w:jc w:val="center"/>
              <w:rPr>
                <w:bCs/>
                <w:color w:val="auto"/>
                <w:sz w:val="24"/>
                <w:szCs w:val="24"/>
                <w:highlight w:val="none"/>
              </w:rPr>
            </w:pPr>
            <w:r>
              <w:rPr>
                <w:bCs/>
                <w:color w:val="auto"/>
                <w:sz w:val="24"/>
                <w:szCs w:val="24"/>
                <w:highlight w:val="none"/>
              </w:rPr>
              <w:t>质量标准</w:t>
            </w:r>
          </w:p>
        </w:tc>
        <w:tc>
          <w:tcPr>
            <w:tcW w:w="8162" w:type="dxa"/>
            <w:vAlign w:val="center"/>
          </w:tcPr>
          <w:p w14:paraId="7C5301DC">
            <w:pPr>
              <w:pStyle w:val="24"/>
              <w:spacing w:before="68" w:line="360" w:lineRule="auto"/>
              <w:ind w:left="107"/>
              <w:jc w:val="left"/>
              <w:rPr>
                <w:bCs/>
                <w:color w:val="auto"/>
                <w:sz w:val="24"/>
                <w:szCs w:val="24"/>
                <w:highlight w:val="none"/>
              </w:rPr>
            </w:pPr>
            <w:r>
              <w:rPr>
                <w:bCs/>
                <w:color w:val="auto"/>
                <w:sz w:val="24"/>
                <w:szCs w:val="24"/>
                <w:highlight w:val="none"/>
              </w:rPr>
              <w:t>符合国家质量标准</w:t>
            </w:r>
            <w:r>
              <w:rPr>
                <w:rFonts w:hint="eastAsia"/>
                <w:bCs/>
                <w:color w:val="auto"/>
                <w:sz w:val="24"/>
                <w:szCs w:val="24"/>
                <w:highlight w:val="none"/>
              </w:rPr>
              <w:t>或者</w:t>
            </w:r>
            <w:r>
              <w:rPr>
                <w:bCs/>
                <w:color w:val="auto"/>
                <w:sz w:val="24"/>
                <w:szCs w:val="24"/>
                <w:highlight w:val="none"/>
              </w:rPr>
              <w:t>行业质量标准。</w:t>
            </w:r>
          </w:p>
        </w:tc>
      </w:tr>
      <w:tr w14:paraId="4107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760" w:type="dxa"/>
            <w:vAlign w:val="center"/>
          </w:tcPr>
          <w:p w14:paraId="76211DE5">
            <w:pPr>
              <w:pStyle w:val="24"/>
              <w:spacing w:before="76" w:line="360" w:lineRule="auto"/>
              <w:jc w:val="center"/>
              <w:rPr>
                <w:bCs/>
                <w:color w:val="auto"/>
                <w:sz w:val="24"/>
                <w:szCs w:val="24"/>
                <w:highlight w:val="none"/>
              </w:rPr>
            </w:pPr>
            <w:r>
              <w:rPr>
                <w:rFonts w:hint="eastAsia"/>
                <w:bCs/>
                <w:color w:val="auto"/>
                <w:w w:val="99"/>
                <w:sz w:val="24"/>
                <w:szCs w:val="24"/>
                <w:highlight w:val="none"/>
                <w:lang w:val="en-US"/>
              </w:rPr>
              <w:t>9</w:t>
            </w:r>
          </w:p>
        </w:tc>
        <w:tc>
          <w:tcPr>
            <w:tcW w:w="1429" w:type="dxa"/>
            <w:vAlign w:val="center"/>
          </w:tcPr>
          <w:p w14:paraId="340A6C85">
            <w:pPr>
              <w:pStyle w:val="24"/>
              <w:spacing w:before="76" w:line="360" w:lineRule="auto"/>
              <w:ind w:left="8"/>
              <w:jc w:val="center"/>
              <w:rPr>
                <w:bCs/>
                <w:color w:val="auto"/>
                <w:sz w:val="24"/>
                <w:szCs w:val="24"/>
                <w:highlight w:val="none"/>
              </w:rPr>
            </w:pPr>
            <w:r>
              <w:rPr>
                <w:rFonts w:hint="eastAsia"/>
                <w:bCs/>
                <w:color w:val="auto"/>
                <w:sz w:val="24"/>
                <w:szCs w:val="24"/>
                <w:highlight w:val="none"/>
                <w:lang w:val="en-US"/>
              </w:rPr>
              <w:t>采购</w:t>
            </w:r>
            <w:r>
              <w:rPr>
                <w:bCs/>
                <w:color w:val="auto"/>
                <w:sz w:val="24"/>
                <w:szCs w:val="24"/>
                <w:highlight w:val="none"/>
              </w:rPr>
              <w:t>范围</w:t>
            </w:r>
          </w:p>
        </w:tc>
        <w:tc>
          <w:tcPr>
            <w:tcW w:w="8162" w:type="dxa"/>
            <w:vAlign w:val="center"/>
          </w:tcPr>
          <w:p w14:paraId="53FF3BD7">
            <w:pPr>
              <w:pStyle w:val="24"/>
              <w:spacing w:before="76" w:line="360" w:lineRule="auto"/>
              <w:ind w:left="107"/>
              <w:jc w:val="left"/>
              <w:rPr>
                <w:bCs/>
                <w:color w:val="auto"/>
                <w:sz w:val="24"/>
                <w:szCs w:val="24"/>
                <w:highlight w:val="none"/>
              </w:rPr>
            </w:pPr>
            <w:r>
              <w:rPr>
                <w:bCs/>
                <w:color w:val="auto"/>
                <w:sz w:val="24"/>
                <w:szCs w:val="24"/>
                <w:highlight w:val="none"/>
              </w:rPr>
              <w:t>招标文件所示范围。</w:t>
            </w:r>
          </w:p>
        </w:tc>
      </w:tr>
      <w:tr w14:paraId="65E9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760" w:type="dxa"/>
            <w:vAlign w:val="center"/>
          </w:tcPr>
          <w:p w14:paraId="2F11CF02">
            <w:pPr>
              <w:pStyle w:val="24"/>
              <w:spacing w:before="69" w:line="360" w:lineRule="auto"/>
              <w:jc w:val="center"/>
              <w:rPr>
                <w:bCs/>
                <w:color w:val="auto"/>
                <w:sz w:val="24"/>
                <w:szCs w:val="24"/>
                <w:highlight w:val="none"/>
                <w:lang w:val="en-US"/>
              </w:rPr>
            </w:pPr>
            <w:r>
              <w:rPr>
                <w:rFonts w:hint="eastAsia"/>
                <w:bCs/>
                <w:color w:val="auto"/>
                <w:w w:val="99"/>
                <w:sz w:val="24"/>
                <w:szCs w:val="24"/>
                <w:highlight w:val="none"/>
                <w:lang w:val="en-US"/>
              </w:rPr>
              <w:t>10</w:t>
            </w:r>
          </w:p>
        </w:tc>
        <w:tc>
          <w:tcPr>
            <w:tcW w:w="1429" w:type="dxa"/>
            <w:vAlign w:val="center"/>
          </w:tcPr>
          <w:p w14:paraId="1853874E">
            <w:pPr>
              <w:pStyle w:val="24"/>
              <w:spacing w:before="69" w:line="360" w:lineRule="auto"/>
              <w:ind w:left="8"/>
              <w:jc w:val="center"/>
              <w:rPr>
                <w:rFonts w:hint="default"/>
                <w:bCs/>
                <w:color w:val="auto"/>
                <w:sz w:val="24"/>
                <w:szCs w:val="24"/>
                <w:highlight w:val="none"/>
                <w:lang w:val="en-US"/>
              </w:rPr>
            </w:pPr>
            <w:r>
              <w:rPr>
                <w:rFonts w:hint="eastAsia"/>
                <w:bCs/>
                <w:color w:val="auto"/>
                <w:sz w:val="24"/>
                <w:szCs w:val="24"/>
                <w:highlight w:val="none"/>
                <w:lang w:val="en-US" w:eastAsia="zh-CN"/>
              </w:rPr>
              <w:t>合同方式</w:t>
            </w:r>
          </w:p>
        </w:tc>
        <w:tc>
          <w:tcPr>
            <w:tcW w:w="8162" w:type="dxa"/>
            <w:vAlign w:val="center"/>
          </w:tcPr>
          <w:p w14:paraId="770DD591">
            <w:pPr>
              <w:pStyle w:val="24"/>
              <w:spacing w:before="69" w:line="360" w:lineRule="auto"/>
              <w:ind w:left="107"/>
              <w:jc w:val="left"/>
              <w:rPr>
                <w:rFonts w:hint="default" w:eastAsia="宋体"/>
                <w:bCs/>
                <w:color w:val="auto"/>
                <w:sz w:val="24"/>
                <w:szCs w:val="24"/>
                <w:highlight w:val="none"/>
                <w:lang w:val="en-US" w:eastAsia="zh-CN"/>
              </w:rPr>
            </w:pPr>
            <w:r>
              <w:rPr>
                <w:bCs/>
                <w:color w:val="auto"/>
                <w:sz w:val="24"/>
                <w:szCs w:val="24"/>
                <w:highlight w:val="none"/>
              </w:rPr>
              <w:t>固定</w:t>
            </w:r>
            <w:r>
              <w:rPr>
                <w:rFonts w:hint="eastAsia"/>
                <w:bCs/>
                <w:color w:val="auto"/>
                <w:sz w:val="24"/>
                <w:szCs w:val="24"/>
                <w:highlight w:val="none"/>
                <w:lang w:val="en-US" w:eastAsia="zh-CN"/>
              </w:rPr>
              <w:t>单价合同</w:t>
            </w:r>
          </w:p>
        </w:tc>
      </w:tr>
      <w:tr w14:paraId="060F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760" w:type="dxa"/>
            <w:vAlign w:val="center"/>
          </w:tcPr>
          <w:p w14:paraId="75E6AFD2">
            <w:pPr>
              <w:pStyle w:val="24"/>
              <w:spacing w:before="68" w:line="360" w:lineRule="auto"/>
              <w:ind w:left="157" w:right="157"/>
              <w:jc w:val="center"/>
              <w:rPr>
                <w:rFonts w:hint="eastAsia" w:eastAsia="宋体"/>
                <w:bCs/>
                <w:color w:val="auto"/>
                <w:w w:val="99"/>
                <w:sz w:val="24"/>
                <w:szCs w:val="24"/>
                <w:highlight w:val="none"/>
                <w:lang w:val="en-US" w:eastAsia="zh-CN"/>
              </w:rPr>
            </w:pPr>
            <w:r>
              <w:rPr>
                <w:rFonts w:hint="eastAsia"/>
                <w:bCs/>
                <w:color w:val="auto"/>
                <w:sz w:val="24"/>
                <w:szCs w:val="24"/>
                <w:highlight w:val="none"/>
                <w:lang w:val="en-US"/>
              </w:rPr>
              <w:t>1</w:t>
            </w:r>
            <w:r>
              <w:rPr>
                <w:rFonts w:hint="eastAsia"/>
                <w:bCs/>
                <w:color w:val="auto"/>
                <w:sz w:val="24"/>
                <w:szCs w:val="24"/>
                <w:highlight w:val="none"/>
                <w:lang w:val="en-US" w:eastAsia="zh-CN"/>
              </w:rPr>
              <w:t>1</w:t>
            </w:r>
          </w:p>
        </w:tc>
        <w:tc>
          <w:tcPr>
            <w:tcW w:w="1429" w:type="dxa"/>
            <w:vAlign w:val="center"/>
          </w:tcPr>
          <w:p w14:paraId="2E4712D5">
            <w:pPr>
              <w:pStyle w:val="24"/>
              <w:spacing w:before="68" w:line="360" w:lineRule="auto"/>
              <w:ind w:left="8"/>
              <w:jc w:val="center"/>
              <w:rPr>
                <w:bCs/>
                <w:color w:val="auto"/>
                <w:sz w:val="24"/>
                <w:szCs w:val="24"/>
                <w:highlight w:val="none"/>
              </w:rPr>
            </w:pPr>
            <w:r>
              <w:rPr>
                <w:bCs/>
                <w:color w:val="auto"/>
                <w:sz w:val="24"/>
                <w:szCs w:val="24"/>
                <w:highlight w:val="none"/>
              </w:rPr>
              <w:t>投标有效期</w:t>
            </w:r>
          </w:p>
        </w:tc>
        <w:tc>
          <w:tcPr>
            <w:tcW w:w="8162" w:type="dxa"/>
            <w:vAlign w:val="center"/>
          </w:tcPr>
          <w:p w14:paraId="4A7CABC5">
            <w:pPr>
              <w:pStyle w:val="24"/>
              <w:spacing w:before="69" w:line="360" w:lineRule="auto"/>
              <w:ind w:left="107"/>
              <w:jc w:val="left"/>
              <w:rPr>
                <w:bCs/>
                <w:color w:val="auto"/>
                <w:sz w:val="24"/>
                <w:szCs w:val="24"/>
                <w:highlight w:val="none"/>
              </w:rPr>
            </w:pPr>
            <w:r>
              <w:rPr>
                <w:rFonts w:hint="eastAsia"/>
                <w:bCs/>
                <w:color w:val="auto"/>
                <w:sz w:val="24"/>
                <w:szCs w:val="24"/>
                <w:highlight w:val="none"/>
              </w:rPr>
              <w:t>投标截止时间起生效，其有效期为 90 日历天</w:t>
            </w:r>
          </w:p>
        </w:tc>
      </w:tr>
      <w:tr w14:paraId="39A5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60" w:type="dxa"/>
            <w:vAlign w:val="center"/>
          </w:tcPr>
          <w:p w14:paraId="68FFE1CA">
            <w:pPr>
              <w:pStyle w:val="24"/>
              <w:spacing w:before="180" w:line="360" w:lineRule="auto"/>
              <w:ind w:right="157"/>
              <w:jc w:val="center"/>
              <w:rPr>
                <w:rFonts w:hint="eastAsia" w:eastAsia="宋体"/>
                <w:bCs/>
                <w:color w:val="auto"/>
                <w:w w:val="99"/>
                <w:sz w:val="24"/>
                <w:szCs w:val="24"/>
                <w:highlight w:val="none"/>
                <w:lang w:val="en-US" w:eastAsia="zh-CN"/>
              </w:rPr>
            </w:pPr>
            <w:r>
              <w:rPr>
                <w:rFonts w:hint="eastAsia"/>
                <w:bCs/>
                <w:color w:val="auto"/>
                <w:sz w:val="24"/>
                <w:szCs w:val="24"/>
                <w:highlight w:val="none"/>
                <w:lang w:val="en-US"/>
              </w:rPr>
              <w:t xml:space="preserve"> 1</w:t>
            </w:r>
            <w:r>
              <w:rPr>
                <w:rFonts w:hint="eastAsia"/>
                <w:bCs/>
                <w:color w:val="auto"/>
                <w:sz w:val="24"/>
                <w:szCs w:val="24"/>
                <w:highlight w:val="none"/>
                <w:lang w:val="en-US" w:eastAsia="zh-CN"/>
              </w:rPr>
              <w:t>2</w:t>
            </w:r>
          </w:p>
        </w:tc>
        <w:tc>
          <w:tcPr>
            <w:tcW w:w="1429" w:type="dxa"/>
            <w:vAlign w:val="center"/>
          </w:tcPr>
          <w:p w14:paraId="052C61D7">
            <w:pPr>
              <w:pStyle w:val="24"/>
              <w:spacing w:before="180" w:line="360" w:lineRule="auto"/>
              <w:jc w:val="center"/>
              <w:rPr>
                <w:bCs/>
                <w:color w:val="auto"/>
                <w:sz w:val="24"/>
                <w:szCs w:val="24"/>
                <w:highlight w:val="none"/>
              </w:rPr>
            </w:pPr>
            <w:r>
              <w:rPr>
                <w:bCs/>
                <w:color w:val="auto"/>
                <w:sz w:val="24"/>
                <w:szCs w:val="24"/>
                <w:highlight w:val="none"/>
              </w:rPr>
              <w:t>调价原则</w:t>
            </w:r>
          </w:p>
        </w:tc>
        <w:tc>
          <w:tcPr>
            <w:tcW w:w="8162" w:type="dxa"/>
          </w:tcPr>
          <w:p w14:paraId="6D7D417D">
            <w:pPr>
              <w:pStyle w:val="24"/>
              <w:spacing w:before="69" w:line="360" w:lineRule="auto"/>
              <w:ind w:left="108"/>
              <w:rPr>
                <w:bCs/>
                <w:color w:val="auto"/>
                <w:sz w:val="24"/>
                <w:szCs w:val="24"/>
                <w:highlight w:val="none"/>
              </w:rPr>
            </w:pPr>
            <w:r>
              <w:rPr>
                <w:rFonts w:hint="eastAsia"/>
                <w:bCs/>
                <w:color w:val="auto"/>
                <w:sz w:val="24"/>
                <w:szCs w:val="24"/>
                <w:highlight w:val="none"/>
              </w:rPr>
              <w:t>投标人</w:t>
            </w:r>
            <w:r>
              <w:rPr>
                <w:bCs/>
                <w:color w:val="auto"/>
                <w:sz w:val="24"/>
                <w:szCs w:val="24"/>
                <w:highlight w:val="none"/>
              </w:rPr>
              <w:t>所报的</w:t>
            </w:r>
            <w:r>
              <w:rPr>
                <w:rFonts w:hint="eastAsia"/>
                <w:bCs/>
                <w:color w:val="auto"/>
                <w:sz w:val="24"/>
                <w:szCs w:val="24"/>
                <w:highlight w:val="none"/>
                <w:lang w:val="en-US"/>
              </w:rPr>
              <w:t>投标报价</w:t>
            </w:r>
            <w:r>
              <w:rPr>
                <w:bCs/>
                <w:color w:val="auto"/>
                <w:sz w:val="24"/>
                <w:szCs w:val="24"/>
                <w:highlight w:val="none"/>
              </w:rPr>
              <w:t>在合同执行过程中是固定不变的，不得以任何理由予以变更。任何含价格调整要求的投标，将被认为是非响应性投标而予以拒绝。</w:t>
            </w:r>
          </w:p>
        </w:tc>
      </w:tr>
      <w:tr w14:paraId="4991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760" w:type="dxa"/>
            <w:vAlign w:val="center"/>
          </w:tcPr>
          <w:p w14:paraId="11830407">
            <w:pPr>
              <w:pStyle w:val="24"/>
              <w:spacing w:before="68" w:line="360" w:lineRule="auto"/>
              <w:ind w:left="157" w:right="157"/>
              <w:jc w:val="center"/>
              <w:rPr>
                <w:rFonts w:hint="eastAsia" w:eastAsia="宋体"/>
                <w:bCs/>
                <w:color w:val="auto"/>
                <w:w w:val="99"/>
                <w:sz w:val="24"/>
                <w:szCs w:val="24"/>
                <w:highlight w:val="none"/>
                <w:lang w:val="en-US" w:eastAsia="zh-CN"/>
              </w:rPr>
            </w:pPr>
            <w:r>
              <w:rPr>
                <w:rFonts w:hint="eastAsia"/>
                <w:bCs/>
                <w:color w:val="auto"/>
                <w:sz w:val="24"/>
                <w:szCs w:val="24"/>
                <w:highlight w:val="none"/>
                <w:lang w:val="en-US"/>
              </w:rPr>
              <w:t>1</w:t>
            </w:r>
            <w:r>
              <w:rPr>
                <w:rFonts w:hint="eastAsia"/>
                <w:bCs/>
                <w:color w:val="auto"/>
                <w:sz w:val="24"/>
                <w:szCs w:val="24"/>
                <w:highlight w:val="none"/>
                <w:lang w:val="en-US" w:eastAsia="zh-CN"/>
              </w:rPr>
              <w:t>3</w:t>
            </w:r>
          </w:p>
        </w:tc>
        <w:tc>
          <w:tcPr>
            <w:tcW w:w="1429" w:type="dxa"/>
            <w:vAlign w:val="center"/>
          </w:tcPr>
          <w:p w14:paraId="19E23D92">
            <w:pPr>
              <w:pStyle w:val="24"/>
              <w:spacing w:before="68" w:line="360" w:lineRule="auto"/>
              <w:ind w:left="8"/>
              <w:jc w:val="center"/>
              <w:rPr>
                <w:bCs/>
                <w:color w:val="auto"/>
                <w:sz w:val="24"/>
                <w:szCs w:val="24"/>
                <w:highlight w:val="none"/>
              </w:rPr>
            </w:pPr>
            <w:r>
              <w:rPr>
                <w:bCs/>
                <w:color w:val="auto"/>
                <w:sz w:val="24"/>
                <w:szCs w:val="24"/>
                <w:highlight w:val="none"/>
              </w:rPr>
              <w:t>投标答疑会</w:t>
            </w:r>
          </w:p>
        </w:tc>
        <w:tc>
          <w:tcPr>
            <w:tcW w:w="8162" w:type="dxa"/>
            <w:vAlign w:val="center"/>
          </w:tcPr>
          <w:p w14:paraId="7E54462A">
            <w:pPr>
              <w:pStyle w:val="24"/>
              <w:tabs>
                <w:tab w:val="left" w:pos="1168"/>
              </w:tabs>
              <w:spacing w:before="68" w:line="360" w:lineRule="auto"/>
              <w:ind w:left="107"/>
              <w:jc w:val="left"/>
              <w:rPr>
                <w:bCs/>
                <w:color w:val="auto"/>
                <w:sz w:val="24"/>
                <w:szCs w:val="24"/>
                <w:highlight w:val="none"/>
              </w:rPr>
            </w:pPr>
            <w:r>
              <w:rPr>
                <w:bCs/>
                <w:color w:val="auto"/>
                <w:sz w:val="24"/>
                <w:szCs w:val="24"/>
                <w:highlight w:val="none"/>
              </w:rPr>
              <w:t>□召开</w:t>
            </w:r>
            <w:r>
              <w:rPr>
                <w:bCs/>
                <w:color w:val="auto"/>
                <w:sz w:val="24"/>
                <w:szCs w:val="24"/>
                <w:highlight w:val="none"/>
              </w:rPr>
              <w:tab/>
            </w:r>
            <w:r>
              <w:rPr>
                <w:rFonts w:hint="eastAsia"/>
                <w:bCs/>
                <w:color w:val="auto"/>
                <w:sz w:val="24"/>
                <w:szCs w:val="24"/>
                <w:highlight w:val="none"/>
              </w:rPr>
              <w:t>☑</w:t>
            </w:r>
            <w:r>
              <w:rPr>
                <w:bCs/>
                <w:color w:val="auto"/>
                <w:sz w:val="24"/>
                <w:szCs w:val="24"/>
                <w:highlight w:val="none"/>
              </w:rPr>
              <w:t>不召开</w:t>
            </w:r>
          </w:p>
        </w:tc>
      </w:tr>
      <w:tr w14:paraId="5246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760" w:type="dxa"/>
            <w:vAlign w:val="center"/>
          </w:tcPr>
          <w:p w14:paraId="24D3AF2A">
            <w:pPr>
              <w:pStyle w:val="24"/>
              <w:spacing w:before="1" w:line="360" w:lineRule="auto"/>
              <w:ind w:right="157"/>
              <w:jc w:val="center"/>
              <w:rPr>
                <w:rFonts w:hint="eastAsia" w:eastAsia="宋体"/>
                <w:bCs/>
                <w:color w:val="auto"/>
                <w:w w:val="99"/>
                <w:sz w:val="24"/>
                <w:szCs w:val="24"/>
                <w:highlight w:val="none"/>
                <w:lang w:val="en-US" w:eastAsia="zh-CN"/>
              </w:rPr>
            </w:pPr>
            <w:r>
              <w:rPr>
                <w:rFonts w:hint="eastAsia"/>
                <w:bCs/>
                <w:color w:val="auto"/>
                <w:sz w:val="24"/>
                <w:szCs w:val="24"/>
                <w:highlight w:val="none"/>
                <w:lang w:val="en-US"/>
              </w:rPr>
              <w:t>1</w:t>
            </w:r>
            <w:r>
              <w:rPr>
                <w:rFonts w:hint="eastAsia"/>
                <w:bCs/>
                <w:color w:val="auto"/>
                <w:sz w:val="24"/>
                <w:szCs w:val="24"/>
                <w:highlight w:val="none"/>
                <w:lang w:val="en-US" w:eastAsia="zh-CN"/>
              </w:rPr>
              <w:t>4</w:t>
            </w:r>
          </w:p>
        </w:tc>
        <w:tc>
          <w:tcPr>
            <w:tcW w:w="1429" w:type="dxa"/>
          </w:tcPr>
          <w:p w14:paraId="135A3170">
            <w:pPr>
              <w:pStyle w:val="24"/>
              <w:spacing w:before="1" w:line="360" w:lineRule="auto"/>
              <w:ind w:left="777" w:right="131" w:hanging="629"/>
              <w:jc w:val="center"/>
              <w:rPr>
                <w:bCs/>
                <w:color w:val="auto"/>
                <w:sz w:val="24"/>
                <w:szCs w:val="24"/>
                <w:highlight w:val="none"/>
              </w:rPr>
            </w:pPr>
          </w:p>
          <w:p w14:paraId="77D28200">
            <w:pPr>
              <w:pStyle w:val="24"/>
              <w:spacing w:before="1" w:line="360" w:lineRule="auto"/>
              <w:ind w:left="777" w:right="131" w:hanging="629"/>
              <w:jc w:val="center"/>
              <w:rPr>
                <w:bCs/>
                <w:color w:val="auto"/>
                <w:sz w:val="24"/>
                <w:szCs w:val="24"/>
                <w:highlight w:val="none"/>
              </w:rPr>
            </w:pPr>
          </w:p>
          <w:p w14:paraId="042F2D44">
            <w:pPr>
              <w:pStyle w:val="24"/>
              <w:spacing w:line="360" w:lineRule="auto"/>
              <w:jc w:val="both"/>
              <w:rPr>
                <w:bCs/>
                <w:color w:val="auto"/>
                <w:sz w:val="24"/>
                <w:szCs w:val="24"/>
                <w:highlight w:val="none"/>
              </w:rPr>
            </w:pPr>
            <w:r>
              <w:rPr>
                <w:bCs/>
                <w:color w:val="auto"/>
                <w:sz w:val="24"/>
                <w:szCs w:val="24"/>
                <w:highlight w:val="none"/>
              </w:rPr>
              <w:t>投标文件的</w:t>
            </w:r>
            <w:r>
              <w:rPr>
                <w:rFonts w:hint="eastAsia"/>
                <w:bCs/>
                <w:color w:val="auto"/>
                <w:sz w:val="24"/>
                <w:szCs w:val="24"/>
                <w:highlight w:val="none"/>
                <w:lang w:val="en-US" w:eastAsia="zh-CN"/>
              </w:rPr>
              <w:t>递交</w:t>
            </w:r>
          </w:p>
        </w:tc>
        <w:tc>
          <w:tcPr>
            <w:tcW w:w="8162" w:type="dxa"/>
          </w:tcPr>
          <w:p w14:paraId="1026B942">
            <w:pPr>
              <w:pStyle w:val="25"/>
              <w:numPr>
                <w:ilvl w:val="0"/>
                <w:numId w:val="0"/>
              </w:numPr>
              <w:spacing w:line="360" w:lineRule="auto"/>
              <w:rPr>
                <w:rFonts w:hint="eastAsia" w:ascii="Times New Roman" w:hAnsi="Times New Roman"/>
                <w:b/>
                <w:bCs/>
                <w:color w:val="000000" w:themeColor="text1"/>
                <w:kern w:val="2"/>
                <w:sz w:val="24"/>
                <w:szCs w:val="24"/>
                <w:highlight w:val="none"/>
                <w14:textFill>
                  <w14:solidFill>
                    <w14:schemeClr w14:val="tx1"/>
                  </w14:solidFill>
                </w14:textFill>
              </w:rPr>
            </w:pPr>
            <w:r>
              <w:rPr>
                <w:rFonts w:hint="eastAsia" w:ascii="Times New Roman" w:hAnsi="Times New Roman"/>
                <w:b/>
                <w:bCs/>
                <w:color w:val="000000" w:themeColor="text1"/>
                <w:kern w:val="2"/>
                <w:sz w:val="24"/>
                <w:szCs w:val="24"/>
                <w:highlight w:val="none"/>
                <w:lang w:eastAsia="zh-CN"/>
                <w14:textFill>
                  <w14:solidFill>
                    <w14:schemeClr w14:val="tx1"/>
                  </w14:solidFill>
                </w14:textFill>
              </w:rPr>
              <w:t>投标人</w:t>
            </w:r>
            <w:r>
              <w:rPr>
                <w:rFonts w:hint="eastAsia" w:ascii="Times New Roman" w:hAnsi="Times New Roman"/>
                <w:b/>
                <w:bCs/>
                <w:color w:val="000000" w:themeColor="text1"/>
                <w:kern w:val="2"/>
                <w:sz w:val="24"/>
                <w:szCs w:val="24"/>
                <w:highlight w:val="none"/>
                <w14:textFill>
                  <w14:solidFill>
                    <w14:schemeClr w14:val="tx1"/>
                  </w14:solidFill>
                </w14:textFill>
              </w:rPr>
              <w:t>需在加密电子</w:t>
            </w:r>
            <w:r>
              <w:rPr>
                <w:rFonts w:hint="eastAsia" w:ascii="Times New Roman" w:hAnsi="Times New Roman"/>
                <w:b/>
                <w:bCs/>
                <w:color w:val="000000" w:themeColor="text1"/>
                <w:kern w:val="2"/>
                <w:sz w:val="24"/>
                <w:szCs w:val="24"/>
                <w:highlight w:val="none"/>
                <w:lang w:eastAsia="zh-CN"/>
                <w14:textFill>
                  <w14:solidFill>
                    <w14:schemeClr w14:val="tx1"/>
                  </w14:solidFill>
                </w14:textFill>
              </w:rPr>
              <w:t>投标</w:t>
            </w:r>
            <w:r>
              <w:rPr>
                <w:rFonts w:hint="eastAsia" w:ascii="Times New Roman" w:hAnsi="Times New Roman"/>
                <w:b/>
                <w:bCs/>
                <w:color w:val="000000" w:themeColor="text1"/>
                <w:kern w:val="2"/>
                <w:sz w:val="24"/>
                <w:szCs w:val="24"/>
                <w:highlight w:val="none"/>
                <w14:textFill>
                  <w14:solidFill>
                    <w14:schemeClr w14:val="tx1"/>
                  </w14:solidFill>
                </w14:textFill>
              </w:rPr>
              <w:t>文件上传截止时间前使用《贵州六盘水市公共资源交易平台响应文件制作工具》制作加密电子</w:t>
            </w:r>
            <w:r>
              <w:rPr>
                <w:rFonts w:hint="eastAsia" w:ascii="Times New Roman" w:hAnsi="Times New Roman"/>
                <w:b/>
                <w:bCs/>
                <w:color w:val="000000" w:themeColor="text1"/>
                <w:kern w:val="2"/>
                <w:sz w:val="24"/>
                <w:szCs w:val="24"/>
                <w:highlight w:val="none"/>
                <w:lang w:eastAsia="zh-CN"/>
                <w14:textFill>
                  <w14:solidFill>
                    <w14:schemeClr w14:val="tx1"/>
                  </w14:solidFill>
                </w14:textFill>
              </w:rPr>
              <w:t>投标</w:t>
            </w:r>
            <w:r>
              <w:rPr>
                <w:rFonts w:hint="eastAsia" w:ascii="Times New Roman" w:hAnsi="Times New Roman"/>
                <w:b/>
                <w:bCs/>
                <w:color w:val="000000" w:themeColor="text1"/>
                <w:kern w:val="2"/>
                <w:sz w:val="24"/>
                <w:szCs w:val="24"/>
                <w:highlight w:val="none"/>
                <w14:textFill>
                  <w14:solidFill>
                    <w14:schemeClr w14:val="tx1"/>
                  </w14:solidFill>
                </w14:textFill>
              </w:rPr>
              <w:t>文件上传至六盘水市公共资源交易平台。加密电子</w:t>
            </w:r>
            <w:r>
              <w:rPr>
                <w:rFonts w:hint="eastAsia" w:ascii="Times New Roman" w:hAnsi="Times New Roman"/>
                <w:b/>
                <w:bCs/>
                <w:color w:val="000000" w:themeColor="text1"/>
                <w:kern w:val="2"/>
                <w:sz w:val="24"/>
                <w:szCs w:val="24"/>
                <w:highlight w:val="none"/>
                <w:lang w:eastAsia="zh-CN"/>
                <w14:textFill>
                  <w14:solidFill>
                    <w14:schemeClr w14:val="tx1"/>
                  </w14:solidFill>
                </w14:textFill>
              </w:rPr>
              <w:t>投标</w:t>
            </w:r>
            <w:r>
              <w:rPr>
                <w:rFonts w:hint="eastAsia" w:ascii="Times New Roman" w:hAnsi="Times New Roman"/>
                <w:b/>
                <w:bCs/>
                <w:color w:val="000000" w:themeColor="text1"/>
                <w:kern w:val="2"/>
                <w:sz w:val="24"/>
                <w:szCs w:val="24"/>
                <w:highlight w:val="none"/>
                <w14:textFill>
                  <w14:solidFill>
                    <w14:schemeClr w14:val="tx1"/>
                  </w14:solidFill>
                </w14:textFill>
              </w:rPr>
              <w:t>文件如未上传至交易平台，</w:t>
            </w:r>
            <w:r>
              <w:rPr>
                <w:rFonts w:hint="eastAsia" w:ascii="Times New Roman" w:hAnsi="Times New Roman"/>
                <w:b/>
                <w:bCs/>
                <w:color w:val="000000" w:themeColor="text1"/>
                <w:kern w:val="2"/>
                <w:sz w:val="24"/>
                <w:szCs w:val="24"/>
                <w:highlight w:val="none"/>
                <w:lang w:eastAsia="zh-CN"/>
                <w14:textFill>
                  <w14:solidFill>
                    <w14:schemeClr w14:val="tx1"/>
                  </w14:solidFill>
                </w14:textFill>
              </w:rPr>
              <w:t>投标人</w:t>
            </w:r>
            <w:r>
              <w:rPr>
                <w:rFonts w:hint="eastAsia" w:ascii="Times New Roman" w:hAnsi="Times New Roman"/>
                <w:b/>
                <w:bCs/>
                <w:color w:val="000000" w:themeColor="text1"/>
                <w:kern w:val="2"/>
                <w:sz w:val="24"/>
                <w:szCs w:val="24"/>
                <w:highlight w:val="none"/>
                <w14:textFill>
                  <w14:solidFill>
                    <w14:schemeClr w14:val="tx1"/>
                  </w14:solidFill>
                </w14:textFill>
              </w:rPr>
              <w:t>将无法参与</w:t>
            </w:r>
            <w:r>
              <w:rPr>
                <w:rFonts w:hint="eastAsia" w:ascii="Times New Roman" w:hAnsi="Times New Roman"/>
                <w:b/>
                <w:bCs/>
                <w:color w:val="000000" w:themeColor="text1"/>
                <w:kern w:val="2"/>
                <w:sz w:val="24"/>
                <w:szCs w:val="24"/>
                <w:highlight w:val="none"/>
                <w:lang w:eastAsia="zh-CN"/>
                <w14:textFill>
                  <w14:solidFill>
                    <w14:schemeClr w14:val="tx1"/>
                  </w14:solidFill>
                </w14:textFill>
              </w:rPr>
              <w:t>开标</w:t>
            </w:r>
            <w:r>
              <w:rPr>
                <w:rFonts w:hint="eastAsia" w:ascii="Times New Roman" w:hAnsi="Times New Roman"/>
                <w:b/>
                <w:bCs/>
                <w:color w:val="000000" w:themeColor="text1"/>
                <w:kern w:val="2"/>
                <w:sz w:val="24"/>
                <w:szCs w:val="24"/>
                <w:highlight w:val="none"/>
                <w14:textFill>
                  <w14:solidFill>
                    <w14:schemeClr w14:val="tx1"/>
                  </w14:solidFill>
                </w14:textFill>
              </w:rPr>
              <w:t>解密环节。</w:t>
            </w:r>
          </w:p>
          <w:p w14:paraId="7CB3EF8D">
            <w:pPr>
              <w:pStyle w:val="25"/>
              <w:numPr>
                <w:ilvl w:val="0"/>
                <w:numId w:val="0"/>
              </w:numPr>
              <w:spacing w:line="360" w:lineRule="auto"/>
              <w:rPr>
                <w:rFonts w:hint="default" w:ascii="Times New Roman" w:hAnsi="Times New Roman" w:cs="Times New Roman"/>
                <w:b/>
                <w:bCs/>
                <w:color w:val="auto"/>
                <w:kern w:val="2"/>
                <w:sz w:val="24"/>
                <w:szCs w:val="24"/>
                <w:highlight w:val="none"/>
                <w:lang w:val="en-US" w:eastAsia="zh-CN" w:bidi="ar-SA"/>
              </w:rPr>
            </w:pPr>
            <w:r>
              <w:rPr>
                <w:rFonts w:hint="eastAsia" w:ascii="Times New Roman" w:hAnsi="Times New Roman"/>
                <w:b/>
                <w:bCs/>
                <w:color w:val="000000" w:themeColor="text1"/>
                <w:kern w:val="2"/>
                <w:sz w:val="24"/>
                <w:szCs w:val="24"/>
                <w:highlight w:val="none"/>
                <w14:textFill>
                  <w14:solidFill>
                    <w14:schemeClr w14:val="tx1"/>
                  </w14:solidFill>
                </w14:textFill>
              </w:rPr>
              <w:t>（注：各</w:t>
            </w:r>
            <w:r>
              <w:rPr>
                <w:rFonts w:hint="eastAsia" w:ascii="Times New Roman" w:hAnsi="Times New Roman"/>
                <w:b/>
                <w:bCs/>
                <w:color w:val="000000" w:themeColor="text1"/>
                <w:kern w:val="2"/>
                <w:sz w:val="24"/>
                <w:szCs w:val="24"/>
                <w:highlight w:val="none"/>
                <w:lang w:eastAsia="zh-CN"/>
                <w14:textFill>
                  <w14:solidFill>
                    <w14:schemeClr w14:val="tx1"/>
                  </w14:solidFill>
                </w14:textFill>
              </w:rPr>
              <w:t>投标人</w:t>
            </w:r>
            <w:r>
              <w:rPr>
                <w:rFonts w:hint="eastAsia" w:ascii="Times New Roman" w:hAnsi="Times New Roman"/>
                <w:b/>
                <w:bCs/>
                <w:color w:val="000000" w:themeColor="text1"/>
                <w:kern w:val="2"/>
                <w:sz w:val="24"/>
                <w:szCs w:val="24"/>
                <w:highlight w:val="none"/>
                <w14:textFill>
                  <w14:solidFill>
                    <w14:schemeClr w14:val="tx1"/>
                  </w14:solidFill>
                </w14:textFill>
              </w:rPr>
              <w:t>自行在40分钟内远程解密</w:t>
            </w:r>
            <w:r>
              <w:rPr>
                <w:rFonts w:hint="eastAsia" w:ascii="Times New Roman" w:hAnsi="Times New Roman"/>
                <w:b/>
                <w:bCs/>
                <w:color w:val="000000" w:themeColor="text1"/>
                <w:kern w:val="2"/>
                <w:sz w:val="24"/>
                <w:szCs w:val="24"/>
                <w:highlight w:val="none"/>
                <w:lang w:eastAsia="zh-CN"/>
                <w14:textFill>
                  <w14:solidFill>
                    <w14:schemeClr w14:val="tx1"/>
                  </w14:solidFill>
                </w14:textFill>
              </w:rPr>
              <w:t>投标</w:t>
            </w:r>
            <w:r>
              <w:rPr>
                <w:rFonts w:hint="eastAsia" w:ascii="Times New Roman" w:hAnsi="Times New Roman"/>
                <w:b/>
                <w:bCs/>
                <w:color w:val="000000" w:themeColor="text1"/>
                <w:kern w:val="2"/>
                <w:sz w:val="24"/>
                <w:szCs w:val="24"/>
                <w:highlight w:val="none"/>
                <w14:textFill>
                  <w14:solidFill>
                    <w14:schemeClr w14:val="tx1"/>
                  </w14:solidFill>
                </w14:textFill>
              </w:rPr>
              <w:t>文件，超过时限的按无效</w:t>
            </w:r>
            <w:r>
              <w:rPr>
                <w:rFonts w:hint="eastAsia" w:ascii="Times New Roman" w:hAnsi="Times New Roman"/>
                <w:b/>
                <w:bCs/>
                <w:color w:val="000000" w:themeColor="text1"/>
                <w:kern w:val="2"/>
                <w:sz w:val="24"/>
                <w:szCs w:val="24"/>
                <w:highlight w:val="none"/>
                <w:lang w:eastAsia="zh-CN"/>
                <w14:textFill>
                  <w14:solidFill>
                    <w14:schemeClr w14:val="tx1"/>
                  </w14:solidFill>
                </w14:textFill>
              </w:rPr>
              <w:t>投标</w:t>
            </w:r>
            <w:r>
              <w:rPr>
                <w:rFonts w:hint="eastAsia" w:ascii="Times New Roman" w:hAnsi="Times New Roman"/>
                <w:b/>
                <w:bCs/>
                <w:color w:val="000000" w:themeColor="text1"/>
                <w:kern w:val="2"/>
                <w:sz w:val="24"/>
                <w:szCs w:val="24"/>
                <w:highlight w:val="none"/>
                <w14:textFill>
                  <w14:solidFill>
                    <w14:schemeClr w14:val="tx1"/>
                  </w14:solidFill>
                </w14:textFill>
              </w:rPr>
              <w:t>处理；解密完成后</w:t>
            </w:r>
            <w:r>
              <w:rPr>
                <w:rFonts w:hint="eastAsia" w:ascii="Times New Roman" w:hAnsi="Times New Roman"/>
                <w:b/>
                <w:bCs/>
                <w:color w:val="000000" w:themeColor="text1"/>
                <w:kern w:val="2"/>
                <w:sz w:val="24"/>
                <w:szCs w:val="24"/>
                <w:highlight w:val="none"/>
                <w:lang w:eastAsia="zh-CN"/>
                <w14:textFill>
                  <w14:solidFill>
                    <w14:schemeClr w14:val="tx1"/>
                  </w14:solidFill>
                </w14:textFill>
              </w:rPr>
              <w:t>投标人</w:t>
            </w:r>
            <w:r>
              <w:rPr>
                <w:rFonts w:hint="eastAsia" w:ascii="Times New Roman" w:hAnsi="Times New Roman"/>
                <w:b/>
                <w:bCs/>
                <w:color w:val="000000" w:themeColor="text1"/>
                <w:kern w:val="2"/>
                <w:sz w:val="24"/>
                <w:szCs w:val="24"/>
                <w:highlight w:val="none"/>
                <w14:textFill>
                  <w14:solidFill>
                    <w14:schemeClr w14:val="tx1"/>
                  </w14:solidFill>
                </w14:textFill>
              </w:rPr>
              <w:t>自行核对</w:t>
            </w:r>
            <w:r>
              <w:rPr>
                <w:rFonts w:hint="eastAsia" w:ascii="Times New Roman" w:hAnsi="Times New Roman"/>
                <w:b/>
                <w:bCs/>
                <w:color w:val="000000" w:themeColor="text1"/>
                <w:kern w:val="2"/>
                <w:sz w:val="24"/>
                <w:szCs w:val="24"/>
                <w:highlight w:val="none"/>
                <w:lang w:eastAsia="zh-CN"/>
                <w14:textFill>
                  <w14:solidFill>
                    <w14:schemeClr w14:val="tx1"/>
                  </w14:solidFill>
                </w14:textFill>
              </w:rPr>
              <w:t>开标</w:t>
            </w:r>
            <w:r>
              <w:rPr>
                <w:rFonts w:hint="eastAsia" w:ascii="Times New Roman" w:hAnsi="Times New Roman"/>
                <w:b/>
                <w:bCs/>
                <w:color w:val="000000" w:themeColor="text1"/>
                <w:kern w:val="2"/>
                <w:sz w:val="24"/>
                <w:szCs w:val="24"/>
                <w:highlight w:val="none"/>
                <w14:textFill>
                  <w14:solidFill>
                    <w14:schemeClr w14:val="tx1"/>
                  </w14:solidFill>
                </w14:textFill>
              </w:rPr>
              <w:t>记录表中内容，并在文字互动对话框中回复“已确认”，未回复且未提出异议的，视为无异议，认可</w:t>
            </w:r>
            <w:r>
              <w:rPr>
                <w:rFonts w:hint="eastAsia" w:ascii="Times New Roman" w:hAnsi="Times New Roman"/>
                <w:b/>
                <w:bCs/>
                <w:color w:val="000000" w:themeColor="text1"/>
                <w:kern w:val="2"/>
                <w:sz w:val="24"/>
                <w:szCs w:val="24"/>
                <w:highlight w:val="none"/>
                <w:lang w:eastAsia="zh-CN"/>
                <w14:textFill>
                  <w14:solidFill>
                    <w14:schemeClr w14:val="tx1"/>
                  </w14:solidFill>
                </w14:textFill>
              </w:rPr>
              <w:t>开标</w:t>
            </w:r>
            <w:r>
              <w:rPr>
                <w:rFonts w:hint="eastAsia" w:ascii="Times New Roman" w:hAnsi="Times New Roman"/>
                <w:b/>
                <w:bCs/>
                <w:color w:val="000000" w:themeColor="text1"/>
                <w:kern w:val="2"/>
                <w:sz w:val="24"/>
                <w:szCs w:val="24"/>
                <w:highlight w:val="none"/>
                <w14:textFill>
                  <w14:solidFill>
                    <w14:schemeClr w14:val="tx1"/>
                  </w14:solidFill>
                </w14:textFill>
              </w:rPr>
              <w:t>结果。如</w:t>
            </w:r>
            <w:r>
              <w:rPr>
                <w:rFonts w:hint="eastAsia" w:ascii="Times New Roman" w:hAnsi="Times New Roman"/>
                <w:b/>
                <w:bCs/>
                <w:color w:val="000000" w:themeColor="text1"/>
                <w:kern w:val="2"/>
                <w:sz w:val="24"/>
                <w:szCs w:val="24"/>
                <w:highlight w:val="none"/>
                <w:lang w:eastAsia="zh-CN"/>
                <w14:textFill>
                  <w14:solidFill>
                    <w14:schemeClr w14:val="tx1"/>
                  </w14:solidFill>
                </w14:textFill>
              </w:rPr>
              <w:t>开标</w:t>
            </w:r>
            <w:r>
              <w:rPr>
                <w:rFonts w:hint="eastAsia" w:ascii="Times New Roman" w:hAnsi="Times New Roman"/>
                <w:b/>
                <w:bCs/>
                <w:color w:val="000000" w:themeColor="text1"/>
                <w:kern w:val="2"/>
                <w:sz w:val="24"/>
                <w:szCs w:val="24"/>
                <w:highlight w:val="none"/>
                <w14:textFill>
                  <w14:solidFill>
                    <w14:schemeClr w14:val="tx1"/>
                  </w14:solidFill>
                </w14:textFill>
              </w:rPr>
              <w:t>过程中存在问题，请及时联系代理机构）</w:t>
            </w:r>
          </w:p>
        </w:tc>
      </w:tr>
      <w:tr w14:paraId="75C8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760" w:type="dxa"/>
            <w:vAlign w:val="center"/>
          </w:tcPr>
          <w:p w14:paraId="3E168E04">
            <w:pPr>
              <w:pStyle w:val="24"/>
              <w:spacing w:before="69" w:line="360" w:lineRule="auto"/>
              <w:ind w:left="157" w:right="157"/>
              <w:jc w:val="center"/>
              <w:rPr>
                <w:rFonts w:hint="eastAsia" w:eastAsia="宋体"/>
                <w:bCs/>
                <w:color w:val="auto"/>
                <w:w w:val="99"/>
                <w:sz w:val="24"/>
                <w:szCs w:val="24"/>
                <w:highlight w:val="none"/>
                <w:lang w:val="en-US" w:eastAsia="zh-CN"/>
              </w:rPr>
            </w:pPr>
            <w:r>
              <w:rPr>
                <w:rFonts w:hint="eastAsia"/>
                <w:bCs/>
                <w:color w:val="auto"/>
                <w:sz w:val="24"/>
                <w:szCs w:val="24"/>
                <w:highlight w:val="none"/>
                <w:lang w:val="en-US"/>
              </w:rPr>
              <w:t>1</w:t>
            </w:r>
            <w:r>
              <w:rPr>
                <w:rFonts w:hint="eastAsia"/>
                <w:bCs/>
                <w:color w:val="auto"/>
                <w:sz w:val="24"/>
                <w:szCs w:val="24"/>
                <w:highlight w:val="none"/>
                <w:lang w:val="en-US" w:eastAsia="zh-CN"/>
              </w:rPr>
              <w:t>5</w:t>
            </w:r>
          </w:p>
        </w:tc>
        <w:tc>
          <w:tcPr>
            <w:tcW w:w="1429" w:type="dxa"/>
            <w:vAlign w:val="center"/>
          </w:tcPr>
          <w:p w14:paraId="3A086CAD">
            <w:pPr>
              <w:pStyle w:val="24"/>
              <w:spacing w:before="69" w:line="360" w:lineRule="auto"/>
              <w:ind w:left="8"/>
              <w:jc w:val="center"/>
              <w:rPr>
                <w:bCs/>
                <w:color w:val="auto"/>
                <w:sz w:val="24"/>
                <w:szCs w:val="24"/>
                <w:highlight w:val="none"/>
              </w:rPr>
            </w:pPr>
            <w:r>
              <w:rPr>
                <w:bCs/>
                <w:color w:val="auto"/>
                <w:sz w:val="24"/>
                <w:szCs w:val="24"/>
                <w:highlight w:val="none"/>
              </w:rPr>
              <w:t>投标文件递交地点</w:t>
            </w:r>
          </w:p>
        </w:tc>
        <w:tc>
          <w:tcPr>
            <w:tcW w:w="8162" w:type="dxa"/>
            <w:vAlign w:val="center"/>
          </w:tcPr>
          <w:p w14:paraId="0FD40315">
            <w:pPr>
              <w:pStyle w:val="24"/>
              <w:spacing w:before="69" w:line="360" w:lineRule="auto"/>
              <w:ind w:left="107"/>
              <w:jc w:val="left"/>
              <w:rPr>
                <w:bCs/>
                <w:color w:val="auto"/>
                <w:sz w:val="24"/>
                <w:szCs w:val="24"/>
                <w:highlight w:val="none"/>
              </w:rPr>
            </w:pPr>
            <w:r>
              <w:rPr>
                <w:bCs/>
                <w:color w:val="auto"/>
                <w:sz w:val="24"/>
                <w:szCs w:val="24"/>
                <w:highlight w:val="none"/>
              </w:rPr>
              <w:t>六盘水市公共资源交易中心</w:t>
            </w:r>
          </w:p>
        </w:tc>
      </w:tr>
      <w:tr w14:paraId="1E69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760" w:type="dxa"/>
            <w:vAlign w:val="center"/>
          </w:tcPr>
          <w:p w14:paraId="378C48FC">
            <w:pPr>
              <w:pStyle w:val="24"/>
              <w:spacing w:before="69" w:line="360" w:lineRule="auto"/>
              <w:ind w:left="157" w:right="157"/>
              <w:jc w:val="center"/>
              <w:rPr>
                <w:rFonts w:hint="eastAsia" w:eastAsia="宋体"/>
                <w:bCs/>
                <w:color w:val="auto"/>
                <w:w w:val="99"/>
                <w:sz w:val="24"/>
                <w:szCs w:val="24"/>
                <w:highlight w:val="none"/>
                <w:lang w:val="en-US" w:eastAsia="zh-CN"/>
              </w:rPr>
            </w:pPr>
            <w:r>
              <w:rPr>
                <w:rFonts w:hint="eastAsia"/>
                <w:bCs/>
                <w:color w:val="auto"/>
                <w:sz w:val="24"/>
                <w:szCs w:val="24"/>
                <w:highlight w:val="none"/>
                <w:lang w:val="en-US"/>
              </w:rPr>
              <w:t>1</w:t>
            </w:r>
            <w:r>
              <w:rPr>
                <w:rFonts w:hint="eastAsia"/>
                <w:bCs/>
                <w:color w:val="auto"/>
                <w:sz w:val="24"/>
                <w:szCs w:val="24"/>
                <w:highlight w:val="none"/>
                <w:lang w:val="en-US" w:eastAsia="zh-CN"/>
              </w:rPr>
              <w:t>6</w:t>
            </w:r>
          </w:p>
        </w:tc>
        <w:tc>
          <w:tcPr>
            <w:tcW w:w="1429" w:type="dxa"/>
            <w:vAlign w:val="center"/>
          </w:tcPr>
          <w:p w14:paraId="4B9E567C">
            <w:pPr>
              <w:pStyle w:val="24"/>
              <w:spacing w:before="69" w:line="360" w:lineRule="auto"/>
              <w:ind w:left="5"/>
              <w:jc w:val="center"/>
              <w:rPr>
                <w:bCs/>
                <w:color w:val="auto"/>
                <w:sz w:val="24"/>
                <w:szCs w:val="24"/>
                <w:highlight w:val="none"/>
              </w:rPr>
            </w:pPr>
            <w:r>
              <w:rPr>
                <w:bCs/>
                <w:color w:val="auto"/>
                <w:sz w:val="24"/>
                <w:szCs w:val="24"/>
                <w:highlight w:val="none"/>
              </w:rPr>
              <w:t>投标截止时间</w:t>
            </w:r>
          </w:p>
        </w:tc>
        <w:tc>
          <w:tcPr>
            <w:tcW w:w="8162" w:type="dxa"/>
            <w:vAlign w:val="center"/>
          </w:tcPr>
          <w:p w14:paraId="11AD8444">
            <w:pPr>
              <w:pStyle w:val="24"/>
              <w:spacing w:before="69" w:line="360" w:lineRule="auto"/>
              <w:ind w:left="107"/>
              <w:jc w:val="left"/>
              <w:rPr>
                <w:bCs/>
                <w:color w:val="auto"/>
                <w:sz w:val="24"/>
                <w:szCs w:val="24"/>
                <w:highlight w:val="none"/>
              </w:rPr>
            </w:pPr>
            <w:r>
              <w:rPr>
                <w:bCs/>
                <w:color w:val="auto"/>
                <w:sz w:val="24"/>
                <w:szCs w:val="24"/>
                <w:highlight w:val="none"/>
              </w:rPr>
              <w:t>以发布的公告上的时间为准</w:t>
            </w:r>
          </w:p>
        </w:tc>
      </w:tr>
      <w:tr w14:paraId="0DE5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760" w:type="dxa"/>
            <w:vAlign w:val="center"/>
          </w:tcPr>
          <w:p w14:paraId="0FAA0F8E">
            <w:pPr>
              <w:pStyle w:val="24"/>
              <w:spacing w:before="178" w:line="360" w:lineRule="auto"/>
              <w:ind w:right="157"/>
              <w:jc w:val="center"/>
              <w:rPr>
                <w:rFonts w:hint="eastAsia" w:eastAsia="宋体"/>
                <w:bCs/>
                <w:color w:val="auto"/>
                <w:w w:val="99"/>
                <w:sz w:val="24"/>
                <w:szCs w:val="24"/>
                <w:highlight w:val="none"/>
                <w:lang w:val="en-US" w:eastAsia="zh-CN"/>
              </w:rPr>
            </w:pPr>
            <w:r>
              <w:rPr>
                <w:rFonts w:hint="eastAsia"/>
                <w:bCs/>
                <w:color w:val="auto"/>
                <w:sz w:val="24"/>
                <w:szCs w:val="24"/>
                <w:highlight w:val="none"/>
                <w:lang w:val="en-US"/>
              </w:rPr>
              <w:t>1</w:t>
            </w:r>
            <w:r>
              <w:rPr>
                <w:rFonts w:hint="eastAsia"/>
                <w:bCs/>
                <w:color w:val="auto"/>
                <w:sz w:val="24"/>
                <w:szCs w:val="24"/>
                <w:highlight w:val="none"/>
                <w:lang w:val="en-US" w:eastAsia="zh-CN"/>
              </w:rPr>
              <w:t>7</w:t>
            </w:r>
          </w:p>
        </w:tc>
        <w:tc>
          <w:tcPr>
            <w:tcW w:w="1429" w:type="dxa"/>
            <w:vAlign w:val="center"/>
          </w:tcPr>
          <w:p w14:paraId="100E7334">
            <w:pPr>
              <w:pStyle w:val="24"/>
              <w:spacing w:before="178" w:line="360" w:lineRule="auto"/>
              <w:jc w:val="center"/>
              <w:rPr>
                <w:bCs/>
                <w:color w:val="auto"/>
                <w:sz w:val="24"/>
                <w:szCs w:val="24"/>
                <w:highlight w:val="none"/>
              </w:rPr>
            </w:pPr>
            <w:r>
              <w:rPr>
                <w:bCs/>
                <w:color w:val="auto"/>
                <w:sz w:val="24"/>
                <w:szCs w:val="24"/>
                <w:highlight w:val="none"/>
              </w:rPr>
              <w:t>开标时间</w:t>
            </w:r>
          </w:p>
        </w:tc>
        <w:tc>
          <w:tcPr>
            <w:tcW w:w="8162" w:type="dxa"/>
          </w:tcPr>
          <w:p w14:paraId="76438FBD">
            <w:pPr>
              <w:pStyle w:val="24"/>
              <w:spacing w:before="70" w:line="360" w:lineRule="auto"/>
              <w:ind w:left="108"/>
              <w:rPr>
                <w:bCs/>
                <w:color w:val="auto"/>
                <w:sz w:val="24"/>
                <w:szCs w:val="24"/>
                <w:highlight w:val="none"/>
              </w:rPr>
            </w:pPr>
            <w:r>
              <w:rPr>
                <w:bCs/>
                <w:color w:val="auto"/>
                <w:sz w:val="24"/>
                <w:szCs w:val="24"/>
                <w:highlight w:val="none"/>
              </w:rPr>
              <w:t>开标时间：以发布的公告上的时间为准</w:t>
            </w:r>
          </w:p>
        </w:tc>
      </w:tr>
      <w:tr w14:paraId="3DA4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60" w:type="dxa"/>
            <w:vAlign w:val="center"/>
          </w:tcPr>
          <w:p w14:paraId="0B891838">
            <w:pPr>
              <w:pStyle w:val="24"/>
              <w:spacing w:line="360" w:lineRule="auto"/>
              <w:ind w:right="157"/>
              <w:jc w:val="center"/>
              <w:rPr>
                <w:rFonts w:hint="default" w:eastAsia="宋体"/>
                <w:bCs/>
                <w:color w:val="auto"/>
                <w:w w:val="99"/>
                <w:sz w:val="24"/>
                <w:szCs w:val="24"/>
                <w:highlight w:val="none"/>
                <w:lang w:val="en-US" w:eastAsia="zh-CN"/>
              </w:rPr>
            </w:pPr>
            <w:r>
              <w:rPr>
                <w:rFonts w:hint="eastAsia"/>
                <w:bCs/>
                <w:color w:val="auto"/>
                <w:sz w:val="24"/>
                <w:szCs w:val="24"/>
                <w:highlight w:val="none"/>
                <w:lang w:val="en-US" w:eastAsia="zh-CN"/>
              </w:rPr>
              <w:t>18</w:t>
            </w:r>
          </w:p>
        </w:tc>
        <w:tc>
          <w:tcPr>
            <w:tcW w:w="1429" w:type="dxa"/>
          </w:tcPr>
          <w:p w14:paraId="57BB565D">
            <w:pPr>
              <w:pStyle w:val="24"/>
              <w:spacing w:line="360" w:lineRule="auto"/>
              <w:jc w:val="center"/>
              <w:rPr>
                <w:rFonts w:hint="default" w:eastAsia="宋体"/>
                <w:bCs/>
                <w:color w:val="auto"/>
                <w:sz w:val="24"/>
                <w:szCs w:val="24"/>
                <w:highlight w:val="none"/>
                <w:lang w:val="en-US" w:eastAsia="zh-CN"/>
              </w:rPr>
            </w:pPr>
            <w:r>
              <w:rPr>
                <w:rFonts w:hint="eastAsia"/>
                <w:bCs/>
                <w:color w:val="auto"/>
                <w:sz w:val="24"/>
                <w:szCs w:val="24"/>
                <w:highlight w:val="none"/>
                <w:lang w:val="en-US" w:eastAsia="zh-CN"/>
              </w:rPr>
              <w:t>开标地点</w:t>
            </w:r>
          </w:p>
        </w:tc>
        <w:tc>
          <w:tcPr>
            <w:tcW w:w="8162" w:type="dxa"/>
          </w:tcPr>
          <w:p w14:paraId="24FA9023">
            <w:pPr>
              <w:pStyle w:val="24"/>
              <w:spacing w:before="8" w:line="360" w:lineRule="auto"/>
              <w:ind w:right="65"/>
              <w:rPr>
                <w:rFonts w:hint="eastAsia" w:eastAsia="宋体"/>
                <w:bCs/>
                <w:color w:val="auto"/>
                <w:sz w:val="24"/>
                <w:szCs w:val="24"/>
                <w:highlight w:val="none"/>
                <w:lang w:eastAsia="zh-CN"/>
              </w:rPr>
            </w:pPr>
            <w:r>
              <w:rPr>
                <w:bCs/>
                <w:color w:val="auto"/>
                <w:spacing w:val="-4"/>
                <w:sz w:val="24"/>
                <w:szCs w:val="24"/>
                <w:highlight w:val="none"/>
              </w:rPr>
              <w:t>开标地点：</w:t>
            </w:r>
            <w:r>
              <w:rPr>
                <w:rFonts w:hint="eastAsia" w:ascii="Times New Roman" w:hAnsi="Times New Roman" w:cs="Times New Roman"/>
                <w:b/>
                <w:bCs/>
                <w:color w:val="000000" w:themeColor="text1"/>
                <w:sz w:val="24"/>
                <w:szCs w:val="24"/>
                <w:highlight w:val="none"/>
                <w:lang w:val="en-US" w:eastAsia="zh-CN" w:bidi="ar-SA"/>
                <w14:textFill>
                  <w14:solidFill>
                    <w14:schemeClr w14:val="tx1"/>
                  </w14:solidFill>
                </w14:textFill>
              </w:rPr>
              <w:t>不见面开标大厅</w:t>
            </w:r>
          </w:p>
        </w:tc>
      </w:tr>
      <w:tr w14:paraId="5719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60" w:type="dxa"/>
            <w:vAlign w:val="center"/>
          </w:tcPr>
          <w:p w14:paraId="1114BD26">
            <w:pPr>
              <w:pStyle w:val="24"/>
              <w:spacing w:line="360" w:lineRule="auto"/>
              <w:ind w:right="157"/>
              <w:jc w:val="center"/>
              <w:rPr>
                <w:rFonts w:hint="default" w:eastAsia="宋体"/>
                <w:bCs/>
                <w:color w:val="auto"/>
                <w:w w:val="99"/>
                <w:sz w:val="24"/>
                <w:szCs w:val="24"/>
                <w:highlight w:val="none"/>
                <w:lang w:val="en-US" w:eastAsia="zh-CN"/>
              </w:rPr>
            </w:pPr>
            <w:r>
              <w:rPr>
                <w:rFonts w:hint="eastAsia"/>
                <w:bCs/>
                <w:color w:val="auto"/>
                <w:sz w:val="24"/>
                <w:szCs w:val="24"/>
                <w:highlight w:val="none"/>
                <w:lang w:val="en-US" w:eastAsia="zh-CN"/>
              </w:rPr>
              <w:t>19</w:t>
            </w:r>
          </w:p>
        </w:tc>
        <w:tc>
          <w:tcPr>
            <w:tcW w:w="1429" w:type="dxa"/>
            <w:vAlign w:val="center"/>
          </w:tcPr>
          <w:p w14:paraId="0136F8F1">
            <w:pPr>
              <w:pStyle w:val="24"/>
              <w:spacing w:line="360" w:lineRule="auto"/>
              <w:jc w:val="center"/>
              <w:rPr>
                <w:bCs/>
                <w:color w:val="auto"/>
                <w:sz w:val="24"/>
                <w:szCs w:val="24"/>
                <w:highlight w:val="none"/>
              </w:rPr>
            </w:pPr>
            <w:r>
              <w:rPr>
                <w:bCs/>
                <w:color w:val="auto"/>
                <w:sz w:val="24"/>
                <w:szCs w:val="24"/>
                <w:highlight w:val="none"/>
              </w:rPr>
              <w:t>发布公告的媒介</w:t>
            </w:r>
          </w:p>
        </w:tc>
        <w:tc>
          <w:tcPr>
            <w:tcW w:w="8162" w:type="dxa"/>
          </w:tcPr>
          <w:p w14:paraId="5A6AE07E">
            <w:pPr>
              <w:pStyle w:val="24"/>
              <w:spacing w:before="6" w:line="360" w:lineRule="auto"/>
              <w:ind w:right="85"/>
              <w:rPr>
                <w:rFonts w:hint="eastAsia" w:eastAsia="宋体"/>
                <w:bCs/>
                <w:color w:val="auto"/>
                <w:sz w:val="24"/>
                <w:szCs w:val="24"/>
                <w:highlight w:val="none"/>
                <w:lang w:eastAsia="zh-CN"/>
              </w:rPr>
            </w:pPr>
            <w:r>
              <w:rPr>
                <w:rFonts w:hint="eastAsia"/>
                <w:bCs/>
                <w:color w:val="auto"/>
                <w:spacing w:val="-5"/>
                <w:sz w:val="24"/>
                <w:szCs w:val="24"/>
                <w:highlight w:val="none"/>
              </w:rPr>
              <w:t>全国公共资源交易平台(贵州省·六盘水市)、贵州</w:t>
            </w:r>
            <w:r>
              <w:rPr>
                <w:rFonts w:hint="eastAsia"/>
                <w:bCs/>
                <w:color w:val="auto"/>
                <w:spacing w:val="-5"/>
                <w:sz w:val="24"/>
                <w:szCs w:val="24"/>
                <w:highlight w:val="none"/>
                <w:lang w:eastAsia="zh-CN"/>
              </w:rPr>
              <w:t>政府采购网</w:t>
            </w:r>
          </w:p>
        </w:tc>
      </w:tr>
      <w:tr w14:paraId="64FC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trPr>
        <w:tc>
          <w:tcPr>
            <w:tcW w:w="760" w:type="dxa"/>
            <w:vAlign w:val="center"/>
          </w:tcPr>
          <w:p w14:paraId="53935C3E">
            <w:pPr>
              <w:pStyle w:val="24"/>
              <w:spacing w:line="360" w:lineRule="auto"/>
              <w:jc w:val="center"/>
              <w:rPr>
                <w:rFonts w:ascii="Times New Roman"/>
                <w:bCs/>
                <w:color w:val="auto"/>
                <w:sz w:val="24"/>
                <w:szCs w:val="24"/>
                <w:highlight w:val="none"/>
              </w:rPr>
            </w:pPr>
          </w:p>
          <w:p w14:paraId="2E98F50D">
            <w:pPr>
              <w:pStyle w:val="24"/>
              <w:spacing w:line="360" w:lineRule="auto"/>
              <w:jc w:val="center"/>
              <w:rPr>
                <w:rFonts w:ascii="Times New Roman"/>
                <w:bCs/>
                <w:color w:val="auto"/>
                <w:sz w:val="24"/>
                <w:szCs w:val="24"/>
                <w:highlight w:val="none"/>
              </w:rPr>
            </w:pPr>
          </w:p>
          <w:p w14:paraId="1A9DBA6B">
            <w:pPr>
              <w:pStyle w:val="24"/>
              <w:spacing w:before="6" w:line="360" w:lineRule="auto"/>
              <w:jc w:val="center"/>
              <w:rPr>
                <w:rFonts w:ascii="Times New Roman"/>
                <w:bCs/>
                <w:color w:val="auto"/>
                <w:sz w:val="24"/>
                <w:szCs w:val="24"/>
                <w:highlight w:val="none"/>
              </w:rPr>
            </w:pPr>
          </w:p>
          <w:p w14:paraId="23DCA19C">
            <w:pPr>
              <w:pStyle w:val="24"/>
              <w:spacing w:line="360" w:lineRule="auto"/>
              <w:ind w:left="157" w:right="157"/>
              <w:jc w:val="center"/>
              <w:rPr>
                <w:rFonts w:hint="eastAsia" w:eastAsia="宋体"/>
                <w:bCs/>
                <w:color w:val="auto"/>
                <w:w w:val="99"/>
                <w:sz w:val="24"/>
                <w:szCs w:val="24"/>
                <w:highlight w:val="none"/>
                <w:lang w:val="en-US" w:eastAsia="zh-CN"/>
              </w:rPr>
            </w:pPr>
            <w:r>
              <w:rPr>
                <w:rFonts w:hint="eastAsia"/>
                <w:bCs/>
                <w:color w:val="auto"/>
                <w:sz w:val="24"/>
                <w:szCs w:val="24"/>
                <w:highlight w:val="none"/>
                <w:lang w:val="en-US"/>
              </w:rPr>
              <w:t>2</w:t>
            </w:r>
            <w:r>
              <w:rPr>
                <w:rFonts w:hint="eastAsia"/>
                <w:bCs/>
                <w:color w:val="auto"/>
                <w:sz w:val="24"/>
                <w:szCs w:val="24"/>
                <w:highlight w:val="none"/>
                <w:lang w:val="en-US" w:eastAsia="zh-CN"/>
              </w:rPr>
              <w:t>0</w:t>
            </w:r>
          </w:p>
        </w:tc>
        <w:tc>
          <w:tcPr>
            <w:tcW w:w="1429" w:type="dxa"/>
            <w:vAlign w:val="center"/>
          </w:tcPr>
          <w:p w14:paraId="6685B5A1">
            <w:pPr>
              <w:pStyle w:val="24"/>
              <w:spacing w:line="360" w:lineRule="auto"/>
              <w:jc w:val="center"/>
              <w:rPr>
                <w:rFonts w:ascii="Times New Roman"/>
                <w:bCs/>
                <w:color w:val="auto"/>
                <w:sz w:val="24"/>
                <w:szCs w:val="24"/>
                <w:highlight w:val="none"/>
              </w:rPr>
            </w:pPr>
          </w:p>
          <w:p w14:paraId="4E5B425E">
            <w:pPr>
              <w:pStyle w:val="24"/>
              <w:spacing w:before="6" w:line="360" w:lineRule="auto"/>
              <w:jc w:val="center"/>
              <w:rPr>
                <w:rFonts w:ascii="Times New Roman"/>
                <w:bCs/>
                <w:color w:val="auto"/>
                <w:sz w:val="24"/>
                <w:szCs w:val="24"/>
                <w:highlight w:val="none"/>
              </w:rPr>
            </w:pPr>
          </w:p>
          <w:p w14:paraId="0C0D7556">
            <w:pPr>
              <w:pStyle w:val="24"/>
              <w:spacing w:line="360" w:lineRule="auto"/>
              <w:ind w:left="10"/>
              <w:jc w:val="center"/>
              <w:rPr>
                <w:bCs/>
                <w:color w:val="auto"/>
                <w:sz w:val="24"/>
                <w:szCs w:val="24"/>
                <w:highlight w:val="none"/>
              </w:rPr>
            </w:pPr>
            <w:r>
              <w:rPr>
                <w:bCs/>
                <w:color w:val="auto"/>
                <w:sz w:val="24"/>
                <w:szCs w:val="24"/>
                <w:highlight w:val="none"/>
              </w:rPr>
              <w:t>投标保证金</w:t>
            </w:r>
          </w:p>
        </w:tc>
        <w:tc>
          <w:tcPr>
            <w:tcW w:w="8162" w:type="dxa"/>
          </w:tcPr>
          <w:p w14:paraId="26318889">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投标保证金</w:t>
            </w:r>
            <w:r>
              <w:rPr>
                <w:rFonts w:hint="eastAsia" w:ascii="宋体" w:hAnsi="宋体" w:cs="宋体"/>
                <w:color w:val="000000" w:themeColor="text1"/>
                <w:sz w:val="24"/>
                <w:szCs w:val="24"/>
                <w:highlight w:val="none"/>
                <w14:textFill>
                  <w14:solidFill>
                    <w14:schemeClr w14:val="tx1"/>
                  </w14:solidFill>
                </w14:textFill>
              </w:rPr>
              <w:t>额(元)：</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0000.00</w:t>
            </w:r>
          </w:p>
          <w:p w14:paraId="4F858022">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投标保证金</w:t>
            </w:r>
            <w:r>
              <w:rPr>
                <w:rFonts w:hint="eastAsia" w:ascii="宋体" w:hAnsi="宋体" w:cs="宋体"/>
                <w:color w:val="000000" w:themeColor="text1"/>
                <w:sz w:val="24"/>
                <w:szCs w:val="24"/>
                <w:highlight w:val="none"/>
                <w14:textFill>
                  <w14:solidFill>
                    <w14:schemeClr w14:val="tx1"/>
                  </w14:solidFill>
                </w14:textFill>
              </w:rPr>
              <w:t>缴纳时间：202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日17:00至202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日9:30</w:t>
            </w:r>
          </w:p>
          <w:p w14:paraId="69492987">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投标保证金</w:t>
            </w:r>
            <w:r>
              <w:rPr>
                <w:rFonts w:hint="eastAsia" w:ascii="宋体" w:hAnsi="宋体" w:cs="宋体"/>
                <w:color w:val="000000" w:themeColor="text1"/>
                <w:sz w:val="24"/>
                <w:szCs w:val="24"/>
                <w:highlight w:val="none"/>
                <w14:textFill>
                  <w14:solidFill>
                    <w14:schemeClr w14:val="tx1"/>
                  </w14:solidFill>
                </w14:textFill>
              </w:rPr>
              <w:t>缴纳方式：银行转账、银行保函、保证保险</w:t>
            </w:r>
          </w:p>
          <w:p w14:paraId="5FC1AC7F">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注：电子保函的</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可选择六盘水市公共资源网上交易系统在线通过金融平台申请开具</w:t>
            </w:r>
            <w:r>
              <w:rPr>
                <w:rFonts w:hint="eastAsia" w:ascii="宋体" w:hAnsi="宋体" w:cs="宋体"/>
                <w:color w:val="000000" w:themeColor="text1"/>
                <w:sz w:val="24"/>
                <w:szCs w:val="24"/>
                <w:highlight w:val="none"/>
                <w:lang w:eastAsia="zh-CN"/>
                <w14:textFill>
                  <w14:solidFill>
                    <w14:schemeClr w14:val="tx1"/>
                  </w14:solidFill>
                </w14:textFill>
              </w:rPr>
              <w:t>投标保证金</w:t>
            </w:r>
            <w:r>
              <w:rPr>
                <w:rFonts w:hint="eastAsia" w:ascii="宋体" w:hAnsi="宋体" w:cs="宋体"/>
                <w:color w:val="000000" w:themeColor="text1"/>
                <w:sz w:val="24"/>
                <w:szCs w:val="24"/>
                <w:highlight w:val="none"/>
                <w14:textFill>
                  <w14:solidFill>
                    <w14:schemeClr w14:val="tx1"/>
                  </w14:solidFill>
                </w14:textFill>
              </w:rPr>
              <w:t>保函，电子保函开具成功方可</w:t>
            </w:r>
            <w:r>
              <w:rPr>
                <w:rFonts w:hint="eastAsia" w:ascii="宋体" w:hAnsi="宋体" w:cs="宋体"/>
                <w:color w:val="000000" w:themeColor="text1"/>
                <w:sz w:val="24"/>
                <w:szCs w:val="24"/>
                <w:highlight w:val="none"/>
                <w:lang w:eastAsia="zh-CN"/>
                <w14:textFill>
                  <w14:solidFill>
                    <w14:schemeClr w14:val="tx1"/>
                  </w14:solidFill>
                </w14:textFill>
              </w:rPr>
              <w:t>参与投标</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投标</w:t>
            </w:r>
            <w:r>
              <w:rPr>
                <w:rFonts w:hint="eastAsia" w:ascii="宋体" w:hAnsi="宋体" w:cs="宋体"/>
                <w:color w:val="000000" w:themeColor="text1"/>
                <w:sz w:val="24"/>
                <w:szCs w:val="24"/>
                <w:highlight w:val="none"/>
                <w14:textFill>
                  <w14:solidFill>
                    <w14:schemeClr w14:val="tx1"/>
                  </w14:solidFill>
                </w14:textFill>
              </w:rPr>
              <w:t>时，银行转账或电子保函以六盘水市公共资源网上交易系统保证金入账清单及电子保函查询结果为准。)</w:t>
            </w:r>
          </w:p>
          <w:p w14:paraId="1FC5720E">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.1.为防止围标、串标，</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报名通过后需及时从基本户汇出保证金，保证金必须于响应文件递交截止时间前到账，</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应充分考虑到不同银行间资金到账时间上的风险、银行对公账户工作时间、</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书写错误等原因导致系统回退保证金等情况，保证金未按规定时间足额到账的，不论任何理由，其</w:t>
            </w:r>
            <w:r>
              <w:rPr>
                <w:rFonts w:hint="eastAsia" w:ascii="宋体" w:hAnsi="宋体" w:cs="宋体"/>
                <w:color w:val="000000" w:themeColor="text1"/>
                <w:sz w:val="24"/>
                <w:szCs w:val="24"/>
                <w:highlight w:val="none"/>
                <w:lang w:eastAsia="zh-CN"/>
                <w14:textFill>
                  <w14:solidFill>
                    <w14:schemeClr w14:val="tx1"/>
                  </w14:solidFill>
                </w14:textFill>
              </w:rPr>
              <w:t>投标</w:t>
            </w:r>
            <w:r>
              <w:rPr>
                <w:rFonts w:hint="eastAsia" w:ascii="宋体" w:hAnsi="宋体" w:cs="宋体"/>
                <w:color w:val="000000" w:themeColor="text1"/>
                <w:sz w:val="24"/>
                <w:szCs w:val="24"/>
                <w:highlight w:val="none"/>
                <w14:textFill>
                  <w14:solidFill>
                    <w14:schemeClr w14:val="tx1"/>
                  </w14:solidFill>
                </w14:textFill>
              </w:rPr>
              <w:t>将不受采购人接受。</w:t>
            </w:r>
          </w:p>
          <w:p w14:paraId="529C399F">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3.2.未</w:t>
            </w:r>
            <w:r>
              <w:rPr>
                <w:rFonts w:hint="eastAsia" w:ascii="宋体" w:hAnsi="宋体" w:cs="宋体"/>
                <w:color w:val="000000" w:themeColor="text1"/>
                <w:sz w:val="24"/>
                <w:szCs w:val="24"/>
                <w:highlight w:val="none"/>
                <w:lang w:eastAsia="zh-CN"/>
                <w14:textFill>
                  <w14:solidFill>
                    <w14:schemeClr w14:val="tx1"/>
                  </w14:solidFill>
                </w14:textFill>
              </w:rPr>
              <w:t>中标投标人</w:t>
            </w:r>
            <w:r>
              <w:rPr>
                <w:rFonts w:hint="eastAsia" w:ascii="宋体" w:hAnsi="宋体" w:cs="宋体"/>
                <w:color w:val="000000" w:themeColor="text1"/>
                <w:sz w:val="24"/>
                <w:szCs w:val="24"/>
                <w:highlight w:val="none"/>
                <w14:textFill>
                  <w14:solidFill>
                    <w14:schemeClr w14:val="tx1"/>
                  </w14:solidFill>
                </w14:textFill>
              </w:rPr>
              <w:t>保证金退还：项目评审公示期结束后，</w:t>
            </w:r>
            <w:r>
              <w:rPr>
                <w:rFonts w:hint="eastAsia" w:ascii="宋体" w:hAnsi="宋体" w:cs="宋体"/>
                <w:color w:val="000000" w:themeColor="text1"/>
                <w:sz w:val="24"/>
                <w:szCs w:val="24"/>
                <w:highlight w:val="none"/>
                <w:lang w:eastAsia="zh-CN"/>
                <w14:textFill>
                  <w14:solidFill>
                    <w14:schemeClr w14:val="tx1"/>
                  </w14:solidFill>
                </w14:textFill>
              </w:rPr>
              <w:t>未中标投标人</w:t>
            </w:r>
            <w:r>
              <w:rPr>
                <w:rFonts w:hint="eastAsia" w:ascii="宋体" w:hAnsi="宋体" w:cs="宋体"/>
                <w:color w:val="000000" w:themeColor="text1"/>
                <w:sz w:val="24"/>
                <w:szCs w:val="24"/>
                <w:highlight w:val="none"/>
                <w14:textFill>
                  <w14:solidFill>
                    <w14:schemeClr w14:val="tx1"/>
                  </w14:solidFill>
                </w14:textFill>
              </w:rPr>
              <w:t>符合退款要求的，在公示结束5个工作日内发起退款申请，</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自行确认收款账户信息无误，项目经理确定退款金额，中心财务核退保证金，全程由相关人员在系统中点击完成，保证金退款名单将不再公布。</w:t>
            </w:r>
          </w:p>
          <w:p w14:paraId="796D7948">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3.3.成交</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保证金退还：成交</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在与采购人签署项目成交合同和采购代理机构办理项目交易确认书后，采购代理机构按上述流程进行退款。</w:t>
            </w:r>
          </w:p>
          <w:p w14:paraId="7539DCC6">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3.4.为进一步加强保密工作及方便</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，响应文件中可以不附</w:t>
            </w:r>
            <w:r>
              <w:rPr>
                <w:rFonts w:hint="eastAsia" w:ascii="宋体" w:hAnsi="宋体" w:cs="宋体"/>
                <w:color w:val="000000" w:themeColor="text1"/>
                <w:sz w:val="24"/>
                <w:szCs w:val="24"/>
                <w:highlight w:val="none"/>
                <w:lang w:eastAsia="zh-CN"/>
                <w14:textFill>
                  <w14:solidFill>
                    <w14:schemeClr w14:val="tx1"/>
                  </w14:solidFill>
                </w14:textFill>
              </w:rPr>
              <w:t>投标保证金</w:t>
            </w:r>
            <w:r>
              <w:rPr>
                <w:rFonts w:hint="eastAsia" w:ascii="宋体" w:hAnsi="宋体" w:cs="宋体"/>
                <w:color w:val="000000" w:themeColor="text1"/>
                <w:sz w:val="24"/>
                <w:szCs w:val="24"/>
                <w:highlight w:val="none"/>
                <w14:textFill>
                  <w14:solidFill>
                    <w14:schemeClr w14:val="tx1"/>
                  </w14:solidFill>
                </w14:textFill>
              </w:rPr>
              <w:t>收据复印件或扫描件，具体</w:t>
            </w:r>
            <w:r>
              <w:rPr>
                <w:rFonts w:hint="eastAsia" w:ascii="宋体" w:hAnsi="宋体" w:cs="宋体"/>
                <w:color w:val="000000" w:themeColor="text1"/>
                <w:sz w:val="24"/>
                <w:szCs w:val="24"/>
                <w:highlight w:val="none"/>
                <w:lang w:eastAsia="zh-CN"/>
                <w14:textFill>
                  <w14:solidFill>
                    <w14:schemeClr w14:val="tx1"/>
                  </w14:solidFill>
                </w14:textFill>
              </w:rPr>
              <w:t>投标保证金</w:t>
            </w:r>
            <w:r>
              <w:rPr>
                <w:rFonts w:hint="eastAsia" w:ascii="宋体" w:hAnsi="宋体" w:cs="宋体"/>
                <w:color w:val="000000" w:themeColor="text1"/>
                <w:sz w:val="24"/>
                <w:szCs w:val="24"/>
                <w:highlight w:val="none"/>
                <w14:textFill>
                  <w14:solidFill>
                    <w14:schemeClr w14:val="tx1"/>
                  </w14:solidFill>
                </w14:textFill>
              </w:rPr>
              <w:t>缴纳信息以银行系统实际到账情况为准。</w:t>
            </w:r>
          </w:p>
          <w:p w14:paraId="101BB405">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4.采用担保函、电子保函的按如下要求递交：</w:t>
            </w:r>
          </w:p>
          <w:p w14:paraId="6311E4AE">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可在六盘水市公共资源交易系统在线申请开具电子保函。</w:t>
            </w:r>
          </w:p>
          <w:p w14:paraId="07FC2FF0">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4.2.电子保函开具成功方可参与</w:t>
            </w:r>
            <w:r>
              <w:rPr>
                <w:rFonts w:hint="eastAsia" w:ascii="宋体" w:hAnsi="宋体" w:cs="宋体"/>
                <w:color w:val="000000" w:themeColor="text1"/>
                <w:sz w:val="24"/>
                <w:szCs w:val="24"/>
                <w:highlight w:val="none"/>
                <w:lang w:eastAsia="zh-CN"/>
                <w14:textFill>
                  <w14:solidFill>
                    <w14:schemeClr w14:val="tx1"/>
                  </w14:solidFill>
                </w14:textFill>
              </w:rPr>
              <w:t>投标</w:t>
            </w:r>
            <w:r>
              <w:rPr>
                <w:rFonts w:hint="eastAsia" w:ascii="宋体" w:hAnsi="宋体" w:cs="宋体"/>
                <w:color w:val="000000" w:themeColor="text1"/>
                <w:sz w:val="24"/>
                <w:szCs w:val="24"/>
                <w:highlight w:val="none"/>
                <w14:textFill>
                  <w14:solidFill>
                    <w14:schemeClr w14:val="tx1"/>
                  </w14:solidFill>
                </w14:textFill>
              </w:rPr>
              <w:t>，开标前以六盘水市公共资源交易系统电子保函查询结果为准。</w:t>
            </w:r>
          </w:p>
          <w:p w14:paraId="0C444FB7">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报名成功后必须在交易系统中选择为电子保函方式交纳。</w:t>
            </w:r>
          </w:p>
          <w:p w14:paraId="684371BF">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4.4.</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在金融服务平台可自行选择相应的金融机构开具担保函或银行保函。</w:t>
            </w:r>
          </w:p>
          <w:p w14:paraId="75E4A080">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可在中心网站通知公告版块查询《</w:t>
            </w:r>
            <w:r>
              <w:rPr>
                <w:rFonts w:hint="eastAsia" w:ascii="宋体" w:hAnsi="宋体" w:cs="宋体"/>
                <w:color w:val="000000" w:themeColor="text1"/>
                <w:sz w:val="24"/>
                <w:szCs w:val="24"/>
                <w:highlight w:val="none"/>
                <w:lang w:eastAsia="zh-CN"/>
                <w14:textFill>
                  <w14:solidFill>
                    <w14:schemeClr w14:val="tx1"/>
                  </w14:solidFill>
                </w14:textFill>
              </w:rPr>
              <w:t>投标保证金</w:t>
            </w:r>
            <w:r>
              <w:rPr>
                <w:rFonts w:hint="eastAsia" w:ascii="宋体" w:hAnsi="宋体" w:cs="宋体"/>
                <w:color w:val="000000" w:themeColor="text1"/>
                <w:sz w:val="24"/>
                <w:szCs w:val="24"/>
                <w:highlight w:val="none"/>
                <w14:textFill>
                  <w14:solidFill>
                    <w14:schemeClr w14:val="tx1"/>
                  </w14:solidFill>
                </w14:textFill>
              </w:rPr>
              <w:t>担保函操作手册》)。</w:t>
            </w:r>
          </w:p>
          <w:p w14:paraId="38C9FC18">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缴纳保证金前，请先至贵州省统一注册平台自行核对基本账户开户行及账号等信息，如有误请在统一注册平台自行维护，并提交审核。如果您的基本户开户行是农业银行，请注意查看基本账户号信息是否有区域代码，如果没有，请及时咨询开户银行，并在统一注册平台自行变更基本账户号信息。</w:t>
            </w:r>
          </w:p>
          <w:p w14:paraId="56E59967">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6、系统生成随机码为9位，政府采购类型项目以CG开头，工程以GC开头。使用银行转账时需在银行系统中的附言、摘要、用途、备注等处必须且只能填写保证金随机码。</w:t>
            </w:r>
          </w:p>
          <w:p w14:paraId="39203A3D">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注意：随机码中间或随机码与补充文字内容中间不能有其他字符或者空格存在，且</w:t>
            </w:r>
            <w:r>
              <w:rPr>
                <w:rFonts w:hint="eastAsia" w:ascii="宋体" w:hAnsi="宋体" w:cs="宋体"/>
                <w:color w:val="000000" w:themeColor="text1"/>
                <w:sz w:val="24"/>
                <w:szCs w:val="24"/>
                <w:highlight w:val="none"/>
                <w:lang w:eastAsia="zh-CN"/>
                <w14:textFill>
                  <w14:solidFill>
                    <w14:schemeClr w14:val="tx1"/>
                  </w14:solidFill>
                </w14:textFill>
              </w:rPr>
              <w:t>投标保证金</w:t>
            </w:r>
            <w:r>
              <w:rPr>
                <w:rFonts w:hint="eastAsia" w:ascii="宋体" w:hAnsi="宋体" w:cs="宋体"/>
                <w:color w:val="000000" w:themeColor="text1"/>
                <w:sz w:val="24"/>
                <w:szCs w:val="24"/>
                <w:highlight w:val="none"/>
                <w14:textFill>
                  <w14:solidFill>
                    <w14:schemeClr w14:val="tx1"/>
                  </w14:solidFill>
                </w14:textFill>
              </w:rPr>
              <w:t>缴纳必须从基本账户转出，不支持第三方支付及结算卡转账。</w:t>
            </w:r>
          </w:p>
          <w:p w14:paraId="62B88D34">
            <w:pPr>
              <w:pStyle w:val="6"/>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7、如未缴纳保证金或未成功办理保函，响应文件不能上传至交易系统。</w:t>
            </w:r>
          </w:p>
          <w:p w14:paraId="56C7E54E">
            <w:pPr>
              <w:pStyle w:val="6"/>
              <w:spacing w:line="360" w:lineRule="auto"/>
              <w:rPr>
                <w:bCs/>
                <w:color w:val="auto"/>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8、系统技术支持电话：0858-6708767。</w:t>
            </w:r>
          </w:p>
        </w:tc>
      </w:tr>
      <w:tr w14:paraId="7ED6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60" w:type="dxa"/>
            <w:vAlign w:val="center"/>
          </w:tcPr>
          <w:p w14:paraId="259BC80A">
            <w:pPr>
              <w:pStyle w:val="24"/>
              <w:spacing w:before="173" w:line="360" w:lineRule="auto"/>
              <w:ind w:right="157"/>
              <w:jc w:val="center"/>
              <w:rPr>
                <w:rFonts w:hint="eastAsia" w:eastAsia="宋体"/>
                <w:bCs/>
                <w:color w:val="auto"/>
                <w:w w:val="99"/>
                <w:sz w:val="24"/>
                <w:szCs w:val="24"/>
                <w:highlight w:val="none"/>
                <w:lang w:val="en-US" w:eastAsia="zh-CN"/>
              </w:rPr>
            </w:pPr>
            <w:r>
              <w:rPr>
                <w:rFonts w:hint="eastAsia"/>
                <w:bCs/>
                <w:color w:val="auto"/>
                <w:sz w:val="24"/>
                <w:szCs w:val="24"/>
                <w:highlight w:val="none"/>
                <w:lang w:val="en-US"/>
              </w:rPr>
              <w:t>2</w:t>
            </w:r>
            <w:r>
              <w:rPr>
                <w:rFonts w:hint="eastAsia"/>
                <w:bCs/>
                <w:color w:val="auto"/>
                <w:sz w:val="24"/>
                <w:szCs w:val="24"/>
                <w:highlight w:val="none"/>
                <w:lang w:val="en-US" w:eastAsia="zh-CN"/>
              </w:rPr>
              <w:t>1</w:t>
            </w:r>
          </w:p>
        </w:tc>
        <w:tc>
          <w:tcPr>
            <w:tcW w:w="1429" w:type="dxa"/>
            <w:vAlign w:val="center"/>
          </w:tcPr>
          <w:p w14:paraId="48042E09">
            <w:pPr>
              <w:pStyle w:val="24"/>
              <w:spacing w:line="360" w:lineRule="auto"/>
              <w:jc w:val="center"/>
              <w:rPr>
                <w:bCs/>
                <w:color w:val="auto"/>
                <w:sz w:val="24"/>
                <w:szCs w:val="24"/>
                <w:highlight w:val="none"/>
              </w:rPr>
            </w:pPr>
            <w:r>
              <w:rPr>
                <w:bCs/>
                <w:color w:val="auto"/>
                <w:sz w:val="24"/>
                <w:szCs w:val="24"/>
                <w:highlight w:val="none"/>
              </w:rPr>
              <w:t>履约保证金</w:t>
            </w:r>
          </w:p>
        </w:tc>
        <w:tc>
          <w:tcPr>
            <w:tcW w:w="8162" w:type="dxa"/>
          </w:tcPr>
          <w:p w14:paraId="4F4EF314">
            <w:pPr>
              <w:pStyle w:val="6"/>
              <w:spacing w:line="360" w:lineRule="auto"/>
              <w:rPr>
                <w:bCs/>
                <w:color w:val="auto"/>
                <w:sz w:val="24"/>
                <w:szCs w:val="24"/>
                <w:highlight w:val="none"/>
              </w:rPr>
            </w:pPr>
            <w:r>
              <w:rPr>
                <w:rFonts w:hint="eastAsia"/>
                <w:bCs/>
                <w:color w:val="auto"/>
                <w:sz w:val="24"/>
                <w:szCs w:val="24"/>
                <w:highlight w:val="none"/>
              </w:rPr>
              <w:t>履约保证金：合同签订前，中标人按合同金额的5%，支付给医院。履约保证金从验收日期起一年后，所提供货物无任何质量问题，且出现问题及时响应维修，在中标人提出书面申请后30个日历日内全额无息退还。</w:t>
            </w:r>
          </w:p>
        </w:tc>
      </w:tr>
      <w:tr w14:paraId="4EF0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60" w:type="dxa"/>
            <w:vAlign w:val="center"/>
          </w:tcPr>
          <w:p w14:paraId="28947654">
            <w:pPr>
              <w:pStyle w:val="24"/>
              <w:spacing w:before="1" w:line="360" w:lineRule="auto"/>
              <w:ind w:right="157"/>
              <w:jc w:val="center"/>
              <w:rPr>
                <w:rFonts w:hint="default" w:eastAsia="宋体"/>
                <w:bCs/>
                <w:color w:val="auto"/>
                <w:w w:val="99"/>
                <w:sz w:val="24"/>
                <w:szCs w:val="24"/>
                <w:highlight w:val="none"/>
                <w:lang w:val="en-US" w:eastAsia="zh-CN"/>
              </w:rPr>
            </w:pPr>
            <w:r>
              <w:rPr>
                <w:rFonts w:hint="eastAsia"/>
                <w:bCs/>
                <w:color w:val="auto"/>
                <w:sz w:val="24"/>
                <w:szCs w:val="24"/>
                <w:highlight w:val="none"/>
                <w:lang w:val="en-US" w:eastAsia="zh-CN"/>
              </w:rPr>
              <w:t>22</w:t>
            </w:r>
          </w:p>
        </w:tc>
        <w:tc>
          <w:tcPr>
            <w:tcW w:w="1429" w:type="dxa"/>
            <w:vAlign w:val="center"/>
          </w:tcPr>
          <w:p w14:paraId="609CD35A">
            <w:pPr>
              <w:pStyle w:val="24"/>
              <w:spacing w:before="1" w:line="360" w:lineRule="auto"/>
              <w:jc w:val="center"/>
              <w:rPr>
                <w:bCs/>
                <w:color w:val="auto"/>
                <w:sz w:val="24"/>
                <w:szCs w:val="24"/>
                <w:highlight w:val="none"/>
              </w:rPr>
            </w:pPr>
            <w:r>
              <w:rPr>
                <w:bCs/>
                <w:color w:val="auto"/>
                <w:sz w:val="24"/>
                <w:szCs w:val="24"/>
                <w:highlight w:val="none"/>
              </w:rPr>
              <w:t>采购合同</w:t>
            </w:r>
          </w:p>
        </w:tc>
        <w:tc>
          <w:tcPr>
            <w:tcW w:w="8162" w:type="dxa"/>
          </w:tcPr>
          <w:p w14:paraId="65ED82BB">
            <w:pPr>
              <w:pStyle w:val="6"/>
              <w:spacing w:line="360" w:lineRule="auto"/>
              <w:rPr>
                <w:rFonts w:hint="eastAsia"/>
                <w:bCs/>
                <w:color w:val="auto"/>
                <w:sz w:val="24"/>
                <w:szCs w:val="24"/>
                <w:highlight w:val="none"/>
              </w:rPr>
            </w:pPr>
            <w:r>
              <w:rPr>
                <w:rFonts w:hint="eastAsia"/>
                <w:bCs/>
                <w:color w:val="auto"/>
                <w:sz w:val="24"/>
                <w:szCs w:val="24"/>
                <w:highlight w:val="none"/>
              </w:rPr>
              <w:t>1、中标人应当在中标通知书发出之日起30日内与采购人签订政府采购合同，并于合同签订之日起2个工作日内，向采购代理机构提交合同扫描件一份，用于贵州省政府购网发布采购合同公告，否则由此给采购人及代理机构造成的一切损失或责任由中标人承担。</w:t>
            </w:r>
          </w:p>
          <w:p w14:paraId="1E9864F6">
            <w:pPr>
              <w:pStyle w:val="6"/>
              <w:spacing w:line="360" w:lineRule="auto"/>
              <w:rPr>
                <w:bCs/>
                <w:color w:val="auto"/>
                <w:sz w:val="24"/>
                <w:szCs w:val="24"/>
                <w:highlight w:val="none"/>
              </w:rPr>
            </w:pPr>
            <w:r>
              <w:rPr>
                <w:rFonts w:hint="eastAsia"/>
                <w:bCs/>
                <w:color w:val="auto"/>
                <w:sz w:val="24"/>
                <w:szCs w:val="24"/>
                <w:highlight w:val="none"/>
              </w:rPr>
              <w:t>2、合同签订后采购人与中标人须及时到六盘水市凉都公证处办理免费的合同公证，贵州省六盘水市凉都公证处电话：0858-8269684。</w:t>
            </w:r>
          </w:p>
        </w:tc>
      </w:tr>
      <w:tr w14:paraId="6B54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0" w:type="dxa"/>
            <w:vAlign w:val="center"/>
          </w:tcPr>
          <w:p w14:paraId="1F2306B0">
            <w:pPr>
              <w:pStyle w:val="24"/>
              <w:spacing w:line="360" w:lineRule="auto"/>
              <w:jc w:val="center"/>
              <w:rPr>
                <w:rFonts w:ascii="Times New Roman"/>
                <w:bCs/>
                <w:color w:val="auto"/>
                <w:sz w:val="24"/>
                <w:szCs w:val="24"/>
                <w:highlight w:val="none"/>
              </w:rPr>
            </w:pPr>
          </w:p>
          <w:p w14:paraId="2E94EBDE">
            <w:pPr>
              <w:pStyle w:val="24"/>
              <w:spacing w:before="4" w:line="360" w:lineRule="auto"/>
              <w:jc w:val="center"/>
              <w:rPr>
                <w:rFonts w:ascii="Times New Roman"/>
                <w:bCs/>
                <w:color w:val="auto"/>
                <w:sz w:val="24"/>
                <w:szCs w:val="24"/>
                <w:highlight w:val="none"/>
              </w:rPr>
            </w:pPr>
          </w:p>
          <w:p w14:paraId="094BD87B">
            <w:pPr>
              <w:pStyle w:val="24"/>
              <w:spacing w:line="360" w:lineRule="auto"/>
              <w:ind w:left="157" w:right="157"/>
              <w:jc w:val="center"/>
              <w:rPr>
                <w:rFonts w:hint="eastAsia" w:eastAsia="宋体"/>
                <w:bCs/>
                <w:color w:val="auto"/>
                <w:w w:val="99"/>
                <w:sz w:val="24"/>
                <w:szCs w:val="24"/>
                <w:highlight w:val="none"/>
                <w:lang w:val="en-US" w:eastAsia="zh-CN"/>
              </w:rPr>
            </w:pPr>
            <w:r>
              <w:rPr>
                <w:rFonts w:hint="eastAsia"/>
                <w:bCs/>
                <w:color w:val="auto"/>
                <w:sz w:val="24"/>
                <w:szCs w:val="24"/>
                <w:highlight w:val="none"/>
                <w:lang w:val="en-US"/>
              </w:rPr>
              <w:t>2</w:t>
            </w:r>
            <w:r>
              <w:rPr>
                <w:rFonts w:hint="eastAsia"/>
                <w:bCs/>
                <w:color w:val="auto"/>
                <w:sz w:val="24"/>
                <w:szCs w:val="24"/>
                <w:highlight w:val="none"/>
                <w:lang w:val="en-US" w:eastAsia="zh-CN"/>
              </w:rPr>
              <w:t>3</w:t>
            </w:r>
          </w:p>
        </w:tc>
        <w:tc>
          <w:tcPr>
            <w:tcW w:w="1429" w:type="dxa"/>
            <w:vAlign w:val="center"/>
          </w:tcPr>
          <w:p w14:paraId="1C8C66CF">
            <w:pPr>
              <w:pStyle w:val="24"/>
              <w:spacing w:line="360" w:lineRule="auto"/>
              <w:jc w:val="center"/>
              <w:rPr>
                <w:rFonts w:ascii="Times New Roman"/>
                <w:bCs/>
                <w:color w:val="auto"/>
                <w:sz w:val="24"/>
                <w:szCs w:val="24"/>
                <w:highlight w:val="none"/>
              </w:rPr>
            </w:pPr>
          </w:p>
          <w:p w14:paraId="4C49A16D">
            <w:pPr>
              <w:pStyle w:val="24"/>
              <w:spacing w:before="180" w:line="360" w:lineRule="auto"/>
              <w:jc w:val="center"/>
              <w:rPr>
                <w:bCs/>
                <w:color w:val="auto"/>
                <w:sz w:val="24"/>
                <w:szCs w:val="24"/>
                <w:highlight w:val="none"/>
              </w:rPr>
            </w:pPr>
            <w:r>
              <w:rPr>
                <w:bCs/>
                <w:color w:val="auto"/>
                <w:sz w:val="24"/>
                <w:szCs w:val="24"/>
                <w:highlight w:val="none"/>
              </w:rPr>
              <w:t>履约验收</w:t>
            </w:r>
          </w:p>
        </w:tc>
        <w:tc>
          <w:tcPr>
            <w:tcW w:w="8162" w:type="dxa"/>
          </w:tcPr>
          <w:p w14:paraId="580C2F6A">
            <w:pPr>
              <w:pStyle w:val="6"/>
              <w:spacing w:line="360" w:lineRule="auto"/>
              <w:rPr>
                <w:bCs/>
                <w:color w:val="auto"/>
                <w:sz w:val="24"/>
                <w:szCs w:val="24"/>
                <w:highlight w:val="none"/>
              </w:rPr>
            </w:pPr>
            <w:r>
              <w:rPr>
                <w:rFonts w:hint="eastAsia"/>
                <w:bCs/>
                <w:color w:val="auto"/>
                <w:sz w:val="24"/>
                <w:szCs w:val="24"/>
                <w:highlight w:val="none"/>
                <w:lang w:val="en-US" w:eastAsia="zh-CN"/>
              </w:rPr>
              <w:t>1.采购人应当按照财库〔2016〕205号要求，加强履约验收管理工作。验收结束后应当出具验收书，列明各项标准的验收情况及项目总体评价，于验收结束之日起3个工作日内，中标人向采购代理机构提交验收合格验收报告扫描件一份，用于在贵州省政府采购网发布履约验收公告。</w:t>
            </w:r>
          </w:p>
        </w:tc>
      </w:tr>
      <w:tr w14:paraId="0C64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60" w:type="dxa"/>
            <w:vAlign w:val="center"/>
          </w:tcPr>
          <w:p w14:paraId="1D4FBB73">
            <w:pPr>
              <w:pStyle w:val="24"/>
              <w:spacing w:line="360" w:lineRule="auto"/>
              <w:ind w:right="157"/>
              <w:jc w:val="center"/>
              <w:rPr>
                <w:rFonts w:hint="eastAsia" w:eastAsia="宋体"/>
                <w:bCs/>
                <w:color w:val="auto"/>
                <w:w w:val="99"/>
                <w:sz w:val="24"/>
                <w:szCs w:val="24"/>
                <w:highlight w:val="none"/>
                <w:lang w:val="en-US" w:eastAsia="zh-CN"/>
              </w:rPr>
            </w:pPr>
            <w:r>
              <w:rPr>
                <w:rFonts w:hint="eastAsia"/>
                <w:bCs/>
                <w:color w:val="auto"/>
                <w:sz w:val="24"/>
                <w:szCs w:val="24"/>
                <w:highlight w:val="none"/>
                <w:lang w:val="en-US"/>
              </w:rPr>
              <w:t>2</w:t>
            </w:r>
            <w:r>
              <w:rPr>
                <w:rFonts w:hint="eastAsia"/>
                <w:bCs/>
                <w:color w:val="auto"/>
                <w:sz w:val="24"/>
                <w:szCs w:val="24"/>
                <w:highlight w:val="none"/>
                <w:lang w:val="en-US" w:eastAsia="zh-CN"/>
              </w:rPr>
              <w:t>4</w:t>
            </w:r>
          </w:p>
        </w:tc>
        <w:tc>
          <w:tcPr>
            <w:tcW w:w="1429" w:type="dxa"/>
            <w:vAlign w:val="center"/>
          </w:tcPr>
          <w:p w14:paraId="34CD73E0">
            <w:pPr>
              <w:pStyle w:val="24"/>
              <w:spacing w:line="360" w:lineRule="auto"/>
              <w:jc w:val="center"/>
              <w:rPr>
                <w:bCs/>
                <w:color w:val="auto"/>
                <w:sz w:val="24"/>
                <w:szCs w:val="24"/>
                <w:highlight w:val="none"/>
              </w:rPr>
            </w:pPr>
            <w:r>
              <w:rPr>
                <w:bCs/>
                <w:color w:val="auto"/>
                <w:sz w:val="24"/>
                <w:szCs w:val="24"/>
                <w:highlight w:val="none"/>
              </w:rPr>
              <w:t>付款方式</w:t>
            </w:r>
          </w:p>
        </w:tc>
        <w:tc>
          <w:tcPr>
            <w:tcW w:w="8162" w:type="dxa"/>
          </w:tcPr>
          <w:p w14:paraId="700167C4">
            <w:pPr>
              <w:pStyle w:val="6"/>
              <w:spacing w:line="360" w:lineRule="auto"/>
              <w:rPr>
                <w:bCs/>
                <w:color w:val="auto"/>
                <w:sz w:val="24"/>
                <w:szCs w:val="24"/>
                <w:highlight w:val="none"/>
              </w:rPr>
            </w:pPr>
            <w:r>
              <w:rPr>
                <w:rFonts w:hint="eastAsia" w:ascii="Times New Roman" w:hAnsi="Times New Roman" w:eastAsia="宋体" w:cs="Times New Roman"/>
                <w:color w:val="auto"/>
                <w:sz w:val="24"/>
                <w:szCs w:val="24"/>
                <w:highlight w:val="none"/>
                <w:lang w:val="en-US" w:eastAsia="zh-CN"/>
              </w:rPr>
              <w:t>合同签订完成，货物安装调试完成并验收合格后30个工作日内支付合同全部货款。</w:t>
            </w:r>
          </w:p>
        </w:tc>
      </w:tr>
      <w:tr w14:paraId="1E87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5" w:hRule="atLeast"/>
        </w:trPr>
        <w:tc>
          <w:tcPr>
            <w:tcW w:w="760" w:type="dxa"/>
            <w:vAlign w:val="center"/>
          </w:tcPr>
          <w:p w14:paraId="05810BE7">
            <w:pPr>
              <w:pStyle w:val="24"/>
              <w:spacing w:line="360" w:lineRule="auto"/>
              <w:ind w:right="81"/>
              <w:jc w:val="center"/>
              <w:rPr>
                <w:rFonts w:hint="eastAsia" w:eastAsia="宋体"/>
                <w:bCs/>
                <w:color w:val="auto"/>
                <w:w w:val="99"/>
                <w:sz w:val="24"/>
                <w:szCs w:val="24"/>
                <w:highlight w:val="none"/>
                <w:lang w:val="en-US" w:eastAsia="zh-CN"/>
              </w:rPr>
            </w:pPr>
            <w:r>
              <w:rPr>
                <w:rFonts w:hint="eastAsia"/>
                <w:bCs/>
                <w:color w:val="auto"/>
                <w:sz w:val="24"/>
                <w:szCs w:val="24"/>
                <w:highlight w:val="none"/>
                <w:lang w:val="en-US"/>
              </w:rPr>
              <w:t>2</w:t>
            </w:r>
            <w:r>
              <w:rPr>
                <w:rFonts w:hint="eastAsia"/>
                <w:bCs/>
                <w:color w:val="auto"/>
                <w:sz w:val="24"/>
                <w:szCs w:val="24"/>
                <w:highlight w:val="none"/>
                <w:lang w:val="en-US" w:eastAsia="zh-CN"/>
              </w:rPr>
              <w:t>5</w:t>
            </w:r>
          </w:p>
        </w:tc>
        <w:tc>
          <w:tcPr>
            <w:tcW w:w="1429" w:type="dxa"/>
            <w:vAlign w:val="center"/>
          </w:tcPr>
          <w:p w14:paraId="07ABC7DD">
            <w:pPr>
              <w:pStyle w:val="24"/>
              <w:spacing w:line="360" w:lineRule="auto"/>
              <w:jc w:val="center"/>
              <w:rPr>
                <w:bCs/>
                <w:color w:val="auto"/>
                <w:sz w:val="24"/>
                <w:szCs w:val="24"/>
                <w:highlight w:val="none"/>
              </w:rPr>
            </w:pPr>
            <w:r>
              <w:rPr>
                <w:bCs/>
                <w:color w:val="auto"/>
                <w:sz w:val="24"/>
                <w:szCs w:val="24"/>
                <w:highlight w:val="none"/>
              </w:rPr>
              <w:t>质疑投诉</w:t>
            </w:r>
          </w:p>
        </w:tc>
        <w:tc>
          <w:tcPr>
            <w:tcW w:w="8162" w:type="dxa"/>
          </w:tcPr>
          <w:p w14:paraId="75E9728C">
            <w:pPr>
              <w:pStyle w:val="6"/>
              <w:spacing w:line="360" w:lineRule="auto"/>
              <w:rPr>
                <w:bCs/>
                <w:color w:val="auto"/>
                <w:sz w:val="24"/>
                <w:szCs w:val="24"/>
                <w:highlight w:val="none"/>
              </w:rPr>
            </w:pPr>
            <w:r>
              <w:rPr>
                <w:rFonts w:hint="eastAsia"/>
                <w:bCs/>
                <w:color w:val="auto"/>
                <w:sz w:val="24"/>
                <w:szCs w:val="24"/>
                <w:highlight w:val="none"/>
              </w:rPr>
              <w:t>1.投标人在法定质疑期内一次性提出针对同一采购程序环节的质疑。</w:t>
            </w:r>
          </w:p>
          <w:p w14:paraId="49CCC111">
            <w:pPr>
              <w:pStyle w:val="6"/>
              <w:spacing w:line="360" w:lineRule="auto"/>
              <w:rPr>
                <w:rFonts w:hint="default" w:eastAsia="宋体"/>
                <w:bCs/>
                <w:color w:val="auto"/>
                <w:sz w:val="24"/>
                <w:szCs w:val="24"/>
                <w:highlight w:val="none"/>
                <w:lang w:val="en-US" w:eastAsia="zh-CN"/>
              </w:rPr>
            </w:pPr>
            <w:r>
              <w:rPr>
                <w:rFonts w:hint="eastAsia"/>
                <w:bCs/>
                <w:color w:val="auto"/>
                <w:sz w:val="24"/>
                <w:szCs w:val="24"/>
                <w:highlight w:val="none"/>
              </w:rPr>
              <w:t>2.接收质疑：现场递交</w:t>
            </w:r>
            <w:r>
              <w:rPr>
                <w:rFonts w:hint="eastAsia"/>
                <w:bCs/>
                <w:color w:val="auto"/>
                <w:sz w:val="24"/>
                <w:szCs w:val="24"/>
                <w:highlight w:val="none"/>
                <w:lang w:val="en-US" w:eastAsia="zh-CN"/>
              </w:rPr>
              <w:t>书面资料</w:t>
            </w:r>
            <w:r>
              <w:rPr>
                <w:rFonts w:hint="eastAsia"/>
                <w:bCs/>
                <w:color w:val="auto"/>
                <w:sz w:val="24"/>
                <w:szCs w:val="24"/>
                <w:highlight w:val="none"/>
              </w:rPr>
              <w:t>或邮寄</w:t>
            </w:r>
            <w:r>
              <w:rPr>
                <w:rFonts w:hint="eastAsia"/>
                <w:bCs/>
                <w:color w:val="auto"/>
                <w:sz w:val="24"/>
                <w:szCs w:val="24"/>
                <w:highlight w:val="none"/>
                <w:lang w:val="en-US" w:eastAsia="zh-CN"/>
              </w:rPr>
              <w:t>书面资料</w:t>
            </w:r>
          </w:p>
          <w:p w14:paraId="5B50DC71">
            <w:pPr>
              <w:pStyle w:val="6"/>
              <w:spacing w:line="360" w:lineRule="auto"/>
              <w:rPr>
                <w:bCs/>
                <w:color w:val="auto"/>
                <w:sz w:val="24"/>
                <w:szCs w:val="24"/>
                <w:highlight w:val="none"/>
              </w:rPr>
            </w:pPr>
            <w:r>
              <w:rPr>
                <w:rFonts w:hint="eastAsia"/>
                <w:bCs/>
                <w:color w:val="auto"/>
                <w:sz w:val="24"/>
                <w:szCs w:val="24"/>
                <w:highlight w:val="none"/>
              </w:rPr>
              <w:t>3.递交质疑函联系方式</w:t>
            </w:r>
          </w:p>
          <w:p w14:paraId="631B0149">
            <w:pPr>
              <w:pStyle w:val="6"/>
              <w:spacing w:line="360" w:lineRule="auto"/>
              <w:rPr>
                <w:bCs/>
                <w:color w:val="auto"/>
                <w:sz w:val="24"/>
                <w:szCs w:val="24"/>
                <w:highlight w:val="none"/>
              </w:rPr>
            </w:pPr>
            <w:r>
              <w:rPr>
                <w:rFonts w:hint="eastAsia"/>
                <w:bCs/>
                <w:color w:val="auto"/>
                <w:sz w:val="24"/>
                <w:szCs w:val="24"/>
                <w:highlight w:val="none"/>
              </w:rPr>
              <w:t>3.1联系部门：</w:t>
            </w:r>
            <w:r>
              <w:rPr>
                <w:rFonts w:hint="eastAsia"/>
                <w:bCs/>
                <w:color w:val="auto"/>
                <w:sz w:val="24"/>
                <w:szCs w:val="24"/>
                <w:highlight w:val="none"/>
                <w:lang w:eastAsia="zh-CN"/>
              </w:rPr>
              <w:t>贵州晋泽信息咨询有限公司</w:t>
            </w:r>
          </w:p>
          <w:p w14:paraId="550CFA9A">
            <w:pPr>
              <w:pStyle w:val="6"/>
              <w:spacing w:line="360" w:lineRule="auto"/>
              <w:rPr>
                <w:rFonts w:hint="default" w:eastAsia="宋体"/>
                <w:bCs/>
                <w:color w:val="auto"/>
                <w:sz w:val="24"/>
                <w:szCs w:val="24"/>
                <w:highlight w:val="none"/>
                <w:lang w:val="en-US" w:eastAsia="zh-CN"/>
              </w:rPr>
            </w:pPr>
            <w:r>
              <w:rPr>
                <w:rFonts w:hint="eastAsia"/>
                <w:bCs/>
                <w:color w:val="auto"/>
                <w:sz w:val="24"/>
                <w:szCs w:val="24"/>
                <w:highlight w:val="none"/>
              </w:rPr>
              <w:t>3.2联系电话：</w:t>
            </w:r>
            <w:r>
              <w:rPr>
                <w:rFonts w:hint="eastAsia"/>
                <w:bCs/>
                <w:color w:val="auto"/>
                <w:sz w:val="24"/>
                <w:szCs w:val="24"/>
                <w:highlight w:val="none"/>
                <w:lang w:val="en-US" w:eastAsia="zh-CN"/>
              </w:rPr>
              <w:t>13368581475</w:t>
            </w:r>
          </w:p>
          <w:p w14:paraId="2B633F06">
            <w:pPr>
              <w:pStyle w:val="6"/>
              <w:spacing w:line="360" w:lineRule="auto"/>
              <w:rPr>
                <w:rFonts w:hint="eastAsia" w:eastAsia="宋体"/>
                <w:bCs/>
                <w:color w:val="auto"/>
                <w:sz w:val="24"/>
                <w:szCs w:val="24"/>
                <w:highlight w:val="none"/>
                <w:lang w:eastAsia="zh-CN"/>
              </w:rPr>
            </w:pPr>
            <w:r>
              <w:rPr>
                <w:rFonts w:hint="eastAsia"/>
                <w:bCs/>
                <w:color w:val="auto"/>
                <w:sz w:val="24"/>
                <w:szCs w:val="24"/>
                <w:highlight w:val="none"/>
              </w:rPr>
              <w:t>3.3联系人：</w:t>
            </w:r>
            <w:r>
              <w:rPr>
                <w:rFonts w:hint="eastAsia"/>
                <w:bCs/>
                <w:color w:val="auto"/>
                <w:sz w:val="24"/>
                <w:szCs w:val="24"/>
                <w:highlight w:val="none"/>
                <w:lang w:eastAsia="zh-CN"/>
              </w:rPr>
              <w:t>曹工</w:t>
            </w:r>
          </w:p>
          <w:p w14:paraId="72815009">
            <w:pPr>
              <w:pStyle w:val="6"/>
              <w:spacing w:line="360" w:lineRule="auto"/>
              <w:rPr>
                <w:bCs/>
                <w:color w:val="auto"/>
                <w:sz w:val="24"/>
                <w:szCs w:val="24"/>
                <w:highlight w:val="none"/>
              </w:rPr>
            </w:pPr>
            <w:r>
              <w:rPr>
                <w:rFonts w:hint="eastAsia"/>
                <w:bCs/>
                <w:color w:val="auto"/>
                <w:sz w:val="24"/>
                <w:szCs w:val="24"/>
                <w:highlight w:val="none"/>
              </w:rPr>
              <w:t>3.4联系邮箱：</w:t>
            </w:r>
            <w:r>
              <w:rPr>
                <w:color w:val="auto"/>
                <w:sz w:val="24"/>
                <w:szCs w:val="24"/>
                <w:highlight w:val="none"/>
              </w:rPr>
              <w:fldChar w:fldCharType="begin"/>
            </w:r>
            <w:r>
              <w:rPr>
                <w:color w:val="auto"/>
                <w:sz w:val="24"/>
                <w:szCs w:val="24"/>
                <w:highlight w:val="none"/>
              </w:rPr>
              <w:instrText xml:space="preserve"> HYPERLINK "mailto:GZRTHZB@163.com," </w:instrText>
            </w:r>
            <w:r>
              <w:rPr>
                <w:color w:val="auto"/>
                <w:sz w:val="24"/>
                <w:szCs w:val="24"/>
                <w:highlight w:val="none"/>
              </w:rPr>
              <w:fldChar w:fldCharType="separate"/>
            </w:r>
            <w:r>
              <w:rPr>
                <w:rFonts w:hint="eastAsia"/>
                <w:bCs/>
                <w:color w:val="auto"/>
                <w:sz w:val="24"/>
                <w:szCs w:val="24"/>
                <w:highlight w:val="none"/>
                <w:lang w:val="en-US" w:eastAsia="zh-CN"/>
              </w:rPr>
              <w:t>449317706</w:t>
            </w:r>
            <w:r>
              <w:rPr>
                <w:rFonts w:hint="eastAsia"/>
                <w:bCs/>
                <w:color w:val="auto"/>
                <w:sz w:val="24"/>
                <w:szCs w:val="24"/>
                <w:highlight w:val="none"/>
                <w:lang w:eastAsia="zh-CN"/>
              </w:rPr>
              <w:t>@qq.com</w:t>
            </w:r>
            <w:r>
              <w:rPr>
                <w:rFonts w:hint="eastAsia"/>
                <w:bCs/>
                <w:color w:val="auto"/>
                <w:sz w:val="24"/>
                <w:szCs w:val="24"/>
                <w:highlight w:val="none"/>
              </w:rPr>
              <w:fldChar w:fldCharType="end"/>
            </w:r>
          </w:p>
          <w:p w14:paraId="475A8955">
            <w:pPr>
              <w:pStyle w:val="6"/>
              <w:spacing w:line="360" w:lineRule="auto"/>
              <w:rPr>
                <w:rFonts w:hint="default"/>
                <w:bCs/>
                <w:color w:val="auto"/>
                <w:sz w:val="24"/>
                <w:szCs w:val="24"/>
                <w:highlight w:val="none"/>
                <w:lang w:val="en-US"/>
              </w:rPr>
            </w:pPr>
            <w:r>
              <w:rPr>
                <w:rFonts w:hint="eastAsia"/>
                <w:bCs/>
                <w:color w:val="auto"/>
                <w:sz w:val="24"/>
                <w:szCs w:val="24"/>
                <w:highlight w:val="none"/>
              </w:rPr>
              <w:t>3.5通讯地址：</w:t>
            </w:r>
            <w:r>
              <w:rPr>
                <w:rFonts w:hint="eastAsia"/>
                <w:bCs/>
                <w:color w:val="auto"/>
                <w:sz w:val="24"/>
                <w:szCs w:val="24"/>
                <w:highlight w:val="none"/>
                <w:lang w:eastAsia="zh-CN"/>
              </w:rPr>
              <w:t>贵州省六盘水市钟山区凉都明珠</w:t>
            </w:r>
            <w:r>
              <w:rPr>
                <w:rFonts w:hint="eastAsia"/>
                <w:bCs/>
                <w:color w:val="auto"/>
                <w:sz w:val="24"/>
                <w:szCs w:val="24"/>
                <w:highlight w:val="none"/>
                <w:lang w:val="en-US" w:eastAsia="zh-CN"/>
              </w:rPr>
              <w:t>1栋708</w:t>
            </w:r>
          </w:p>
          <w:p w14:paraId="6239C21F">
            <w:pPr>
              <w:pStyle w:val="6"/>
              <w:spacing w:line="360" w:lineRule="auto"/>
              <w:rPr>
                <w:bCs/>
                <w:color w:val="auto"/>
                <w:sz w:val="24"/>
                <w:szCs w:val="24"/>
                <w:highlight w:val="none"/>
              </w:rPr>
            </w:pPr>
            <w:r>
              <w:rPr>
                <w:rFonts w:hint="eastAsia"/>
                <w:bCs/>
                <w:color w:val="auto"/>
                <w:sz w:val="24"/>
                <w:szCs w:val="24"/>
                <w:highlight w:val="none"/>
              </w:rPr>
              <w:t>3.6邮政编码：553001</w:t>
            </w:r>
          </w:p>
          <w:p w14:paraId="33EDDD46">
            <w:pPr>
              <w:pStyle w:val="6"/>
              <w:spacing w:line="360" w:lineRule="auto"/>
              <w:rPr>
                <w:rFonts w:hint="eastAsia"/>
                <w:bCs/>
                <w:color w:val="auto"/>
                <w:sz w:val="24"/>
                <w:szCs w:val="24"/>
                <w:highlight w:val="none"/>
              </w:rPr>
            </w:pPr>
            <w:r>
              <w:rPr>
                <w:rFonts w:hint="eastAsia"/>
                <w:bCs/>
                <w:color w:val="auto"/>
                <w:sz w:val="24"/>
                <w:szCs w:val="24"/>
                <w:highlight w:val="none"/>
              </w:rPr>
              <w:t>4、投诉：质疑投标人对采购人、采购代理机构的答复不满意，或者采购人、采购代理机构未在规定时间内作出答复的，可以在答复期满后15个工作日内向《中华人民共和国财政部令第94号－－政府采购质疑和投诉办法》第六条规定的财政部门提起投诉。</w:t>
            </w:r>
          </w:p>
          <w:p w14:paraId="19450522">
            <w:pPr>
              <w:pStyle w:val="6"/>
              <w:spacing w:line="360" w:lineRule="auto"/>
              <w:rPr>
                <w:bCs/>
                <w:color w:val="auto"/>
                <w:sz w:val="24"/>
                <w:szCs w:val="24"/>
                <w:highlight w:val="none"/>
              </w:rPr>
            </w:pPr>
            <w:r>
              <w:rPr>
                <w:rFonts w:hint="eastAsia"/>
                <w:bCs/>
                <w:color w:val="auto"/>
                <w:sz w:val="24"/>
                <w:szCs w:val="24"/>
                <w:highlight w:val="none"/>
              </w:rPr>
              <w:t>六盘水市财政局投诉电话：0858-8324301</w:t>
            </w:r>
          </w:p>
        </w:tc>
      </w:tr>
      <w:tr w14:paraId="1C8D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0" w:type="dxa"/>
            <w:vAlign w:val="center"/>
          </w:tcPr>
          <w:p w14:paraId="2ADD6BE4">
            <w:pPr>
              <w:pStyle w:val="24"/>
              <w:spacing w:line="360" w:lineRule="auto"/>
              <w:ind w:right="81"/>
              <w:jc w:val="center"/>
              <w:rPr>
                <w:rFonts w:hint="default" w:eastAsia="宋体"/>
                <w:bCs/>
                <w:color w:val="auto"/>
                <w:sz w:val="24"/>
                <w:szCs w:val="24"/>
                <w:highlight w:val="none"/>
                <w:lang w:val="en-US" w:eastAsia="zh-CN"/>
              </w:rPr>
            </w:pPr>
            <w:r>
              <w:rPr>
                <w:rFonts w:hint="eastAsia"/>
                <w:bCs/>
                <w:color w:val="auto"/>
                <w:sz w:val="24"/>
                <w:szCs w:val="24"/>
                <w:highlight w:val="none"/>
                <w:lang w:val="en-US" w:eastAsia="zh-CN"/>
              </w:rPr>
              <w:t>26</w:t>
            </w:r>
          </w:p>
        </w:tc>
        <w:tc>
          <w:tcPr>
            <w:tcW w:w="1429" w:type="dxa"/>
            <w:vAlign w:val="center"/>
          </w:tcPr>
          <w:p w14:paraId="578341E0">
            <w:pP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评标委员会的组成</w:t>
            </w:r>
          </w:p>
        </w:tc>
        <w:tc>
          <w:tcPr>
            <w:tcW w:w="8162" w:type="dxa"/>
            <w:vAlign w:val="center"/>
          </w:tcPr>
          <w:p w14:paraId="711D6476">
            <w:pPr>
              <w:spacing w:line="360" w:lineRule="auto"/>
              <w:jc w:val="left"/>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评标委员会成员：评标委员会由技术、经济等方面评审专家（贵州省综合专家库随机抽取专家）4人和</w:t>
            </w:r>
            <w:r>
              <w:rPr>
                <w:rFonts w:hint="eastAsia" w:ascii="Times New Roman" w:hAnsi="Times New Roman" w:cs="Times New Roman"/>
                <w:bCs/>
                <w:color w:val="auto"/>
                <w:kern w:val="2"/>
                <w:sz w:val="24"/>
                <w:szCs w:val="24"/>
                <w:highlight w:val="none"/>
                <w:lang w:val="en-US" w:eastAsia="zh-CN" w:bidi="ar-SA"/>
              </w:rPr>
              <w:t>采购人</w:t>
            </w:r>
            <w:r>
              <w:rPr>
                <w:rFonts w:hint="eastAsia" w:ascii="Times New Roman" w:hAnsi="Times New Roman" w:eastAsia="宋体" w:cs="Times New Roman"/>
                <w:bCs/>
                <w:color w:val="auto"/>
                <w:kern w:val="2"/>
                <w:sz w:val="24"/>
                <w:szCs w:val="24"/>
                <w:highlight w:val="none"/>
                <w:lang w:val="en-US" w:eastAsia="zh-CN" w:bidi="ar-SA"/>
              </w:rPr>
              <w:t>代表1人组成。</w:t>
            </w:r>
          </w:p>
        </w:tc>
      </w:tr>
      <w:tr w14:paraId="46EB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760" w:type="dxa"/>
            <w:vAlign w:val="center"/>
          </w:tcPr>
          <w:p w14:paraId="04B33460">
            <w:pPr>
              <w:pStyle w:val="24"/>
              <w:spacing w:before="1" w:line="360" w:lineRule="auto"/>
              <w:ind w:right="157"/>
              <w:jc w:val="center"/>
              <w:rPr>
                <w:rFonts w:hint="eastAsia" w:eastAsia="宋体"/>
                <w:bCs/>
                <w:color w:val="auto"/>
                <w:sz w:val="24"/>
                <w:szCs w:val="24"/>
                <w:highlight w:val="none"/>
                <w:lang w:val="en-US" w:eastAsia="zh-CN"/>
              </w:rPr>
            </w:pPr>
            <w:r>
              <w:rPr>
                <w:rFonts w:hint="eastAsia"/>
                <w:bCs/>
                <w:color w:val="auto"/>
                <w:sz w:val="24"/>
                <w:szCs w:val="24"/>
                <w:highlight w:val="none"/>
                <w:lang w:val="en-US"/>
              </w:rPr>
              <w:t>2</w:t>
            </w:r>
            <w:r>
              <w:rPr>
                <w:rFonts w:hint="eastAsia"/>
                <w:bCs/>
                <w:color w:val="auto"/>
                <w:sz w:val="24"/>
                <w:szCs w:val="24"/>
                <w:highlight w:val="none"/>
                <w:lang w:val="en-US" w:eastAsia="zh-CN"/>
              </w:rPr>
              <w:t>7</w:t>
            </w:r>
          </w:p>
        </w:tc>
        <w:tc>
          <w:tcPr>
            <w:tcW w:w="1429" w:type="dxa"/>
            <w:vAlign w:val="center"/>
          </w:tcPr>
          <w:p w14:paraId="6E39044D">
            <w:pPr>
              <w:pStyle w:val="24"/>
              <w:spacing w:before="1" w:line="360" w:lineRule="auto"/>
              <w:jc w:val="center"/>
              <w:rPr>
                <w:bCs/>
                <w:color w:val="auto"/>
                <w:sz w:val="24"/>
                <w:szCs w:val="24"/>
                <w:highlight w:val="none"/>
              </w:rPr>
            </w:pPr>
            <w:r>
              <w:rPr>
                <w:rFonts w:hint="eastAsia"/>
                <w:bCs/>
                <w:color w:val="auto"/>
                <w:sz w:val="24"/>
                <w:szCs w:val="24"/>
                <w:highlight w:val="none"/>
                <w:lang w:val="en-US" w:eastAsia="zh-CN"/>
              </w:rPr>
              <w:t xml:space="preserve"> 中标</w:t>
            </w:r>
            <w:r>
              <w:rPr>
                <w:bCs/>
                <w:color w:val="auto"/>
                <w:sz w:val="24"/>
                <w:szCs w:val="24"/>
                <w:highlight w:val="none"/>
              </w:rPr>
              <w:t>服务费</w:t>
            </w:r>
          </w:p>
        </w:tc>
        <w:tc>
          <w:tcPr>
            <w:tcW w:w="8162" w:type="dxa"/>
          </w:tcPr>
          <w:p w14:paraId="1909EA1C">
            <w:pPr>
              <w:pStyle w:val="6"/>
              <w:spacing w:line="360" w:lineRule="auto"/>
              <w:rPr>
                <w:rFonts w:hint="default"/>
                <w:bCs/>
                <w:color w:val="auto"/>
                <w:sz w:val="24"/>
                <w:szCs w:val="24"/>
                <w:highlight w:val="none"/>
                <w:lang w:val="en-US"/>
              </w:rPr>
            </w:pPr>
            <w:r>
              <w:rPr>
                <w:rFonts w:hint="eastAsia"/>
                <w:bCs/>
                <w:color w:val="auto"/>
                <w:sz w:val="24"/>
                <w:szCs w:val="24"/>
                <w:highlight w:val="none"/>
              </w:rPr>
              <w:t>中标人在中标通知书发出前向采购代理机构一次付清</w:t>
            </w:r>
            <w:r>
              <w:rPr>
                <w:rFonts w:hint="eastAsia"/>
                <w:bCs/>
                <w:color w:val="auto"/>
                <w:sz w:val="24"/>
                <w:szCs w:val="24"/>
                <w:highlight w:val="none"/>
                <w:lang w:val="en-US" w:eastAsia="zh-CN"/>
              </w:rPr>
              <w:t>中标服务费，招标代理费为28500.00元</w:t>
            </w:r>
          </w:p>
        </w:tc>
      </w:tr>
      <w:tr w14:paraId="75C2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0351" w:type="dxa"/>
            <w:gridSpan w:val="3"/>
            <w:vAlign w:val="center"/>
          </w:tcPr>
          <w:p w14:paraId="23B978DF">
            <w:pPr>
              <w:pStyle w:val="6"/>
              <w:spacing w:line="360" w:lineRule="auto"/>
              <w:rPr>
                <w:rFonts w:hint="eastAsia"/>
                <w:bCs/>
                <w:color w:val="auto"/>
                <w:sz w:val="24"/>
                <w:szCs w:val="24"/>
                <w:highlight w:val="none"/>
              </w:rPr>
            </w:pPr>
            <w:r>
              <w:rPr>
                <w:rFonts w:hint="eastAsia" w:ascii="宋体" w:hAnsi="宋体" w:eastAsia="宋体" w:cs="宋体"/>
                <w:color w:val="000000"/>
                <w:sz w:val="21"/>
                <w:szCs w:val="21"/>
              </w:rPr>
              <w:t>注：招标文件正文中和本前附表对同一事项表述不一致的，以前附表为准</w:t>
            </w:r>
          </w:p>
        </w:tc>
      </w:tr>
    </w:tbl>
    <w:p w14:paraId="6E14125F">
      <w:pPr>
        <w:sectPr>
          <w:pgSz w:w="11906" w:h="16838"/>
          <w:pgMar w:top="1440" w:right="1080" w:bottom="1440" w:left="1080" w:header="851" w:footer="992" w:gutter="0"/>
          <w:pgNumType w:fmt="decimal"/>
          <w:cols w:space="425" w:num="1"/>
          <w:docGrid w:type="lines" w:linePitch="312" w:charSpace="0"/>
        </w:sectPr>
      </w:pPr>
    </w:p>
    <w:p w14:paraId="2A88C71C">
      <w:pPr>
        <w:pStyle w:val="6"/>
        <w:spacing w:before="335" w:line="225" w:lineRule="auto"/>
        <w:jc w:val="center"/>
        <w:outlineLvl w:val="1"/>
        <w:rPr>
          <w:sz w:val="31"/>
          <w:szCs w:val="31"/>
        </w:rPr>
      </w:pPr>
      <w:r>
        <w:rPr>
          <w:rFonts w:hint="eastAsia"/>
          <w:b/>
          <w:bCs/>
          <w:spacing w:val="-6"/>
          <w:sz w:val="31"/>
          <w:szCs w:val="31"/>
          <w:lang w:val="en-US" w:eastAsia="zh-CN"/>
        </w:rPr>
        <w:t xml:space="preserve">B </w:t>
      </w:r>
      <w:r>
        <w:rPr>
          <w:b/>
          <w:bCs/>
          <w:spacing w:val="-6"/>
          <w:sz w:val="31"/>
          <w:szCs w:val="31"/>
        </w:rPr>
        <w:t>说</w:t>
      </w:r>
      <w:r>
        <w:rPr>
          <w:spacing w:val="92"/>
          <w:sz w:val="31"/>
          <w:szCs w:val="31"/>
        </w:rPr>
        <w:t xml:space="preserve"> </w:t>
      </w:r>
      <w:r>
        <w:rPr>
          <w:b/>
          <w:bCs/>
          <w:spacing w:val="-6"/>
          <w:sz w:val="31"/>
          <w:szCs w:val="31"/>
        </w:rPr>
        <w:t>明</w:t>
      </w:r>
    </w:p>
    <w:p w14:paraId="721663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1、合格投标人的范围：货物类应是具有相关产品生产或销售许可证明和供货能力的中国境内投标人，服务类应是具有能提供相关服务的技术及设备、人员等能力的中国境内投标人。</w:t>
      </w:r>
    </w:p>
    <w:p w14:paraId="630F3E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1.1允许在中国注册中外合资、合作企业，以其在中国境内生产的产品或得到有关部门准许提供的服务范围参加投标。</w:t>
      </w:r>
    </w:p>
    <w:p w14:paraId="202017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1.2本项目不接受联合体投标。</w:t>
      </w:r>
    </w:p>
    <w:p w14:paraId="602F38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1.3未在财政部门列入禁止参加政府采购活动期间。</w:t>
      </w:r>
    </w:p>
    <w:p w14:paraId="75983B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1.4投标人应当符合《政府采购法》第二十二条第一款规定的投标人基本资格条件要求。</w:t>
      </w:r>
    </w:p>
    <w:p w14:paraId="2790D2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1.5单位负责人为同一人或者存在直接控股、管理关系的不同投标人，不得参加同一合同项下的政府采购活动。</w:t>
      </w:r>
    </w:p>
    <w:p w14:paraId="5A155B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1.6投标人应遵守有关的中国法律和规章条例。</w:t>
      </w:r>
    </w:p>
    <w:p w14:paraId="6E24F3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2、定义：</w:t>
      </w:r>
    </w:p>
    <w:p w14:paraId="64A2BE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2.1“采购人”系指六盘水市</w:t>
      </w:r>
      <w:r>
        <w:rPr>
          <w:rFonts w:hint="eastAsia"/>
          <w:sz w:val="24"/>
          <w:szCs w:val="24"/>
          <w:lang w:eastAsia="zh-CN"/>
        </w:rPr>
        <w:t>第三</w:t>
      </w:r>
      <w:r>
        <w:rPr>
          <w:sz w:val="24"/>
          <w:szCs w:val="24"/>
        </w:rPr>
        <w:t>人民医院。</w:t>
      </w:r>
    </w:p>
    <w:p w14:paraId="58241F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2.2“采购代理机构”系指贵州</w:t>
      </w:r>
      <w:r>
        <w:rPr>
          <w:rFonts w:hint="eastAsia"/>
          <w:sz w:val="24"/>
          <w:szCs w:val="24"/>
          <w:lang w:eastAsia="zh-CN"/>
        </w:rPr>
        <w:t>晋泽信息</w:t>
      </w:r>
      <w:r>
        <w:rPr>
          <w:sz w:val="24"/>
          <w:szCs w:val="24"/>
        </w:rPr>
        <w:t>咨询有限责任公司。</w:t>
      </w:r>
    </w:p>
    <w:p w14:paraId="738F3E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2.3“采购方”系指</w:t>
      </w:r>
      <w:r>
        <w:rPr>
          <w:rFonts w:hint="eastAsia"/>
          <w:sz w:val="24"/>
          <w:szCs w:val="24"/>
        </w:rPr>
        <w:t>六盘水市第三人民医院</w:t>
      </w:r>
      <w:r>
        <w:rPr>
          <w:sz w:val="24"/>
          <w:szCs w:val="24"/>
        </w:rPr>
        <w:t>或</w:t>
      </w:r>
      <w:r>
        <w:rPr>
          <w:rFonts w:hint="eastAsia"/>
          <w:sz w:val="24"/>
          <w:szCs w:val="24"/>
        </w:rPr>
        <w:t>贵州晋泽信息咨询有限责任公司</w:t>
      </w:r>
      <w:r>
        <w:rPr>
          <w:sz w:val="24"/>
          <w:szCs w:val="24"/>
        </w:rPr>
        <w:t>。</w:t>
      </w:r>
    </w:p>
    <w:p w14:paraId="266543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2.4“投标人”系指向采购方提交投标文件的</w:t>
      </w:r>
      <w:r>
        <w:rPr>
          <w:rFonts w:hint="eastAsia"/>
          <w:sz w:val="24"/>
          <w:szCs w:val="24"/>
          <w:lang w:eastAsia="zh-CN"/>
        </w:rPr>
        <w:t>投标人</w:t>
      </w:r>
      <w:r>
        <w:rPr>
          <w:sz w:val="24"/>
          <w:szCs w:val="24"/>
        </w:rPr>
        <w:t>。</w:t>
      </w:r>
    </w:p>
    <w:p w14:paraId="617EC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2.5“买方”的定义同“采购人”。</w:t>
      </w:r>
    </w:p>
    <w:p w14:paraId="47371A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2.6“卖方”的定义同“投标人”。</w:t>
      </w:r>
    </w:p>
    <w:p w14:paraId="329B59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2.7“货物”系指投标人按招标文件规定，须向采购人提供的一切设备、机械、仪器仪表、备品备件、工具、手册及其他有关技术资料和材料。</w:t>
      </w:r>
    </w:p>
    <w:p w14:paraId="5E49BE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2.8“服务”系指招标文件规定投标人须承担的服务以及为提供服务涉及的安装、调试、数据迁移、技术协助、校准、培训等。</w:t>
      </w:r>
    </w:p>
    <w:p w14:paraId="01483A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2.9投标费用：无论投标过程中的作法和结果如何，投标人自行承担所有与参加投标有关的全部费用。</w:t>
      </w:r>
    </w:p>
    <w:p w14:paraId="25EEEFF7">
      <w:pPr>
        <w:pStyle w:val="19"/>
        <w:sectPr>
          <w:pgSz w:w="11906" w:h="16838"/>
          <w:pgMar w:top="1440" w:right="1080" w:bottom="1440" w:left="1080" w:header="851" w:footer="992" w:gutter="0"/>
          <w:pgNumType w:fmt="decimal"/>
          <w:cols w:space="425" w:num="1"/>
          <w:docGrid w:type="lines" w:linePitch="312" w:charSpace="0"/>
        </w:sectPr>
      </w:pPr>
    </w:p>
    <w:p w14:paraId="7E4AB436">
      <w:pPr>
        <w:pStyle w:val="6"/>
        <w:spacing w:before="47" w:line="225" w:lineRule="auto"/>
        <w:ind w:left="4080"/>
        <w:outlineLvl w:val="1"/>
        <w:rPr>
          <w:sz w:val="31"/>
          <w:szCs w:val="31"/>
        </w:rPr>
      </w:pPr>
      <w:r>
        <w:rPr>
          <w:b/>
          <w:bCs/>
          <w:spacing w:val="1"/>
          <w:sz w:val="31"/>
          <w:szCs w:val="31"/>
        </w:rPr>
        <w:t>C</w:t>
      </w:r>
      <w:r>
        <w:rPr>
          <w:spacing w:val="23"/>
          <w:sz w:val="31"/>
          <w:szCs w:val="31"/>
        </w:rPr>
        <w:t xml:space="preserve"> </w:t>
      </w:r>
      <w:r>
        <w:rPr>
          <w:b/>
          <w:bCs/>
          <w:spacing w:val="1"/>
          <w:sz w:val="31"/>
          <w:szCs w:val="31"/>
        </w:rPr>
        <w:t>招标文件</w:t>
      </w:r>
    </w:p>
    <w:p w14:paraId="6EF7D9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1、标文件用以阐明所需货物、服务招标投标程序和合同条款。招标文件由下述部分组成：</w:t>
      </w:r>
    </w:p>
    <w:p w14:paraId="3BA212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第一章投标邀请；</w:t>
      </w:r>
    </w:p>
    <w:p w14:paraId="7BAB83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第二章投标人须知；</w:t>
      </w:r>
    </w:p>
    <w:p w14:paraId="5ADDBF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第三章投标人应当提交的资格、资信证明文件；</w:t>
      </w:r>
    </w:p>
    <w:p w14:paraId="1514D2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第四章为落实政府采购政策，采购标的需满足的要求，以及投标人须提供的证明材料；</w:t>
      </w:r>
    </w:p>
    <w:p w14:paraId="58A90A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第五章投标文件编制要求，投标报价要求和投标保证金交纳、退还方式以及不予退还投标保证金的情形；</w:t>
      </w:r>
    </w:p>
    <w:p w14:paraId="62F317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第六章采购项目预算金额，设定最高限价的，还应当公开最高限价；</w:t>
      </w:r>
    </w:p>
    <w:p w14:paraId="066FBF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第七章采购项目的技术规格、数量、服务标准、验收等要求；</w:t>
      </w:r>
    </w:p>
    <w:p w14:paraId="5B0230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第八章拟签订的合同文本；</w:t>
      </w:r>
    </w:p>
    <w:p w14:paraId="2D1FA0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第九章货物、服务提供的时间、地点、方式</w:t>
      </w:r>
    </w:p>
    <w:p w14:paraId="572202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第十章采购资金的支付方式、时间、条件；</w:t>
      </w:r>
    </w:p>
    <w:p w14:paraId="1AB908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第十一章评标办法、评标标准和投标无效情形；</w:t>
      </w:r>
    </w:p>
    <w:p w14:paraId="39FF48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第十二章投标有效期；</w:t>
      </w:r>
    </w:p>
    <w:p w14:paraId="17AEE7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第十三章投标截止时间、开标时间及地点；</w:t>
      </w:r>
    </w:p>
    <w:p w14:paraId="7C7796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第十四章采购代理机构代理费用的收取标准和方式；</w:t>
      </w:r>
    </w:p>
    <w:p w14:paraId="06A212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第十五章投标人信用信息查询渠道及截止时点、信用信息查询记录和证据留存的具体方式、信用信息的使用规则等；</w:t>
      </w:r>
    </w:p>
    <w:p w14:paraId="300998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第十六章省级以上财政部门规定的其他事项；</w:t>
      </w:r>
    </w:p>
    <w:p w14:paraId="73C216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第十七章投标文件格式；</w:t>
      </w:r>
    </w:p>
    <w:p w14:paraId="36C02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2、投标人应仔细阅读招标文件的所有内容，按招标文件的要求提供投标文件，并保证所提供的全部资料的真实性，以使其投标对招标文件作出实质性投标，否则其投标可能被拒绝。</w:t>
      </w:r>
    </w:p>
    <w:p w14:paraId="4B019D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3、招标文件的澄清：</w:t>
      </w:r>
    </w:p>
    <w:p w14:paraId="23A5C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3.1投标人对招标文件如有疑点要求澄清，可用书面、传真、电报形式通知采购方，但通知不得迟于开标日期前5日，以确保采购方收到。采购方应用书面、传真、电报作出答复。</w:t>
      </w:r>
    </w:p>
    <w:p w14:paraId="0A141E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3.2采购人或者采购代理机构可以对已发出的招标文件进行必要的澄清或者修改，但不得改变采购标的和资格条件。澄清或者修改应当在原公告发布媒体上发布澄清公告。澄清或者修改的内容为招标文件、资格预审文件、投标邀请书的组成部分。</w:t>
      </w:r>
    </w:p>
    <w:p w14:paraId="5A10A5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3.3澄清或者修改的内容可能影响投标文件编制的，采购人或者采购代理机构应当在投标截止时间至少15日前，以书面形式或公告发布媒体上发布更正、澄清公告通知所有获取招标文件的潜在投标人；不足15日的，采购人或者采购代理机构应当顺延提交投标文件的截止时间。</w:t>
      </w:r>
    </w:p>
    <w:p w14:paraId="61ABD8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4、招标文件的修改：</w:t>
      </w:r>
    </w:p>
    <w:p w14:paraId="6FF98F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4.1在投标截止时间前，采购方无论出于自己的考虑，还是出于对投标人提问的澄清，均可对招标文件用补充、更正文件的方式进行修改。</w:t>
      </w:r>
    </w:p>
    <w:p w14:paraId="0F320E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4.2对招标文件的修改，将以书面、电报、传真的形式通知已获取招标文件的每一投标人。补充、更正文件将作为招标文件的组成部分，对所有投标人有约束力。</w:t>
      </w:r>
    </w:p>
    <w:p w14:paraId="5020DC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4.3在投标截止时间后，投标人不得主动对投标文件进行修改。</w:t>
      </w:r>
    </w:p>
    <w:p w14:paraId="298A118E">
      <w:pPr>
        <w:pStyle w:val="6"/>
        <w:spacing w:before="277" w:line="219" w:lineRule="auto"/>
        <w:ind w:left="634"/>
        <w:rPr>
          <w:spacing w:val="-1"/>
          <w:sz w:val="24"/>
          <w:szCs w:val="24"/>
        </w:rPr>
        <w:sectPr>
          <w:footerReference r:id="rId6" w:type="default"/>
          <w:pgSz w:w="11906" w:h="16838"/>
          <w:pgMar w:top="1440" w:right="1080" w:bottom="1440" w:left="1080" w:header="851" w:footer="992" w:gutter="0"/>
          <w:pgNumType w:fmt="decimal"/>
          <w:cols w:space="425" w:num="1"/>
          <w:docGrid w:type="lines" w:linePitch="312" w:charSpace="0"/>
        </w:sectPr>
      </w:pPr>
    </w:p>
    <w:p w14:paraId="58A1A371">
      <w:pPr>
        <w:pStyle w:val="6"/>
        <w:spacing w:before="206" w:line="225" w:lineRule="auto"/>
        <w:ind w:left="3675"/>
        <w:outlineLvl w:val="1"/>
        <w:rPr>
          <w:sz w:val="31"/>
          <w:szCs w:val="31"/>
        </w:rPr>
      </w:pPr>
      <w:r>
        <w:rPr>
          <w:b/>
          <w:bCs/>
          <w:spacing w:val="6"/>
          <w:sz w:val="31"/>
          <w:szCs w:val="31"/>
        </w:rPr>
        <w:t>D投标文件的递交</w:t>
      </w:r>
    </w:p>
    <w:p w14:paraId="1B283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1、递交投标文件的截止时间：2025年0</w:t>
      </w:r>
      <w:r>
        <w:rPr>
          <w:rFonts w:hint="eastAsia"/>
          <w:sz w:val="24"/>
          <w:szCs w:val="24"/>
          <w:lang w:val="en-US" w:eastAsia="zh-CN"/>
        </w:rPr>
        <w:t>7</w:t>
      </w:r>
      <w:r>
        <w:rPr>
          <w:sz w:val="24"/>
          <w:szCs w:val="24"/>
        </w:rPr>
        <w:t>月</w:t>
      </w:r>
      <w:r>
        <w:rPr>
          <w:rFonts w:hint="eastAsia"/>
          <w:sz w:val="24"/>
          <w:szCs w:val="24"/>
          <w:lang w:val="en-US" w:eastAsia="zh-CN"/>
        </w:rPr>
        <w:t xml:space="preserve">  </w:t>
      </w:r>
      <w:r>
        <w:rPr>
          <w:sz w:val="24"/>
          <w:szCs w:val="24"/>
        </w:rPr>
        <w:t>日上午09时30分</w:t>
      </w:r>
    </w:p>
    <w:p w14:paraId="47644F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投标单位需在加密电子投标文件上传截至时间前使用《贵州六盘水市公共资源交易平台投标文件制作工具》制作加密电子投标文件上传至六盘水市公共资源交易平台。加密电子投标文件如未按时上传至交易平台，投标人将无法参与开标解密环节。（注：各投标企业自行在40分钟内远程解密投标文件，超过时限的按无效标处理；解密完成后投标人自行对开标记录表在文字互动处回复确认，未提出异议的，视为无异议，认可开标结果。如开标过程中存在问题，请及时联系代理机构）</w:t>
      </w:r>
    </w:p>
    <w:p w14:paraId="572C9B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3、注意事项：</w:t>
      </w:r>
    </w:p>
    <w:p w14:paraId="3A1160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（1）实行网上解密，投标人应在响应文件递交截止时间后40分钟内，使用CA密钥登录六盘水市公共资源交易平台</w:t>
      </w:r>
    </w:p>
    <w:p w14:paraId="0B38C0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r>
        <w:rPr>
          <w:sz w:val="24"/>
          <w:szCs w:val="24"/>
        </w:rPr>
        <w:fldChar w:fldCharType="begin"/>
      </w:r>
      <w:r>
        <w:rPr>
          <w:sz w:val="24"/>
          <w:szCs w:val="24"/>
        </w:rPr>
        <w:instrText xml:space="preserve">HYPERLINK"http：//58.42.212.28：8088/ggzy/"</w:instrText>
      </w:r>
      <w:r>
        <w:rPr>
          <w:sz w:val="24"/>
          <w:szCs w:val="24"/>
        </w:rPr>
        <w:fldChar w:fldCharType="separate"/>
      </w:r>
      <w:r>
        <w:rPr>
          <w:sz w:val="24"/>
          <w:szCs w:val="24"/>
        </w:rPr>
        <w:t>http：//58.42.212.28：8088/ggzy/</w:t>
      </w:r>
      <w:r>
        <w:rPr>
          <w:sz w:val="24"/>
          <w:szCs w:val="24"/>
        </w:rPr>
        <w:fldChar w:fldCharType="end"/>
      </w:r>
      <w:r>
        <w:rPr>
          <w:sz w:val="24"/>
          <w:szCs w:val="24"/>
        </w:rPr>
        <w:t>)对其电子响应文件完成解密。成功解密响应文件满足三家及三家以上时开标会议继续进行；不足三家时采购人或者采购代理机构将按照法律法规相关规定终止本项目的采购活动</w:t>
      </w:r>
    </w:p>
    <w:p w14:paraId="6EC283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（3）解密完成后，系统将自动公布各投标人报价。</w:t>
      </w:r>
    </w:p>
    <w:p w14:paraId="391231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（4）开标过程中，如果投标人对项目开标过程中有质疑，可以在不见面开标大厅发起现场质疑。</w:t>
      </w:r>
    </w:p>
    <w:p w14:paraId="3A01E7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sectPr>
          <w:footerReference r:id="rId7" w:type="default"/>
          <w:pgSz w:w="11906" w:h="16838"/>
          <w:pgMar w:top="1440" w:right="1080" w:bottom="1440" w:left="1080" w:header="851" w:footer="992" w:gutter="0"/>
          <w:pgNumType w:fmt="decimal"/>
          <w:cols w:space="425" w:num="1"/>
          <w:docGrid w:type="lines" w:linePitch="312" w:charSpace="0"/>
        </w:sectPr>
      </w:pPr>
      <w:r>
        <w:rPr>
          <w:sz w:val="24"/>
          <w:szCs w:val="24"/>
        </w:rPr>
        <w:t>（5）开标结束前投标人需在不见面开标大厅(一览表签章)界面对开标记录表在文字互动处回复确认，未提出异议的，视为无异议，视为认可开标全过程。</w:t>
      </w:r>
    </w:p>
    <w:p w14:paraId="260168EB">
      <w:pPr>
        <w:pStyle w:val="6"/>
        <w:spacing w:before="206" w:line="225" w:lineRule="auto"/>
        <w:ind w:left="3356"/>
        <w:outlineLvl w:val="1"/>
        <w:rPr>
          <w:sz w:val="31"/>
          <w:szCs w:val="31"/>
        </w:rPr>
      </w:pPr>
      <w:r>
        <w:rPr>
          <w:b/>
          <w:bCs/>
          <w:spacing w:val="6"/>
          <w:sz w:val="31"/>
          <w:szCs w:val="31"/>
        </w:rPr>
        <w:t>E无效投标及废标确定</w:t>
      </w:r>
    </w:p>
    <w:p w14:paraId="41B3E0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1、投标人存在下列情况之一的，投标无效：</w:t>
      </w:r>
    </w:p>
    <w:p w14:paraId="4BC373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 未按照招标文件的规定提交投标保证金的；</w:t>
      </w:r>
    </w:p>
    <w:p w14:paraId="5FAA45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1.2 投标文件未按照招标文件要求签署、盖章的；</w:t>
      </w:r>
    </w:p>
    <w:p w14:paraId="2D6E80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1.3 不具备招标文件中规定的资格要求的；</w:t>
      </w:r>
    </w:p>
    <w:p w14:paraId="07F5D3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1.4 报价超过招标文件中规定的预算金额或者最高限价的；</w:t>
      </w:r>
    </w:p>
    <w:p w14:paraId="362C62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1.5 投标文件含有采购人不能接受的附加条件的；</w:t>
      </w:r>
    </w:p>
    <w:p w14:paraId="68D977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1.6 投标人串通投标的；</w:t>
      </w:r>
    </w:p>
    <w:p w14:paraId="3D6B0B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1.7 妨碍其他投标人投标行为的；</w:t>
      </w:r>
    </w:p>
    <w:p w14:paraId="2003D0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1.8 损害采购人合法权益的；损害其他投标人合法权益的； 提供虚假投标资料的；</w:t>
      </w:r>
    </w:p>
    <w:p w14:paraId="21A355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1.9 向采购主管单位、采购人、采购代理机构等行贿或者提供其他不正当利益的；</w:t>
      </w:r>
    </w:p>
    <w:p w14:paraId="483771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1.10 拒绝财政及有关部门的检查或者不如实反映情况、提供材料的；</w:t>
      </w:r>
    </w:p>
    <w:p w14:paraId="111D33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2、有下列情形之一的，视为投标人串通投标，其投标无效：</w:t>
      </w:r>
    </w:p>
    <w:p w14:paraId="09F04B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2.1 不同投标人的投标文件由同一单位或者个人编制；</w:t>
      </w:r>
    </w:p>
    <w:p w14:paraId="0B10FB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2.2 不同投标人委托同一单位或者个人办理投标事宜；</w:t>
      </w:r>
    </w:p>
    <w:p w14:paraId="7B9BA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2.3 不同投标人的投标文件载明的项目管理成员或者联系人员为同一人；</w:t>
      </w:r>
    </w:p>
    <w:p w14:paraId="27AE75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2.4 不同投标人的投标文件异常一致或者投标报价呈规律性差异；</w:t>
      </w:r>
    </w:p>
    <w:p w14:paraId="4535AF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2.5 不同投标人的投标文件相互混装；</w:t>
      </w:r>
    </w:p>
    <w:p w14:paraId="591DE0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2.6 不同投标人的投标保证金从同一单位或者个人的账户转出。</w:t>
      </w:r>
    </w:p>
    <w:p w14:paraId="22652C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3、在招标采购中，出现下列情形之一的，应予废标：</w:t>
      </w:r>
    </w:p>
    <w:p w14:paraId="61C29D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3.1 符合专业条件的</w:t>
      </w:r>
      <w:r>
        <w:rPr>
          <w:rFonts w:hint="eastAsia"/>
          <w:sz w:val="24"/>
          <w:szCs w:val="24"/>
          <w:lang w:eastAsia="zh-CN"/>
        </w:rPr>
        <w:t>投标人</w:t>
      </w:r>
      <w:r>
        <w:rPr>
          <w:sz w:val="24"/>
          <w:szCs w:val="24"/>
        </w:rPr>
        <w:t>或者对招标文件作实质响应的</w:t>
      </w:r>
      <w:r>
        <w:rPr>
          <w:rFonts w:hint="eastAsia"/>
          <w:sz w:val="24"/>
          <w:szCs w:val="24"/>
          <w:lang w:eastAsia="zh-CN"/>
        </w:rPr>
        <w:t>投标人</w:t>
      </w:r>
      <w:r>
        <w:rPr>
          <w:sz w:val="24"/>
          <w:szCs w:val="24"/>
        </w:rPr>
        <w:t>不足三家的；</w:t>
      </w:r>
    </w:p>
    <w:p w14:paraId="5E2712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3.2 出现影响采购公正的违法、违规行为的；</w:t>
      </w:r>
    </w:p>
    <w:p w14:paraId="58C994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3.3 因重大变故，采购任务取消的。</w:t>
      </w:r>
    </w:p>
    <w:p w14:paraId="208A9F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 法律、法规和招标文件规定的其他无效情形。</w:t>
      </w:r>
    </w:p>
    <w:p w14:paraId="699D7B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废标后，采购人应当将废标理由通知所有投标人。</w:t>
      </w:r>
    </w:p>
    <w:p w14:paraId="6B31D28F">
      <w:pPr>
        <w:pStyle w:val="2"/>
        <w:sectPr>
          <w:footerReference r:id="rId8" w:type="default"/>
          <w:pgSz w:w="11906" w:h="16838"/>
          <w:pgMar w:top="1440" w:right="1080" w:bottom="1440" w:left="1080" w:header="851" w:footer="992" w:gutter="0"/>
          <w:pgNumType w:fmt="decimal"/>
          <w:cols w:space="425" w:num="1"/>
          <w:docGrid w:type="lines" w:linePitch="312" w:charSpace="0"/>
        </w:sectPr>
      </w:pPr>
    </w:p>
    <w:p w14:paraId="2AB64327">
      <w:pPr>
        <w:pStyle w:val="6"/>
        <w:spacing w:before="207" w:line="225" w:lineRule="auto"/>
        <w:ind w:left="3919"/>
        <w:outlineLvl w:val="1"/>
        <w:rPr>
          <w:sz w:val="31"/>
          <w:szCs w:val="31"/>
        </w:rPr>
      </w:pPr>
      <w:r>
        <w:rPr>
          <w:b/>
          <w:bCs/>
          <w:spacing w:val="5"/>
          <w:sz w:val="31"/>
          <w:szCs w:val="31"/>
        </w:rPr>
        <w:t>F</w:t>
      </w:r>
      <w:r>
        <w:rPr>
          <w:spacing w:val="5"/>
          <w:sz w:val="31"/>
          <w:szCs w:val="31"/>
        </w:rPr>
        <w:t xml:space="preserve"> </w:t>
      </w:r>
      <w:r>
        <w:rPr>
          <w:b/>
          <w:bCs/>
          <w:spacing w:val="5"/>
          <w:sz w:val="31"/>
          <w:szCs w:val="31"/>
        </w:rPr>
        <w:t>开标和评审</w:t>
      </w:r>
    </w:p>
    <w:p w14:paraId="4F76B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1、开标：</w:t>
      </w:r>
    </w:p>
    <w:p w14:paraId="2E9A9B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1.1实行网上解密，投标人应在响应文件递交截止时间后40分钟内，使用CA密钥登录六盘水市公共资源交易平台(</w:t>
      </w:r>
      <w:r>
        <w:rPr>
          <w:sz w:val="24"/>
          <w:szCs w:val="24"/>
        </w:rPr>
        <w:fldChar w:fldCharType="begin"/>
      </w:r>
      <w:r>
        <w:rPr>
          <w:sz w:val="24"/>
          <w:szCs w:val="24"/>
        </w:rPr>
        <w:instrText xml:space="preserve">HYPERLINK"http：//58.42.212.28：8088/ggzy/"</w:instrText>
      </w:r>
      <w:r>
        <w:rPr>
          <w:sz w:val="24"/>
          <w:szCs w:val="24"/>
        </w:rPr>
        <w:fldChar w:fldCharType="separate"/>
      </w:r>
      <w:r>
        <w:rPr>
          <w:sz w:val="24"/>
          <w:szCs w:val="24"/>
        </w:rPr>
        <w:t>http：//58.42.212.28：8088/ggzy/</w:t>
      </w:r>
      <w:r>
        <w:rPr>
          <w:sz w:val="24"/>
          <w:szCs w:val="24"/>
        </w:rPr>
        <w:fldChar w:fldCharType="end"/>
      </w:r>
      <w:r>
        <w:rPr>
          <w:sz w:val="24"/>
          <w:szCs w:val="24"/>
        </w:rPr>
        <w:t>)对其电子响应文件完成解密。成功解密响应文件满足三家及三家以上时开标会议继续进行；不足三家时采购人或者采购代理机构将按照法律法规相关规定终止本项目的采购活动。</w:t>
      </w:r>
    </w:p>
    <w:p w14:paraId="33E81F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1.2解密完成后，系统将自动公布各投标人报价。</w:t>
      </w:r>
    </w:p>
    <w:p w14:paraId="6C5E35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1.3开标过程中，如果有投标人对项目开标过程中有质疑，可以在不见面开标大厅发起现场质疑。</w:t>
      </w:r>
    </w:p>
    <w:p w14:paraId="6B6EB0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1.4开标结束前投标人需在不见面开标大厅(一览表签章)界面对开标记录表在文字互动处回复确认，未提出异议的，视为无异议，视为认可开标全过程。</w:t>
      </w:r>
    </w:p>
    <w:p w14:paraId="2AE154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1.5开标结束后，采购代理机构通过交易系统，对投标人进行资格审查。资格审查内容详见：第三章、投标人应当提交的资格、资信证明文件（注：资格审查不通过的，不进入下一轮评审）。</w:t>
      </w:r>
    </w:p>
    <w:p w14:paraId="0790F0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2、评标</w:t>
      </w:r>
    </w:p>
    <w:p w14:paraId="4ACB98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评标委员会由采购人依法组建，评标委员会由</w:t>
      </w:r>
      <w:r>
        <w:rPr>
          <w:rFonts w:hint="eastAsia"/>
          <w:sz w:val="24"/>
          <w:szCs w:val="24"/>
          <w:lang w:val="en-US" w:eastAsia="zh-CN"/>
        </w:rPr>
        <w:t>1</w:t>
      </w:r>
      <w:r>
        <w:rPr>
          <w:sz w:val="24"/>
          <w:szCs w:val="24"/>
        </w:rPr>
        <w:t>名采购人代表和随机从贵州省综合评标专家库中抽取</w:t>
      </w:r>
      <w:r>
        <w:rPr>
          <w:rFonts w:hint="eastAsia"/>
          <w:sz w:val="24"/>
          <w:szCs w:val="24"/>
          <w:lang w:val="en-US" w:eastAsia="zh-CN"/>
        </w:rPr>
        <w:t>4</w:t>
      </w:r>
      <w:r>
        <w:rPr>
          <w:sz w:val="24"/>
          <w:szCs w:val="24"/>
        </w:rPr>
        <w:t>名专家，共</w:t>
      </w:r>
      <w:r>
        <w:rPr>
          <w:rFonts w:hint="eastAsia"/>
          <w:sz w:val="24"/>
          <w:szCs w:val="24"/>
          <w:lang w:val="en-US" w:eastAsia="zh-CN"/>
        </w:rPr>
        <w:t>5</w:t>
      </w:r>
      <w:r>
        <w:rPr>
          <w:sz w:val="24"/>
          <w:szCs w:val="24"/>
        </w:rPr>
        <w:t>人组成。评标成员根据本次招标的“评标办法”对投标文件进行审查、评议、比较和打分，推荐中标候选人。</w:t>
      </w:r>
    </w:p>
    <w:p w14:paraId="3A0384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2.1投标文件的评审</w:t>
      </w:r>
    </w:p>
    <w:p w14:paraId="58B298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2.1.1评标委员会决定投标文件的响应性只根据投标文件本身的内容，而不寻求外部的证据。投标人对投标文件内容的真实性承担法律责任。</w:t>
      </w:r>
    </w:p>
    <w:p w14:paraId="22175F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2.1.2如果投标文件实质上没有响应招标文件的要求，评标委员会将予以拒绝，投标</w:t>
      </w:r>
    </w:p>
    <w:p w14:paraId="114094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人不得通过修正或撤销不合要求的偏离或保留，从而使其投标成为实质上响应的投标。</w:t>
      </w:r>
    </w:p>
    <w:p w14:paraId="620B01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2.1.3评标委员会将允许修正投标中不构成重大偏离的、微小的、非正规的、不一致的或不规则的地方，但这些修正不能影响任何投标人相应的名次排列。</w:t>
      </w:r>
    </w:p>
    <w:p w14:paraId="7D007C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2.2核价原则</w:t>
      </w:r>
    </w:p>
    <w:p w14:paraId="586CBB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投标文件报价出现前后不一致的，按照下列规定修正：</w:t>
      </w:r>
    </w:p>
    <w:p w14:paraId="6BB1FF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2.2.1、投标文件中投标函内容与投标文件中相应内容不一致的，以投标函为准；</w:t>
      </w:r>
    </w:p>
    <w:p w14:paraId="40E5BA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2.2.2、大写金额和小写金额不一致的，以大写金额为准；</w:t>
      </w:r>
    </w:p>
    <w:p w14:paraId="3F9349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2.2.3、总价金额小数点或者百分比有明显错位的，以投标函的总价为准，并修改总价；</w:t>
      </w:r>
    </w:p>
    <w:p w14:paraId="76CABE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注：同时出现两种以上不一致的，按照前款规定的顺序修正。修正后的报价须采用书面形式，并加盖电子公章，投标人确认后产生约束力；投标人不确认的，其投标无效。</w:t>
      </w:r>
    </w:p>
    <w:p w14:paraId="772317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2.3评标委员会将按上述修正错误的方法调整投标文件中的投标报价，调整后的价格应对投标人具有约束力；如果投标人不接受修正后的价格，则其投标将被拒绝。</w:t>
      </w:r>
    </w:p>
    <w:p w14:paraId="312C37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r>
        <w:rPr>
          <w:rFonts w:hint="eastAsia"/>
          <w:sz w:val="24"/>
          <w:szCs w:val="24"/>
          <w:lang w:val="en-US" w:eastAsia="zh-CN"/>
        </w:rPr>
        <w:t>4</w:t>
      </w:r>
      <w:r>
        <w:rPr>
          <w:sz w:val="24"/>
          <w:szCs w:val="24"/>
        </w:rPr>
        <w:t>评标时为了有助于对投标文件进行审查、评议和比较，评标委员会有权要求投标人进行澄清，请投标人澄清其投标文件内容。投标人有责任按照评标委员会通知的时间、地点指派专人进行答疑和澄清。</w:t>
      </w:r>
    </w:p>
    <w:p w14:paraId="57FF98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r>
        <w:rPr>
          <w:rFonts w:hint="eastAsia"/>
          <w:sz w:val="24"/>
          <w:szCs w:val="24"/>
          <w:lang w:val="en-US" w:eastAsia="zh-CN"/>
        </w:rPr>
        <w:t>5</w:t>
      </w:r>
      <w:r>
        <w:rPr>
          <w:sz w:val="24"/>
          <w:szCs w:val="24"/>
        </w:rPr>
        <w:t>投标人重要澄清的答复应是书面的，但不得对投标文件内容进行实质性修改。</w:t>
      </w:r>
    </w:p>
    <w:p w14:paraId="7E227E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r>
        <w:rPr>
          <w:rFonts w:hint="eastAsia"/>
          <w:sz w:val="24"/>
          <w:szCs w:val="24"/>
          <w:lang w:val="en-US" w:eastAsia="zh-CN"/>
        </w:rPr>
        <w:t>6</w:t>
      </w:r>
      <w:r>
        <w:rPr>
          <w:sz w:val="24"/>
          <w:szCs w:val="24"/>
        </w:rPr>
        <w:t>评标委员会各成员独立对每个有效投标人按招标文件规定的评标办法进行综合评审。</w:t>
      </w:r>
    </w:p>
    <w:p w14:paraId="34348E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3、评标原则</w:t>
      </w:r>
    </w:p>
    <w:p w14:paraId="54C6A7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3.1在评标期间，投标人不得向评委询问评标情况。</w:t>
      </w:r>
    </w:p>
    <w:p w14:paraId="396E91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3.2为保证评标的公正性，公平性，在评标过程中，评委不得与投标人私下接触。在招标工作结束后，凡与评标情况有接触的任何人不得将评标情况扩散出评委成员之外。</w:t>
      </w:r>
    </w:p>
    <w:p w14:paraId="19172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3.3评标委员会对未中标人不作任何解释，不退还投标文件。</w:t>
      </w:r>
    </w:p>
    <w:p w14:paraId="2BE7E9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sectPr>
          <w:footerReference r:id="rId9" w:type="default"/>
          <w:pgSz w:w="11906" w:h="16838"/>
          <w:pgMar w:top="1440" w:right="1080" w:bottom="1440" w:left="1080" w:header="851" w:footer="992" w:gutter="0"/>
          <w:pgNumType w:fmt="decimal"/>
          <w:cols w:space="425" w:num="1"/>
          <w:docGrid w:type="lines" w:linePitch="312" w:charSpace="0"/>
        </w:sectPr>
      </w:pPr>
      <w:r>
        <w:rPr>
          <w:sz w:val="24"/>
          <w:szCs w:val="24"/>
        </w:rPr>
        <w:t>3.4提供相同品牌核心产品且通过资格审查、符合性审查的不同投标人参加同一合同项下投标的，按一家投标人计算,评审后得分最高的同品牌投标人获得中标人推荐资格；评审得分相同的,按项目总报价由低到高的形式确定一个投标人获得中标人推荐资格,报价也相同的，采取随机抽取方式确定，其他同品牌投标人不作为中标候选人。</w:t>
      </w:r>
      <w:r>
        <w:rPr>
          <w:rFonts w:hint="eastAsia"/>
          <w:sz w:val="24"/>
          <w:szCs w:val="24"/>
          <w:lang w:eastAsia="zh-CN"/>
        </w:rPr>
        <w:t>（</w:t>
      </w:r>
      <w:r>
        <w:rPr>
          <w:rFonts w:hint="eastAsia"/>
          <w:sz w:val="24"/>
          <w:szCs w:val="24"/>
          <w:lang w:val="en-US" w:eastAsia="zh-CN"/>
        </w:rPr>
        <w:t>本项目无核心产品</w:t>
      </w:r>
      <w:r>
        <w:rPr>
          <w:rFonts w:hint="eastAsia"/>
          <w:sz w:val="24"/>
          <w:szCs w:val="24"/>
          <w:lang w:eastAsia="zh-CN"/>
        </w:rPr>
        <w:t>）</w:t>
      </w:r>
    </w:p>
    <w:p w14:paraId="632DEA6D">
      <w:pPr>
        <w:pStyle w:val="6"/>
        <w:spacing w:before="207" w:line="225" w:lineRule="auto"/>
        <w:ind w:left="4400"/>
        <w:outlineLvl w:val="1"/>
        <w:rPr>
          <w:sz w:val="31"/>
          <w:szCs w:val="31"/>
        </w:rPr>
      </w:pPr>
      <w:r>
        <w:rPr>
          <w:b/>
          <w:bCs/>
          <w:spacing w:val="-12"/>
          <w:sz w:val="31"/>
          <w:szCs w:val="31"/>
        </w:rPr>
        <w:t>G</w:t>
      </w:r>
      <w:r>
        <w:rPr>
          <w:spacing w:val="49"/>
          <w:sz w:val="31"/>
          <w:szCs w:val="31"/>
        </w:rPr>
        <w:t xml:space="preserve"> </w:t>
      </w:r>
      <w:r>
        <w:rPr>
          <w:b/>
          <w:bCs/>
          <w:spacing w:val="-12"/>
          <w:sz w:val="31"/>
          <w:szCs w:val="31"/>
        </w:rPr>
        <w:t>中标</w:t>
      </w:r>
    </w:p>
    <w:p w14:paraId="452406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1、中标：</w:t>
      </w:r>
    </w:p>
    <w:p w14:paraId="465EE9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定标原则：采购人在收到评标报告之日起5个工作日内，在评标报告确定的中标候选人名单中按顺序确定中标人。中标候选人并列的，由采购人或者采购人委托评标委员会按照招标文件规定的方式确定中标人；采购人在收到评标报告5个工作日内未按评标报告推荐的中标候选人顺序确定中标人，又不能说明合法理由的，视同按评标报告推荐的顺序确定排名第一的中标候选人为中标人。</w:t>
      </w:r>
    </w:p>
    <w:p w14:paraId="38EA77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1.2根据采购人确定的中标人，采购代理机构在省级以上财政部门指定媒体（贵州省政府采购网、全国公共资源交易平台（贵州省·六盘水市）上公告中标结果，中标公告期限1个工作日，并同时向中标人发出中标通知书。</w:t>
      </w:r>
    </w:p>
    <w:p w14:paraId="142CC5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1.3采购代理机构不退回投标人投标文件和其他投标资料。</w:t>
      </w:r>
    </w:p>
    <w:p w14:paraId="2C8796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2、中标通知：</w:t>
      </w:r>
    </w:p>
    <w:p w14:paraId="30AD99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2.1确定出中标人后，采购代理机构将以书面形式发出《中标通知书》。《中标通知书》一经发出即发生法律效力。</w:t>
      </w:r>
    </w:p>
    <w:p w14:paraId="5F98B3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2.2采购代理机构在发出《中标通知书》的同时，向未中标的投标人采取有效的通知方式，并退还其保证金。</w:t>
      </w:r>
    </w:p>
    <w:p w14:paraId="6B34C0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2.3《中标通知书》是签订书面合同的依据。</w:t>
      </w:r>
    </w:p>
    <w:p w14:paraId="675E95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3、签订合同：</w:t>
      </w:r>
    </w:p>
    <w:p w14:paraId="648E4F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3.1中标人应当按照《中标通知书》中指定的时间、地点与采购人按照招标文件和中标人的投标文件订立书面合同，所订的合同不得对招标文件和中标人的投标文件作实质性修改。</w:t>
      </w:r>
    </w:p>
    <w:p w14:paraId="6251EE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3.2招标文件、中标人的投标文件及其澄清文件等，均为签订书面合同的依据。</w:t>
      </w:r>
    </w:p>
    <w:p w14:paraId="0FFA36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3.3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政府采购合同应当包括采购人与中标人的名称和住所、标的、数量、质量、价款或者报酬、履行期限及地点和方式、验收要求、违约责任、解决争议的方法等内容。</w:t>
      </w:r>
    </w:p>
    <w:p w14:paraId="18E665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3.4采购人或中标人应当自政府采购合同签订之日起2个工作日内，向采购代理机构提交合同扫描件一份，用于贵州省政府采购网发布采购合同公告。中标通知书发布之日起30日内签订合同，同时向贵州省六盘水市凉都公证处申办合同公证（免费办理）</w:t>
      </w:r>
      <w:r>
        <w:rPr>
          <w:rFonts w:hint="eastAsia"/>
          <w:sz w:val="24"/>
          <w:szCs w:val="24"/>
          <w:lang w:eastAsia="zh-CN"/>
        </w:rPr>
        <w:t>，</w:t>
      </w:r>
      <w:r>
        <w:rPr>
          <w:sz w:val="24"/>
          <w:szCs w:val="24"/>
        </w:rPr>
        <w:t>贵州省六盘水市凉都公证处电话：0858-8269684。公证后的合同由采购人或中标人递交到同级财政局六盘水市财政局政府采购与资产管理科。</w:t>
      </w:r>
    </w:p>
    <w:p w14:paraId="583DD4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3.5履约验收，自供货完成的次日起，采购人应当于5个工作日内对项目验收完毕，并出具验收报告。</w:t>
      </w:r>
    </w:p>
    <w:p w14:paraId="74D69D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除资格性审查错误和价格计算错误外，采购代理机构不得以任何理由组织重新评审。采购人、采购代理机构发现评标委员会未按照招标文件规定的评定中标标准进行评审的，将重新开展采购活动，并同时书面报告同级财政部门。</w:t>
      </w:r>
    </w:p>
    <w:p w14:paraId="6F464B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5、除不可抗力等因素外，中标通知书发出后，采购人改变中标结果，或者中标人拒绝签订政府采购合同的，应当承担相应的法律责任。</w:t>
      </w:r>
    </w:p>
    <w:p w14:paraId="30ECAC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6、中标人拒绝签订合同的处理原则：</w:t>
      </w:r>
    </w:p>
    <w:p w14:paraId="4424E8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6.1中标人拒绝签订政府采购合同的，采购人可以顺延第二中标候选人为中标人并与其签订合同，第二中标候选人也拒绝签订政府采购合同的，采购人可以顺延第三中标候选人为中标人并与其签订合同；</w:t>
      </w:r>
    </w:p>
    <w:p w14:paraId="5E0D19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6.2采购人也可以重新开展采购活动；</w:t>
      </w:r>
    </w:p>
    <w:p w14:paraId="338F86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6.3拒绝签订政府采购合同的中标人不得参加对该项目重新开展的采购活动。</w:t>
      </w:r>
    </w:p>
    <w:p w14:paraId="72D2EC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7、在采购活动中因重大变故，采购任务取消的，采购代理机构应当终止采购活动，通知所有参加采购活动的投标人，并将项目实施情况和采购任务取消的原因报送同级财政部门。</w:t>
      </w:r>
    </w:p>
    <w:p w14:paraId="1DBDD3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8、采购代理机构代理费用：</w:t>
      </w:r>
      <w:r>
        <w:rPr>
          <w:rFonts w:hint="eastAsia"/>
          <w:sz w:val="24"/>
          <w:szCs w:val="24"/>
          <w:lang w:val="en-US" w:eastAsia="zh-CN"/>
        </w:rPr>
        <w:t>28500.00元（大写：贰万捌仟伍佰元）</w:t>
      </w:r>
      <w:r>
        <w:rPr>
          <w:sz w:val="24"/>
          <w:szCs w:val="24"/>
        </w:rPr>
        <w:t>；</w:t>
      </w:r>
    </w:p>
    <w:p w14:paraId="5E51B3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由中标人向采购代理机构缴纳采购代理机构服务费，代理服务费在中标通知书发出前一次性付清。</w:t>
      </w:r>
    </w:p>
    <w:p w14:paraId="7A974C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sectPr>
          <w:footerReference r:id="rId10" w:type="default"/>
          <w:pgSz w:w="11906" w:h="16838"/>
          <w:pgMar w:top="1440" w:right="1080" w:bottom="1440" w:left="1080" w:header="851" w:footer="992" w:gutter="0"/>
          <w:pgNumType w:fmt="decimal"/>
          <w:cols w:space="425" w:num="1"/>
          <w:docGrid w:type="lines" w:linePitch="312" w:charSpace="0"/>
        </w:sectPr>
      </w:pPr>
    </w:p>
    <w:p w14:paraId="3F1E73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14:paraId="3A7EFCAC">
      <w:pPr>
        <w:pStyle w:val="6"/>
        <w:spacing w:before="1" w:line="224" w:lineRule="auto"/>
        <w:ind w:left="3273"/>
        <w:outlineLvl w:val="1"/>
        <w:rPr>
          <w:sz w:val="31"/>
          <w:szCs w:val="31"/>
        </w:rPr>
      </w:pPr>
      <w:r>
        <w:rPr>
          <w:b/>
          <w:bCs/>
          <w:spacing w:val="6"/>
          <w:sz w:val="31"/>
          <w:szCs w:val="31"/>
        </w:rPr>
        <w:t>H</w:t>
      </w:r>
      <w:r>
        <w:rPr>
          <w:spacing w:val="6"/>
          <w:sz w:val="31"/>
          <w:szCs w:val="31"/>
        </w:rPr>
        <w:t xml:space="preserve"> </w:t>
      </w:r>
      <w:r>
        <w:rPr>
          <w:b/>
          <w:bCs/>
          <w:spacing w:val="6"/>
          <w:sz w:val="31"/>
          <w:szCs w:val="31"/>
        </w:rPr>
        <w:t>投标人投标纪律要求</w:t>
      </w:r>
    </w:p>
    <w:p w14:paraId="369F5B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1、投标人不得具有的情形</w:t>
      </w:r>
    </w:p>
    <w:p w14:paraId="06746B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1.1投标人参加本项目开标不得有下列情形：</w:t>
      </w:r>
    </w:p>
    <w:p w14:paraId="27B2BB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1.1.1提供虚假材料谋取中标；</w:t>
      </w:r>
    </w:p>
    <w:p w14:paraId="2E3763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1.1.2采取不正当手段诋毁、排挤其他投标人；</w:t>
      </w:r>
    </w:p>
    <w:p w14:paraId="05F40F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1.1.3与采购人或采购代理机构、其他投标人恶意串通；</w:t>
      </w:r>
    </w:p>
    <w:p w14:paraId="64FF49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1.1.4向采购人或采购代理机构、评标委员会成员行贿或者提供其他不正当利益；</w:t>
      </w:r>
    </w:p>
    <w:p w14:paraId="4E8CE4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1.1.5在开标过程中与采购人或采购代理机构进行协商开标；</w:t>
      </w:r>
    </w:p>
    <w:p w14:paraId="1908FF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1.1.6中标后无正当理由拒不与采购人签订政府采购合同；</w:t>
      </w:r>
    </w:p>
    <w:p w14:paraId="23EFA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1.1.7未按照招标文件确定的事项签订政府采购合同；</w:t>
      </w:r>
    </w:p>
    <w:p w14:paraId="38055D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1.1.8将政府采购合同转包或者违规分包；</w:t>
      </w:r>
    </w:p>
    <w:p w14:paraId="3DC230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1.1.9提供假冒伪劣产品（如有涉及产品）；</w:t>
      </w:r>
    </w:p>
    <w:p w14:paraId="67DA1A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1.1.10擅自变更、中止或者终止政府采购合同；</w:t>
      </w:r>
    </w:p>
    <w:p w14:paraId="17A16B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1.1.11拒绝有关部门的监督检查或者向监督检查部门提供虚假情况；</w:t>
      </w:r>
    </w:p>
    <w:p w14:paraId="470128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1.1.12法律法规规定的其他情形。</w:t>
      </w:r>
    </w:p>
    <w:p w14:paraId="4EFD5A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2、投标人有上述情形的，按照规定追究法律责任，同时将取消中标资格或者认定中标无效。</w:t>
      </w:r>
    </w:p>
    <w:p w14:paraId="603C40D4">
      <w:pPr>
        <w:pStyle w:val="6"/>
        <w:spacing w:before="1" w:line="220" w:lineRule="auto"/>
        <w:ind w:left="4174"/>
        <w:outlineLvl w:val="1"/>
        <w:rPr>
          <w:b/>
          <w:bCs/>
          <w:spacing w:val="-5"/>
          <w:sz w:val="24"/>
          <w:szCs w:val="24"/>
        </w:rPr>
        <w:sectPr>
          <w:footerReference r:id="rId11" w:type="default"/>
          <w:pgSz w:w="11910" w:h="16840"/>
          <w:pgMar w:top="977" w:right="1080" w:bottom="577" w:left="1080" w:header="700" w:footer="342" w:gutter="0"/>
          <w:pgNumType w:fmt="decimal"/>
          <w:cols w:space="720" w:num="1"/>
        </w:sectPr>
      </w:pPr>
    </w:p>
    <w:p w14:paraId="35F31743">
      <w:pPr>
        <w:pStyle w:val="6"/>
        <w:spacing w:before="1" w:line="224" w:lineRule="auto"/>
        <w:jc w:val="center"/>
        <w:outlineLvl w:val="1"/>
        <w:rPr>
          <w:b/>
          <w:bCs/>
          <w:spacing w:val="6"/>
          <w:sz w:val="31"/>
          <w:szCs w:val="31"/>
        </w:rPr>
      </w:pPr>
    </w:p>
    <w:p w14:paraId="38DDD460">
      <w:pPr>
        <w:pStyle w:val="6"/>
        <w:spacing w:before="1" w:line="224" w:lineRule="auto"/>
        <w:jc w:val="center"/>
        <w:outlineLvl w:val="1"/>
        <w:rPr>
          <w:b/>
          <w:bCs/>
          <w:spacing w:val="6"/>
          <w:sz w:val="31"/>
          <w:szCs w:val="31"/>
        </w:rPr>
      </w:pPr>
      <w:r>
        <w:rPr>
          <w:b/>
          <w:bCs/>
          <w:spacing w:val="6"/>
          <w:sz w:val="31"/>
          <w:szCs w:val="31"/>
        </w:rPr>
        <w:t>I 质疑、投诉</w:t>
      </w:r>
    </w:p>
    <w:p w14:paraId="013AF8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质疑：投标人认为招标文件、采购过程、中标结果使自己的权益受到损害的，可以在知道或者应知其权益受到损害之日起7个工作日内，以书面形式向采购人、采购代理机构提出质疑。提出质疑的投标人（以下简称质疑投标人）应当是参与所质疑项目采购活动的投标人。潜在投标人已依法获取其可质疑的招标文件的，可以对该文件提出质疑。对招标文件提出质疑的，应当在获取招标文件或者招标文件公告期限届满之日起7个工作日内提出。投标人在法定质疑期内一次性提出针对同一采购程序环节的质疑。</w:t>
      </w:r>
    </w:p>
    <w:p w14:paraId="2A9B00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1.1投标人提出质疑应当提交质疑函和必要的证明材料。质疑函应当包括下列内容：</w:t>
      </w:r>
    </w:p>
    <w:p w14:paraId="0ED43B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1.1.1投标人的姓名或者名称、地址、邮编、联系人及联系电话；</w:t>
      </w:r>
    </w:p>
    <w:p w14:paraId="731CC3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1.1.2质疑项目的名称、编号；</w:t>
      </w:r>
    </w:p>
    <w:p w14:paraId="4FD3E3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1.1.3具体、明确的质疑事项和与质疑事项相关的请求；</w:t>
      </w:r>
    </w:p>
    <w:p w14:paraId="7C4C31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1.1.4事实依据；</w:t>
      </w:r>
    </w:p>
    <w:p w14:paraId="308110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1.1.5必要的法律依据；</w:t>
      </w:r>
    </w:p>
    <w:p w14:paraId="56B1E1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1.1.6提出质疑的日期；</w:t>
      </w:r>
    </w:p>
    <w:p w14:paraId="76AD31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1.1.7投标人为法人或者其他组织的，应当由法定代表人或主要负责人，或者其授权代表签字或者盖章，并加盖投标人公章（鲜章）。</w:t>
      </w:r>
    </w:p>
    <w:p w14:paraId="565A17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1.2接受质疑函方式（现场递交纸质质疑函或邮寄纸质质疑函）：按照《中华人民共和国财政部令第94号－政府采购质疑和投诉办法》的有关规定，以书面形式向采购代理机构提出质疑。</w:t>
      </w:r>
    </w:p>
    <w:p w14:paraId="4D8415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1.2.1递交质疑函联系方式：</w:t>
      </w:r>
    </w:p>
    <w:p w14:paraId="0A8E24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sz w:val="24"/>
          <w:szCs w:val="24"/>
        </w:rPr>
        <w:t>联系部门：</w:t>
      </w:r>
      <w:r>
        <w:rPr>
          <w:rFonts w:hint="eastAsia"/>
          <w:sz w:val="24"/>
          <w:szCs w:val="24"/>
          <w:lang w:eastAsia="zh-CN"/>
        </w:rPr>
        <w:t>贵州晋泽信息咨询有限公司</w:t>
      </w:r>
    </w:p>
    <w:p w14:paraId="60D3AD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4"/>
          <w:lang w:val="en-US" w:eastAsia="zh-CN"/>
        </w:rPr>
      </w:pPr>
      <w:r>
        <w:rPr>
          <w:sz w:val="24"/>
          <w:szCs w:val="24"/>
        </w:rPr>
        <w:t>联系电话：</w:t>
      </w:r>
      <w:r>
        <w:rPr>
          <w:rFonts w:hint="eastAsia"/>
          <w:sz w:val="24"/>
          <w:szCs w:val="24"/>
          <w:lang w:val="en-US" w:eastAsia="zh-CN"/>
        </w:rPr>
        <w:t>13368581475</w:t>
      </w:r>
    </w:p>
    <w:p w14:paraId="46D5D7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sz w:val="24"/>
          <w:szCs w:val="24"/>
        </w:rPr>
        <w:t>联系人：</w:t>
      </w:r>
      <w:r>
        <w:rPr>
          <w:rFonts w:hint="eastAsia"/>
          <w:sz w:val="24"/>
          <w:szCs w:val="24"/>
          <w:lang w:eastAsia="zh-CN"/>
        </w:rPr>
        <w:t>曹阳</w:t>
      </w:r>
    </w:p>
    <w:p w14:paraId="31077E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4"/>
          <w:lang w:val="en-US" w:eastAsia="zh-CN"/>
        </w:rPr>
      </w:pPr>
      <w:r>
        <w:rPr>
          <w:sz w:val="24"/>
          <w:szCs w:val="24"/>
        </w:rPr>
        <w:t>通讯地址：贵州省六盘水市钟山区凉都</w:t>
      </w:r>
      <w:r>
        <w:rPr>
          <w:rFonts w:hint="eastAsia"/>
          <w:sz w:val="24"/>
          <w:szCs w:val="24"/>
          <w:lang w:eastAsia="zh-CN"/>
        </w:rPr>
        <w:t>明珠</w:t>
      </w:r>
      <w:r>
        <w:rPr>
          <w:rFonts w:hint="eastAsia"/>
          <w:sz w:val="24"/>
          <w:szCs w:val="24"/>
          <w:lang w:val="en-US" w:eastAsia="zh-CN"/>
        </w:rPr>
        <w:t>1栋708</w:t>
      </w:r>
    </w:p>
    <w:p w14:paraId="34CA52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邮箱：</w:t>
      </w:r>
      <w:r>
        <w:rPr>
          <w:sz w:val="24"/>
          <w:szCs w:val="24"/>
        </w:rPr>
        <w:fldChar w:fldCharType="begin"/>
      </w:r>
      <w:r>
        <w:rPr>
          <w:sz w:val="24"/>
          <w:szCs w:val="24"/>
        </w:rPr>
        <w:instrText xml:space="preserve">HYPERLINK"mailto:2374945164@qq.com"</w:instrText>
      </w:r>
      <w:r>
        <w:rPr>
          <w:sz w:val="24"/>
          <w:szCs w:val="24"/>
        </w:rPr>
        <w:fldChar w:fldCharType="separate"/>
      </w:r>
      <w:r>
        <w:rPr>
          <w:rFonts w:hint="eastAsia"/>
          <w:sz w:val="24"/>
          <w:szCs w:val="24"/>
          <w:lang w:val="en-US" w:eastAsia="zh-CN"/>
        </w:rPr>
        <w:t>449317706</w:t>
      </w:r>
      <w:r>
        <w:rPr>
          <w:sz w:val="24"/>
          <w:szCs w:val="24"/>
        </w:rPr>
        <w:t>@qq.com</w:t>
      </w:r>
      <w:r>
        <w:rPr>
          <w:sz w:val="24"/>
          <w:szCs w:val="24"/>
        </w:rPr>
        <w:fldChar w:fldCharType="end"/>
      </w:r>
    </w:p>
    <w:p w14:paraId="2EBE3B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sz w:val="24"/>
          <w:szCs w:val="24"/>
        </w:rPr>
        <w:t>邮政编码：55300</w:t>
      </w:r>
      <w:r>
        <w:rPr>
          <w:rFonts w:hint="eastAsia"/>
          <w:sz w:val="24"/>
          <w:szCs w:val="24"/>
          <w:lang w:val="en-US" w:eastAsia="zh-CN"/>
        </w:rPr>
        <w:t>1</w:t>
      </w:r>
    </w:p>
    <w:p w14:paraId="6E5511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1.3接收质疑函的方式：对采购文件提出质疑时，须提交在公共资源交易中心系统下载文件的截图证明并加盖投标人公章。</w:t>
      </w:r>
    </w:p>
    <w:p w14:paraId="68B1E8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1.4投标人行使质疑权时，必须坚持“谁质疑谁举证”，遵守“实事求是”和“谨慎性”原则，承担使用虚假材料或恶意方式质疑的法律责任。</w:t>
      </w:r>
    </w:p>
    <w:p w14:paraId="4D8AD4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投诉：质疑投标人对采购人、采购代理机构的答复不满意，或者采购人、采购代理机构未在规定时间内作出答复的，可以在答复期满后15个工作日内向《中华人民共和国财政部令第94号－政府采购质疑和投诉办法》第六条规定的财政部门提起投诉。投诉主体：六盘水市财政局，联系电话：0858—8324301。</w:t>
      </w:r>
    </w:p>
    <w:p w14:paraId="5CB0BA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2.1投诉人投诉时，应当提交投诉书和必要的证明材料，并按照被投诉采购人、采购代理机构（以下简称被投诉人）和与投诉事项有关的投标人数量提供投诉书的副本。投诉书应当包括下列内容：</w:t>
      </w:r>
    </w:p>
    <w:p w14:paraId="36829A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2.1.1投诉人和被投诉人的姓名或者名称、通讯地址、邮编、联系人及联系电话；</w:t>
      </w:r>
    </w:p>
    <w:p w14:paraId="6B57B6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2.1.2质疑和质疑答复情况说明及相关证明材料；</w:t>
      </w:r>
    </w:p>
    <w:p w14:paraId="6C037E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2.1.3具体、明确的投诉事项和与投诉事项相关的投诉请求；</w:t>
      </w:r>
    </w:p>
    <w:p w14:paraId="1D467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2.1.4事实依据；</w:t>
      </w:r>
    </w:p>
    <w:p w14:paraId="425B5F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2.1.5法律依据；</w:t>
      </w:r>
    </w:p>
    <w:p w14:paraId="7BA9E9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2.1.6提起投诉的日期。</w:t>
      </w:r>
    </w:p>
    <w:p w14:paraId="7FCE98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3、投诉人为自然人的，应当由本人签字；投诉人为法人或者其他组织的，应当由法定代表人、主要负责人，或者其授权代表签字或者盖章，并加盖投标人公章（盖企业鲜章）。</w:t>
      </w:r>
    </w:p>
    <w:p w14:paraId="28D6F2E3">
      <w:pPr>
        <w:pStyle w:val="6"/>
        <w:spacing w:line="223" w:lineRule="auto"/>
        <w:ind w:left="4081"/>
        <w:rPr>
          <w:sz w:val="31"/>
          <w:szCs w:val="31"/>
        </w:rPr>
      </w:pPr>
      <w:r>
        <w:rPr>
          <w:b/>
          <w:bCs/>
          <w:spacing w:val="1"/>
          <w:sz w:val="31"/>
          <w:szCs w:val="31"/>
        </w:rPr>
        <w:t>J</w:t>
      </w:r>
      <w:r>
        <w:rPr>
          <w:spacing w:val="21"/>
          <w:sz w:val="31"/>
          <w:szCs w:val="31"/>
        </w:rPr>
        <w:t xml:space="preserve"> </w:t>
      </w:r>
      <w:r>
        <w:rPr>
          <w:b/>
          <w:bCs/>
          <w:spacing w:val="1"/>
          <w:sz w:val="31"/>
          <w:szCs w:val="31"/>
        </w:rPr>
        <w:t>法律责任</w:t>
      </w:r>
    </w:p>
    <w:p w14:paraId="6F578424">
      <w:pPr>
        <w:pStyle w:val="6"/>
        <w:spacing w:before="255" w:line="360" w:lineRule="auto"/>
        <w:ind w:left="154" w:right="147" w:firstLine="498"/>
        <w:rPr>
          <w:sz w:val="24"/>
          <w:szCs w:val="24"/>
        </w:rPr>
      </w:pPr>
      <w:r>
        <w:rPr>
          <w:sz w:val="24"/>
          <w:szCs w:val="24"/>
        </w:rPr>
        <w:t>1、法律责任：投标人在投标过程中有违法行为的，严格按照《中华人民共和国政府 采购法》、中华人民共和国财政部令第87号等有关规定处理。</w:t>
      </w:r>
    </w:p>
    <w:p w14:paraId="13207DCC">
      <w:pPr>
        <w:pStyle w:val="6"/>
        <w:spacing w:before="1" w:line="225" w:lineRule="auto"/>
        <w:ind w:left="4399"/>
        <w:outlineLvl w:val="1"/>
        <w:rPr>
          <w:sz w:val="31"/>
          <w:szCs w:val="31"/>
        </w:rPr>
      </w:pPr>
      <w:r>
        <w:rPr>
          <w:b/>
          <w:bCs/>
          <w:spacing w:val="-2"/>
          <w:sz w:val="31"/>
          <w:szCs w:val="31"/>
        </w:rPr>
        <w:t>K</w:t>
      </w:r>
      <w:r>
        <w:rPr>
          <w:spacing w:val="20"/>
          <w:sz w:val="31"/>
          <w:szCs w:val="31"/>
        </w:rPr>
        <w:t xml:space="preserve"> </w:t>
      </w:r>
      <w:r>
        <w:rPr>
          <w:b/>
          <w:bCs/>
          <w:spacing w:val="-2"/>
          <w:sz w:val="31"/>
          <w:szCs w:val="31"/>
        </w:rPr>
        <w:t>其他</w:t>
      </w:r>
    </w:p>
    <w:p w14:paraId="3914DE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1、采购人采购进口产品时，应当坚持有利于本国企业自主创新或消化吸收核心技术的原则，优先购买向我方转让技术、提供培训服务及其他补偿贸易措施的产品。</w:t>
      </w:r>
    </w:p>
    <w:p w14:paraId="6CE64A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2、政府采购进口产品合同应当将维护国家利益和社会公共利益作为必备条款。合同履行过程中出现危害国家利益和社会公共利益问题的，采购人应当立即终止合同。</w:t>
      </w:r>
    </w:p>
    <w:p w14:paraId="4EAAB9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3、招标文件未明示有进口产品，中标产品原产地为中华人民共和国行政管辖区域，不包括香港、澳门和台湾、金马等单独关境地区。</w:t>
      </w:r>
    </w:p>
    <w:p w14:paraId="07EA1D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4、本招标文件中所称的“以上”、“以下”、“内”、“以内”，包括本数；所称的“不足”，不包括本数。</w:t>
      </w:r>
    </w:p>
    <w:p w14:paraId="78A941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sectPr>
          <w:footerReference r:id="rId12" w:type="default"/>
          <w:pgSz w:w="11906" w:h="16838"/>
          <w:pgMar w:top="1440" w:right="1080" w:bottom="1440" w:left="1080" w:header="851" w:footer="992" w:gutter="0"/>
          <w:pgNumType w:fmt="decimal"/>
          <w:cols w:space="425" w:num="1"/>
          <w:docGrid w:type="lines" w:linePitch="312" w:charSpace="0"/>
        </w:sectPr>
      </w:pPr>
      <w:r>
        <w:rPr>
          <w:sz w:val="24"/>
          <w:szCs w:val="24"/>
        </w:rPr>
        <w:t>5、本招标文件中所引相关法律制度规定，在政府采购中有变化的，按照变化后的相关法律制度规定执行。在本项目投标截止时间届满后，因相关法律制度规定的变化导致不符合相关法律制度规定的，直接按照变化后的相关法律制度规定执行，本招标文件不再作调整。</w:t>
      </w:r>
    </w:p>
    <w:p w14:paraId="45CCCFC4">
      <w:pPr>
        <w:pStyle w:val="3"/>
        <w:bidi w:val="0"/>
        <w:spacing w:line="240" w:lineRule="auto"/>
        <w:jc w:val="center"/>
      </w:pPr>
      <w:bookmarkStart w:id="5" w:name="_Toc30145"/>
      <w:bookmarkStart w:id="6" w:name="_Toc21727"/>
      <w:r>
        <w:t>第三章投标人须提交的资格、资信证明文件</w:t>
      </w:r>
      <w:bookmarkEnd w:id="5"/>
      <w:bookmarkEnd w:id="6"/>
    </w:p>
    <w:tbl>
      <w:tblPr>
        <w:tblStyle w:val="15"/>
        <w:tblpPr w:leftFromText="180" w:rightFromText="180" w:vertAnchor="text" w:horzAnchor="page" w:tblpX="875" w:tblpY="430"/>
        <w:tblOverlap w:val="never"/>
        <w:tblW w:w="10473" w:type="dxa"/>
        <w:tblInd w:w="0" w:type="dxa"/>
        <w:tblLayout w:type="fixed"/>
        <w:tblCellMar>
          <w:top w:w="0" w:type="dxa"/>
          <w:left w:w="108" w:type="dxa"/>
          <w:bottom w:w="0" w:type="dxa"/>
          <w:right w:w="108" w:type="dxa"/>
        </w:tblCellMar>
      </w:tblPr>
      <w:tblGrid>
        <w:gridCol w:w="825"/>
        <w:gridCol w:w="1481"/>
        <w:gridCol w:w="6485"/>
        <w:gridCol w:w="1682"/>
      </w:tblGrid>
      <w:tr w14:paraId="36563D93">
        <w:tblPrEx>
          <w:tblCellMar>
            <w:top w:w="0" w:type="dxa"/>
            <w:left w:w="108" w:type="dxa"/>
            <w:bottom w:w="0" w:type="dxa"/>
            <w:right w:w="108" w:type="dxa"/>
          </w:tblCellMar>
        </w:tblPrEx>
        <w:trPr>
          <w:tblHead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5DD0276">
            <w:pPr>
              <w:snapToGrid w:val="0"/>
              <w:spacing w:line="360" w:lineRule="auto"/>
              <w:rPr>
                <w:rFonts w:ascii="微软雅黑" w:hAnsi="微软雅黑" w:cs="微软雅黑"/>
                <w:color w:val="000000"/>
                <w:szCs w:val="21"/>
              </w:rPr>
            </w:pPr>
            <w:r>
              <w:rPr>
                <w:rFonts w:hint="eastAsia" w:ascii="微软雅黑" w:hAnsi="微软雅黑" w:cs="微软雅黑"/>
                <w:color w:val="000000"/>
                <w:szCs w:val="21"/>
              </w:rPr>
              <w:t>序号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02B9A8C">
            <w:pPr>
              <w:snapToGrid w:val="0"/>
              <w:spacing w:line="360" w:lineRule="auto"/>
              <w:rPr>
                <w:rFonts w:ascii="微软雅黑" w:hAnsi="微软雅黑" w:cs="微软雅黑"/>
                <w:color w:val="000000"/>
                <w:szCs w:val="21"/>
              </w:rPr>
            </w:pPr>
            <w:r>
              <w:rPr>
                <w:rFonts w:hint="eastAsia" w:ascii="微软雅黑" w:hAnsi="微软雅黑" w:cs="微软雅黑"/>
                <w:color w:val="000000"/>
                <w:szCs w:val="21"/>
              </w:rPr>
              <w:t>审查内容</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09A711C4">
            <w:pPr>
              <w:snapToGrid w:val="0"/>
              <w:spacing w:line="360" w:lineRule="auto"/>
              <w:rPr>
                <w:rFonts w:ascii="微软雅黑" w:hAnsi="微软雅黑" w:cs="微软雅黑"/>
                <w:color w:val="000000"/>
                <w:szCs w:val="21"/>
              </w:rPr>
            </w:pPr>
            <w:r>
              <w:rPr>
                <w:rFonts w:hint="eastAsia" w:ascii="微软雅黑" w:hAnsi="微软雅黑" w:cs="微软雅黑"/>
                <w:color w:val="000000"/>
                <w:szCs w:val="21"/>
              </w:rPr>
              <w:t>审查标准</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49297C43">
            <w:pPr>
              <w:snapToGrid w:val="0"/>
              <w:spacing w:line="360" w:lineRule="auto"/>
              <w:rPr>
                <w:rFonts w:ascii="微软雅黑" w:hAnsi="微软雅黑" w:cs="微软雅黑"/>
                <w:color w:val="000000"/>
                <w:szCs w:val="21"/>
              </w:rPr>
            </w:pPr>
            <w:r>
              <w:rPr>
                <w:rFonts w:hint="eastAsia" w:ascii="微软雅黑" w:hAnsi="微软雅黑" w:cs="微软雅黑"/>
                <w:color w:val="000000"/>
                <w:szCs w:val="21"/>
              </w:rPr>
              <w:t>条件或说明</w:t>
            </w:r>
          </w:p>
        </w:tc>
      </w:tr>
      <w:tr w14:paraId="42AEE10E">
        <w:tblPrEx>
          <w:tblCellMar>
            <w:top w:w="0" w:type="dxa"/>
            <w:left w:w="108" w:type="dxa"/>
            <w:bottom w:w="0" w:type="dxa"/>
            <w:right w:w="108" w:type="dxa"/>
          </w:tblCellMar>
        </w:tblPrEx>
        <w:tc>
          <w:tcPr>
            <w:tcW w:w="825" w:type="dxa"/>
            <w:vMerge w:val="restart"/>
            <w:tcBorders>
              <w:top w:val="single" w:color="000000" w:sz="4" w:space="0"/>
              <w:left w:val="single" w:color="000000" w:sz="4" w:space="0"/>
              <w:right w:val="single" w:color="000000" w:sz="4" w:space="0"/>
            </w:tcBorders>
            <w:noWrap w:val="0"/>
            <w:vAlign w:val="center"/>
          </w:tcPr>
          <w:p w14:paraId="515FB988">
            <w:pPr>
              <w:jc w:val="center"/>
            </w:pPr>
            <w:r>
              <w:rPr>
                <w:rFonts w:hint="eastAsia"/>
              </w:rPr>
              <w:t>1</w:t>
            </w:r>
          </w:p>
        </w:tc>
        <w:tc>
          <w:tcPr>
            <w:tcW w:w="1481" w:type="dxa"/>
            <w:vMerge w:val="restart"/>
            <w:tcBorders>
              <w:top w:val="single" w:color="000000" w:sz="4" w:space="0"/>
              <w:left w:val="single" w:color="000000" w:sz="4" w:space="0"/>
              <w:right w:val="single" w:color="000000" w:sz="4" w:space="0"/>
            </w:tcBorders>
            <w:noWrap w:val="0"/>
            <w:vAlign w:val="center"/>
          </w:tcPr>
          <w:p w14:paraId="3358FC89">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法定代表人身份证明与</w:t>
            </w:r>
            <w:r>
              <w:rPr>
                <w:rFonts w:hint="eastAsia" w:ascii="微软雅黑" w:hAnsi="微软雅黑" w:cs="微软雅黑"/>
                <w:color w:val="000000"/>
                <w:sz w:val="18"/>
                <w:szCs w:val="18"/>
                <w:shd w:val="clear" w:color="000000" w:fill="FFFFFF"/>
              </w:rPr>
              <w:t>单位法人授权委托书</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1753817B">
            <w:pPr>
              <w:snapToGrid w:val="0"/>
              <w:spacing w:line="360" w:lineRule="auto"/>
              <w:rPr>
                <w:rFonts w:hint="eastAsia" w:ascii="微软雅黑" w:hAnsi="微软雅黑" w:cs="微软雅黑"/>
                <w:color w:val="000000"/>
                <w:sz w:val="18"/>
                <w:szCs w:val="18"/>
              </w:rPr>
            </w:pPr>
            <w:r>
              <w:rPr>
                <w:rFonts w:hint="eastAsia" w:ascii="微软雅黑" w:hAnsi="微软雅黑" w:cs="微软雅黑"/>
                <w:color w:val="000000"/>
                <w:sz w:val="18"/>
                <w:szCs w:val="18"/>
              </w:rPr>
              <w:t>1.若由法定代表人参加投标，按公开招标文件格式提供法人代表身份证明。</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268D1904">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提供复印件或扫描件加盖公章或电子公章</w:t>
            </w:r>
          </w:p>
        </w:tc>
      </w:tr>
      <w:tr w14:paraId="4D2B8337">
        <w:tblPrEx>
          <w:tblCellMar>
            <w:top w:w="0" w:type="dxa"/>
            <w:left w:w="108" w:type="dxa"/>
            <w:bottom w:w="0" w:type="dxa"/>
            <w:right w:w="108" w:type="dxa"/>
          </w:tblCellMar>
        </w:tblPrEx>
        <w:trPr>
          <w:trHeight w:val="992" w:hRule="atLeast"/>
        </w:trPr>
        <w:tc>
          <w:tcPr>
            <w:tcW w:w="825" w:type="dxa"/>
            <w:vMerge w:val="continue"/>
            <w:tcBorders>
              <w:left w:val="single" w:color="000000" w:sz="4" w:space="0"/>
              <w:bottom w:val="single" w:color="000000" w:sz="4" w:space="0"/>
              <w:right w:val="single" w:color="000000" w:sz="4" w:space="0"/>
            </w:tcBorders>
            <w:noWrap w:val="0"/>
            <w:vAlign w:val="center"/>
          </w:tcPr>
          <w:p w14:paraId="634BCA99">
            <w:pPr>
              <w:jc w:val="center"/>
            </w:pPr>
          </w:p>
        </w:tc>
        <w:tc>
          <w:tcPr>
            <w:tcW w:w="1481" w:type="dxa"/>
            <w:vMerge w:val="continue"/>
            <w:tcBorders>
              <w:left w:val="single" w:color="000000" w:sz="4" w:space="0"/>
              <w:bottom w:val="single" w:color="000000" w:sz="4" w:space="0"/>
              <w:right w:val="single" w:color="000000" w:sz="4" w:space="0"/>
            </w:tcBorders>
            <w:noWrap w:val="0"/>
            <w:vAlign w:val="center"/>
          </w:tcPr>
          <w:p w14:paraId="57FBDA79">
            <w:pPr>
              <w:snapToGrid w:val="0"/>
              <w:spacing w:line="360" w:lineRule="auto"/>
              <w:rPr>
                <w:rFonts w:ascii="微软雅黑" w:hAnsi="微软雅黑" w:cs="微软雅黑"/>
                <w:color w:val="000000"/>
                <w:sz w:val="18"/>
                <w:szCs w:val="18"/>
              </w:rPr>
            </w:pPr>
          </w:p>
        </w:tc>
        <w:tc>
          <w:tcPr>
            <w:tcW w:w="6485" w:type="dxa"/>
            <w:tcBorders>
              <w:top w:val="single" w:color="000000" w:sz="4" w:space="0"/>
              <w:left w:val="single" w:color="000000" w:sz="4" w:space="0"/>
              <w:right w:val="single" w:color="000000" w:sz="4" w:space="0"/>
            </w:tcBorders>
            <w:noWrap w:val="0"/>
            <w:vAlign w:val="center"/>
          </w:tcPr>
          <w:p w14:paraId="02F80142">
            <w:pPr>
              <w:snapToGrid w:val="0"/>
              <w:spacing w:line="360" w:lineRule="auto"/>
              <w:rPr>
                <w:rFonts w:hint="eastAsia" w:ascii="微软雅黑" w:hAnsi="微软雅黑" w:cs="微软雅黑"/>
                <w:color w:val="000000"/>
                <w:sz w:val="18"/>
                <w:szCs w:val="18"/>
              </w:rPr>
            </w:pPr>
            <w:r>
              <w:rPr>
                <w:rFonts w:hint="eastAsia" w:ascii="微软雅黑" w:hAnsi="微软雅黑" w:cs="微软雅黑"/>
                <w:color w:val="000000"/>
                <w:sz w:val="18"/>
                <w:szCs w:val="18"/>
              </w:rPr>
              <w:t>2.若是法定代表人授权代表参与投标，需提供法人身份证明、法人授权委托书、法人身份证复印件及授权代表身份证复印件，按公开招标文件格式提供。</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DB6CCF5">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提供复印件或扫描件加盖公章或电子公章</w:t>
            </w:r>
          </w:p>
        </w:tc>
      </w:tr>
      <w:tr w14:paraId="1BBCA0B4">
        <w:tblPrEx>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noWrap w:val="0"/>
            <w:vAlign w:val="center"/>
          </w:tcPr>
          <w:p w14:paraId="45884657">
            <w:pPr>
              <w:jc w:val="center"/>
            </w:pPr>
            <w:r>
              <w:rPr>
                <w:rFonts w:hint="eastAsia"/>
              </w:rPr>
              <w:t>2</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898D06D">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营业执照</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27A3E0C4">
            <w:pPr>
              <w:snapToGrid w:val="0"/>
              <w:spacing w:line="360" w:lineRule="auto"/>
              <w:rPr>
                <w:rFonts w:ascii="微软雅黑" w:hAnsi="微软雅黑" w:cs="微软雅黑"/>
                <w:color w:val="000000"/>
                <w:sz w:val="18"/>
                <w:szCs w:val="18"/>
              </w:rPr>
            </w:pPr>
            <w:r>
              <w:rPr>
                <w:rFonts w:hint="eastAsia" w:ascii="宋体" w:hAnsi="宋体"/>
                <w:color w:val="000000"/>
                <w:kern w:val="0"/>
                <w:sz w:val="18"/>
                <w:szCs w:val="18"/>
              </w:rPr>
              <w:t>提供多证合一的营业执照复印件，营业执照非多证合一的，</w:t>
            </w:r>
            <w:r>
              <w:rPr>
                <w:rFonts w:hint="eastAsia" w:ascii="宋体" w:hAnsi="宋体" w:eastAsia="宋体"/>
                <w:color w:val="000000"/>
                <w:kern w:val="0"/>
                <w:sz w:val="18"/>
                <w:szCs w:val="18"/>
                <w:lang w:eastAsia="zh-CN"/>
              </w:rPr>
              <w:t>投标人</w:t>
            </w:r>
            <w:r>
              <w:rPr>
                <w:rFonts w:hint="eastAsia" w:ascii="宋体" w:hAnsi="宋体"/>
                <w:color w:val="000000"/>
                <w:kern w:val="0"/>
                <w:sz w:val="18"/>
                <w:szCs w:val="18"/>
              </w:rPr>
              <w:t>还应提供税务登记证和组织机构代码证。</w:t>
            </w:r>
          </w:p>
        </w:tc>
        <w:tc>
          <w:tcPr>
            <w:tcW w:w="1682" w:type="dxa"/>
            <w:tcBorders>
              <w:top w:val="single" w:color="000000" w:sz="4" w:space="0"/>
              <w:left w:val="single" w:color="000000" w:sz="4" w:space="0"/>
              <w:bottom w:val="single" w:color="auto" w:sz="4" w:space="0"/>
              <w:right w:val="single" w:color="000000" w:sz="4" w:space="0"/>
            </w:tcBorders>
            <w:noWrap w:val="0"/>
            <w:vAlign w:val="center"/>
          </w:tcPr>
          <w:p w14:paraId="1FC2BC17">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提供复印件或扫描件加盖公章或电子公章</w:t>
            </w:r>
          </w:p>
        </w:tc>
      </w:tr>
      <w:tr w14:paraId="558E680C">
        <w:tblPrEx>
          <w:tblCellMar>
            <w:top w:w="0" w:type="dxa"/>
            <w:left w:w="108" w:type="dxa"/>
            <w:bottom w:w="0" w:type="dxa"/>
            <w:right w:w="108" w:type="dxa"/>
          </w:tblCellMar>
        </w:tblPrEx>
        <w:trPr>
          <w:trHeight w:val="988" w:hRule="atLeast"/>
        </w:trPr>
        <w:tc>
          <w:tcPr>
            <w:tcW w:w="825" w:type="dxa"/>
            <w:vMerge w:val="restart"/>
            <w:tcBorders>
              <w:top w:val="single" w:color="000000" w:sz="4" w:space="0"/>
              <w:left w:val="single" w:color="000000" w:sz="4" w:space="0"/>
              <w:right w:val="single" w:color="000000" w:sz="4" w:space="0"/>
            </w:tcBorders>
            <w:noWrap w:val="0"/>
            <w:vAlign w:val="center"/>
          </w:tcPr>
          <w:p w14:paraId="512E6BD5">
            <w:pPr>
              <w:jc w:val="center"/>
            </w:pPr>
            <w:r>
              <w:rPr>
                <w:rFonts w:hint="eastAsia"/>
              </w:rPr>
              <w:t>3</w:t>
            </w:r>
          </w:p>
        </w:tc>
        <w:tc>
          <w:tcPr>
            <w:tcW w:w="1481" w:type="dxa"/>
            <w:vMerge w:val="restart"/>
            <w:tcBorders>
              <w:top w:val="single" w:color="000000" w:sz="4" w:space="0"/>
              <w:left w:val="single" w:color="000000" w:sz="4" w:space="0"/>
              <w:right w:val="single" w:color="000000" w:sz="4" w:space="0"/>
            </w:tcBorders>
            <w:noWrap w:val="0"/>
            <w:vAlign w:val="center"/>
          </w:tcPr>
          <w:p w14:paraId="2296C8D7">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财务状况证明材料（</w:t>
            </w:r>
            <w:r>
              <w:rPr>
                <w:rFonts w:hint="eastAsia" w:ascii="微软雅黑" w:hAnsi="微软雅黑" w:eastAsia="宋体" w:cs="微软雅黑"/>
                <w:color w:val="000000"/>
                <w:sz w:val="18"/>
                <w:szCs w:val="18"/>
                <w:lang w:eastAsia="zh-CN"/>
              </w:rPr>
              <w:t>投标人</w:t>
            </w:r>
            <w:r>
              <w:rPr>
                <w:rFonts w:hint="eastAsia" w:ascii="微软雅黑" w:hAnsi="微软雅黑" w:cs="微软雅黑"/>
                <w:color w:val="000000"/>
                <w:sz w:val="18"/>
                <w:szCs w:val="18"/>
              </w:rPr>
              <w:t>可以按右侧两种方式其中之一提供）</w:t>
            </w:r>
          </w:p>
        </w:tc>
        <w:tc>
          <w:tcPr>
            <w:tcW w:w="6485" w:type="dxa"/>
            <w:tcBorders>
              <w:top w:val="single" w:color="000000" w:sz="4" w:space="0"/>
              <w:left w:val="single" w:color="000000" w:sz="4" w:space="0"/>
              <w:right w:val="single" w:color="auto" w:sz="4" w:space="0"/>
            </w:tcBorders>
            <w:noWrap w:val="0"/>
            <w:vAlign w:val="center"/>
          </w:tcPr>
          <w:p w14:paraId="7D6B6B7D">
            <w:pPr>
              <w:shd w:val="clear" w:color="000000" w:fill="FFFFFF"/>
              <w:snapToGrid w:val="0"/>
              <w:spacing w:line="360" w:lineRule="auto"/>
              <w:rPr>
                <w:rFonts w:ascii="微软雅黑" w:hAnsi="微软雅黑" w:cs="微软雅黑"/>
                <w:sz w:val="18"/>
                <w:szCs w:val="18"/>
              </w:rPr>
            </w:pPr>
            <w:r>
              <w:rPr>
                <w:rFonts w:hint="eastAsia" w:ascii="微软雅黑" w:hAnsi="微软雅黑" w:eastAsia="宋体" w:cs="微软雅黑"/>
                <w:sz w:val="18"/>
                <w:szCs w:val="18"/>
                <w:lang w:eastAsia="zh-CN"/>
              </w:rPr>
              <w:t>投标人</w:t>
            </w:r>
            <w:r>
              <w:rPr>
                <w:rFonts w:hint="eastAsia" w:ascii="微软雅黑" w:hAnsi="微软雅黑" w:cs="微软雅黑"/>
                <w:sz w:val="18"/>
                <w:szCs w:val="18"/>
              </w:rPr>
              <w:t>是法人的，应提供202</w:t>
            </w:r>
            <w:r>
              <w:rPr>
                <w:rFonts w:hint="eastAsia" w:ascii="微软雅黑" w:hAnsi="微软雅黑" w:cs="微软雅黑"/>
                <w:sz w:val="18"/>
                <w:szCs w:val="18"/>
                <w:lang w:val="en-US" w:eastAsia="zh-CN"/>
              </w:rPr>
              <w:t>3</w:t>
            </w:r>
            <w:r>
              <w:rPr>
                <w:rFonts w:hint="eastAsia" w:ascii="微软雅黑" w:hAnsi="微软雅黑" w:cs="微软雅黑"/>
                <w:sz w:val="18"/>
                <w:szCs w:val="18"/>
              </w:rPr>
              <w:t>年或20</w:t>
            </w:r>
            <w:r>
              <w:rPr>
                <w:rFonts w:hint="eastAsia" w:ascii="微软雅黑" w:hAnsi="微软雅黑" w:cs="微软雅黑"/>
                <w:sz w:val="18"/>
                <w:szCs w:val="18"/>
                <w:lang w:val="en-US" w:eastAsia="zh-CN"/>
              </w:rPr>
              <w:t>24</w:t>
            </w:r>
            <w:r>
              <w:rPr>
                <w:rFonts w:hint="eastAsia" w:ascii="微软雅黑" w:hAnsi="微软雅黑" w:cs="微软雅黑"/>
                <w:sz w:val="18"/>
                <w:szCs w:val="18"/>
              </w:rPr>
              <w:t>年度的财务报告，或基本开户银行出具的银行资信证明。部分其他组织和自然人，没有财务报告的，可以提供财务报表或银行出具的资信证明，如为纳税零申报，请提供相关证明材料</w:t>
            </w:r>
          </w:p>
        </w:tc>
        <w:tc>
          <w:tcPr>
            <w:tcW w:w="1682" w:type="dxa"/>
            <w:vMerge w:val="restart"/>
            <w:tcBorders>
              <w:top w:val="single" w:color="auto" w:sz="4" w:space="0"/>
              <w:left w:val="single" w:color="auto" w:sz="4" w:space="0"/>
              <w:right w:val="single" w:color="auto" w:sz="4" w:space="0"/>
            </w:tcBorders>
            <w:noWrap w:val="0"/>
            <w:vAlign w:val="center"/>
          </w:tcPr>
          <w:p w14:paraId="59ABFD3B">
            <w:pPr>
              <w:snapToGrid w:val="0"/>
              <w:spacing w:line="360" w:lineRule="auto"/>
            </w:pPr>
            <w:r>
              <w:rPr>
                <w:rFonts w:hint="eastAsia" w:ascii="微软雅黑" w:hAnsi="微软雅黑" w:cs="微软雅黑"/>
                <w:color w:val="000000"/>
                <w:sz w:val="18"/>
                <w:szCs w:val="18"/>
              </w:rPr>
              <w:t>提供复印件或扫描件加盖公章或电子公章</w:t>
            </w:r>
          </w:p>
        </w:tc>
      </w:tr>
      <w:tr w14:paraId="4E176D4E">
        <w:tblPrEx>
          <w:tblCellMar>
            <w:top w:w="0" w:type="dxa"/>
            <w:left w:w="108" w:type="dxa"/>
            <w:bottom w:w="0" w:type="dxa"/>
            <w:right w:w="108" w:type="dxa"/>
          </w:tblCellMar>
        </w:tblPrEx>
        <w:trPr>
          <w:trHeight w:val="988" w:hRule="atLeast"/>
        </w:trPr>
        <w:tc>
          <w:tcPr>
            <w:tcW w:w="825" w:type="dxa"/>
            <w:vMerge w:val="continue"/>
            <w:tcBorders>
              <w:left w:val="single" w:color="000000" w:sz="4" w:space="0"/>
              <w:right w:val="single" w:color="000000" w:sz="4" w:space="0"/>
            </w:tcBorders>
            <w:noWrap w:val="0"/>
            <w:vAlign w:val="center"/>
          </w:tcPr>
          <w:p w14:paraId="4336F3D9">
            <w:pPr>
              <w:jc w:val="center"/>
            </w:pPr>
          </w:p>
        </w:tc>
        <w:tc>
          <w:tcPr>
            <w:tcW w:w="1481" w:type="dxa"/>
            <w:vMerge w:val="continue"/>
            <w:tcBorders>
              <w:left w:val="single" w:color="000000" w:sz="4" w:space="0"/>
              <w:right w:val="single" w:color="000000" w:sz="4" w:space="0"/>
            </w:tcBorders>
            <w:noWrap w:val="0"/>
            <w:vAlign w:val="center"/>
          </w:tcPr>
          <w:p w14:paraId="2A2F5C2D">
            <w:pPr>
              <w:shd w:val="clear" w:color="000000" w:fill="FFFFFF"/>
              <w:snapToGrid w:val="0"/>
              <w:spacing w:line="360" w:lineRule="auto"/>
            </w:pPr>
          </w:p>
        </w:tc>
        <w:tc>
          <w:tcPr>
            <w:tcW w:w="6485" w:type="dxa"/>
            <w:tcBorders>
              <w:top w:val="single" w:color="000000" w:sz="4" w:space="0"/>
              <w:left w:val="single" w:color="000000" w:sz="4" w:space="0"/>
              <w:right w:val="single" w:color="auto" w:sz="4" w:space="0"/>
            </w:tcBorders>
            <w:noWrap w:val="0"/>
            <w:vAlign w:val="center"/>
          </w:tcPr>
          <w:p w14:paraId="11FE7558">
            <w:pPr>
              <w:shd w:val="clear" w:color="000000" w:fill="FFFFFF"/>
              <w:snapToGrid w:val="0"/>
              <w:spacing w:line="360" w:lineRule="auto"/>
              <w:rPr>
                <w:rFonts w:hint="eastAsia" w:ascii="微软雅黑" w:hAnsi="微软雅黑" w:cs="微软雅黑"/>
                <w:sz w:val="18"/>
                <w:szCs w:val="18"/>
              </w:rPr>
            </w:pPr>
            <w:r>
              <w:rPr>
                <w:rFonts w:hint="eastAsia" w:ascii="微软雅黑" w:hAnsi="微软雅黑" w:cs="微软雅黑"/>
                <w:sz w:val="18"/>
                <w:szCs w:val="18"/>
              </w:rPr>
              <w:t>202</w:t>
            </w:r>
            <w:r>
              <w:rPr>
                <w:rFonts w:hint="eastAsia" w:ascii="微软雅黑" w:hAnsi="微软雅黑" w:cs="微软雅黑"/>
                <w:sz w:val="18"/>
                <w:szCs w:val="18"/>
                <w:lang w:val="en-US" w:eastAsia="zh-CN"/>
              </w:rPr>
              <w:t>5</w:t>
            </w:r>
            <w:r>
              <w:rPr>
                <w:rFonts w:hint="eastAsia" w:ascii="微软雅黑" w:hAnsi="微软雅黑" w:cs="微软雅黑"/>
                <w:sz w:val="18"/>
                <w:szCs w:val="18"/>
              </w:rPr>
              <w:t>年</w:t>
            </w:r>
            <w:r>
              <w:rPr>
                <w:rFonts w:hint="eastAsia" w:ascii="微软雅黑" w:hAnsi="微软雅黑" w:cs="微软雅黑"/>
                <w:sz w:val="18"/>
                <w:szCs w:val="18"/>
                <w:lang w:val="en-US" w:eastAsia="zh-CN"/>
              </w:rPr>
              <w:t>5</w:t>
            </w:r>
            <w:r>
              <w:rPr>
                <w:rFonts w:hint="eastAsia" w:ascii="微软雅黑" w:hAnsi="微软雅黑" w:cs="微软雅黑"/>
                <w:sz w:val="18"/>
                <w:szCs w:val="18"/>
              </w:rPr>
              <w:t>月1日以后成立的单位需提供最近一个月财务报表（含资产负债表、利润表或损益表）</w:t>
            </w:r>
          </w:p>
        </w:tc>
        <w:tc>
          <w:tcPr>
            <w:tcW w:w="1682" w:type="dxa"/>
            <w:vMerge w:val="continue"/>
            <w:tcBorders>
              <w:left w:val="single" w:color="auto" w:sz="4" w:space="0"/>
              <w:bottom w:val="single" w:color="auto" w:sz="4" w:space="0"/>
              <w:right w:val="single" w:color="auto" w:sz="4" w:space="0"/>
            </w:tcBorders>
            <w:noWrap w:val="0"/>
            <w:vAlign w:val="center"/>
          </w:tcPr>
          <w:p w14:paraId="767947CF">
            <w:pPr>
              <w:shd w:val="clear" w:color="000000" w:fill="FFFFFF"/>
              <w:snapToGrid w:val="0"/>
              <w:spacing w:line="360" w:lineRule="auto"/>
              <w:rPr>
                <w:rFonts w:hint="eastAsia" w:ascii="微软雅黑" w:hAnsi="微软雅黑" w:cs="微软雅黑"/>
                <w:sz w:val="18"/>
                <w:szCs w:val="18"/>
              </w:rPr>
            </w:pPr>
          </w:p>
        </w:tc>
      </w:tr>
      <w:tr w14:paraId="2E569D01">
        <w:tblPrEx>
          <w:tblCellMar>
            <w:top w:w="0" w:type="dxa"/>
            <w:left w:w="108" w:type="dxa"/>
            <w:bottom w:w="0" w:type="dxa"/>
            <w:right w:w="108" w:type="dxa"/>
          </w:tblCellMar>
        </w:tblPrEx>
        <w:trPr>
          <w:trHeight w:val="132" w:hRule="atLeast"/>
        </w:trPr>
        <w:tc>
          <w:tcPr>
            <w:tcW w:w="825" w:type="dxa"/>
            <w:vMerge w:val="restart"/>
            <w:tcBorders>
              <w:top w:val="single" w:color="000000" w:sz="4" w:space="0"/>
              <w:left w:val="single" w:color="000000" w:sz="4" w:space="0"/>
              <w:right w:val="single" w:color="000000" w:sz="4" w:space="0"/>
            </w:tcBorders>
            <w:noWrap w:val="0"/>
            <w:vAlign w:val="center"/>
          </w:tcPr>
          <w:p w14:paraId="6AD52402">
            <w:pPr>
              <w:jc w:val="center"/>
            </w:pPr>
            <w:r>
              <w:rPr>
                <w:rFonts w:hint="eastAsia"/>
              </w:rPr>
              <w:t>4</w:t>
            </w:r>
          </w:p>
        </w:tc>
        <w:tc>
          <w:tcPr>
            <w:tcW w:w="1481" w:type="dxa"/>
            <w:vMerge w:val="restart"/>
            <w:tcBorders>
              <w:top w:val="single" w:color="000000" w:sz="4" w:space="0"/>
              <w:left w:val="single" w:color="000000" w:sz="4" w:space="0"/>
              <w:right w:val="single" w:color="000000" w:sz="4" w:space="0"/>
            </w:tcBorders>
            <w:noWrap w:val="0"/>
            <w:vAlign w:val="center"/>
          </w:tcPr>
          <w:p w14:paraId="7FF767E2">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依法缴纳税收的相关材料（</w:t>
            </w:r>
            <w:r>
              <w:rPr>
                <w:rFonts w:hint="eastAsia" w:ascii="微软雅黑" w:hAnsi="微软雅黑" w:eastAsia="宋体" w:cs="微软雅黑"/>
                <w:color w:val="000000"/>
                <w:sz w:val="18"/>
                <w:szCs w:val="18"/>
                <w:lang w:eastAsia="zh-CN"/>
              </w:rPr>
              <w:t>投标人</w:t>
            </w:r>
            <w:r>
              <w:rPr>
                <w:rFonts w:hint="eastAsia" w:ascii="微软雅黑" w:hAnsi="微软雅黑" w:cs="微软雅黑"/>
                <w:color w:val="000000"/>
                <w:sz w:val="18"/>
                <w:szCs w:val="18"/>
              </w:rPr>
              <w:t>可以按右侧三种方式提供其中一种即可）</w:t>
            </w:r>
          </w:p>
        </w:tc>
        <w:tc>
          <w:tcPr>
            <w:tcW w:w="6485" w:type="dxa"/>
            <w:tcBorders>
              <w:top w:val="single" w:color="000000" w:sz="4" w:space="0"/>
              <w:left w:val="single" w:color="000000" w:sz="4" w:space="0"/>
              <w:bottom w:val="single" w:color="000000" w:sz="4" w:space="0"/>
              <w:right w:val="single" w:color="auto" w:sz="4" w:space="0"/>
            </w:tcBorders>
            <w:noWrap w:val="0"/>
            <w:vAlign w:val="center"/>
          </w:tcPr>
          <w:p w14:paraId="345C4857">
            <w:pPr>
              <w:shd w:val="clear" w:color="000000" w:fill="FFFFFF"/>
              <w:snapToGrid w:val="0"/>
              <w:spacing w:line="360" w:lineRule="auto"/>
              <w:rPr>
                <w:rFonts w:ascii="微软雅黑" w:hAnsi="微软雅黑" w:cs="微软雅黑"/>
                <w:color w:val="000000"/>
                <w:sz w:val="18"/>
                <w:szCs w:val="18"/>
              </w:rPr>
            </w:pPr>
            <w:r>
              <w:rPr>
                <w:rFonts w:hint="eastAsia" w:ascii="微软雅黑" w:hAnsi="微软雅黑" w:eastAsia="宋体" w:cs="微软雅黑"/>
                <w:color w:val="000000"/>
                <w:sz w:val="18"/>
                <w:szCs w:val="18"/>
                <w:lang w:eastAsia="zh-CN"/>
              </w:rPr>
              <w:t>投标人</w:t>
            </w:r>
            <w:r>
              <w:rPr>
                <w:rFonts w:hint="eastAsia" w:ascii="微软雅黑" w:hAnsi="微软雅黑" w:cs="微软雅黑"/>
                <w:color w:val="000000"/>
                <w:sz w:val="18"/>
                <w:szCs w:val="18"/>
              </w:rPr>
              <w:t>提供202</w:t>
            </w:r>
            <w:r>
              <w:rPr>
                <w:rFonts w:hint="eastAsia" w:ascii="微软雅黑" w:hAnsi="微软雅黑" w:cs="微软雅黑"/>
                <w:color w:val="000000"/>
                <w:sz w:val="18"/>
                <w:szCs w:val="18"/>
                <w:lang w:val="en-US" w:eastAsia="zh-CN"/>
              </w:rPr>
              <w:t>5</w:t>
            </w:r>
            <w:r>
              <w:rPr>
                <w:rFonts w:hint="eastAsia" w:ascii="微软雅黑" w:hAnsi="微软雅黑" w:cs="微软雅黑"/>
                <w:color w:val="000000"/>
                <w:sz w:val="18"/>
                <w:szCs w:val="18"/>
              </w:rPr>
              <w:t>年1月至今任意3个月依法缴纳税收的相关材料</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442A61BE">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提供复印件或扫描件加盖公章或电子公章</w:t>
            </w:r>
          </w:p>
        </w:tc>
      </w:tr>
      <w:tr w14:paraId="6A9B7FAA">
        <w:tblPrEx>
          <w:tblCellMar>
            <w:top w:w="0" w:type="dxa"/>
            <w:left w:w="108" w:type="dxa"/>
            <w:bottom w:w="0" w:type="dxa"/>
            <w:right w:w="108" w:type="dxa"/>
          </w:tblCellMar>
        </w:tblPrEx>
        <w:trPr>
          <w:trHeight w:val="132" w:hRule="atLeast"/>
        </w:trPr>
        <w:tc>
          <w:tcPr>
            <w:tcW w:w="825" w:type="dxa"/>
            <w:vMerge w:val="continue"/>
            <w:tcBorders>
              <w:left w:val="single" w:color="000000" w:sz="4" w:space="0"/>
              <w:right w:val="single" w:color="000000" w:sz="4" w:space="0"/>
            </w:tcBorders>
            <w:noWrap w:val="0"/>
            <w:vAlign w:val="center"/>
          </w:tcPr>
          <w:p w14:paraId="638F9ED3">
            <w:pPr>
              <w:jc w:val="center"/>
            </w:pPr>
          </w:p>
        </w:tc>
        <w:tc>
          <w:tcPr>
            <w:tcW w:w="1481" w:type="dxa"/>
            <w:vMerge w:val="continue"/>
            <w:tcBorders>
              <w:left w:val="single" w:color="000000" w:sz="4" w:space="0"/>
              <w:right w:val="single" w:color="000000" w:sz="4" w:space="0"/>
            </w:tcBorders>
            <w:noWrap w:val="0"/>
            <w:vAlign w:val="center"/>
          </w:tcPr>
          <w:p w14:paraId="2A19F96B">
            <w:pPr>
              <w:shd w:val="clear" w:color="000000" w:fill="FFFFFF"/>
              <w:snapToGrid w:val="0"/>
              <w:spacing w:line="360" w:lineRule="auto"/>
            </w:pPr>
          </w:p>
        </w:tc>
        <w:tc>
          <w:tcPr>
            <w:tcW w:w="6485" w:type="dxa"/>
            <w:tcBorders>
              <w:top w:val="single" w:color="000000" w:sz="4" w:space="0"/>
              <w:left w:val="single" w:color="000000" w:sz="4" w:space="0"/>
              <w:bottom w:val="single" w:color="000000" w:sz="4" w:space="0"/>
              <w:right w:val="single" w:color="auto" w:sz="4" w:space="0"/>
            </w:tcBorders>
            <w:noWrap w:val="0"/>
            <w:vAlign w:val="center"/>
          </w:tcPr>
          <w:p w14:paraId="0B9EA44A">
            <w:pPr>
              <w:shd w:val="clear" w:color="000000" w:fill="FFFFFF"/>
              <w:snapToGrid w:val="0"/>
              <w:spacing w:line="360" w:lineRule="auto"/>
              <w:rPr>
                <w:rFonts w:ascii="微软雅黑" w:hAnsi="微软雅黑" w:cs="微软雅黑"/>
                <w:color w:val="000000"/>
                <w:sz w:val="18"/>
                <w:szCs w:val="18"/>
              </w:rPr>
            </w:pPr>
            <w:r>
              <w:rPr>
                <w:rFonts w:hint="eastAsia" w:ascii="微软雅黑" w:hAnsi="微软雅黑" w:eastAsia="宋体" w:cs="微软雅黑"/>
                <w:color w:val="000000"/>
                <w:sz w:val="18"/>
                <w:szCs w:val="18"/>
                <w:lang w:eastAsia="zh-CN"/>
              </w:rPr>
              <w:t>投标人</w:t>
            </w:r>
            <w:r>
              <w:rPr>
                <w:rFonts w:hint="eastAsia" w:ascii="微软雅黑" w:hAnsi="微软雅黑" w:cs="微软雅黑"/>
                <w:color w:val="000000"/>
                <w:sz w:val="18"/>
                <w:szCs w:val="18"/>
              </w:rPr>
              <w:t>按招标文件格式提供缴纳税收的证明（按采购文件格式提供证明）或提供其他有效证明。</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73468274">
            <w:pPr>
              <w:shd w:val="clear" w:color="000000" w:fill="FFFFFF"/>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提供复印件或扫描件加盖公章或电子公章</w:t>
            </w:r>
          </w:p>
        </w:tc>
      </w:tr>
      <w:tr w14:paraId="61EBF55E">
        <w:tblPrEx>
          <w:tblCellMar>
            <w:top w:w="0" w:type="dxa"/>
            <w:left w:w="108" w:type="dxa"/>
            <w:bottom w:w="0" w:type="dxa"/>
            <w:right w:w="108" w:type="dxa"/>
          </w:tblCellMar>
        </w:tblPrEx>
        <w:trPr>
          <w:trHeight w:val="132" w:hRule="atLeast"/>
        </w:trPr>
        <w:tc>
          <w:tcPr>
            <w:tcW w:w="825" w:type="dxa"/>
            <w:vMerge w:val="continue"/>
            <w:tcBorders>
              <w:left w:val="single" w:color="000000" w:sz="4" w:space="0"/>
              <w:bottom w:val="single" w:color="000000" w:sz="4" w:space="0"/>
              <w:right w:val="single" w:color="000000" w:sz="4" w:space="0"/>
            </w:tcBorders>
            <w:noWrap w:val="0"/>
            <w:vAlign w:val="center"/>
          </w:tcPr>
          <w:p w14:paraId="3D31AC01">
            <w:pPr>
              <w:jc w:val="center"/>
            </w:pPr>
          </w:p>
        </w:tc>
        <w:tc>
          <w:tcPr>
            <w:tcW w:w="1481" w:type="dxa"/>
            <w:vMerge w:val="continue"/>
            <w:tcBorders>
              <w:left w:val="single" w:color="000000" w:sz="4" w:space="0"/>
              <w:bottom w:val="single" w:color="000000" w:sz="4" w:space="0"/>
              <w:right w:val="single" w:color="000000" w:sz="4" w:space="0"/>
            </w:tcBorders>
            <w:noWrap w:val="0"/>
            <w:vAlign w:val="center"/>
          </w:tcPr>
          <w:p w14:paraId="38CC9E0B">
            <w:pPr>
              <w:shd w:val="clear" w:color="000000" w:fill="FFFFFF"/>
              <w:snapToGrid w:val="0"/>
              <w:spacing w:line="360" w:lineRule="auto"/>
              <w:rPr>
                <w:rFonts w:ascii="微软雅黑" w:hAnsi="微软雅黑" w:cs="微软雅黑"/>
                <w:color w:val="000000"/>
                <w:sz w:val="18"/>
                <w:szCs w:val="18"/>
              </w:rPr>
            </w:pPr>
          </w:p>
        </w:tc>
        <w:tc>
          <w:tcPr>
            <w:tcW w:w="6485" w:type="dxa"/>
            <w:tcBorders>
              <w:top w:val="single" w:color="000000" w:sz="4" w:space="0"/>
              <w:left w:val="single" w:color="000000" w:sz="4" w:space="0"/>
              <w:bottom w:val="single" w:color="000000" w:sz="4" w:space="0"/>
              <w:right w:val="single" w:color="auto" w:sz="4" w:space="0"/>
            </w:tcBorders>
            <w:noWrap w:val="0"/>
            <w:vAlign w:val="center"/>
          </w:tcPr>
          <w:p w14:paraId="7FF55629">
            <w:pPr>
              <w:shd w:val="clear" w:color="000000" w:fill="FFFFFF"/>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依法免税的</w:t>
            </w:r>
            <w:r>
              <w:rPr>
                <w:rFonts w:hint="eastAsia" w:ascii="微软雅黑" w:hAnsi="微软雅黑" w:eastAsia="宋体" w:cs="微软雅黑"/>
                <w:color w:val="000000"/>
                <w:sz w:val="18"/>
                <w:szCs w:val="18"/>
                <w:lang w:eastAsia="zh-CN"/>
              </w:rPr>
              <w:t>投标人</w:t>
            </w:r>
            <w:r>
              <w:rPr>
                <w:rFonts w:hint="eastAsia" w:ascii="微软雅黑" w:hAnsi="微软雅黑" w:cs="微软雅黑"/>
                <w:color w:val="000000"/>
                <w:sz w:val="18"/>
                <w:szCs w:val="18"/>
              </w:rPr>
              <w:t>提供相应证明材料</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09154EBA">
            <w:pPr>
              <w:shd w:val="clear" w:color="000000" w:fill="FFFFFF"/>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提供复印件或扫描件加盖公章或电子公章</w:t>
            </w:r>
          </w:p>
        </w:tc>
      </w:tr>
      <w:tr w14:paraId="26F7541E">
        <w:tblPrEx>
          <w:tblCellMar>
            <w:top w:w="0" w:type="dxa"/>
            <w:left w:w="108" w:type="dxa"/>
            <w:bottom w:w="0" w:type="dxa"/>
            <w:right w:w="108" w:type="dxa"/>
          </w:tblCellMar>
        </w:tblPrEx>
        <w:trPr>
          <w:trHeight w:val="1029" w:hRule="atLeast"/>
        </w:trPr>
        <w:tc>
          <w:tcPr>
            <w:tcW w:w="825" w:type="dxa"/>
            <w:vMerge w:val="restart"/>
            <w:tcBorders>
              <w:top w:val="single" w:color="000000" w:sz="4" w:space="0"/>
              <w:left w:val="single" w:color="000000" w:sz="4" w:space="0"/>
              <w:right w:val="single" w:color="000000" w:sz="4" w:space="0"/>
            </w:tcBorders>
            <w:noWrap w:val="0"/>
            <w:vAlign w:val="center"/>
          </w:tcPr>
          <w:p w14:paraId="351CC724">
            <w:pPr>
              <w:jc w:val="center"/>
            </w:pPr>
            <w:r>
              <w:rPr>
                <w:rFonts w:hint="eastAsia"/>
              </w:rPr>
              <w:t>5</w:t>
            </w:r>
          </w:p>
        </w:tc>
        <w:tc>
          <w:tcPr>
            <w:tcW w:w="1481" w:type="dxa"/>
            <w:vMerge w:val="restart"/>
            <w:tcBorders>
              <w:top w:val="single" w:color="000000" w:sz="4" w:space="0"/>
              <w:left w:val="single" w:color="000000" w:sz="4" w:space="0"/>
              <w:right w:val="single" w:color="000000" w:sz="4" w:space="0"/>
            </w:tcBorders>
            <w:noWrap w:val="0"/>
            <w:vAlign w:val="center"/>
          </w:tcPr>
          <w:p w14:paraId="01D8C83B">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依法缴纳社会保障资金的相关材料（</w:t>
            </w:r>
            <w:r>
              <w:rPr>
                <w:rFonts w:hint="eastAsia" w:ascii="微软雅黑" w:hAnsi="微软雅黑" w:eastAsia="宋体" w:cs="微软雅黑"/>
                <w:color w:val="000000"/>
                <w:sz w:val="18"/>
                <w:szCs w:val="18"/>
                <w:lang w:eastAsia="zh-CN"/>
              </w:rPr>
              <w:t>投标人</w:t>
            </w:r>
            <w:r>
              <w:rPr>
                <w:rFonts w:hint="eastAsia" w:ascii="微软雅黑" w:hAnsi="微软雅黑" w:cs="微软雅黑"/>
                <w:color w:val="000000"/>
                <w:sz w:val="18"/>
                <w:szCs w:val="18"/>
              </w:rPr>
              <w:t>可以按右侧两种方式其中之一提供）</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2806C882">
            <w:pPr>
              <w:shd w:val="clear" w:color="000000" w:fill="FFFFFF"/>
              <w:snapToGrid w:val="0"/>
              <w:spacing w:line="360" w:lineRule="auto"/>
              <w:rPr>
                <w:rFonts w:ascii="微软雅黑" w:hAnsi="微软雅黑" w:cs="微软雅黑"/>
                <w:color w:val="000000"/>
                <w:sz w:val="18"/>
                <w:szCs w:val="18"/>
              </w:rPr>
            </w:pPr>
            <w:r>
              <w:rPr>
                <w:rFonts w:hint="eastAsia" w:ascii="微软雅黑" w:hAnsi="微软雅黑" w:eastAsia="宋体" w:cs="微软雅黑"/>
                <w:color w:val="000000"/>
                <w:sz w:val="18"/>
                <w:szCs w:val="18"/>
                <w:lang w:eastAsia="zh-CN"/>
              </w:rPr>
              <w:t>投标人</w:t>
            </w:r>
            <w:r>
              <w:rPr>
                <w:rFonts w:hint="eastAsia" w:ascii="微软雅黑" w:hAnsi="微软雅黑" w:cs="微软雅黑"/>
                <w:color w:val="000000"/>
                <w:sz w:val="18"/>
                <w:szCs w:val="18"/>
              </w:rPr>
              <w:t>提供202</w:t>
            </w:r>
            <w:r>
              <w:rPr>
                <w:rFonts w:hint="eastAsia" w:ascii="微软雅黑" w:hAnsi="微软雅黑" w:cs="微软雅黑"/>
                <w:color w:val="000000"/>
                <w:sz w:val="18"/>
                <w:szCs w:val="18"/>
                <w:lang w:val="en-US" w:eastAsia="zh-CN"/>
              </w:rPr>
              <w:t>5</w:t>
            </w:r>
            <w:r>
              <w:rPr>
                <w:rFonts w:hint="eastAsia" w:ascii="微软雅黑" w:hAnsi="微软雅黑" w:cs="微软雅黑"/>
                <w:color w:val="000000"/>
                <w:sz w:val="18"/>
                <w:szCs w:val="18"/>
              </w:rPr>
              <w:t>年1月至今任意3个月依法缴纳社会保障资金的相关材料。</w:t>
            </w:r>
          </w:p>
        </w:tc>
        <w:tc>
          <w:tcPr>
            <w:tcW w:w="1682" w:type="dxa"/>
            <w:tcBorders>
              <w:top w:val="single" w:color="auto" w:sz="4" w:space="0"/>
              <w:left w:val="single" w:color="000000" w:sz="4" w:space="0"/>
              <w:bottom w:val="single" w:color="auto" w:sz="4" w:space="0"/>
              <w:right w:val="single" w:color="000000" w:sz="4" w:space="0"/>
            </w:tcBorders>
            <w:noWrap w:val="0"/>
            <w:vAlign w:val="center"/>
          </w:tcPr>
          <w:p w14:paraId="735A034D">
            <w:pPr>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提供复印件或扫描件加盖公章或电子公章</w:t>
            </w:r>
          </w:p>
        </w:tc>
      </w:tr>
      <w:tr w14:paraId="05FFB375">
        <w:tblPrEx>
          <w:tblCellMar>
            <w:top w:w="0" w:type="dxa"/>
            <w:left w:w="108" w:type="dxa"/>
            <w:bottom w:w="0" w:type="dxa"/>
            <w:right w:w="108" w:type="dxa"/>
          </w:tblCellMar>
        </w:tblPrEx>
        <w:trPr>
          <w:trHeight w:val="870" w:hRule="atLeast"/>
        </w:trPr>
        <w:tc>
          <w:tcPr>
            <w:tcW w:w="825" w:type="dxa"/>
            <w:vMerge w:val="continue"/>
            <w:tcBorders>
              <w:left w:val="single" w:color="000000" w:sz="4" w:space="0"/>
              <w:bottom w:val="single" w:color="000000" w:sz="4" w:space="0"/>
              <w:right w:val="single" w:color="000000" w:sz="4" w:space="0"/>
            </w:tcBorders>
            <w:noWrap w:val="0"/>
            <w:vAlign w:val="center"/>
          </w:tcPr>
          <w:p w14:paraId="3E5E8453">
            <w:pPr>
              <w:jc w:val="center"/>
            </w:pPr>
          </w:p>
        </w:tc>
        <w:tc>
          <w:tcPr>
            <w:tcW w:w="1481" w:type="dxa"/>
            <w:vMerge w:val="continue"/>
            <w:tcBorders>
              <w:left w:val="single" w:color="000000" w:sz="4" w:space="0"/>
              <w:bottom w:val="single" w:color="000000" w:sz="4" w:space="0"/>
              <w:right w:val="single" w:color="000000" w:sz="4" w:space="0"/>
            </w:tcBorders>
            <w:noWrap w:val="0"/>
            <w:vAlign w:val="center"/>
          </w:tcPr>
          <w:p w14:paraId="21E07B3A">
            <w:pPr>
              <w:shd w:val="clear" w:color="000000" w:fill="FFFFFF"/>
              <w:snapToGrid w:val="0"/>
              <w:spacing w:line="360" w:lineRule="auto"/>
            </w:pP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7425D454">
            <w:pPr>
              <w:shd w:val="clear" w:color="000000" w:fill="FFFFFF"/>
              <w:snapToGrid w:val="0"/>
              <w:spacing w:line="360" w:lineRule="auto"/>
              <w:rPr>
                <w:rFonts w:ascii="微软雅黑" w:hAnsi="微软雅黑" w:cs="微软雅黑"/>
                <w:color w:val="000000"/>
                <w:sz w:val="18"/>
                <w:szCs w:val="18"/>
              </w:rPr>
            </w:pPr>
            <w:r>
              <w:rPr>
                <w:rFonts w:hint="eastAsia" w:ascii="微软雅黑" w:hAnsi="微软雅黑" w:eastAsia="宋体" w:cs="微软雅黑"/>
                <w:color w:val="000000"/>
                <w:sz w:val="18"/>
                <w:szCs w:val="18"/>
                <w:lang w:eastAsia="zh-CN"/>
              </w:rPr>
              <w:t>投标人</w:t>
            </w:r>
            <w:r>
              <w:rPr>
                <w:rFonts w:hint="eastAsia" w:ascii="微软雅黑" w:hAnsi="微软雅黑" w:cs="微软雅黑"/>
                <w:color w:val="000000"/>
                <w:sz w:val="18"/>
                <w:szCs w:val="18"/>
              </w:rPr>
              <w:t>按公开招标文件格式提供缴纳社会保障资金的证明（按采购文件格式提供证明）或提供其他有效证明。</w:t>
            </w:r>
          </w:p>
        </w:tc>
        <w:tc>
          <w:tcPr>
            <w:tcW w:w="1682" w:type="dxa"/>
            <w:tcBorders>
              <w:top w:val="single" w:color="auto" w:sz="4" w:space="0"/>
              <w:left w:val="single" w:color="000000" w:sz="4" w:space="0"/>
              <w:bottom w:val="single" w:color="auto" w:sz="4" w:space="0"/>
              <w:right w:val="single" w:color="000000" w:sz="4" w:space="0"/>
            </w:tcBorders>
            <w:noWrap w:val="0"/>
            <w:vAlign w:val="center"/>
          </w:tcPr>
          <w:p w14:paraId="516A9C9D">
            <w:pPr>
              <w:shd w:val="clear" w:color="000000" w:fill="FFFFFF"/>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提供复印件或扫描件加盖公章或电子公章</w:t>
            </w:r>
          </w:p>
        </w:tc>
      </w:tr>
      <w:tr w14:paraId="4DFED9AF">
        <w:tblPrEx>
          <w:tblCellMar>
            <w:top w:w="0" w:type="dxa"/>
            <w:left w:w="108" w:type="dxa"/>
            <w:bottom w:w="0" w:type="dxa"/>
            <w:right w:w="108" w:type="dxa"/>
          </w:tblCellMar>
        </w:tblPrEx>
        <w:trPr>
          <w:trHeight w:val="476"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BAB4C7A">
            <w:pPr>
              <w:jc w:val="center"/>
            </w:pPr>
            <w:r>
              <w:rPr>
                <w:rFonts w:hint="eastAsia"/>
              </w:rPr>
              <w:t>6</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68790DE">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具备履行合同所必须的设备和专业技术能力</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132C7940">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按招标文件格式提供具备履行合同所必须的设备和专业技术能力的承诺函。</w:t>
            </w:r>
          </w:p>
        </w:tc>
        <w:tc>
          <w:tcPr>
            <w:tcW w:w="1682" w:type="dxa"/>
            <w:tcBorders>
              <w:top w:val="single" w:color="auto" w:sz="4" w:space="0"/>
              <w:left w:val="single" w:color="000000" w:sz="4" w:space="0"/>
              <w:bottom w:val="single" w:color="000000" w:sz="4" w:space="0"/>
              <w:right w:val="single" w:color="000000" w:sz="4" w:space="0"/>
            </w:tcBorders>
            <w:noWrap w:val="0"/>
            <w:vAlign w:val="center"/>
          </w:tcPr>
          <w:p w14:paraId="4903C45B">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提供复印件或扫描件加盖公章或电子公章</w:t>
            </w:r>
          </w:p>
        </w:tc>
      </w:tr>
      <w:tr w14:paraId="7B901BE0">
        <w:tblPrEx>
          <w:tblCellMar>
            <w:top w:w="0" w:type="dxa"/>
            <w:left w:w="108" w:type="dxa"/>
            <w:bottom w:w="0" w:type="dxa"/>
            <w:right w:w="108" w:type="dxa"/>
          </w:tblCellMar>
        </w:tblPrEx>
        <w:trPr>
          <w:trHeight w:val="476"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380CCEA3">
            <w:pPr>
              <w:jc w:val="center"/>
            </w:pPr>
            <w:r>
              <w:rPr>
                <w:rFonts w:hint="eastAsia"/>
              </w:rPr>
              <w:t>7</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B4C71F1">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禁止参加政府采购承诺</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2A529CB8">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未被财政部门列入禁止参加政府采购活动期间的书面承诺，按招标文件格式文本提供承诺函。</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76121C1D">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提供复印件或扫描件加盖公章或电子公章</w:t>
            </w:r>
          </w:p>
        </w:tc>
      </w:tr>
      <w:tr w14:paraId="7FDCA7E6">
        <w:tblPrEx>
          <w:tblCellMar>
            <w:top w:w="0" w:type="dxa"/>
            <w:left w:w="108" w:type="dxa"/>
            <w:bottom w:w="0" w:type="dxa"/>
            <w:right w:w="108" w:type="dxa"/>
          </w:tblCellMar>
        </w:tblPrEx>
        <w:trPr>
          <w:trHeight w:val="941"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645FA2E">
            <w:pPr>
              <w:jc w:val="center"/>
            </w:pPr>
            <w:r>
              <w:rPr>
                <w:rFonts w:hint="eastAsia"/>
              </w:rPr>
              <w:t>8</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2B2393B">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无违法记录声明</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24366304">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参加政府采购活动前三年内，在经营活动中没有重大违法记录的书面承诺，按招标文件格式文本提供承诺函。</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6D794E2">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提供复印件或扫描件加盖公章或电子公章</w:t>
            </w:r>
          </w:p>
        </w:tc>
      </w:tr>
      <w:tr w14:paraId="518233B2">
        <w:tblPrEx>
          <w:tblCellMar>
            <w:top w:w="0" w:type="dxa"/>
            <w:left w:w="108" w:type="dxa"/>
            <w:bottom w:w="0" w:type="dxa"/>
            <w:right w:w="108" w:type="dxa"/>
          </w:tblCellMar>
        </w:tblPrEx>
        <w:trPr>
          <w:trHeight w:val="684" w:hRule="atLeast"/>
        </w:trPr>
        <w:tc>
          <w:tcPr>
            <w:tcW w:w="825"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14:paraId="2F6E152C">
            <w:pPr>
              <w:jc w:val="center"/>
            </w:pPr>
            <w:r>
              <w:rPr>
                <w:rFonts w:hint="eastAsia"/>
              </w:rPr>
              <w:t>9</w:t>
            </w:r>
          </w:p>
        </w:tc>
        <w:tc>
          <w:tcPr>
            <w:tcW w:w="1481"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14:paraId="3563523A">
            <w:pPr>
              <w:snapToGrid w:val="0"/>
              <w:spacing w:line="360" w:lineRule="auto"/>
              <w:rPr>
                <w:rFonts w:ascii="微软雅黑" w:hAnsi="微软雅黑" w:cs="微软雅黑"/>
                <w:color w:val="000000"/>
                <w:sz w:val="18"/>
                <w:szCs w:val="18"/>
              </w:rPr>
            </w:pPr>
            <w:r>
              <w:rPr>
                <w:rFonts w:hint="eastAsia" w:ascii="微软雅黑" w:hAnsi="微软雅黑" w:eastAsia="宋体" w:cs="微软雅黑"/>
                <w:color w:val="000000"/>
                <w:sz w:val="18"/>
                <w:szCs w:val="18"/>
                <w:lang w:eastAsia="zh-CN"/>
              </w:rPr>
              <w:t>投标人</w:t>
            </w:r>
            <w:r>
              <w:rPr>
                <w:rFonts w:hint="eastAsia" w:ascii="微软雅黑" w:hAnsi="微软雅黑" w:cs="微软雅黑"/>
                <w:color w:val="000000"/>
                <w:sz w:val="18"/>
                <w:szCs w:val="18"/>
              </w:rPr>
              <w:t>承诺书</w:t>
            </w:r>
          </w:p>
        </w:tc>
        <w:tc>
          <w:tcPr>
            <w:tcW w:w="64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963716">
            <w:pPr>
              <w:snapToGrid w:val="0"/>
              <w:spacing w:line="360" w:lineRule="auto"/>
              <w:rPr>
                <w:rFonts w:ascii="微软雅黑" w:hAnsi="微软雅黑" w:cs="微软雅黑"/>
                <w:color w:val="000000"/>
                <w:sz w:val="18"/>
                <w:szCs w:val="18"/>
                <w:highlight w:val="yellow"/>
              </w:rPr>
            </w:pPr>
            <w:r>
              <w:rPr>
                <w:rFonts w:hint="eastAsia" w:ascii="微软雅黑" w:hAnsi="微软雅黑" w:cs="微软雅黑"/>
                <w:color w:val="000000"/>
                <w:sz w:val="18"/>
                <w:szCs w:val="18"/>
              </w:rPr>
              <w:t>按招标文件格式文本提供承诺函</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2448200F">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提供复印件或扫描件加盖公章或电子公章</w:t>
            </w:r>
          </w:p>
        </w:tc>
      </w:tr>
      <w:tr w14:paraId="3BAF24B3">
        <w:tblPrEx>
          <w:tblCellMar>
            <w:top w:w="0" w:type="dxa"/>
            <w:left w:w="108" w:type="dxa"/>
            <w:bottom w:w="0" w:type="dxa"/>
            <w:right w:w="108" w:type="dxa"/>
          </w:tblCellMar>
        </w:tblPrEx>
        <w:trPr>
          <w:trHeight w:val="362" w:hRule="atLeast"/>
        </w:trPr>
        <w:tc>
          <w:tcPr>
            <w:tcW w:w="825"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14:paraId="29169CA3">
            <w:pPr>
              <w:jc w:val="center"/>
            </w:pPr>
            <w:r>
              <w:rPr>
                <w:rFonts w:hint="eastAsia"/>
              </w:rPr>
              <w:t>10</w:t>
            </w:r>
          </w:p>
        </w:tc>
        <w:tc>
          <w:tcPr>
            <w:tcW w:w="1481"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14:paraId="147C406B">
            <w:pPr>
              <w:snapToGrid w:val="0"/>
              <w:spacing w:line="360" w:lineRule="auto"/>
              <w:rPr>
                <w:rFonts w:ascii="微软雅黑" w:hAnsi="微软雅黑" w:cs="微软雅黑"/>
                <w:color w:val="000000"/>
                <w:sz w:val="18"/>
                <w:szCs w:val="18"/>
              </w:rPr>
            </w:pPr>
            <w:r>
              <w:rPr>
                <w:rFonts w:hint="eastAsia" w:ascii="微软雅黑" w:hAnsi="微软雅黑" w:eastAsia="宋体" w:cs="微软雅黑"/>
                <w:color w:val="000000"/>
                <w:sz w:val="18"/>
                <w:szCs w:val="18"/>
                <w:lang w:eastAsia="zh-CN"/>
              </w:rPr>
              <w:t>投标人</w:t>
            </w:r>
            <w:r>
              <w:rPr>
                <w:rFonts w:hint="eastAsia" w:ascii="微软雅黑" w:hAnsi="微软雅黑" w:cs="微软雅黑"/>
                <w:color w:val="000000"/>
                <w:sz w:val="18"/>
                <w:szCs w:val="18"/>
              </w:rPr>
              <w:t>信用信息</w:t>
            </w:r>
          </w:p>
        </w:tc>
        <w:tc>
          <w:tcPr>
            <w:tcW w:w="64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23DFBE">
            <w:pPr>
              <w:snapToGrid w:val="0"/>
              <w:spacing w:line="360" w:lineRule="auto"/>
              <w:rPr>
                <w:rFonts w:ascii="微软雅黑" w:hAnsi="微软雅黑" w:cs="微软雅黑"/>
                <w:color w:val="000000"/>
                <w:sz w:val="18"/>
                <w:szCs w:val="18"/>
                <w:shd w:val="clear" w:color="000000" w:fill="FFFFFF"/>
              </w:rPr>
            </w:pPr>
            <w:r>
              <w:rPr>
                <w:rFonts w:hint="eastAsia" w:ascii="微软雅黑" w:hAnsi="微软雅黑" w:cs="微软雅黑"/>
                <w:color w:val="000000"/>
                <w:sz w:val="18"/>
                <w:szCs w:val="18"/>
                <w:shd w:val="clear" w:color="000000" w:fill="FFFFFF"/>
              </w:rPr>
              <w:t>对列入失信被执行人、税收违法黑名单、政府采购严重违法失信行为记录名单且还在执行期的</w:t>
            </w:r>
            <w:r>
              <w:rPr>
                <w:rFonts w:hint="eastAsia" w:ascii="微软雅黑" w:hAnsi="微软雅黑" w:eastAsia="宋体" w:cs="微软雅黑"/>
                <w:color w:val="000000"/>
                <w:sz w:val="18"/>
                <w:szCs w:val="18"/>
                <w:shd w:val="clear" w:color="000000" w:fill="FFFFFF"/>
                <w:lang w:eastAsia="zh-CN"/>
              </w:rPr>
              <w:t>投标人</w:t>
            </w:r>
            <w:r>
              <w:rPr>
                <w:rFonts w:hint="eastAsia" w:ascii="微软雅黑" w:hAnsi="微软雅黑" w:cs="微软雅黑"/>
                <w:color w:val="000000"/>
                <w:sz w:val="18"/>
                <w:szCs w:val="18"/>
                <w:shd w:val="clear" w:color="000000" w:fill="FFFFFF"/>
              </w:rPr>
              <w:t>资格审查不通过，拒绝其参与政府采购活动（提供查询截图及</w:t>
            </w:r>
            <w:r>
              <w:rPr>
                <w:rFonts w:hint="eastAsia" w:ascii="微软雅黑" w:hAnsi="微软雅黑" w:eastAsia="宋体" w:cs="微软雅黑"/>
                <w:color w:val="000000"/>
                <w:sz w:val="18"/>
                <w:szCs w:val="18"/>
                <w:shd w:val="clear" w:color="000000" w:fill="FFFFFF"/>
                <w:lang w:eastAsia="zh-CN"/>
              </w:rPr>
              <w:t>投标人</w:t>
            </w:r>
            <w:r>
              <w:rPr>
                <w:rFonts w:hint="eastAsia" w:ascii="微软雅黑" w:hAnsi="微软雅黑" w:cs="微软雅黑"/>
                <w:color w:val="000000"/>
                <w:sz w:val="18"/>
                <w:szCs w:val="18"/>
                <w:shd w:val="clear" w:color="000000" w:fill="FFFFFF"/>
              </w:rPr>
              <w:t>信用报告）。</w:t>
            </w:r>
          </w:p>
          <w:p w14:paraId="4A86BEE6">
            <w:pPr>
              <w:snapToGrid w:val="0"/>
              <w:spacing w:line="360" w:lineRule="auto"/>
              <w:rPr>
                <w:rFonts w:ascii="微软雅黑" w:hAnsi="微软雅黑" w:cs="微软雅黑"/>
                <w:color w:val="000000"/>
                <w:sz w:val="18"/>
                <w:szCs w:val="18"/>
                <w:shd w:val="clear" w:color="000000" w:fill="FFFFFF"/>
              </w:rPr>
            </w:pPr>
            <w:r>
              <w:rPr>
                <w:rFonts w:hint="eastAsia" w:ascii="微软雅黑" w:hAnsi="微软雅黑" w:cs="微软雅黑"/>
                <w:color w:val="000000"/>
                <w:sz w:val="18"/>
                <w:szCs w:val="18"/>
                <w:shd w:val="clear" w:color="000000" w:fill="FFFFFF"/>
              </w:rPr>
              <w:t>注：信用记录查询渠道为“信用中国”网站（www.creditchina.gov.cn）及中国政府采购网（www.ccgp.gov.cn），查询时间为本项目采购公告发布之日至</w:t>
            </w:r>
            <w:r>
              <w:rPr>
                <w:rFonts w:hint="eastAsia" w:ascii="微软雅黑" w:hAnsi="微软雅黑" w:eastAsia="宋体" w:cs="微软雅黑"/>
                <w:color w:val="000000"/>
                <w:sz w:val="18"/>
                <w:szCs w:val="18"/>
                <w:shd w:val="clear" w:color="000000" w:fill="FFFFFF"/>
                <w:lang w:eastAsia="zh-CN"/>
              </w:rPr>
              <w:t>开标</w:t>
            </w:r>
            <w:r>
              <w:rPr>
                <w:rFonts w:hint="eastAsia" w:ascii="微软雅黑" w:hAnsi="微软雅黑" w:cs="微软雅黑"/>
                <w:color w:val="000000"/>
                <w:sz w:val="18"/>
                <w:szCs w:val="18"/>
                <w:shd w:val="clear" w:color="000000" w:fill="FFFFFF"/>
              </w:rPr>
              <w:t>会议开始时间前的任意时间，</w:t>
            </w:r>
            <w:r>
              <w:rPr>
                <w:rFonts w:hint="eastAsia" w:ascii="微软雅黑" w:hAnsi="微软雅黑" w:eastAsia="宋体" w:cs="微软雅黑"/>
                <w:color w:val="000000"/>
                <w:sz w:val="18"/>
                <w:szCs w:val="18"/>
                <w:shd w:val="clear" w:color="000000" w:fill="FFFFFF"/>
                <w:lang w:eastAsia="zh-CN"/>
              </w:rPr>
              <w:t>投标人</w:t>
            </w:r>
            <w:r>
              <w:rPr>
                <w:rFonts w:hint="eastAsia" w:ascii="微软雅黑" w:hAnsi="微软雅黑" w:cs="微软雅黑"/>
                <w:color w:val="000000"/>
                <w:sz w:val="18"/>
                <w:szCs w:val="18"/>
                <w:shd w:val="clear" w:color="000000" w:fill="FFFFFF"/>
              </w:rPr>
              <w:t>须提供失信被执行人、重大税收违法案件当事人名单，作为信用信息查询记录和证据编入</w:t>
            </w:r>
            <w:r>
              <w:rPr>
                <w:rFonts w:hint="eastAsia" w:ascii="微软雅黑" w:hAnsi="微软雅黑" w:eastAsia="宋体" w:cs="微软雅黑"/>
                <w:color w:val="000000"/>
                <w:sz w:val="18"/>
                <w:szCs w:val="18"/>
                <w:shd w:val="clear" w:color="000000" w:fill="FFFFFF"/>
                <w:lang w:eastAsia="zh-CN"/>
              </w:rPr>
              <w:t>投标</w:t>
            </w:r>
            <w:r>
              <w:rPr>
                <w:rFonts w:hint="eastAsia" w:ascii="微软雅黑" w:hAnsi="微软雅黑" w:cs="微软雅黑"/>
                <w:color w:val="000000"/>
                <w:sz w:val="18"/>
                <w:szCs w:val="18"/>
                <w:shd w:val="clear" w:color="000000" w:fill="FFFFFF"/>
              </w:rPr>
              <w:t>资格文件。</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4A20A9DD">
            <w:pPr>
              <w:snapToGrid w:val="0"/>
              <w:spacing w:line="360" w:lineRule="auto"/>
              <w:rPr>
                <w:rFonts w:ascii="微软雅黑" w:hAnsi="微软雅黑" w:cs="微软雅黑"/>
                <w:color w:val="000000"/>
                <w:sz w:val="18"/>
                <w:szCs w:val="18"/>
              </w:rPr>
            </w:pPr>
            <w:r>
              <w:rPr>
                <w:rFonts w:hint="eastAsia" w:ascii="微软雅黑" w:hAnsi="微软雅黑" w:cs="微软雅黑"/>
                <w:color w:val="000000"/>
                <w:sz w:val="18"/>
                <w:szCs w:val="18"/>
              </w:rPr>
              <w:t>提供复印件或扫描件加盖公章或电子公章</w:t>
            </w:r>
          </w:p>
        </w:tc>
      </w:tr>
      <w:tr w14:paraId="4E80737B">
        <w:tblPrEx>
          <w:tblCellMar>
            <w:top w:w="0" w:type="dxa"/>
            <w:left w:w="108" w:type="dxa"/>
            <w:bottom w:w="0" w:type="dxa"/>
            <w:right w:w="108" w:type="dxa"/>
          </w:tblCellMar>
        </w:tblPrEx>
        <w:trPr>
          <w:trHeight w:val="362" w:hRule="atLeast"/>
        </w:trPr>
        <w:tc>
          <w:tcPr>
            <w:tcW w:w="825"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14:paraId="1B3A4A68">
            <w:pPr>
              <w:jc w:val="center"/>
              <w:rPr>
                <w:rFonts w:hint="default" w:eastAsia="宋体"/>
                <w:lang w:val="en-US" w:eastAsia="zh-CN"/>
              </w:rPr>
            </w:pPr>
            <w:r>
              <w:rPr>
                <w:rFonts w:hint="eastAsia" w:eastAsia="宋体"/>
                <w:lang w:val="en-US" w:eastAsia="zh-CN"/>
              </w:rPr>
              <w:t>1</w:t>
            </w:r>
            <w:r>
              <w:rPr>
                <w:rFonts w:hint="eastAsia"/>
                <w:lang w:val="en-US" w:eastAsia="zh-CN"/>
              </w:rPr>
              <w:t>1</w:t>
            </w:r>
          </w:p>
        </w:tc>
        <w:tc>
          <w:tcPr>
            <w:tcW w:w="1481"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14:paraId="0027B578">
            <w:pPr>
              <w:snapToGrid w:val="0"/>
              <w:spacing w:line="360" w:lineRule="auto"/>
              <w:rPr>
                <w:rFonts w:hint="eastAsia" w:ascii="微软雅黑" w:hAnsi="微软雅黑" w:eastAsia="宋体" w:cs="微软雅黑"/>
                <w:color w:val="000000"/>
                <w:sz w:val="18"/>
                <w:szCs w:val="18"/>
                <w:lang w:eastAsia="zh-CN"/>
              </w:rPr>
            </w:pPr>
            <w:r>
              <w:rPr>
                <w:rFonts w:hint="eastAsia" w:ascii="微软雅黑" w:hAnsi="微软雅黑" w:eastAsia="宋体" w:cs="微软雅黑"/>
                <w:color w:val="000000"/>
                <w:sz w:val="18"/>
                <w:szCs w:val="18"/>
                <w:lang w:eastAsia="zh-CN"/>
              </w:rPr>
              <w:t>特殊资格要求</w:t>
            </w:r>
          </w:p>
        </w:tc>
        <w:tc>
          <w:tcPr>
            <w:tcW w:w="64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E78236">
            <w:pPr>
              <w:snapToGrid w:val="0"/>
              <w:spacing w:line="360" w:lineRule="auto"/>
              <w:rPr>
                <w:rFonts w:hint="eastAsia" w:ascii="微软雅黑" w:hAnsi="微软雅黑" w:cs="微软雅黑"/>
                <w:color w:val="000000"/>
                <w:sz w:val="18"/>
                <w:szCs w:val="18"/>
              </w:rPr>
            </w:pPr>
            <w:r>
              <w:rPr>
                <w:rFonts w:hint="eastAsia" w:ascii="宋体" w:hAnsi="宋体" w:eastAsia="宋体" w:cs="宋体"/>
                <w:lang w:eastAsia="zh-CN"/>
              </w:rPr>
              <w:t>投标人若为生产厂家的需提供《医疗器械生产许可证》，投标人若为代理商的须提供有效的《医疗器械经营许可证》或医疗器械经营许可备案证明材料</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6FF5EB0">
            <w:pPr>
              <w:snapToGrid w:val="0"/>
              <w:spacing w:line="360" w:lineRule="auto"/>
              <w:rPr>
                <w:rFonts w:hint="eastAsia" w:ascii="微软雅黑" w:hAnsi="微软雅黑" w:cs="微软雅黑"/>
                <w:color w:val="000000"/>
                <w:sz w:val="18"/>
                <w:szCs w:val="18"/>
              </w:rPr>
            </w:pPr>
            <w:r>
              <w:rPr>
                <w:rFonts w:hint="eastAsia" w:ascii="微软雅黑" w:hAnsi="微软雅黑" w:cs="微软雅黑"/>
                <w:color w:val="000000"/>
                <w:sz w:val="18"/>
                <w:szCs w:val="18"/>
              </w:rPr>
              <w:t>提供复印件或扫描件加盖公章或电子公章</w:t>
            </w:r>
          </w:p>
        </w:tc>
      </w:tr>
    </w:tbl>
    <w:p w14:paraId="0EF662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sectPr>
          <w:pgSz w:w="11906" w:h="16838"/>
          <w:pgMar w:top="1440" w:right="1080" w:bottom="1440" w:left="1080" w:header="851" w:footer="992" w:gutter="0"/>
          <w:pgNumType w:fmt="decimal"/>
          <w:cols w:space="425" w:num="1"/>
          <w:docGrid w:type="lines" w:linePitch="312" w:charSpace="0"/>
        </w:sectPr>
      </w:pPr>
    </w:p>
    <w:p w14:paraId="57D3ECC2">
      <w:pPr>
        <w:pStyle w:val="3"/>
        <w:bidi w:val="0"/>
        <w:spacing w:line="240" w:lineRule="auto"/>
        <w:jc w:val="center"/>
      </w:pPr>
      <w:bookmarkStart w:id="7" w:name="_Toc9094"/>
      <w:bookmarkStart w:id="8" w:name="_Toc30087"/>
      <w:r>
        <w:t>第四章为落实政府采购政策，采购标的需满足的要求，以及投标人须提供的证明材料</w:t>
      </w:r>
      <w:bookmarkEnd w:id="7"/>
      <w:bookmarkEnd w:id="8"/>
    </w:p>
    <w:p w14:paraId="40BBF440">
      <w:pPr>
        <w:pStyle w:val="19"/>
        <w:spacing w:line="360" w:lineRule="auto"/>
        <w:rPr>
          <w:rFonts w:hint="eastAsia"/>
          <w:sz w:val="24"/>
          <w:szCs w:val="24"/>
        </w:rPr>
      </w:pPr>
      <w:r>
        <w:rPr>
          <w:rFonts w:hint="eastAsia"/>
          <w:sz w:val="24"/>
          <w:szCs w:val="24"/>
        </w:rPr>
        <w:t>一、政府采购优惠政策</w:t>
      </w:r>
    </w:p>
    <w:p w14:paraId="4BE4D8A4">
      <w:pPr>
        <w:pStyle w:val="19"/>
        <w:spacing w:line="360" w:lineRule="auto"/>
        <w:rPr>
          <w:rFonts w:hint="eastAsia"/>
          <w:sz w:val="24"/>
          <w:szCs w:val="24"/>
        </w:rPr>
      </w:pPr>
      <w:r>
        <w:rPr>
          <w:rFonts w:hint="eastAsia"/>
          <w:sz w:val="24"/>
          <w:szCs w:val="24"/>
        </w:rPr>
        <w:t>1.《关于进一步落实政府采购有关政策的通知》（黔财采〔2014〕15号）规定的政府采购优惠政策。</w:t>
      </w:r>
    </w:p>
    <w:p w14:paraId="071314CA">
      <w:pPr>
        <w:pStyle w:val="19"/>
        <w:spacing w:line="360" w:lineRule="auto"/>
        <w:rPr>
          <w:rFonts w:hint="eastAsia"/>
          <w:sz w:val="24"/>
          <w:szCs w:val="24"/>
        </w:rPr>
      </w:pPr>
      <w:r>
        <w:rPr>
          <w:rFonts w:hint="eastAsia"/>
          <w:sz w:val="24"/>
          <w:szCs w:val="24"/>
        </w:rPr>
        <w:t>1.1节能产品：所投产品属于“节能产品清单”或“环保产品清单”有效期内中的产品（强制采购产品除外），有一项得0.3分；所投产品同时属于“节能产品清单”和“环保产品清单”两个清单中产品的，每一项加0.5分，最高不超过2分。</w:t>
      </w:r>
    </w:p>
    <w:p w14:paraId="48C9BAF9">
      <w:pPr>
        <w:pStyle w:val="19"/>
        <w:spacing w:line="360" w:lineRule="auto"/>
        <w:rPr>
          <w:rFonts w:hint="eastAsia"/>
          <w:sz w:val="24"/>
          <w:szCs w:val="24"/>
        </w:rPr>
      </w:pPr>
      <w:r>
        <w:rPr>
          <w:rFonts w:hint="eastAsia"/>
          <w:sz w:val="24"/>
          <w:szCs w:val="24"/>
        </w:rPr>
        <w:t>1.2对原产地在少数民族自治区和享受少数民族自治待遇的省份（享受少数民族自治待遇的省份为云南、贵州、青海）的投标主产品（不含附带产品），享受政策性加分，在总得分基础上加3分。投标主产品按照不得低于本采购项目预算金额的50%加以确定，若实行分品目采购的，可以以品目为单位计算。</w:t>
      </w:r>
    </w:p>
    <w:p w14:paraId="1F48E014">
      <w:pPr>
        <w:pStyle w:val="19"/>
        <w:spacing w:line="360" w:lineRule="auto"/>
        <w:rPr>
          <w:rFonts w:hint="eastAsia"/>
          <w:sz w:val="24"/>
          <w:szCs w:val="24"/>
        </w:rPr>
      </w:pPr>
      <w:r>
        <w:rPr>
          <w:rFonts w:hint="eastAsia"/>
          <w:sz w:val="24"/>
          <w:szCs w:val="24"/>
        </w:rPr>
        <w:t>2.关于印发《政府采购促进中小企业发展管理办法》的通知财库〔2020〕46号。</w:t>
      </w:r>
    </w:p>
    <w:p w14:paraId="3E58CE32">
      <w:pPr>
        <w:pStyle w:val="19"/>
        <w:spacing w:line="360" w:lineRule="auto"/>
        <w:rPr>
          <w:rFonts w:hint="eastAsia"/>
          <w:sz w:val="24"/>
          <w:szCs w:val="24"/>
        </w:rPr>
      </w:pPr>
      <w:r>
        <w:rPr>
          <w:rFonts w:hint="eastAsia"/>
          <w:sz w:val="24"/>
          <w:szCs w:val="24"/>
        </w:rPr>
        <w:t>2.1小型和微型企业产品的价格给予10%的扣除，用扣除后的价格参与评审。</w:t>
      </w:r>
    </w:p>
    <w:p w14:paraId="751F27DB">
      <w:pPr>
        <w:pStyle w:val="19"/>
        <w:spacing w:line="360" w:lineRule="auto"/>
        <w:rPr>
          <w:rFonts w:hint="eastAsia"/>
          <w:sz w:val="24"/>
          <w:szCs w:val="24"/>
        </w:rPr>
      </w:pPr>
      <w:r>
        <w:rPr>
          <w:rFonts w:hint="eastAsia"/>
          <w:sz w:val="24"/>
          <w:szCs w:val="24"/>
        </w:rPr>
        <w:t>2.2小型、微型企业中标后不得分包或转包给大型、中型企业。</w:t>
      </w:r>
    </w:p>
    <w:p w14:paraId="722C3856">
      <w:pPr>
        <w:pStyle w:val="19"/>
        <w:spacing w:line="360" w:lineRule="auto"/>
        <w:rPr>
          <w:rFonts w:hint="eastAsia"/>
          <w:sz w:val="24"/>
          <w:szCs w:val="24"/>
        </w:rPr>
      </w:pPr>
      <w:r>
        <w:rPr>
          <w:rFonts w:hint="eastAsia"/>
          <w:sz w:val="24"/>
          <w:szCs w:val="24"/>
        </w:rPr>
        <w:t>3.《财政部、司法部关于政府采购支持监狱企业发展有关问题的通知》[财库（2014）68号]规定的政府采购优惠政策。</w:t>
      </w:r>
    </w:p>
    <w:p w14:paraId="6D740B60">
      <w:pPr>
        <w:pStyle w:val="19"/>
        <w:spacing w:line="360" w:lineRule="auto"/>
        <w:rPr>
          <w:rFonts w:hint="eastAsia"/>
          <w:sz w:val="24"/>
          <w:szCs w:val="24"/>
        </w:rPr>
      </w:pPr>
      <w:r>
        <w:rPr>
          <w:rFonts w:hint="eastAsia"/>
          <w:sz w:val="24"/>
          <w:szCs w:val="24"/>
        </w:rPr>
        <w:t>3.1监狱企业视同小型、微型企业，价格给予10%的扣除，用扣除后的价格参与评审。</w:t>
      </w:r>
    </w:p>
    <w:p w14:paraId="57B311E2">
      <w:pPr>
        <w:pStyle w:val="19"/>
        <w:spacing w:line="360" w:lineRule="auto"/>
        <w:rPr>
          <w:rFonts w:hint="eastAsia"/>
          <w:sz w:val="24"/>
          <w:szCs w:val="24"/>
        </w:rPr>
      </w:pPr>
      <w:r>
        <w:rPr>
          <w:rFonts w:hint="eastAsia"/>
          <w:sz w:val="24"/>
          <w:szCs w:val="24"/>
        </w:rPr>
        <w:t>4.《三部门联合发布关于促进残疾人就业政府采购政策的通知》[财库（2017）14号]规定的政府采购优惠政策。</w:t>
      </w:r>
    </w:p>
    <w:p w14:paraId="04B169A9">
      <w:pPr>
        <w:pStyle w:val="19"/>
        <w:spacing w:line="360" w:lineRule="auto"/>
        <w:rPr>
          <w:rFonts w:hint="eastAsia"/>
          <w:sz w:val="24"/>
          <w:szCs w:val="24"/>
        </w:rPr>
      </w:pPr>
      <w:r>
        <w:rPr>
          <w:rFonts w:hint="eastAsia"/>
          <w:sz w:val="24"/>
          <w:szCs w:val="24"/>
        </w:rPr>
        <w:t>4.1享受政府采购支持政策的残疾人福利性单位应当满足[财库（2017）141号]规定的条件。</w:t>
      </w:r>
    </w:p>
    <w:p w14:paraId="68B67F97">
      <w:pPr>
        <w:pStyle w:val="19"/>
        <w:spacing w:line="360" w:lineRule="auto"/>
        <w:rPr>
          <w:rFonts w:hint="eastAsia"/>
          <w:sz w:val="24"/>
          <w:szCs w:val="24"/>
        </w:rPr>
      </w:pPr>
      <w:r>
        <w:rPr>
          <w:rFonts w:hint="eastAsia"/>
          <w:sz w:val="24"/>
          <w:szCs w:val="24"/>
        </w:rPr>
        <w:t>4.2残疾人福利性单位视同小型、微型企业，价格给予10%的扣除，用扣除后的价格参与评审。</w:t>
      </w:r>
    </w:p>
    <w:p w14:paraId="029B42DE">
      <w:pPr>
        <w:pStyle w:val="19"/>
        <w:spacing w:line="360" w:lineRule="auto"/>
        <w:rPr>
          <w:rFonts w:hint="eastAsia"/>
          <w:sz w:val="24"/>
          <w:szCs w:val="24"/>
        </w:rPr>
      </w:pPr>
      <w:r>
        <w:rPr>
          <w:rFonts w:hint="eastAsia"/>
          <w:sz w:val="24"/>
          <w:szCs w:val="24"/>
        </w:rPr>
        <w:t>4.3残疾人福利性单位属于小型、微型企业的，不重复进行价格扣除。</w:t>
      </w:r>
    </w:p>
    <w:p w14:paraId="2C6C53CF">
      <w:pPr>
        <w:pStyle w:val="19"/>
        <w:spacing w:line="360" w:lineRule="auto"/>
        <w:rPr>
          <w:rFonts w:hint="eastAsia"/>
          <w:sz w:val="24"/>
          <w:szCs w:val="24"/>
        </w:rPr>
      </w:pPr>
      <w:r>
        <w:rPr>
          <w:rFonts w:hint="eastAsia"/>
          <w:sz w:val="24"/>
          <w:szCs w:val="24"/>
        </w:rPr>
        <w:t>5.网络和信息系统建设项目必须使用国产密码</w:t>
      </w:r>
    </w:p>
    <w:p w14:paraId="4B1256BF">
      <w:pPr>
        <w:pStyle w:val="19"/>
        <w:spacing w:line="360" w:lineRule="auto"/>
        <w:rPr>
          <w:rFonts w:hint="eastAsia"/>
          <w:sz w:val="24"/>
          <w:szCs w:val="24"/>
        </w:rPr>
      </w:pPr>
      <w:r>
        <w:rPr>
          <w:rFonts w:hint="eastAsia"/>
          <w:sz w:val="24"/>
          <w:szCs w:val="24"/>
        </w:rPr>
        <w:t>二、采购标的需满足的要求</w:t>
      </w:r>
    </w:p>
    <w:p w14:paraId="18DF3583">
      <w:pPr>
        <w:pStyle w:val="19"/>
        <w:spacing w:line="360" w:lineRule="auto"/>
        <w:rPr>
          <w:rFonts w:hint="eastAsia"/>
          <w:sz w:val="24"/>
          <w:szCs w:val="24"/>
        </w:rPr>
      </w:pPr>
      <w:r>
        <w:rPr>
          <w:rFonts w:hint="eastAsia"/>
          <w:sz w:val="24"/>
          <w:szCs w:val="24"/>
        </w:rPr>
        <w:t>为落实政府采购政策，采购标的需满足政府采购优惠政策同时投标人须按本章第三条提供的证明材料提供资料，才能享受相应的政府采购优惠政策。</w:t>
      </w:r>
    </w:p>
    <w:p w14:paraId="79A11E25">
      <w:pPr>
        <w:pStyle w:val="19"/>
        <w:spacing w:line="360" w:lineRule="auto"/>
        <w:rPr>
          <w:rFonts w:hint="eastAsia"/>
          <w:sz w:val="24"/>
          <w:szCs w:val="24"/>
        </w:rPr>
      </w:pPr>
      <w:r>
        <w:rPr>
          <w:rFonts w:hint="eastAsia"/>
          <w:sz w:val="24"/>
          <w:szCs w:val="24"/>
        </w:rPr>
        <w:t>三、投标人须提供的证明材料：</w:t>
      </w:r>
    </w:p>
    <w:p w14:paraId="103778E2">
      <w:pPr>
        <w:pStyle w:val="19"/>
        <w:spacing w:line="360" w:lineRule="auto"/>
        <w:rPr>
          <w:rFonts w:hint="eastAsia"/>
          <w:sz w:val="24"/>
          <w:szCs w:val="24"/>
        </w:rPr>
      </w:pPr>
      <w:r>
        <w:rPr>
          <w:rFonts w:hint="eastAsia"/>
          <w:sz w:val="24"/>
          <w:szCs w:val="24"/>
        </w:rPr>
        <w:t>1.《关于进一步落实政府采购有关问题的通知》（黔财采〔2014〕15号）规定的政府采购优惠政策。</w:t>
      </w:r>
    </w:p>
    <w:p w14:paraId="7B9737F6">
      <w:pPr>
        <w:pStyle w:val="19"/>
        <w:spacing w:line="360" w:lineRule="auto"/>
        <w:rPr>
          <w:rFonts w:hint="eastAsia"/>
          <w:sz w:val="24"/>
          <w:szCs w:val="24"/>
        </w:rPr>
      </w:pPr>
      <w:r>
        <w:rPr>
          <w:rFonts w:hint="eastAsia"/>
          <w:sz w:val="24"/>
          <w:szCs w:val="24"/>
        </w:rPr>
        <w:t>1.1节能产品：财政部、发展改革委、生态环境部等部门根据产品节能环保性能、技术水平和市场成熟程度等因素，确定实施政府优先采购和强制采购的产品类别及所依据的相关标准规范发布的品目清单加盖投标人电子章。</w:t>
      </w:r>
    </w:p>
    <w:p w14:paraId="124E5ECD">
      <w:pPr>
        <w:pStyle w:val="19"/>
        <w:spacing w:line="360" w:lineRule="auto"/>
        <w:rPr>
          <w:rFonts w:hint="eastAsia"/>
          <w:sz w:val="24"/>
          <w:szCs w:val="24"/>
        </w:rPr>
      </w:pPr>
      <w:r>
        <w:rPr>
          <w:rFonts w:hint="eastAsia"/>
          <w:sz w:val="24"/>
          <w:szCs w:val="24"/>
        </w:rPr>
        <w:t>1.2少数民族自治区和享受少数民族自治待遇的省份的投标主产品：提供投标产品享受少数民族自治待遇省份相关证明材料加盖投标人电子章。</w:t>
      </w:r>
    </w:p>
    <w:p w14:paraId="7601DF1E">
      <w:pPr>
        <w:pStyle w:val="19"/>
        <w:spacing w:line="360" w:lineRule="auto"/>
        <w:rPr>
          <w:rFonts w:hint="eastAsia"/>
          <w:sz w:val="24"/>
          <w:szCs w:val="24"/>
        </w:rPr>
      </w:pPr>
      <w:r>
        <w:rPr>
          <w:rFonts w:hint="eastAsia"/>
          <w:sz w:val="24"/>
          <w:szCs w:val="24"/>
        </w:rPr>
        <w:t>2.关于印发关于进一步加大政府采购支持中小企业力度的通知财库〔2022〕19号。</w:t>
      </w:r>
    </w:p>
    <w:p w14:paraId="1DEF61D5">
      <w:pPr>
        <w:pStyle w:val="19"/>
        <w:spacing w:line="360" w:lineRule="auto"/>
        <w:rPr>
          <w:rFonts w:hint="eastAsia"/>
          <w:sz w:val="24"/>
          <w:szCs w:val="24"/>
        </w:rPr>
      </w:pPr>
      <w:r>
        <w:rPr>
          <w:rFonts w:hint="eastAsia"/>
          <w:sz w:val="24"/>
          <w:szCs w:val="24"/>
        </w:rPr>
        <w:t>小型、微型企业按公开招标文件规定的格式提供《小微企业声明函》，才能按价格给予10%的扣除，用扣除后的价格参与评审。</w:t>
      </w:r>
    </w:p>
    <w:p w14:paraId="17F4DE48">
      <w:pPr>
        <w:pStyle w:val="19"/>
        <w:spacing w:line="360" w:lineRule="auto"/>
        <w:rPr>
          <w:rFonts w:hint="eastAsia"/>
          <w:sz w:val="24"/>
          <w:szCs w:val="24"/>
        </w:rPr>
      </w:pPr>
      <w:r>
        <w:rPr>
          <w:rFonts w:hint="eastAsia"/>
          <w:sz w:val="24"/>
          <w:szCs w:val="24"/>
        </w:rPr>
        <w:t>3.《财政部、司法部关于政府采购支持监狱企业发展和有关问题的通知》（财库〔2014〕68号）规定的政府采购优惠政策。</w:t>
      </w:r>
    </w:p>
    <w:p w14:paraId="744A425B">
      <w:pPr>
        <w:pStyle w:val="19"/>
        <w:spacing w:line="360" w:lineRule="auto"/>
        <w:rPr>
          <w:rFonts w:hint="eastAsia"/>
          <w:sz w:val="24"/>
          <w:szCs w:val="24"/>
        </w:rPr>
      </w:pPr>
      <w:r>
        <w:rPr>
          <w:rFonts w:hint="eastAsia"/>
          <w:sz w:val="24"/>
          <w:szCs w:val="24"/>
        </w:rPr>
        <w:t>3.1监狱企业提供省级以上监狱管理局、戒毒管理局（含新疆建设兵团）出具的属于监狱企业的证明文件，才能按价格给予10%的扣除，用扣除后的价格参与评审。</w:t>
      </w:r>
    </w:p>
    <w:p w14:paraId="1B55E9FA">
      <w:pPr>
        <w:pStyle w:val="19"/>
        <w:spacing w:line="360" w:lineRule="auto"/>
        <w:rPr>
          <w:rFonts w:hint="eastAsia"/>
          <w:sz w:val="24"/>
          <w:szCs w:val="24"/>
        </w:rPr>
      </w:pPr>
      <w:r>
        <w:rPr>
          <w:rFonts w:hint="eastAsia"/>
          <w:sz w:val="24"/>
          <w:szCs w:val="24"/>
        </w:rPr>
        <w:t>4.《三部门联合发布关于促进残疾人就业政府采购的通知》（财库〔2017〕141号）规定的政府采购优惠政策。</w:t>
      </w:r>
    </w:p>
    <w:p w14:paraId="625787D3">
      <w:pPr>
        <w:pStyle w:val="19"/>
        <w:spacing w:line="360" w:lineRule="auto"/>
        <w:rPr>
          <w:rFonts w:hint="eastAsia"/>
          <w:sz w:val="24"/>
          <w:szCs w:val="24"/>
        </w:rPr>
        <w:sectPr>
          <w:pgSz w:w="11906" w:h="16838"/>
          <w:pgMar w:top="1440" w:right="1080" w:bottom="1440" w:left="1080" w:header="851" w:footer="992" w:gutter="0"/>
          <w:pgNumType w:fmt="decimal"/>
          <w:cols w:space="425" w:num="1"/>
          <w:docGrid w:type="lines" w:linePitch="312" w:charSpace="0"/>
        </w:sectPr>
      </w:pPr>
      <w:r>
        <w:rPr>
          <w:rFonts w:hint="eastAsia"/>
          <w:sz w:val="24"/>
          <w:szCs w:val="24"/>
        </w:rPr>
        <w:t>4.1残疾人福利性单位按公开招标文件规定的格式提供了《残疾人福利性单位声明函》，才能按价格给予10%的扣除，用扣除后的价格参与评审。</w:t>
      </w:r>
    </w:p>
    <w:p w14:paraId="29664EB0">
      <w:pPr>
        <w:spacing w:before="101" w:line="578" w:lineRule="exact"/>
        <w:jc w:val="center"/>
        <w:rPr>
          <w:rFonts w:hint="eastAsia" w:ascii="黑体" w:hAnsi="黑体" w:eastAsia="黑体" w:cs="黑体"/>
          <w:spacing w:val="15"/>
          <w:position w:val="19"/>
          <w:sz w:val="31"/>
          <w:szCs w:val="31"/>
          <w:lang w:eastAsia="zh-CN"/>
        </w:rPr>
      </w:pPr>
      <w:r>
        <w:rPr>
          <w:rFonts w:hint="eastAsia" w:ascii="黑体" w:hAnsi="黑体" w:eastAsia="黑体" w:cs="黑体"/>
          <w:spacing w:val="15"/>
          <w:position w:val="19"/>
          <w:sz w:val="31"/>
          <w:szCs w:val="31"/>
          <w:lang w:eastAsia="zh-CN"/>
        </w:rPr>
        <w:t>本项目所属行业为其他未列明行业</w:t>
      </w:r>
    </w:p>
    <w:p w14:paraId="1F8EA1F0">
      <w:pPr>
        <w:spacing w:before="101" w:line="578" w:lineRule="exact"/>
        <w:ind w:left="1889"/>
        <w:rPr>
          <w:rFonts w:ascii="黑体" w:hAnsi="黑体" w:eastAsia="黑体" w:cs="黑体"/>
          <w:sz w:val="31"/>
          <w:szCs w:val="31"/>
        </w:rPr>
      </w:pPr>
      <w:r>
        <w:rPr>
          <w:rFonts w:ascii="黑体" w:hAnsi="黑体" w:eastAsia="黑体" w:cs="黑体"/>
          <w:spacing w:val="15"/>
          <w:position w:val="19"/>
          <w:sz w:val="31"/>
          <w:szCs w:val="31"/>
        </w:rPr>
        <w:t>关</w:t>
      </w:r>
      <w:r>
        <w:rPr>
          <w:rFonts w:ascii="黑体" w:hAnsi="黑体" w:eastAsia="黑体" w:cs="黑体"/>
          <w:spacing w:val="8"/>
          <w:position w:val="19"/>
          <w:sz w:val="31"/>
          <w:szCs w:val="31"/>
        </w:rPr>
        <w:t>于印发中小企业划型标准规定的通知</w:t>
      </w:r>
    </w:p>
    <w:p w14:paraId="6369E9DB">
      <w:pPr>
        <w:spacing w:line="224" w:lineRule="auto"/>
        <w:ind w:left="2422"/>
        <w:rPr>
          <w:rFonts w:ascii="黑体" w:hAnsi="黑体" w:eastAsia="黑体" w:cs="黑体"/>
          <w:sz w:val="31"/>
          <w:szCs w:val="31"/>
        </w:rPr>
      </w:pPr>
      <w:r>
        <w:rPr>
          <w:rFonts w:ascii="黑体" w:hAnsi="黑体" w:eastAsia="黑体" w:cs="黑体"/>
          <w:spacing w:val="10"/>
          <w:sz w:val="31"/>
          <w:szCs w:val="31"/>
        </w:rPr>
        <w:t>(</w:t>
      </w:r>
      <w:r>
        <w:rPr>
          <w:rFonts w:ascii="黑体" w:hAnsi="黑体" w:eastAsia="黑体" w:cs="黑体"/>
          <w:spacing w:val="9"/>
          <w:sz w:val="31"/>
          <w:szCs w:val="31"/>
        </w:rPr>
        <w:t>工信部联企业【</w:t>
      </w:r>
      <w:r>
        <w:rPr>
          <w:rFonts w:ascii="Tahoma" w:hAnsi="Tahoma" w:eastAsia="Tahoma" w:cs="Tahoma"/>
          <w:b/>
          <w:bCs/>
          <w:spacing w:val="9"/>
          <w:sz w:val="31"/>
          <w:szCs w:val="31"/>
        </w:rPr>
        <w:t>2011</w:t>
      </w:r>
      <w:r>
        <w:rPr>
          <w:rFonts w:ascii="黑体" w:hAnsi="黑体" w:eastAsia="黑体" w:cs="黑体"/>
          <w:spacing w:val="9"/>
          <w:sz w:val="31"/>
          <w:szCs w:val="31"/>
        </w:rPr>
        <w:t>】</w:t>
      </w:r>
      <w:r>
        <w:rPr>
          <w:rFonts w:ascii="Tahoma" w:hAnsi="Tahoma" w:eastAsia="Tahoma" w:cs="Tahoma"/>
          <w:b/>
          <w:bCs/>
          <w:spacing w:val="9"/>
          <w:sz w:val="31"/>
          <w:szCs w:val="31"/>
        </w:rPr>
        <w:t>300</w:t>
      </w:r>
      <w:r>
        <w:rPr>
          <w:rFonts w:ascii="黑体" w:hAnsi="黑体" w:eastAsia="黑体" w:cs="黑体"/>
          <w:spacing w:val="9"/>
          <w:sz w:val="31"/>
          <w:szCs w:val="31"/>
        </w:rPr>
        <w:t>号)</w:t>
      </w:r>
    </w:p>
    <w:p w14:paraId="5B3DC9FA">
      <w:pPr>
        <w:spacing w:before="232" w:line="226" w:lineRule="auto"/>
        <w:ind w:left="2977"/>
        <w:rPr>
          <w:rFonts w:ascii="黑体" w:hAnsi="黑体" w:eastAsia="黑体" w:cs="黑体"/>
          <w:sz w:val="31"/>
          <w:szCs w:val="31"/>
        </w:rPr>
      </w:pPr>
      <w:r>
        <w:rPr>
          <w:rFonts w:ascii="黑体" w:hAnsi="黑体" w:eastAsia="黑体" w:cs="黑体"/>
          <w:spacing w:val="16"/>
          <w:sz w:val="31"/>
          <w:szCs w:val="31"/>
        </w:rPr>
        <w:t>中</w:t>
      </w:r>
      <w:r>
        <w:rPr>
          <w:rFonts w:ascii="黑体" w:hAnsi="黑体" w:eastAsia="黑体" w:cs="黑体"/>
          <w:spacing w:val="10"/>
          <w:sz w:val="31"/>
          <w:szCs w:val="31"/>
        </w:rPr>
        <w:t>小企业划型标准规定</w:t>
      </w:r>
    </w:p>
    <w:p w14:paraId="2FF1314A">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一、根据《中华人民共和国中小企业促进法》和《国务院关于进一步促进中小企业发展的若干意见》(国发〔2009〕36号)，制定本规定。</w:t>
      </w:r>
    </w:p>
    <w:p w14:paraId="08C0A07D">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二、中小企业划分为中型、小型、微型三种类型，具体标准根据企业从业人员、营业收入、资产总额等指标，结合行业特点制定。</w:t>
      </w:r>
    </w:p>
    <w:p w14:paraId="04340898">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三、本规定适用的行业包括：农、林、牧、渔业，工业(包括采矿业，制造业，电力、热力、燃气及水生产和供应业)，建筑业，批发业，零售业</w:t>
      </w:r>
      <w:r>
        <w:rPr>
          <w:rFonts w:hint="eastAsia" w:ascii="宋体" w:hAnsi="宋体" w:eastAsia="宋体" w:cs="宋体"/>
          <w:sz w:val="24"/>
          <w:szCs w:val="24"/>
          <w:lang w:val="en-US" w:eastAsia="zh-CN"/>
        </w:rPr>
        <w:t>,</w:t>
      </w:r>
      <w:r>
        <w:rPr>
          <w:rFonts w:hint="eastAsia" w:ascii="宋体" w:hAnsi="宋体" w:eastAsia="宋体" w:cs="宋体"/>
          <w:sz w:val="24"/>
          <w:szCs w:val="24"/>
        </w:rPr>
        <w:t>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6E9C211">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四、各行业划型标准为：</w:t>
      </w:r>
    </w:p>
    <w:p w14:paraId="01034CAB">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(一)农、林、牧、渔业</w:t>
      </w:r>
      <w:r>
        <w:rPr>
          <w:rFonts w:hint="eastAsia" w:ascii="宋体" w:hAnsi="宋体" w:eastAsia="宋体" w:cs="宋体"/>
          <w:sz w:val="24"/>
          <w:szCs w:val="24"/>
          <w:lang w:val="en-US" w:eastAsia="zh-CN"/>
        </w:rPr>
        <w:t>:</w:t>
      </w:r>
      <w:r>
        <w:rPr>
          <w:rFonts w:hint="eastAsia" w:ascii="宋体" w:hAnsi="宋体" w:eastAsia="宋体" w:cs="宋体"/>
          <w:sz w:val="24"/>
          <w:szCs w:val="24"/>
        </w:rPr>
        <w:t>营业收入20000万元以下的为中小微型企业。其中，营业收入500万元及以上的为中型企业，营业收入50万元及以上的为小型企业，营业收入50万元以下的为微型企业。</w:t>
      </w:r>
    </w:p>
    <w:p w14:paraId="05248A25">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(二)工业</w:t>
      </w:r>
      <w:r>
        <w:rPr>
          <w:rFonts w:hint="eastAsia" w:ascii="宋体" w:hAnsi="宋体" w:eastAsia="宋体" w:cs="宋体"/>
          <w:sz w:val="24"/>
          <w:szCs w:val="24"/>
          <w:lang w:val="en-US" w:eastAsia="zh-CN"/>
        </w:rPr>
        <w:t>:</w:t>
      </w:r>
      <w:r>
        <w:rPr>
          <w:rFonts w:hint="eastAsia" w:ascii="宋体" w:hAnsi="宋体" w:eastAsia="宋体" w:cs="宋体"/>
          <w:sz w:val="24"/>
          <w:szCs w:val="24"/>
        </w:rPr>
        <w:t>从业人员1000人以下或营业收入40000万元以下的为中小微型企业。其中</w:t>
      </w:r>
      <w:r>
        <w:rPr>
          <w:rFonts w:hint="eastAsia" w:ascii="宋体" w:hAnsi="宋体" w:eastAsia="宋体" w:cs="宋体"/>
          <w:sz w:val="24"/>
          <w:szCs w:val="24"/>
          <w:lang w:val="en-US" w:eastAsia="zh-CN"/>
        </w:rPr>
        <w:t>,</w:t>
      </w:r>
      <w:r>
        <w:rPr>
          <w:rFonts w:hint="eastAsia" w:ascii="宋体" w:hAnsi="宋体" w:eastAsia="宋体" w:cs="宋体"/>
          <w:sz w:val="24"/>
          <w:szCs w:val="24"/>
        </w:rPr>
        <w:t>从业人员300人及以上，且营业收入2000万元及以上的为中型企业；从业人员20人及以上，且营业收入300万元及以上的为小型企业；从业人员20人以下或营业收入300万元以下的为微型企业。</w:t>
      </w:r>
    </w:p>
    <w:p w14:paraId="2125C4EF">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(三)建筑业</w:t>
      </w:r>
      <w:r>
        <w:rPr>
          <w:rFonts w:hint="eastAsia" w:ascii="宋体" w:hAnsi="宋体" w:eastAsia="宋体" w:cs="宋体"/>
          <w:sz w:val="24"/>
          <w:szCs w:val="24"/>
          <w:lang w:val="en-US" w:eastAsia="zh-CN"/>
        </w:rPr>
        <w:t>:</w:t>
      </w:r>
      <w:r>
        <w:rPr>
          <w:rFonts w:hint="eastAsia" w:ascii="宋体" w:hAnsi="宋体" w:eastAsia="宋体" w:cs="宋体"/>
          <w:sz w:val="24"/>
          <w:szCs w:val="24"/>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D89BFD9">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(四)批发业</w:t>
      </w:r>
      <w:r>
        <w:rPr>
          <w:rFonts w:hint="eastAsia" w:ascii="宋体" w:hAnsi="宋体" w:eastAsia="宋体" w:cs="宋体"/>
          <w:sz w:val="24"/>
          <w:szCs w:val="24"/>
          <w:lang w:val="en-US" w:eastAsia="zh-CN"/>
        </w:rPr>
        <w:t>:</w:t>
      </w:r>
      <w:r>
        <w:rPr>
          <w:rFonts w:hint="eastAsia" w:ascii="宋体" w:hAnsi="宋体" w:eastAsia="宋体" w:cs="宋体"/>
          <w:sz w:val="24"/>
          <w:szCs w:val="24"/>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AC6D331">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(五)零售业</w:t>
      </w:r>
      <w:r>
        <w:rPr>
          <w:rFonts w:hint="eastAsia" w:ascii="宋体" w:hAnsi="宋体" w:eastAsia="宋体" w:cs="宋体"/>
          <w:sz w:val="24"/>
          <w:szCs w:val="24"/>
          <w:lang w:val="en-US" w:eastAsia="zh-CN"/>
        </w:rPr>
        <w:t>:</w:t>
      </w:r>
      <w:r>
        <w:rPr>
          <w:rFonts w:hint="eastAsia" w:ascii="宋体" w:hAnsi="宋体" w:eastAsia="宋体" w:cs="宋体"/>
          <w:sz w:val="24"/>
          <w:szCs w:val="24"/>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w:t>
      </w:r>
      <w:bookmarkStart w:id="9" w:name="_bookmark12"/>
      <w:bookmarkEnd w:id="9"/>
      <w:r>
        <w:rPr>
          <w:rFonts w:hint="eastAsia" w:ascii="宋体" w:hAnsi="宋体" w:eastAsia="宋体" w:cs="宋体"/>
          <w:sz w:val="24"/>
          <w:szCs w:val="24"/>
        </w:rPr>
        <w:t>业。</w:t>
      </w:r>
    </w:p>
    <w:p w14:paraId="4C88651F">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(六)交通运输业</w:t>
      </w:r>
      <w:r>
        <w:rPr>
          <w:rFonts w:hint="eastAsia" w:ascii="宋体" w:hAnsi="宋体" w:eastAsia="宋体" w:cs="宋体"/>
          <w:sz w:val="24"/>
          <w:szCs w:val="24"/>
          <w:lang w:eastAsia="zh-CN"/>
        </w:rPr>
        <w:t>：</w:t>
      </w:r>
      <w:r>
        <w:rPr>
          <w:rFonts w:hint="eastAsia" w:ascii="宋体" w:hAnsi="宋体" w:eastAsia="宋体" w:cs="宋体"/>
          <w:sz w:val="24"/>
          <w:szCs w:val="24"/>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w:t>
      </w:r>
      <w:r>
        <w:rPr>
          <w:rFonts w:hint="eastAsia" w:ascii="宋体" w:hAnsi="宋体" w:eastAsia="宋体" w:cs="宋体"/>
          <w:sz w:val="24"/>
          <w:szCs w:val="24"/>
          <w:lang w:val="en-US" w:eastAsia="zh-CN"/>
        </w:rPr>
        <w:t>收入</w:t>
      </w:r>
      <w:r>
        <w:rPr>
          <w:rFonts w:hint="eastAsia" w:ascii="宋体" w:hAnsi="宋体" w:eastAsia="宋体" w:cs="宋体"/>
          <w:sz w:val="24"/>
          <w:szCs w:val="24"/>
        </w:rPr>
        <w:t>200万元以下的为微型企业。</w:t>
      </w:r>
    </w:p>
    <w:p w14:paraId="5A47B799">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(七)仓储业</w:t>
      </w:r>
      <w:r>
        <w:rPr>
          <w:rFonts w:hint="eastAsia" w:ascii="宋体" w:hAnsi="宋体" w:eastAsia="宋体" w:cs="宋体"/>
          <w:sz w:val="24"/>
          <w:szCs w:val="24"/>
          <w:lang w:eastAsia="zh-CN"/>
        </w:rPr>
        <w:t>：</w:t>
      </w:r>
      <w:r>
        <w:rPr>
          <w:rFonts w:hint="eastAsia" w:ascii="宋体" w:hAnsi="宋体" w:eastAsia="宋体" w:cs="宋体"/>
          <w:sz w:val="24"/>
          <w:szCs w:val="24"/>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478DE01">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(八)邮政业</w:t>
      </w:r>
      <w:r>
        <w:rPr>
          <w:rFonts w:hint="eastAsia" w:ascii="宋体" w:hAnsi="宋体" w:eastAsia="宋体" w:cs="宋体"/>
          <w:sz w:val="24"/>
          <w:szCs w:val="24"/>
          <w:lang w:eastAsia="zh-CN"/>
        </w:rPr>
        <w:t>：</w:t>
      </w:r>
      <w:r>
        <w:rPr>
          <w:rFonts w:hint="eastAsia" w:ascii="宋体" w:hAnsi="宋体" w:eastAsia="宋体" w:cs="宋体"/>
          <w:sz w:val="24"/>
          <w:szCs w:val="24"/>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D9B451F">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(九)住宿业</w:t>
      </w:r>
      <w:r>
        <w:rPr>
          <w:rFonts w:hint="eastAsia" w:ascii="宋体" w:hAnsi="宋体" w:eastAsia="宋体" w:cs="宋体"/>
          <w:sz w:val="24"/>
          <w:szCs w:val="24"/>
          <w:lang w:eastAsia="zh-CN"/>
        </w:rPr>
        <w:t>：</w:t>
      </w:r>
      <w:r>
        <w:rPr>
          <w:rFonts w:hint="eastAsia" w:ascii="宋体" w:hAnsi="宋体" w:eastAsia="宋体" w:cs="宋体"/>
          <w:sz w:val="24"/>
          <w:szCs w:val="24"/>
        </w:rPr>
        <w:t>从业人员300</w:t>
      </w:r>
      <w:r>
        <w:rPr>
          <w:rFonts w:hint="eastAsia" w:ascii="宋体" w:hAnsi="宋体" w:eastAsia="宋体" w:cs="宋体"/>
          <w:sz w:val="24"/>
          <w:szCs w:val="24"/>
          <w:lang w:eastAsia="zh-CN"/>
        </w:rPr>
        <w:t>人</w:t>
      </w:r>
      <w:r>
        <w:rPr>
          <w:rFonts w:hint="eastAsia" w:ascii="宋体" w:hAnsi="宋体" w:eastAsia="宋体" w:cs="宋体"/>
          <w:sz w:val="24"/>
          <w:szCs w:val="24"/>
        </w:rPr>
        <w:t>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361BD4">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(十)餐饮业</w:t>
      </w:r>
      <w:r>
        <w:rPr>
          <w:rFonts w:hint="eastAsia" w:ascii="宋体" w:hAnsi="宋体" w:eastAsia="宋体" w:cs="宋体"/>
          <w:sz w:val="24"/>
          <w:szCs w:val="24"/>
          <w:lang w:eastAsia="zh-CN"/>
        </w:rPr>
        <w:t>：</w:t>
      </w:r>
      <w:r>
        <w:rPr>
          <w:rFonts w:hint="eastAsia" w:ascii="宋体" w:hAnsi="宋体" w:eastAsia="宋体" w:cs="宋体"/>
          <w:sz w:val="24"/>
          <w:szCs w:val="24"/>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29B314">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(十一)信息传输业</w:t>
      </w:r>
      <w:r>
        <w:rPr>
          <w:rFonts w:hint="eastAsia" w:ascii="宋体" w:hAnsi="宋体" w:eastAsia="宋体" w:cs="宋体"/>
          <w:sz w:val="24"/>
          <w:szCs w:val="24"/>
          <w:lang w:eastAsia="zh-CN"/>
        </w:rPr>
        <w:t>：</w:t>
      </w:r>
      <w:r>
        <w:rPr>
          <w:rFonts w:hint="eastAsia" w:ascii="宋体" w:hAnsi="宋体" w:eastAsia="宋体" w:cs="宋体"/>
          <w:sz w:val="24"/>
          <w:szCs w:val="24"/>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9FBF8C">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(十二)软件和信息技术服务业</w:t>
      </w:r>
      <w:r>
        <w:rPr>
          <w:rFonts w:hint="eastAsia" w:ascii="宋体" w:hAnsi="宋体" w:eastAsia="宋体" w:cs="宋体"/>
          <w:sz w:val="24"/>
          <w:szCs w:val="24"/>
          <w:lang w:eastAsia="zh-CN"/>
        </w:rPr>
        <w:t>：</w:t>
      </w:r>
      <w:r>
        <w:rPr>
          <w:rFonts w:hint="eastAsia" w:ascii="宋体" w:hAnsi="宋体" w:eastAsia="宋体" w:cs="宋体"/>
          <w:sz w:val="24"/>
          <w:szCs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w:t>
      </w:r>
      <w:r>
        <w:rPr>
          <w:rFonts w:hint="eastAsia" w:ascii="宋体" w:hAnsi="宋体" w:eastAsia="宋体" w:cs="宋体"/>
          <w:sz w:val="24"/>
          <w:szCs w:val="24"/>
          <w:lang w:val="en-US" w:eastAsia="zh-CN"/>
        </w:rPr>
        <w:t>万</w:t>
      </w:r>
      <w:r>
        <w:rPr>
          <w:rFonts w:hint="eastAsia" w:ascii="宋体" w:hAnsi="宋体" w:eastAsia="宋体" w:cs="宋体"/>
          <w:sz w:val="24"/>
          <w:szCs w:val="24"/>
        </w:rPr>
        <w:t>元以下的为微型企业。</w:t>
      </w:r>
    </w:p>
    <w:p w14:paraId="1549E468">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sz w:val="24"/>
          <w:szCs w:val="24"/>
        </w:rPr>
      </w:pPr>
      <w:r>
        <w:rPr>
          <w:rFonts w:hint="eastAsia" w:ascii="宋体" w:hAnsi="宋体" w:eastAsia="宋体" w:cs="宋体"/>
          <w:sz w:val="24"/>
          <w:szCs w:val="24"/>
        </w:rPr>
        <w:t>(十三)房地产开发经营</w:t>
      </w:r>
      <w:r>
        <w:rPr>
          <w:rFonts w:hint="eastAsia" w:ascii="宋体" w:hAnsi="宋体" w:eastAsia="宋体" w:cs="宋体"/>
          <w:sz w:val="24"/>
          <w:szCs w:val="24"/>
          <w:lang w:eastAsia="zh-CN"/>
        </w:rPr>
        <w:t>：</w:t>
      </w:r>
      <w:r>
        <w:rPr>
          <w:rFonts w:hint="eastAsia" w:ascii="宋体" w:hAnsi="宋体" w:eastAsia="宋体" w:cs="宋体"/>
          <w:sz w:val="24"/>
          <w:szCs w:val="24"/>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1920E0C">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(十四)物业管理</w:t>
      </w:r>
      <w:r>
        <w:rPr>
          <w:rFonts w:hint="eastAsia" w:ascii="宋体" w:hAnsi="宋体" w:eastAsia="宋体" w:cs="宋体"/>
          <w:sz w:val="24"/>
          <w:szCs w:val="24"/>
          <w:lang w:eastAsia="zh-CN"/>
        </w:rPr>
        <w:t>：</w:t>
      </w:r>
      <w:r>
        <w:rPr>
          <w:rFonts w:hint="eastAsia" w:ascii="宋体" w:hAnsi="宋体" w:eastAsia="宋体" w:cs="宋体"/>
          <w:sz w:val="24"/>
          <w:szCs w:val="24"/>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ADE279A">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(十五)租赁和商务服务业。从业人员300人以下或资产总额120000万元以下的为中小微型企业。其中，从业人员100人及以上</w:t>
      </w:r>
      <w:r>
        <w:rPr>
          <w:rFonts w:hint="eastAsia" w:ascii="宋体" w:hAnsi="宋体" w:eastAsia="宋体" w:cs="宋体"/>
          <w:sz w:val="24"/>
          <w:szCs w:val="24"/>
          <w:lang w:eastAsia="zh-CN"/>
        </w:rPr>
        <w:t>：</w:t>
      </w:r>
      <w:r>
        <w:rPr>
          <w:rFonts w:hint="eastAsia" w:ascii="宋体" w:hAnsi="宋体" w:eastAsia="宋体" w:cs="宋体"/>
          <w:sz w:val="24"/>
          <w:szCs w:val="24"/>
        </w:rPr>
        <w:t>且资产总额8000万元及以上的为中型企业；从业人员10人及以上，且资产总额100万元及以上的为小型企业；从业人员10人以下或资产总额100万元以下的为微型企业。</w:t>
      </w:r>
    </w:p>
    <w:p w14:paraId="69F1A9ED">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(十六)其他未列明行业</w:t>
      </w:r>
      <w:r>
        <w:rPr>
          <w:rFonts w:hint="eastAsia" w:ascii="宋体" w:hAnsi="宋体" w:eastAsia="宋体" w:cs="宋体"/>
          <w:sz w:val="24"/>
          <w:szCs w:val="24"/>
          <w:lang w:eastAsia="zh-CN"/>
        </w:rPr>
        <w:t>：</w:t>
      </w:r>
      <w:r>
        <w:rPr>
          <w:rFonts w:hint="eastAsia" w:ascii="宋体" w:hAnsi="宋体" w:eastAsia="宋体" w:cs="宋体"/>
          <w:sz w:val="24"/>
          <w:szCs w:val="24"/>
        </w:rPr>
        <w:t>从业人员300</w:t>
      </w:r>
      <w:r>
        <w:rPr>
          <w:rFonts w:hint="eastAsia" w:ascii="宋体" w:hAnsi="宋体" w:eastAsia="宋体" w:cs="宋体"/>
          <w:sz w:val="24"/>
          <w:szCs w:val="24"/>
          <w:lang w:eastAsia="zh-CN"/>
        </w:rPr>
        <w:t>人</w:t>
      </w:r>
      <w:r>
        <w:rPr>
          <w:rFonts w:hint="eastAsia" w:ascii="宋体" w:hAnsi="宋体" w:eastAsia="宋体" w:cs="宋体"/>
          <w:sz w:val="24"/>
          <w:szCs w:val="24"/>
        </w:rPr>
        <w:t>以下的为中小微型企业。其中，从业人员100人及以上的为中型企业；从业人员10人及以上的为小型企业；从业人员10人以下的为微型企业。</w:t>
      </w:r>
    </w:p>
    <w:p w14:paraId="6E3DDECE">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五、企业类型的划分以统计部门的统计数据为依据。</w:t>
      </w:r>
    </w:p>
    <w:p w14:paraId="639162BE">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六、本规定适用于在中华人民共和国境内依法设立的各类所有制和各种组织形式的企业。个体工商户和本规定以外的行业，参照本规定进行划型。</w:t>
      </w:r>
    </w:p>
    <w:p w14:paraId="597B2FAA">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7CE0B6C9">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八、本规定由工业和信息化部、国家统计局会同有关部门根据《国民经济行业分类》修订情况和企业发展变化情况适时修订。</w:t>
      </w:r>
    </w:p>
    <w:p w14:paraId="5E28352B">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九、本规定由工业和信息化部、国家统计局会同有关部门负责解释。</w:t>
      </w:r>
    </w:p>
    <w:p w14:paraId="766FD5E5">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十、本规定自发布之日起执行，原国家经贸委、原国家计委、财政部和国家统计局</w:t>
      </w:r>
    </w:p>
    <w:p w14:paraId="01D0FBB8">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sectPr>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sz w:val="24"/>
          <w:szCs w:val="24"/>
        </w:rPr>
        <w:t>2003年颁布的《中小企业标准暂行规定》同时废止。</w:t>
      </w:r>
    </w:p>
    <w:p w14:paraId="7818BC62">
      <w:pPr>
        <w:pStyle w:val="6"/>
        <w:spacing w:before="249" w:line="238" w:lineRule="auto"/>
        <w:ind w:left="3208" w:right="223" w:hanging="3150"/>
        <w:outlineLvl w:val="0"/>
        <w:rPr>
          <w:sz w:val="31"/>
          <w:szCs w:val="31"/>
        </w:rPr>
      </w:pPr>
      <w:bookmarkStart w:id="10" w:name="bookmark6"/>
      <w:bookmarkEnd w:id="10"/>
      <w:bookmarkStart w:id="11" w:name="_Toc1912"/>
      <w:r>
        <w:rPr>
          <w:b/>
          <w:bCs/>
          <w:spacing w:val="8"/>
          <w:sz w:val="31"/>
          <w:szCs w:val="31"/>
        </w:rPr>
        <w:t>第五章</w:t>
      </w:r>
      <w:r>
        <w:rPr>
          <w:spacing w:val="9"/>
          <w:sz w:val="31"/>
          <w:szCs w:val="31"/>
        </w:rPr>
        <w:t xml:space="preserve">  </w:t>
      </w:r>
      <w:r>
        <w:rPr>
          <w:b/>
          <w:bCs/>
          <w:spacing w:val="8"/>
          <w:sz w:val="31"/>
          <w:szCs w:val="31"/>
        </w:rPr>
        <w:t>投标文件编制要求，投标报价要求和投标保证金交纳、退还</w:t>
      </w:r>
      <w:r>
        <w:rPr>
          <w:spacing w:val="1"/>
          <w:sz w:val="31"/>
          <w:szCs w:val="31"/>
        </w:rPr>
        <w:t xml:space="preserve"> </w:t>
      </w:r>
      <w:bookmarkStart w:id="12" w:name="bookmark6"/>
      <w:bookmarkEnd w:id="12"/>
      <w:r>
        <w:rPr>
          <w:b/>
          <w:bCs/>
          <w:spacing w:val="7"/>
          <w:sz w:val="31"/>
          <w:szCs w:val="31"/>
        </w:rPr>
        <w:t>方式以及不予退还投标保证金的情形</w:t>
      </w:r>
      <w:bookmarkEnd w:id="11"/>
    </w:p>
    <w:p w14:paraId="19D8DD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一、投标文件编制要求及投标报价要求</w:t>
      </w:r>
    </w:p>
    <w:p w14:paraId="20C6E7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1、投标语言及计量单位：</w:t>
      </w:r>
    </w:p>
    <w:p w14:paraId="443F9D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1.1投标文件及投标和采购方就投标交换的文件和来往信件，应以中文书写。</w:t>
      </w:r>
    </w:p>
    <w:p w14:paraId="3FA332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1.2除在招标文件的技术规格中另有规定外，计量单位应使用中华人民共和国法定计量单位。</w:t>
      </w:r>
    </w:p>
    <w:p w14:paraId="66A92D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2、投标文件的编制</w:t>
      </w:r>
    </w:p>
    <w:p w14:paraId="3D6A0A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2.1投标文件应采用本招标文件的“投标文件格式文本”。</w:t>
      </w:r>
    </w:p>
    <w:p w14:paraId="46BD52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2.2投标文件的组成</w:t>
      </w:r>
    </w:p>
    <w:p w14:paraId="1AB518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2.2.1投标文件由资格审查文件、技术及商务文件组成。</w:t>
      </w:r>
    </w:p>
    <w:p w14:paraId="64C16A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2.2.2资格审查文件组成</w:t>
      </w:r>
    </w:p>
    <w:p w14:paraId="24E038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若是法定代表人参与投标的需提供法定代表人身份证明，若是法定代表人授权委托代理人参与投标的需提供法定代表人身份证明和法定代表人授权委托书（包含法定代表人授权委托代理人身份，身份证正反两面）；</w:t>
      </w:r>
    </w:p>
    <w:p w14:paraId="0CA878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（2）多证合一营业执照复印件或扫描件；</w:t>
      </w:r>
    </w:p>
    <w:p w14:paraId="44720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（3）财务状况报告相关材料；</w:t>
      </w:r>
    </w:p>
    <w:p w14:paraId="37E7BB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（4）依法缴纳税收的相关材料；</w:t>
      </w:r>
    </w:p>
    <w:p w14:paraId="082893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（5）依法缴纳社会保障资金的相关材料；</w:t>
      </w:r>
    </w:p>
    <w:p w14:paraId="1A4FC6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（6）具备履行合同所必需的设备和专业技术能力的承诺函；</w:t>
      </w:r>
    </w:p>
    <w:p w14:paraId="583FDF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（7）参加政府采购活动前3年内在经营活动中没有重大违法记录书面声明；</w:t>
      </w:r>
    </w:p>
    <w:p w14:paraId="7BF9DE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（8）投标人信用记录证明材料；</w:t>
      </w:r>
    </w:p>
    <w:p w14:paraId="158D68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（9）承诺函；</w:t>
      </w:r>
    </w:p>
    <w:p w14:paraId="31589C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（10）特殊资格要求；</w:t>
      </w:r>
    </w:p>
    <w:p w14:paraId="543095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sz w:val="24"/>
          <w:szCs w:val="24"/>
          <w:lang w:val="en-US" w:eastAsia="zh-CN"/>
        </w:rPr>
        <w:t>2</w:t>
      </w:r>
      <w:r>
        <w:rPr>
          <w:sz w:val="24"/>
          <w:szCs w:val="24"/>
        </w:rPr>
        <w:t>）法律、行政法规规定的其他条件。</w:t>
      </w:r>
    </w:p>
    <w:p w14:paraId="58F096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2.2.3技术及商务文件组成</w:t>
      </w:r>
    </w:p>
    <w:p w14:paraId="1E44B1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（1）投标函；</w:t>
      </w:r>
    </w:p>
    <w:p w14:paraId="48A0D7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（2）分项报价表；</w:t>
      </w:r>
    </w:p>
    <w:p w14:paraId="461B68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（3）技术参数偏离表；</w:t>
      </w:r>
    </w:p>
    <w:p w14:paraId="28F4D4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（4）技术因素；</w:t>
      </w:r>
    </w:p>
    <w:p w14:paraId="18C1AE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（5）商务条款偏离表；</w:t>
      </w:r>
    </w:p>
    <w:p w14:paraId="2E6203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（6）售后服务和技术培训方案；</w:t>
      </w:r>
    </w:p>
    <w:p w14:paraId="7D3E38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w:t>
      </w:r>
      <w:r>
        <w:rPr>
          <w:rFonts w:hint="eastAsia"/>
          <w:sz w:val="24"/>
          <w:szCs w:val="24"/>
          <w:lang w:val="en-US" w:eastAsia="zh-CN"/>
        </w:rPr>
        <w:t>7</w:t>
      </w:r>
      <w:r>
        <w:rPr>
          <w:sz w:val="24"/>
          <w:szCs w:val="24"/>
        </w:rPr>
        <w:t>）招标文件规定需要材料或证明；</w:t>
      </w:r>
    </w:p>
    <w:p w14:paraId="546E1B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w:t>
      </w:r>
      <w:r>
        <w:rPr>
          <w:rFonts w:hint="eastAsia"/>
          <w:sz w:val="24"/>
          <w:szCs w:val="24"/>
          <w:lang w:val="en-US" w:eastAsia="zh-CN"/>
        </w:rPr>
        <w:t>8</w:t>
      </w:r>
      <w:r>
        <w:rPr>
          <w:sz w:val="24"/>
          <w:szCs w:val="24"/>
        </w:rPr>
        <w:t>）投标人认为需要提供其他资料或证明；</w:t>
      </w:r>
    </w:p>
    <w:p w14:paraId="07A606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w:t>
      </w:r>
      <w:r>
        <w:rPr>
          <w:rFonts w:hint="eastAsia"/>
          <w:sz w:val="24"/>
          <w:szCs w:val="24"/>
          <w:lang w:val="en-US" w:eastAsia="zh-CN"/>
        </w:rPr>
        <w:t>9</w:t>
      </w:r>
      <w:r>
        <w:rPr>
          <w:sz w:val="24"/>
          <w:szCs w:val="24"/>
        </w:rPr>
        <w:t>）中标服务费承诺书。</w:t>
      </w:r>
    </w:p>
    <w:p w14:paraId="37D78C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3.投标报价要求：</w:t>
      </w:r>
    </w:p>
    <w:p w14:paraId="180837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3.1投标人应按投标文件格式，填写投标货物、服务的单价和投标总价。如果单价与总价有出入，以单价为准。</w:t>
      </w:r>
    </w:p>
    <w:p w14:paraId="797D0F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3.2投标价格表填写时应注意下列要求：</w:t>
      </w:r>
    </w:p>
    <w:p w14:paraId="13F48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3.2.1技术规格中特别要求的培训及其他附带服务的费用。</w:t>
      </w:r>
    </w:p>
    <w:p w14:paraId="53C2F0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4.投标货币：</w:t>
      </w:r>
    </w:p>
    <w:p w14:paraId="7165BE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4.1投标人一律用人民币填报。</w:t>
      </w:r>
    </w:p>
    <w:p w14:paraId="6271F4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5.投标货物、服务符合招标文件规定的资格审查文件：投标人必须提交证明其有资格进行投标和有能力履行资格审查文件，作为投标文件的一部分。</w:t>
      </w:r>
    </w:p>
    <w:p w14:paraId="7350FB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二、投标保证金</w:t>
      </w:r>
    </w:p>
    <w:p w14:paraId="3214F5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投标保证金交纳方式：银行转账、银行保函、保证保险（电子保函的投标人可选择六盘水市公共资源网上交易系统在线通过贵州省公共资源交易综合金融平台申请开具投标保证金保函，电子保函开具成功方可投标(开标时，银行转账或电子保函以六盘水市公共资源网上交易系统保证金入账清单及电子保函查询结果为准。)</w:t>
      </w:r>
    </w:p>
    <w:p w14:paraId="7C5BAA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drawing>
          <wp:anchor distT="0" distB="0" distL="0" distR="0" simplePos="0" relativeHeight="251660288" behindDoc="0" locked="0" layoutInCell="0" allowOverlap="1">
            <wp:simplePos x="0" y="0"/>
            <wp:positionH relativeFrom="page">
              <wp:posOffset>685800</wp:posOffset>
            </wp:positionH>
            <wp:positionV relativeFrom="page">
              <wp:posOffset>617220</wp:posOffset>
            </wp:positionV>
            <wp:extent cx="6191250" cy="889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68"/>
                    <a:stretch>
                      <a:fillRect/>
                    </a:stretch>
                  </pic:blipFill>
                  <pic:spPr>
                    <a:xfrm>
                      <a:off x="0" y="0"/>
                      <a:ext cx="6191250" cy="9143"/>
                    </a:xfrm>
                    <a:prstGeom prst="rect">
                      <a:avLst/>
                    </a:prstGeom>
                  </pic:spPr>
                </pic:pic>
              </a:graphicData>
            </a:graphic>
          </wp:anchor>
        </w:drawing>
      </w:r>
      <w:r>
        <w:rPr>
          <w:sz w:val="24"/>
          <w:szCs w:val="24"/>
        </w:rPr>
        <w:t>2、（1）保证金金额（元）：</w:t>
      </w:r>
      <w:r>
        <w:rPr>
          <w:rFonts w:hint="eastAsia"/>
          <w:sz w:val="24"/>
          <w:szCs w:val="24"/>
          <w:lang w:eastAsia="zh-CN"/>
        </w:rPr>
        <w:t>叁</w:t>
      </w:r>
      <w:r>
        <w:rPr>
          <w:sz w:val="24"/>
          <w:szCs w:val="24"/>
        </w:rPr>
        <w:t>万元整(¥</w:t>
      </w:r>
      <w:r>
        <w:rPr>
          <w:rFonts w:hint="eastAsia"/>
          <w:sz w:val="24"/>
          <w:szCs w:val="24"/>
          <w:lang w:val="en-US" w:eastAsia="zh-CN"/>
        </w:rPr>
        <w:t>3</w:t>
      </w:r>
      <w:r>
        <w:rPr>
          <w:sz w:val="24"/>
          <w:szCs w:val="24"/>
        </w:rPr>
        <w:t>0000.00）；</w:t>
      </w:r>
    </w:p>
    <w:p w14:paraId="0D6705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（2）保证金交纳截止时间：2025年</w:t>
      </w:r>
      <w:r>
        <w:rPr>
          <w:rFonts w:hint="eastAsia"/>
          <w:sz w:val="24"/>
          <w:szCs w:val="24"/>
          <w:lang w:val="en-US" w:eastAsia="zh-CN"/>
        </w:rPr>
        <w:t>7</w:t>
      </w:r>
      <w:r>
        <w:rPr>
          <w:sz w:val="24"/>
          <w:szCs w:val="24"/>
        </w:rPr>
        <w:t>月</w:t>
      </w:r>
      <w:r>
        <w:rPr>
          <w:rFonts w:hint="eastAsia"/>
          <w:sz w:val="24"/>
          <w:szCs w:val="24"/>
          <w:lang w:val="en-US" w:eastAsia="zh-CN"/>
        </w:rPr>
        <w:t xml:space="preserve">  </w:t>
      </w:r>
      <w:r>
        <w:rPr>
          <w:sz w:val="24"/>
          <w:szCs w:val="24"/>
        </w:rPr>
        <w:t>日09时30分</w:t>
      </w:r>
    </w:p>
    <w:p w14:paraId="67D81F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（3）保证金交纳方式：银行转账、银行保函、保证保险开户银行及账号：</w:t>
      </w:r>
    </w:p>
    <w:p w14:paraId="2B187E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单位名称：六盘水市公共资源交易中心</w:t>
      </w:r>
    </w:p>
    <w:p w14:paraId="79AB0D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开户银行：贵州银行六盘水凉都支行</w:t>
      </w:r>
    </w:p>
    <w:p w14:paraId="359383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账号：0802001200000507</w:t>
      </w:r>
    </w:p>
    <w:p w14:paraId="1FF28C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注：电子保函的投标人可选择六盘水市公共资源网上交易系统在线通过贵州省公共资源交易综合金融平台申请开具投标保证金保函，电子保函开具成功方可投标开标时，银行转账或电子保函以六盘水市公共资源网上交易系统保证金入账清单及电子保函查询结果为准。</w:t>
      </w:r>
    </w:p>
    <w:p w14:paraId="5A1B2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3、为防止围标、串标，投标人（意向买受人）报名通过后需及时从基本户汇出保证金，保证金必须于2025年0</w:t>
      </w:r>
      <w:r>
        <w:rPr>
          <w:rFonts w:hint="eastAsia"/>
          <w:sz w:val="24"/>
          <w:szCs w:val="24"/>
          <w:lang w:val="en-US" w:eastAsia="zh-CN"/>
        </w:rPr>
        <w:t>7</w:t>
      </w:r>
      <w:r>
        <w:rPr>
          <w:sz w:val="24"/>
          <w:szCs w:val="24"/>
        </w:rPr>
        <w:t>月</w:t>
      </w:r>
      <w:r>
        <w:rPr>
          <w:rFonts w:hint="eastAsia"/>
          <w:sz w:val="24"/>
          <w:szCs w:val="24"/>
          <w:lang w:val="en-US" w:eastAsia="zh-CN"/>
        </w:rPr>
        <w:t xml:space="preserve">  </w:t>
      </w:r>
      <w:r>
        <w:rPr>
          <w:sz w:val="24"/>
          <w:szCs w:val="24"/>
        </w:rPr>
        <w:t>日09时30分前到账，投标人应充分考虑到不同银行间资金到账时间上的风险、银行对公账户工作时间、投标人书写错误等原因导致系统回退保证金等情况，保证金未按规定时间足额到账的，不论任何理由，其投标将不受采购人接受。</w:t>
      </w:r>
    </w:p>
    <w:p w14:paraId="138FF7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未中标人保证金退还：项目评审公示期结束后，未中标人符合退款要求的，在公示结束5个工作日内发起退款申请，投标人自行确认收款账户信息无误，项目负责人确定退款金额，六盘水市公共资源交易中心财务核退保证金，全程由相关人员在系统中点击完成，保证金退款名单将不再公布。</w:t>
      </w:r>
    </w:p>
    <w:p w14:paraId="2FBA72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4.1中标人保证金退还：中标人在与采购人签署了项目中标合同和采购代理机构办理项目交易确认书后，采购代理机构按上述流程进行退款。为进一步加强保密工作及方便投标人，投标文件中可以不附投标保证金收据复印件或扫描件，具体投标保证金缴纳信息以银行系统实际到账情况为准。</w:t>
      </w:r>
    </w:p>
    <w:p w14:paraId="35D4C7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5、重要提示（请务必将此信息转达至实际缴纳保证金的工作人员）：</w:t>
      </w:r>
    </w:p>
    <w:p w14:paraId="11C154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5.1选择电子保函的投标人可选择六盘水市公共资源网上交易系统在线通过贵州省公共资源交易综合金融平台申请开具投标保证金保函，电子保函开具成功方可投标时，银行转账或电子保函以六盘水市公共资源网上交易系统保证金入账清单及电子保函查询结果为准。</w:t>
      </w:r>
    </w:p>
    <w:p w14:paraId="187ED4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注：投标人报名成功后必须在交易系统中选择为“电子保函”方式缴纳。</w:t>
      </w:r>
    </w:p>
    <w:p w14:paraId="3FFA68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drawing>
          <wp:anchor distT="0" distB="0" distL="0" distR="0" simplePos="0" relativeHeight="251661312" behindDoc="0" locked="0" layoutInCell="0" allowOverlap="1">
            <wp:simplePos x="0" y="0"/>
            <wp:positionH relativeFrom="page">
              <wp:posOffset>685800</wp:posOffset>
            </wp:positionH>
            <wp:positionV relativeFrom="page">
              <wp:posOffset>617220</wp:posOffset>
            </wp:positionV>
            <wp:extent cx="6191250" cy="889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8"/>
                    <a:stretch>
                      <a:fillRect/>
                    </a:stretch>
                  </pic:blipFill>
                  <pic:spPr>
                    <a:xfrm>
                      <a:off x="0" y="0"/>
                      <a:ext cx="6191250" cy="9143"/>
                    </a:xfrm>
                    <a:prstGeom prst="rect">
                      <a:avLst/>
                    </a:prstGeom>
                  </pic:spPr>
                </pic:pic>
              </a:graphicData>
            </a:graphic>
          </wp:anchor>
        </w:drawing>
      </w:r>
      <w:r>
        <w:rPr>
          <w:sz w:val="24"/>
          <w:szCs w:val="24"/>
        </w:rPr>
        <w:t>5.2选择银行转账的投标人在缴纳保证金前，请先在中心交易系统的”企业诚信管理系统一企业基本信息一银行账户”下验证“开户银行、基本账户号、基本户开户支行号、基本户账户名称”等信息是否正确完善。如果您的基本账户开户行是农业银行，请注意查看基本账户号信息是否有区域代码，如果没有，请及时咨询开户银行，并在中心交易系统中变更基本账户号信息。</w:t>
      </w:r>
    </w:p>
    <w:p w14:paraId="16C458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5.3中心交易系统生成的保证金随机码为9位，缴纳保证金具体承办人须在银行系统中的附言、摘要、用途、备注等处必须且只能填写保证金随机码，填写的随机码不可有空格。</w:t>
      </w:r>
    </w:p>
    <w:p w14:paraId="5FD840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5.4为确保保证金交纳成功，建议在保证金交纳截止时间前2个工作日的16:00时前完成保证金交纳。如缴纳成功后，可在中心交易系统打印保证金收据。</w:t>
      </w:r>
    </w:p>
    <w:p w14:paraId="64E297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5.6投标保证金为投标文件的组成部分之一。</w:t>
      </w:r>
    </w:p>
    <w:p w14:paraId="40AB32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5.7系统技术支持电话：0858—6708767。</w:t>
      </w:r>
    </w:p>
    <w:p w14:paraId="68F7F6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6、保证金用于保护本次招标免受因投标人的行为而引起的风险。</w:t>
      </w:r>
    </w:p>
    <w:p w14:paraId="62061B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7、未按规定提交投标保证金的投标，将被视为无效投标。</w:t>
      </w:r>
    </w:p>
    <w:p w14:paraId="28A59E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8、有下列情形之一的，保证金不予退还：</w:t>
      </w:r>
    </w:p>
    <w:p w14:paraId="04CEB0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8.1投标人在提交投标文件截止时间后撤回投标文件的；</w:t>
      </w:r>
    </w:p>
    <w:p w14:paraId="367751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8.2投标人在投标文件中提供虚假材料的；</w:t>
      </w:r>
    </w:p>
    <w:p w14:paraId="5D697B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8.3除因不可抗力以外，中标人不与采购人签订合同的；</w:t>
      </w:r>
    </w:p>
    <w:p w14:paraId="753B94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8.4投标人与采购人、其他投标人或者采购代理机构恶意串通的；</w:t>
      </w:r>
    </w:p>
    <w:p w14:paraId="36A73C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8.5中标人不按招标文件的要求及投标文件承诺与采购人签订合同的；</w:t>
      </w:r>
    </w:p>
    <w:p w14:paraId="2AE68C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8.6中标人在中标通知书发出之日起30日内，未在规定时间内与采购人签订书面政府采购合同；</w:t>
      </w:r>
    </w:p>
    <w:p w14:paraId="7FCBB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8.7政府采购法律法规规定的其他情形。</w:t>
      </w:r>
    </w:p>
    <w:p w14:paraId="660341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9、投标文件有效期：</w:t>
      </w:r>
    </w:p>
    <w:p w14:paraId="7177C4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sectPr>
          <w:headerReference r:id="rId13" w:type="default"/>
          <w:footerReference r:id="rId14" w:type="default"/>
          <w:pgSz w:w="11906" w:h="16838"/>
          <w:pgMar w:top="1440" w:right="1080" w:bottom="1440" w:left="1080" w:header="851" w:footer="992" w:gutter="0"/>
          <w:pgNumType w:fmt="decimal"/>
          <w:cols w:space="425" w:num="1"/>
          <w:docGrid w:type="lines" w:linePitch="312" w:charSpace="0"/>
        </w:sectPr>
      </w:pPr>
      <w:r>
        <w:rPr>
          <w:sz w:val="24"/>
          <w:szCs w:val="24"/>
        </w:rPr>
        <w:t>9.1投标文件从投标之日起，投标文件有效期为90天，特殊项目在“采购项目的技术规格、数量、服务标准、验收等要求”部分另行规定。</w:t>
      </w:r>
    </w:p>
    <w:p w14:paraId="346C22BB">
      <w:pPr>
        <w:pStyle w:val="6"/>
        <w:spacing w:before="331" w:line="223" w:lineRule="auto"/>
        <w:outlineLvl w:val="0"/>
        <w:rPr>
          <w:sz w:val="31"/>
          <w:szCs w:val="31"/>
        </w:rPr>
      </w:pPr>
      <w:bookmarkStart w:id="13" w:name="bookmark7"/>
      <w:bookmarkEnd w:id="13"/>
      <w:bookmarkStart w:id="14" w:name="bookmark8"/>
      <w:bookmarkEnd w:id="14"/>
      <w:bookmarkStart w:id="15" w:name="_Toc12382"/>
      <w:r>
        <w:rPr>
          <w:b/>
          <w:bCs/>
          <w:spacing w:val="7"/>
          <w:sz w:val="31"/>
          <w:szCs w:val="31"/>
        </w:rPr>
        <w:t>第六章</w:t>
      </w:r>
      <w:r>
        <w:rPr>
          <w:spacing w:val="105"/>
          <w:sz w:val="31"/>
          <w:szCs w:val="31"/>
        </w:rPr>
        <w:t xml:space="preserve"> </w:t>
      </w:r>
      <w:r>
        <w:rPr>
          <w:b/>
          <w:bCs/>
          <w:spacing w:val="7"/>
          <w:sz w:val="31"/>
          <w:szCs w:val="31"/>
        </w:rPr>
        <w:t>采购项目预算金额，设定最高限价的，还应当公开最高限价</w:t>
      </w:r>
      <w:bookmarkEnd w:id="15"/>
    </w:p>
    <w:p w14:paraId="7C90F9E4">
      <w:pPr>
        <w:pStyle w:val="6"/>
        <w:spacing w:before="251" w:line="219" w:lineRule="auto"/>
        <w:ind w:left="917"/>
        <w:outlineLvl w:val="1"/>
        <w:rPr>
          <w:sz w:val="24"/>
          <w:szCs w:val="24"/>
        </w:rPr>
      </w:pPr>
      <w:r>
        <w:rPr>
          <w:spacing w:val="-3"/>
          <w:sz w:val="24"/>
          <w:szCs w:val="24"/>
        </w:rPr>
        <w:t>1、预算金额（人民币</w:t>
      </w:r>
      <w:r>
        <w:rPr>
          <w:spacing w:val="12"/>
          <w:sz w:val="24"/>
          <w:szCs w:val="24"/>
        </w:rPr>
        <w:t>）：</w:t>
      </w:r>
      <w:r>
        <w:rPr>
          <w:rFonts w:hint="eastAsia"/>
          <w:spacing w:val="-3"/>
          <w:sz w:val="24"/>
          <w:szCs w:val="24"/>
          <w:lang w:val="en-US" w:eastAsia="zh-CN"/>
        </w:rPr>
        <w:t>340.00</w:t>
      </w:r>
      <w:r>
        <w:rPr>
          <w:spacing w:val="-3"/>
          <w:sz w:val="24"/>
          <w:szCs w:val="24"/>
        </w:rPr>
        <w:t>万元</w:t>
      </w:r>
    </w:p>
    <w:p w14:paraId="2B1CAEEA">
      <w:pPr>
        <w:pStyle w:val="6"/>
        <w:spacing w:before="277" w:line="218" w:lineRule="auto"/>
        <w:ind w:left="902"/>
        <w:outlineLvl w:val="1"/>
        <w:rPr>
          <w:spacing w:val="-2"/>
          <w:sz w:val="24"/>
          <w:szCs w:val="24"/>
        </w:rPr>
        <w:sectPr>
          <w:pgSz w:w="11906" w:h="16838"/>
          <w:pgMar w:top="1440" w:right="1080" w:bottom="1440" w:left="1080" w:header="851" w:footer="992" w:gutter="0"/>
          <w:pgNumType w:fmt="decimal"/>
          <w:cols w:space="425" w:num="1"/>
          <w:docGrid w:type="lines" w:linePitch="312" w:charSpace="0"/>
        </w:sectPr>
      </w:pPr>
      <w:r>
        <w:rPr>
          <w:spacing w:val="-2"/>
          <w:sz w:val="24"/>
          <w:szCs w:val="24"/>
        </w:rPr>
        <w:t>2、最高限价（人民币</w:t>
      </w:r>
      <w:r>
        <w:rPr>
          <w:spacing w:val="11"/>
          <w:sz w:val="24"/>
          <w:szCs w:val="24"/>
        </w:rPr>
        <w:t>）：</w:t>
      </w:r>
      <w:r>
        <w:rPr>
          <w:rFonts w:hint="eastAsia"/>
          <w:spacing w:val="-2"/>
          <w:sz w:val="24"/>
          <w:szCs w:val="24"/>
          <w:lang w:val="en-US" w:eastAsia="zh-CN"/>
        </w:rPr>
        <w:t>340.00</w:t>
      </w:r>
      <w:r>
        <w:rPr>
          <w:spacing w:val="-2"/>
          <w:sz w:val="24"/>
          <w:szCs w:val="24"/>
        </w:rPr>
        <w:t>万元</w:t>
      </w:r>
    </w:p>
    <w:p w14:paraId="599934A6">
      <w:pPr>
        <w:pStyle w:val="6"/>
        <w:spacing w:before="206" w:line="224" w:lineRule="auto"/>
        <w:ind w:left="1047"/>
        <w:outlineLvl w:val="0"/>
        <w:rPr>
          <w:sz w:val="31"/>
          <w:szCs w:val="31"/>
        </w:rPr>
      </w:pPr>
      <w:bookmarkStart w:id="16" w:name="bookmark20"/>
      <w:bookmarkEnd w:id="16"/>
      <w:bookmarkStart w:id="17" w:name="_Toc10790"/>
      <w:r>
        <w:rPr>
          <w:b/>
          <w:bCs/>
          <w:spacing w:val="7"/>
          <w:sz w:val="31"/>
          <w:szCs w:val="31"/>
        </w:rPr>
        <w:t>第七章</w:t>
      </w:r>
      <w:r>
        <w:rPr>
          <w:spacing w:val="7"/>
          <w:sz w:val="31"/>
          <w:szCs w:val="31"/>
        </w:rPr>
        <w:t xml:space="preserve"> </w:t>
      </w:r>
      <w:r>
        <w:rPr>
          <w:b/>
          <w:bCs/>
          <w:spacing w:val="7"/>
          <w:sz w:val="31"/>
          <w:szCs w:val="31"/>
        </w:rPr>
        <w:t>采购项目的规格、数量、服务标准、验收等要求</w:t>
      </w:r>
      <w:bookmarkEnd w:id="17"/>
    </w:p>
    <w:p w14:paraId="2F886C2D">
      <w:pPr>
        <w:pStyle w:val="6"/>
        <w:spacing w:before="24" w:line="219" w:lineRule="auto"/>
        <w:ind w:left="3"/>
        <w:rPr>
          <w:spacing w:val="-1"/>
          <w:sz w:val="24"/>
          <w:szCs w:val="24"/>
        </w:rPr>
      </w:pPr>
      <w:r>
        <w:rPr>
          <w:spacing w:val="-1"/>
          <w:sz w:val="24"/>
          <w:szCs w:val="24"/>
        </w:rPr>
        <w:t>一、采购的品目、数量、主要技术参数：</w:t>
      </w:r>
    </w:p>
    <w:p w14:paraId="026C2FB1">
      <w:pPr>
        <w:pStyle w:val="6"/>
        <w:spacing w:before="24" w:line="219" w:lineRule="auto"/>
        <w:ind w:left="3"/>
        <w:rPr>
          <w:rFonts w:hint="default" w:eastAsia="宋体"/>
          <w:spacing w:val="-1"/>
          <w:sz w:val="24"/>
          <w:szCs w:val="24"/>
          <w:lang w:val="en-US" w:eastAsia="zh-CN"/>
        </w:rPr>
      </w:pPr>
      <w:r>
        <w:rPr>
          <w:rFonts w:hint="eastAsia"/>
          <w:spacing w:val="-1"/>
          <w:sz w:val="24"/>
          <w:szCs w:val="24"/>
          <w:lang w:val="en-US" w:eastAsia="zh-CN"/>
        </w:rPr>
        <w:t>（一）项目品目</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8"/>
        <w:gridCol w:w="5166"/>
        <w:gridCol w:w="1008"/>
        <w:gridCol w:w="1008"/>
        <w:gridCol w:w="1766"/>
      </w:tblGrid>
      <w:tr w14:paraId="3E6B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06" w:type="pct"/>
            <w:shd w:val="clear" w:color="auto" w:fill="auto"/>
            <w:vAlign w:val="center"/>
          </w:tcPr>
          <w:p w14:paraId="7CEA5B6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593" w:type="pct"/>
            <w:shd w:val="clear" w:color="auto" w:fill="auto"/>
            <w:vAlign w:val="center"/>
          </w:tcPr>
          <w:p w14:paraId="60FF336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506" w:type="pct"/>
            <w:shd w:val="clear" w:color="auto" w:fill="auto"/>
            <w:vAlign w:val="center"/>
          </w:tcPr>
          <w:p w14:paraId="2B8E3E7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506" w:type="pct"/>
            <w:shd w:val="clear" w:color="auto" w:fill="auto"/>
            <w:vAlign w:val="center"/>
          </w:tcPr>
          <w:p w14:paraId="00EE003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86" w:type="pct"/>
            <w:shd w:val="clear" w:color="auto" w:fill="auto"/>
            <w:vAlign w:val="center"/>
          </w:tcPr>
          <w:p w14:paraId="336BBAF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6812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15B92C8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2593" w:type="pct"/>
            <w:shd w:val="clear" w:color="auto" w:fill="auto"/>
            <w:vAlign w:val="center"/>
          </w:tcPr>
          <w:p w14:paraId="44A3811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全自动分枝杆菌液体培养仪</w:t>
            </w:r>
          </w:p>
        </w:tc>
        <w:tc>
          <w:tcPr>
            <w:tcW w:w="506" w:type="pct"/>
            <w:shd w:val="clear" w:color="auto" w:fill="auto"/>
            <w:vAlign w:val="center"/>
          </w:tcPr>
          <w:p w14:paraId="240D86C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1008" w:type="dxa"/>
            <w:shd w:val="clear" w:color="auto" w:fill="auto"/>
            <w:vAlign w:val="center"/>
          </w:tcPr>
          <w:p w14:paraId="77166D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cs="宋体"/>
                <w:sz w:val="24"/>
                <w:szCs w:val="24"/>
                <w:highlight w:val="none"/>
                <w:lang w:val="en-US" w:eastAsia="zh-CN"/>
              </w:rPr>
              <w:t>台</w:t>
            </w:r>
          </w:p>
        </w:tc>
        <w:tc>
          <w:tcPr>
            <w:tcW w:w="886" w:type="pct"/>
            <w:shd w:val="clear" w:color="auto" w:fill="auto"/>
            <w:vAlign w:val="center"/>
          </w:tcPr>
          <w:p w14:paraId="77E672C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val="en-US" w:eastAsia="zh-CN"/>
              </w:rPr>
            </w:pPr>
          </w:p>
        </w:tc>
      </w:tr>
      <w:tr w14:paraId="311B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3C9B565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p>
        </w:tc>
        <w:tc>
          <w:tcPr>
            <w:tcW w:w="2593" w:type="pct"/>
            <w:shd w:val="clear" w:color="auto" w:fill="auto"/>
            <w:vAlign w:val="center"/>
          </w:tcPr>
          <w:p w14:paraId="454608E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全自动微生物鉴定及药敏系统</w:t>
            </w:r>
          </w:p>
        </w:tc>
        <w:tc>
          <w:tcPr>
            <w:tcW w:w="506" w:type="pct"/>
            <w:shd w:val="clear" w:color="auto" w:fill="auto"/>
            <w:vAlign w:val="center"/>
          </w:tcPr>
          <w:p w14:paraId="4A970EA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1008" w:type="dxa"/>
            <w:shd w:val="clear" w:color="auto" w:fill="auto"/>
            <w:vAlign w:val="center"/>
          </w:tcPr>
          <w:p w14:paraId="4705E5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cs="宋体"/>
                <w:sz w:val="24"/>
                <w:szCs w:val="24"/>
                <w:highlight w:val="none"/>
                <w:lang w:eastAsia="zh-CN"/>
              </w:rPr>
              <w:t>套</w:t>
            </w:r>
          </w:p>
        </w:tc>
        <w:tc>
          <w:tcPr>
            <w:tcW w:w="886" w:type="pct"/>
            <w:shd w:val="clear" w:color="auto" w:fill="auto"/>
            <w:vAlign w:val="center"/>
          </w:tcPr>
          <w:p w14:paraId="02C9223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进口产品</w:t>
            </w:r>
          </w:p>
        </w:tc>
      </w:tr>
      <w:tr w14:paraId="018D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1D93CAF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p>
        </w:tc>
        <w:tc>
          <w:tcPr>
            <w:tcW w:w="2593" w:type="pct"/>
            <w:shd w:val="clear" w:color="auto" w:fill="auto"/>
            <w:vAlign w:val="center"/>
          </w:tcPr>
          <w:p w14:paraId="1B66402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全自动微生物血液培养系统</w:t>
            </w:r>
          </w:p>
        </w:tc>
        <w:tc>
          <w:tcPr>
            <w:tcW w:w="506" w:type="pct"/>
            <w:shd w:val="clear" w:color="auto" w:fill="auto"/>
            <w:vAlign w:val="center"/>
          </w:tcPr>
          <w:p w14:paraId="1632F7D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1008" w:type="dxa"/>
            <w:shd w:val="clear" w:color="auto" w:fill="auto"/>
            <w:vAlign w:val="center"/>
          </w:tcPr>
          <w:p w14:paraId="3751C3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cs="宋体"/>
                <w:sz w:val="24"/>
                <w:szCs w:val="24"/>
                <w:highlight w:val="none"/>
                <w:lang w:eastAsia="zh-CN"/>
              </w:rPr>
              <w:t>套</w:t>
            </w:r>
          </w:p>
        </w:tc>
        <w:tc>
          <w:tcPr>
            <w:tcW w:w="886" w:type="pct"/>
            <w:shd w:val="clear" w:color="auto" w:fill="auto"/>
            <w:vAlign w:val="center"/>
          </w:tcPr>
          <w:p w14:paraId="6C0529E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val="en-US" w:eastAsia="zh-CN"/>
              </w:rPr>
            </w:pPr>
          </w:p>
        </w:tc>
      </w:tr>
      <w:tr w14:paraId="510C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4974C8C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p>
        </w:tc>
        <w:tc>
          <w:tcPr>
            <w:tcW w:w="2593" w:type="pct"/>
            <w:shd w:val="clear" w:color="auto" w:fill="auto"/>
            <w:vAlign w:val="center"/>
          </w:tcPr>
          <w:p w14:paraId="3703DA6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电子支气管镜</w:t>
            </w:r>
          </w:p>
        </w:tc>
        <w:tc>
          <w:tcPr>
            <w:tcW w:w="506" w:type="pct"/>
            <w:shd w:val="clear" w:color="auto" w:fill="auto"/>
            <w:vAlign w:val="center"/>
          </w:tcPr>
          <w:p w14:paraId="5E373D4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506" w:type="pct"/>
            <w:shd w:val="clear" w:color="auto" w:fill="auto"/>
            <w:vAlign w:val="center"/>
          </w:tcPr>
          <w:p w14:paraId="01DFCBF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条</w:t>
            </w:r>
          </w:p>
        </w:tc>
        <w:tc>
          <w:tcPr>
            <w:tcW w:w="886" w:type="pct"/>
            <w:shd w:val="clear" w:color="auto" w:fill="auto"/>
            <w:vAlign w:val="center"/>
          </w:tcPr>
          <w:p w14:paraId="54AA87D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进口产品</w:t>
            </w:r>
          </w:p>
        </w:tc>
      </w:tr>
      <w:tr w14:paraId="2771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66A212D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p>
        </w:tc>
        <w:tc>
          <w:tcPr>
            <w:tcW w:w="2593" w:type="pct"/>
            <w:shd w:val="clear" w:color="auto" w:fill="auto"/>
            <w:vAlign w:val="center"/>
          </w:tcPr>
          <w:p w14:paraId="71A632A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骨密度仪</w:t>
            </w:r>
          </w:p>
        </w:tc>
        <w:tc>
          <w:tcPr>
            <w:tcW w:w="506" w:type="pct"/>
            <w:shd w:val="clear" w:color="auto" w:fill="auto"/>
            <w:vAlign w:val="center"/>
          </w:tcPr>
          <w:p w14:paraId="262FE05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506" w:type="pct"/>
            <w:shd w:val="clear" w:color="auto" w:fill="auto"/>
            <w:vAlign w:val="center"/>
          </w:tcPr>
          <w:p w14:paraId="333ADDA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台</w:t>
            </w:r>
          </w:p>
        </w:tc>
        <w:tc>
          <w:tcPr>
            <w:tcW w:w="886" w:type="pct"/>
            <w:shd w:val="clear" w:color="auto" w:fill="auto"/>
            <w:vAlign w:val="center"/>
          </w:tcPr>
          <w:p w14:paraId="2C10F1C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核心产品</w:t>
            </w:r>
          </w:p>
        </w:tc>
      </w:tr>
      <w:tr w14:paraId="6CAB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27CD702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p>
        </w:tc>
        <w:tc>
          <w:tcPr>
            <w:tcW w:w="2593" w:type="pct"/>
            <w:shd w:val="clear" w:color="auto" w:fill="auto"/>
            <w:vAlign w:val="center"/>
          </w:tcPr>
          <w:p w14:paraId="70CAB61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视频脑电图</w:t>
            </w:r>
          </w:p>
        </w:tc>
        <w:tc>
          <w:tcPr>
            <w:tcW w:w="506" w:type="pct"/>
            <w:shd w:val="clear" w:color="auto" w:fill="auto"/>
            <w:vAlign w:val="center"/>
          </w:tcPr>
          <w:p w14:paraId="30D8BAA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506" w:type="pct"/>
            <w:shd w:val="clear" w:color="auto" w:fill="auto"/>
            <w:vAlign w:val="center"/>
          </w:tcPr>
          <w:p w14:paraId="12FD70C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台</w:t>
            </w:r>
          </w:p>
        </w:tc>
        <w:tc>
          <w:tcPr>
            <w:tcW w:w="886" w:type="pct"/>
            <w:shd w:val="clear" w:color="auto" w:fill="auto"/>
            <w:vAlign w:val="center"/>
          </w:tcPr>
          <w:p w14:paraId="53F2CD7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核心产品</w:t>
            </w:r>
          </w:p>
        </w:tc>
      </w:tr>
      <w:tr w14:paraId="79EE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724054F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p>
        </w:tc>
        <w:tc>
          <w:tcPr>
            <w:tcW w:w="2593" w:type="pct"/>
            <w:shd w:val="clear" w:color="auto" w:fill="auto"/>
            <w:vAlign w:val="center"/>
          </w:tcPr>
          <w:p w14:paraId="1C2C906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医用事件相关电位仪</w:t>
            </w:r>
          </w:p>
        </w:tc>
        <w:tc>
          <w:tcPr>
            <w:tcW w:w="506" w:type="pct"/>
            <w:shd w:val="clear" w:color="auto" w:fill="auto"/>
            <w:vAlign w:val="center"/>
          </w:tcPr>
          <w:p w14:paraId="7377C5B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506" w:type="pct"/>
            <w:shd w:val="clear" w:color="auto" w:fill="auto"/>
            <w:vAlign w:val="center"/>
          </w:tcPr>
          <w:p w14:paraId="614CD63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台</w:t>
            </w:r>
          </w:p>
        </w:tc>
        <w:tc>
          <w:tcPr>
            <w:tcW w:w="886" w:type="pct"/>
            <w:shd w:val="clear" w:color="auto" w:fill="auto"/>
            <w:vAlign w:val="center"/>
          </w:tcPr>
          <w:p w14:paraId="2CF46B8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val="en-US" w:eastAsia="zh-CN"/>
              </w:rPr>
            </w:pPr>
          </w:p>
        </w:tc>
      </w:tr>
      <w:tr w14:paraId="4809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46E5644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p>
        </w:tc>
        <w:tc>
          <w:tcPr>
            <w:tcW w:w="2593" w:type="pct"/>
            <w:shd w:val="clear" w:color="auto" w:fill="auto"/>
            <w:vAlign w:val="center"/>
          </w:tcPr>
          <w:p w14:paraId="50B8E76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心电图机</w:t>
            </w:r>
          </w:p>
        </w:tc>
        <w:tc>
          <w:tcPr>
            <w:tcW w:w="506" w:type="pct"/>
            <w:shd w:val="clear" w:color="auto" w:fill="auto"/>
            <w:vAlign w:val="center"/>
          </w:tcPr>
          <w:p w14:paraId="2CB42B0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p>
        </w:tc>
        <w:tc>
          <w:tcPr>
            <w:tcW w:w="506" w:type="pct"/>
            <w:shd w:val="clear" w:color="auto" w:fill="auto"/>
            <w:vAlign w:val="center"/>
          </w:tcPr>
          <w:p w14:paraId="622C873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台</w:t>
            </w:r>
          </w:p>
        </w:tc>
        <w:tc>
          <w:tcPr>
            <w:tcW w:w="886" w:type="pct"/>
            <w:shd w:val="clear" w:color="auto" w:fill="auto"/>
            <w:vAlign w:val="center"/>
          </w:tcPr>
          <w:p w14:paraId="297868C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核心产品</w:t>
            </w:r>
          </w:p>
        </w:tc>
      </w:tr>
      <w:tr w14:paraId="3DE6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7749DAD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p>
        </w:tc>
        <w:tc>
          <w:tcPr>
            <w:tcW w:w="2593" w:type="pct"/>
            <w:shd w:val="clear" w:color="auto" w:fill="auto"/>
            <w:vAlign w:val="center"/>
          </w:tcPr>
          <w:p w14:paraId="2714D02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动态心电图</w:t>
            </w:r>
          </w:p>
        </w:tc>
        <w:tc>
          <w:tcPr>
            <w:tcW w:w="506" w:type="pct"/>
            <w:shd w:val="clear" w:color="auto" w:fill="auto"/>
            <w:vAlign w:val="center"/>
          </w:tcPr>
          <w:p w14:paraId="0E0EFB0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p>
        </w:tc>
        <w:tc>
          <w:tcPr>
            <w:tcW w:w="506" w:type="pct"/>
            <w:shd w:val="clear" w:color="auto" w:fill="auto"/>
            <w:vAlign w:val="center"/>
          </w:tcPr>
          <w:p w14:paraId="7177CBD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台</w:t>
            </w:r>
          </w:p>
        </w:tc>
        <w:tc>
          <w:tcPr>
            <w:tcW w:w="886" w:type="pct"/>
            <w:shd w:val="clear" w:color="auto" w:fill="auto"/>
            <w:vAlign w:val="center"/>
          </w:tcPr>
          <w:p w14:paraId="3957268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val="en-US" w:eastAsia="zh-CN"/>
              </w:rPr>
            </w:pPr>
          </w:p>
        </w:tc>
      </w:tr>
      <w:tr w14:paraId="14FB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47A2307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p>
        </w:tc>
        <w:tc>
          <w:tcPr>
            <w:tcW w:w="2593" w:type="pct"/>
            <w:shd w:val="clear" w:color="auto" w:fill="auto"/>
            <w:vAlign w:val="center"/>
          </w:tcPr>
          <w:p w14:paraId="52A2875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磁场刺激仪</w:t>
            </w:r>
          </w:p>
        </w:tc>
        <w:tc>
          <w:tcPr>
            <w:tcW w:w="506" w:type="pct"/>
            <w:shd w:val="clear" w:color="auto" w:fill="auto"/>
            <w:vAlign w:val="center"/>
          </w:tcPr>
          <w:p w14:paraId="733FF59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p>
        </w:tc>
        <w:tc>
          <w:tcPr>
            <w:tcW w:w="506" w:type="pct"/>
            <w:shd w:val="clear" w:color="auto" w:fill="auto"/>
            <w:vAlign w:val="center"/>
          </w:tcPr>
          <w:p w14:paraId="630552B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台</w:t>
            </w:r>
          </w:p>
        </w:tc>
        <w:tc>
          <w:tcPr>
            <w:tcW w:w="886" w:type="pct"/>
            <w:shd w:val="clear" w:color="auto" w:fill="auto"/>
            <w:vAlign w:val="center"/>
          </w:tcPr>
          <w:p w14:paraId="17170E9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val="en-US" w:eastAsia="zh-CN"/>
              </w:rPr>
            </w:pPr>
          </w:p>
        </w:tc>
      </w:tr>
      <w:tr w14:paraId="17CC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6" w:type="pct"/>
            <w:shd w:val="clear" w:color="auto" w:fill="auto"/>
            <w:vAlign w:val="center"/>
          </w:tcPr>
          <w:p w14:paraId="11F46CD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p>
        </w:tc>
        <w:tc>
          <w:tcPr>
            <w:tcW w:w="2593" w:type="pct"/>
            <w:shd w:val="clear" w:color="auto" w:fill="auto"/>
            <w:vAlign w:val="center"/>
          </w:tcPr>
          <w:p w14:paraId="67EFE13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自然光照治疗系统</w:t>
            </w:r>
          </w:p>
        </w:tc>
        <w:tc>
          <w:tcPr>
            <w:tcW w:w="506" w:type="pct"/>
            <w:shd w:val="clear" w:color="auto" w:fill="auto"/>
            <w:vAlign w:val="center"/>
          </w:tcPr>
          <w:p w14:paraId="310ADDC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506" w:type="pct"/>
            <w:shd w:val="clear" w:color="auto" w:fill="auto"/>
            <w:vAlign w:val="center"/>
          </w:tcPr>
          <w:p w14:paraId="697F8BB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套</w:t>
            </w:r>
          </w:p>
        </w:tc>
        <w:tc>
          <w:tcPr>
            <w:tcW w:w="886" w:type="pct"/>
            <w:shd w:val="clear" w:color="auto" w:fill="auto"/>
            <w:vAlign w:val="center"/>
          </w:tcPr>
          <w:p w14:paraId="468C685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val="en-US" w:eastAsia="zh-CN"/>
              </w:rPr>
            </w:pPr>
          </w:p>
        </w:tc>
      </w:tr>
    </w:tbl>
    <w:p w14:paraId="246DA7A9">
      <w:pPr>
        <w:pStyle w:val="6"/>
        <w:numPr>
          <w:ilvl w:val="0"/>
          <w:numId w:val="1"/>
        </w:numPr>
        <w:spacing w:before="277" w:line="218" w:lineRule="auto"/>
        <w:ind w:firstLine="472" w:firstLineChars="200"/>
        <w:outlineLvl w:val="1"/>
        <w:rPr>
          <w:rFonts w:hint="eastAsia"/>
          <w:spacing w:val="-2"/>
          <w:sz w:val="24"/>
          <w:szCs w:val="24"/>
          <w:lang w:eastAsia="zh-CN"/>
        </w:rPr>
        <w:sectPr>
          <w:pgSz w:w="11906" w:h="16838"/>
          <w:pgMar w:top="1440" w:right="1080" w:bottom="1440" w:left="1080" w:header="851" w:footer="992" w:gutter="0"/>
          <w:pgNumType w:fmt="decimal"/>
          <w:cols w:space="425" w:num="1"/>
          <w:docGrid w:type="lines" w:linePitch="312" w:charSpace="0"/>
        </w:sectPr>
      </w:pPr>
    </w:p>
    <w:p w14:paraId="79F48795">
      <w:pPr>
        <w:pStyle w:val="6"/>
        <w:numPr>
          <w:ilvl w:val="0"/>
          <w:numId w:val="1"/>
        </w:numPr>
        <w:spacing w:before="277" w:line="218" w:lineRule="auto"/>
        <w:ind w:firstLine="472" w:firstLineChars="200"/>
        <w:outlineLvl w:val="1"/>
        <w:rPr>
          <w:rFonts w:hint="eastAsia"/>
          <w:spacing w:val="-2"/>
          <w:sz w:val="24"/>
          <w:szCs w:val="24"/>
          <w:lang w:eastAsia="zh-CN"/>
        </w:rPr>
      </w:pPr>
      <w:r>
        <w:rPr>
          <w:rFonts w:hint="eastAsia"/>
          <w:spacing w:val="-2"/>
          <w:sz w:val="24"/>
          <w:szCs w:val="24"/>
          <w:lang w:eastAsia="zh-CN"/>
        </w:rPr>
        <w:t>技术参数</w:t>
      </w:r>
    </w:p>
    <w:tbl>
      <w:tblPr>
        <w:tblStyle w:val="15"/>
        <w:tblW w:w="53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4"/>
        <w:gridCol w:w="1178"/>
        <w:gridCol w:w="7920"/>
        <w:gridCol w:w="520"/>
        <w:gridCol w:w="474"/>
      </w:tblGrid>
      <w:tr w14:paraId="5E63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242" w:type="pct"/>
            <w:shd w:val="clear" w:color="auto" w:fill="auto"/>
            <w:vAlign w:val="center"/>
          </w:tcPr>
          <w:p w14:paraId="7974E2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55" w:type="pct"/>
            <w:shd w:val="clear" w:color="auto" w:fill="auto"/>
            <w:vAlign w:val="center"/>
          </w:tcPr>
          <w:p w14:paraId="7F7B5C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3733" w:type="pct"/>
            <w:shd w:val="clear" w:color="auto" w:fill="auto"/>
            <w:vAlign w:val="center"/>
          </w:tcPr>
          <w:p w14:paraId="5EE190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p>
        </w:tc>
        <w:tc>
          <w:tcPr>
            <w:tcW w:w="245" w:type="pct"/>
            <w:shd w:val="clear" w:color="auto" w:fill="auto"/>
            <w:vAlign w:val="center"/>
          </w:tcPr>
          <w:p w14:paraId="4D2BDE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23" w:type="pct"/>
            <w:shd w:val="clear" w:color="auto" w:fill="auto"/>
            <w:vAlign w:val="center"/>
          </w:tcPr>
          <w:p w14:paraId="3E6B03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338A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242" w:type="pct"/>
            <w:shd w:val="clear" w:color="auto" w:fill="auto"/>
            <w:vAlign w:val="center"/>
          </w:tcPr>
          <w:p w14:paraId="1ECAF33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555" w:type="pct"/>
            <w:shd w:val="clear" w:color="auto" w:fill="auto"/>
            <w:vAlign w:val="center"/>
          </w:tcPr>
          <w:p w14:paraId="505CC4B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全自动分枝杆菌液体培养仪</w:t>
            </w:r>
          </w:p>
        </w:tc>
        <w:tc>
          <w:tcPr>
            <w:tcW w:w="3733" w:type="pct"/>
            <w:shd w:val="clear" w:color="auto" w:fill="auto"/>
            <w:vAlign w:val="center"/>
          </w:tcPr>
          <w:p w14:paraId="291676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1.仪器可放置≥1</w:t>
            </w:r>
            <w:r>
              <w:rPr>
                <w:rFonts w:hint="eastAsia" w:ascii="宋体"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00支液培管，仪器内置校准管，实时更新校准曲线。</w:t>
            </w:r>
          </w:p>
          <w:p w14:paraId="0BD7BEE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2.仪器药敏软件和药敏试剂都有注册证。</w:t>
            </w:r>
          </w:p>
          <w:p w14:paraId="00722D1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支持相同生产厂家生产的液体药敏包含链霉素（SM）、异烟肼（INH）、利福平（RFP）、乙胺丁醇（EMB）、氧氟沙星（OFX）、左氧氟沙星（LFX）、莫西沙星（MFX）、卡那霉素（K）、阿米卡星（AK）、卷曲霉素（CPM）、丙硫异烟胺（TH1321），配套药敏架上机使用，每种药敏试剂可以单独订货，并可在系统上自定义药物及相应浓度（提供仪器相同生产厂家配套试剂彩页</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加盖公章）。</w:t>
            </w:r>
          </w:p>
          <w:p w14:paraId="2723C68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.内置报错日志，可依据情况快速诊断仪器故障进行解决，质检系统可实时提示系统使用状态，可及时处理仪器状态，处理完毕后可手动/自动清除错误状态。</w:t>
            </w:r>
          </w:p>
          <w:p w14:paraId="6CD04E8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.具有孔位状态实时监控功能，中断、新放置或缺失等状态可自动刷新，仪器在被动条件下关机数据不丢失，保证工作正常开展。</w:t>
            </w:r>
          </w:p>
          <w:p w14:paraId="69E52B6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lang w:val="en-US" w:eastAsia="zh-CN"/>
              </w:rPr>
              <w:t>.声音、视觉实时状态功能，独立舱门模块，多屏连动显示，每个子机实时显示孵育温度，实时更新剩余孔位、阳性管及阴性管数量数据。</w:t>
            </w:r>
          </w:p>
          <w:p w14:paraId="46BEB15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.仪器利用荧光增强检测技术，检测分枝杆菌生长时消耗氧气导致荧光强度变化，在每个小时荧光模块的监测下，根据判读算法定性孔位状态。</w:t>
            </w:r>
          </w:p>
          <w:p w14:paraId="24292A1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.预留配置网口，可无缝接入LIS管理系统，实验数据实时传输；中文人机交互画面，可显示各培养箱中孔位实时状态、完整培养曲线及系统状态。</w:t>
            </w:r>
          </w:p>
          <w:p w14:paraId="2334073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.仪器使用XY轴辅助定位系统，降低软件架构复杂性，增强容错容差性。</w:t>
            </w:r>
          </w:p>
          <w:p w14:paraId="3379C00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0</w:t>
            </w:r>
            <w:r>
              <w:rPr>
                <w:rFonts w:hint="eastAsia" w:ascii="宋体" w:hAnsi="宋体" w:eastAsia="宋体" w:cs="宋体"/>
                <w:b/>
                <w:bCs/>
                <w:color w:val="auto"/>
                <w:sz w:val="24"/>
                <w:szCs w:val="24"/>
                <w:lang w:val="en-US" w:eastAsia="zh-CN"/>
              </w:rPr>
              <w:t>.阴性检测天数最长≤42天，分枝杆菌阳性培养平均时间4~11天；报阴、报阳、污染时可查询完整生长曲线，协助确认机器判读是否正确。</w:t>
            </w:r>
          </w:p>
          <w:p w14:paraId="6D18AC2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.内置数据统计功能，可在选定日期条件内，对条件内的总培养数/报阳/报阴/污染数进行汇总划分，方便实验数据分析及总结。</w:t>
            </w:r>
          </w:p>
          <w:p w14:paraId="4FA249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.优化加热模块，无需主动散热，机柜与外界无空气交换，减少气溶胶传播。</w:t>
            </w:r>
          </w:p>
          <w:p w14:paraId="41753D4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.每份孔位结果皆可单独打印报告，内置报告模板，可根据需求设置模板并打印。</w:t>
            </w:r>
          </w:p>
          <w:p w14:paraId="67E2234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.仪器可储存历史结果并查询，且培养数据可导出至Excel中。</w:t>
            </w:r>
          </w:p>
          <w:p w14:paraId="4B0211C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.全中文彩色触控显示屏≥15寸，像素≥1920*1080。</w:t>
            </w:r>
          </w:p>
          <w:p w14:paraId="3EB439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strike w:val="0"/>
                <w:dstrike w:val="0"/>
                <w:color w:val="auto"/>
                <w:sz w:val="24"/>
                <w:szCs w:val="24"/>
                <w:highlight w:val="none"/>
                <w:lang w:val="en-US" w:eastAsia="zh-CN"/>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.机柜</w:t>
            </w:r>
            <w:r>
              <w:rPr>
                <w:rFonts w:hint="eastAsia" w:ascii="宋体" w:hAnsi="宋体" w:cs="宋体"/>
                <w:b/>
                <w:bCs/>
                <w:color w:val="auto"/>
                <w:sz w:val="24"/>
                <w:szCs w:val="24"/>
                <w:highlight w:val="none"/>
                <w:lang w:val="en-US" w:eastAsia="zh-CN"/>
              </w:rPr>
              <w:t>分设</w:t>
            </w:r>
            <w:r>
              <w:rPr>
                <w:rFonts w:hint="eastAsia" w:ascii="宋体" w:hAnsi="宋体" w:eastAsia="宋体" w:cs="宋体"/>
                <w:b/>
                <w:bCs/>
                <w:color w:val="auto"/>
                <w:sz w:val="24"/>
                <w:szCs w:val="24"/>
                <w:highlight w:val="none"/>
                <w:lang w:val="en-US" w:eastAsia="zh-CN"/>
              </w:rPr>
              <w:t>，每个机柜</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0</w:t>
            </w:r>
            <w:r>
              <w:rPr>
                <w:rFonts w:hint="eastAsia" w:ascii="宋体"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个孔位，减少抽屉承重。</w:t>
            </w:r>
            <w:r>
              <w:rPr>
                <w:rFonts w:hint="eastAsia" w:ascii="宋体" w:hAnsi="宋体" w:eastAsia="宋体" w:cs="宋体"/>
                <w:b/>
                <w:bCs/>
                <w:strike w:val="0"/>
                <w:dstrike w:val="0"/>
                <w:color w:val="auto"/>
                <w:sz w:val="24"/>
                <w:szCs w:val="24"/>
                <w:highlight w:val="none"/>
                <w:lang w:val="en-US" w:eastAsia="zh-CN"/>
              </w:rPr>
              <w:t>每</w:t>
            </w:r>
            <w:r>
              <w:rPr>
                <w:rFonts w:hint="eastAsia" w:ascii="宋体" w:hAnsi="宋体" w:eastAsia="宋体" w:cs="宋体"/>
                <w:b/>
                <w:bCs/>
                <w:color w:val="auto"/>
                <w:sz w:val="24"/>
                <w:szCs w:val="24"/>
                <w:highlight w:val="none"/>
                <w:lang w:val="en-US" w:eastAsia="zh-CN"/>
              </w:rPr>
              <w:t>个机柜</w:t>
            </w:r>
            <w:r>
              <w:rPr>
                <w:rFonts w:hint="eastAsia" w:ascii="宋体" w:hAnsi="宋体" w:eastAsia="宋体" w:cs="宋体"/>
                <w:b/>
                <w:bCs/>
                <w:strike w:val="0"/>
                <w:dstrike w:val="0"/>
                <w:color w:val="auto"/>
                <w:sz w:val="24"/>
                <w:szCs w:val="24"/>
                <w:highlight w:val="none"/>
                <w:lang w:val="en-US" w:eastAsia="zh-CN"/>
              </w:rPr>
              <w:t>独立运行，单</w:t>
            </w:r>
            <w:r>
              <w:rPr>
                <w:rFonts w:hint="eastAsia" w:ascii="宋体" w:hAnsi="宋体" w:eastAsia="宋体" w:cs="宋体"/>
                <w:b/>
                <w:bCs/>
                <w:color w:val="auto"/>
                <w:sz w:val="24"/>
                <w:szCs w:val="24"/>
                <w:highlight w:val="none"/>
                <w:lang w:val="en-US" w:eastAsia="zh-CN"/>
              </w:rPr>
              <w:t>个机柜</w:t>
            </w:r>
            <w:r>
              <w:rPr>
                <w:rFonts w:hint="eastAsia" w:ascii="宋体" w:hAnsi="宋体" w:eastAsia="宋体" w:cs="宋体"/>
                <w:b/>
                <w:bCs/>
                <w:strike w:val="0"/>
                <w:dstrike w:val="0"/>
                <w:color w:val="auto"/>
                <w:sz w:val="24"/>
                <w:szCs w:val="24"/>
                <w:highlight w:val="none"/>
                <w:lang w:val="en-US" w:eastAsia="zh-CN"/>
              </w:rPr>
              <w:t>出现故障，不影响另外</w:t>
            </w:r>
            <w:r>
              <w:rPr>
                <w:rFonts w:hint="eastAsia" w:ascii="宋体" w:hAnsi="宋体" w:eastAsia="宋体" w:cs="宋体"/>
                <w:b/>
                <w:bCs/>
                <w:color w:val="auto"/>
                <w:sz w:val="24"/>
                <w:szCs w:val="24"/>
                <w:highlight w:val="none"/>
                <w:lang w:val="en-US" w:eastAsia="zh-CN"/>
              </w:rPr>
              <w:t>机柜</w:t>
            </w:r>
            <w:r>
              <w:rPr>
                <w:rFonts w:hint="eastAsia" w:ascii="宋体" w:hAnsi="宋体" w:eastAsia="宋体" w:cs="宋体"/>
                <w:b/>
                <w:bCs/>
                <w:strike w:val="0"/>
                <w:dstrike w:val="0"/>
                <w:color w:val="auto"/>
                <w:sz w:val="24"/>
                <w:szCs w:val="24"/>
                <w:highlight w:val="none"/>
                <w:lang w:val="en-US" w:eastAsia="zh-CN"/>
              </w:rPr>
              <w:t>运行。</w:t>
            </w:r>
          </w:p>
          <w:p w14:paraId="1D6BA57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.支持同品牌的罗氏培养管，分枝杆菌药敏罗氏培养基，样本稀释液，包含BALC法痰消化液和NAOH碱处理液，需有医疗产品注册证或者备案凭证，方便实验室质控和性能验证。</w:t>
            </w:r>
          </w:p>
        </w:tc>
        <w:tc>
          <w:tcPr>
            <w:tcW w:w="245" w:type="pct"/>
            <w:shd w:val="clear" w:color="auto" w:fill="auto"/>
            <w:vAlign w:val="center"/>
          </w:tcPr>
          <w:p w14:paraId="3B85EB0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223" w:type="pct"/>
            <w:shd w:val="clear" w:color="auto" w:fill="auto"/>
            <w:vAlign w:val="center"/>
          </w:tcPr>
          <w:p w14:paraId="34B5D20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套</w:t>
            </w:r>
          </w:p>
        </w:tc>
      </w:tr>
      <w:tr w14:paraId="1346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242" w:type="pct"/>
            <w:shd w:val="clear" w:color="auto" w:fill="auto"/>
            <w:vAlign w:val="center"/>
          </w:tcPr>
          <w:p w14:paraId="1C6CDF4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p>
        </w:tc>
        <w:tc>
          <w:tcPr>
            <w:tcW w:w="555" w:type="pct"/>
            <w:shd w:val="clear" w:color="auto" w:fill="auto"/>
            <w:vAlign w:val="center"/>
          </w:tcPr>
          <w:p w14:paraId="5989DD4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全自动微生物鉴定及药敏系统（进口）</w:t>
            </w:r>
          </w:p>
        </w:tc>
        <w:tc>
          <w:tcPr>
            <w:tcW w:w="3733" w:type="pct"/>
            <w:shd w:val="clear" w:color="auto" w:fill="auto"/>
            <w:vAlign w:val="center"/>
          </w:tcPr>
          <w:p w14:paraId="0EC687C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w:t>
            </w:r>
            <w:r>
              <w:rPr>
                <w:rFonts w:hint="eastAsia" w:ascii="宋体" w:hAnsi="宋体" w:eastAsia="宋体" w:cs="宋体"/>
                <w:b/>
                <w:bCs/>
                <w:color w:val="auto"/>
                <w:sz w:val="24"/>
                <w:szCs w:val="24"/>
                <w:u w:val="none"/>
                <w:lang w:val="en-US" w:eastAsia="zh-CN"/>
              </w:rPr>
              <w:t>1.仪器能对可自动进行革兰阴性菌、革兰阳性球菌、革兰氏阳性杆菌、酵母样真菌、苛养菌、厌氧菌、嗜血杆菌及棒状杆菌等的鉴定，检测过程中无需额外加试剂。鉴定种类大于550种。</w:t>
            </w:r>
          </w:p>
          <w:p w14:paraId="1D9CDDF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2.细菌鉴定值标准：源于国际细菌鉴定标准,根据CLSI标准、EUCAST标准及相关指导性文件分析MIC，能够报告MIC和S、I、R敏感度。</w:t>
            </w:r>
          </w:p>
          <w:p w14:paraId="064F58C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3.可提示超过20种特殊耐药表型，如MRSA、MRCNS、ESBL、β-LAC、ICR、HLAR、CRE、CRKPN、CRAB、CRPAE、VRE等。</w:t>
            </w:r>
          </w:p>
          <w:p w14:paraId="22C678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w:t>
            </w:r>
            <w:r>
              <w:rPr>
                <w:rFonts w:hint="eastAsia" w:ascii="宋体" w:hAnsi="宋体" w:eastAsia="宋体" w:cs="宋体"/>
                <w:b/>
                <w:bCs/>
                <w:color w:val="auto"/>
                <w:sz w:val="24"/>
                <w:szCs w:val="24"/>
                <w:u w:val="none"/>
                <w:lang w:val="en-US" w:eastAsia="zh-CN"/>
              </w:rPr>
              <w:t>4.药敏性能：至少提供不少于8种获得NMPA认证的药敏板条或卡片，包含革兰阴性杆菌、链球菌、革兰阳性菌、酵母样真菌菌的药敏监测（提供NMPA注册证加以佐证）。每个试验可提供抗生素敏感性结果及MIC值，并包含可推测的抗生素耐药结果。可检测包括ESBL、MRSA、高水平氨基糖苷类耐药、可诱导克林霉素耐药、头孢西丁耐药等多种耐药机制。阳性菌药敏包含达托霉素、替考拉宁的药敏检测，阴性菌药敏包括头孢派酮/舒巴坦、替加环素、依拉环素、粘菌素、头孢他啶阿维巴坦的药敏检测。酵母样真菌包括药敏包含氟康唑、伏立康唑、卡泊芬净、米卡芬净的药敏检测。能对各种最新的细菌耐药模式进行检测,可提示大于950种耐药机制,可检测大于2000种耐药表型以及20000万个以上MIC分布图。</w:t>
            </w:r>
          </w:p>
          <w:p w14:paraId="0D59935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5.系统≥15张卡位，具备扩容功能。</w:t>
            </w:r>
          </w:p>
          <w:p w14:paraId="244A36C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6.能提供的独立包装鉴定卡和药敏卡，鉴定卡和药敏卡独立分开。</w:t>
            </w:r>
          </w:p>
          <w:p w14:paraId="1F8E7E7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w:t>
            </w:r>
            <w:r>
              <w:rPr>
                <w:rFonts w:hint="eastAsia" w:ascii="宋体" w:hAnsi="宋体" w:eastAsia="宋体" w:cs="宋体"/>
                <w:b/>
                <w:bCs/>
                <w:color w:val="auto"/>
                <w:sz w:val="24"/>
                <w:szCs w:val="24"/>
                <w:u w:val="none"/>
                <w:lang w:val="en-US" w:eastAsia="zh-CN"/>
              </w:rPr>
              <w:t>7.具有专家系统，能提供自动确认结果功能，并根据对MIC的结果分析提供治疗的解释和临床治疗的建议。可推导未检测抗生素的敏感性结果并提供耐药表型分析。药敏试验符合美国CLSI、法国CASFM两种检测标准。</w:t>
            </w:r>
          </w:p>
          <w:p w14:paraId="210BB21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w:t>
            </w:r>
            <w:r>
              <w:rPr>
                <w:rFonts w:hint="eastAsia" w:ascii="宋体" w:hAnsi="宋体" w:eastAsia="宋体" w:cs="宋体"/>
                <w:b/>
                <w:bCs/>
                <w:color w:val="auto"/>
                <w:sz w:val="24"/>
                <w:szCs w:val="24"/>
                <w:u w:val="none"/>
                <w:lang w:val="en-US" w:eastAsia="zh-CN"/>
              </w:rPr>
              <w:t>8.具备肠杆菌、非发酵菌、链球菌（肠球菌）、葡萄球菌（微球菌）、真菌药敏板，同时具备棒状杆菌、奈瑟氏菌/嗜血杆菌鉴定板。</w:t>
            </w:r>
          </w:p>
          <w:p w14:paraId="66D481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9.能够全自动进行科研、临床病原菌的鉴定，平均鉴定时间不大于6小时。全自动进行科研、临床病原菌的药敏实验，平均药敏实验时间不大于6小时。</w:t>
            </w:r>
          </w:p>
          <w:p w14:paraId="301477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10.鉴定药敏数据可直接导出</w:t>
            </w:r>
            <w:r>
              <w:rPr>
                <w:rFonts w:hint="eastAsia" w:ascii="宋体" w:hAnsi="宋体" w:cs="宋体"/>
                <w:color w:val="auto"/>
                <w:sz w:val="24"/>
                <w:szCs w:val="24"/>
                <w:u w:val="none"/>
                <w:lang w:val="en-US" w:eastAsia="zh-CN"/>
              </w:rPr>
              <w:t>PDF</w:t>
            </w:r>
            <w:r>
              <w:rPr>
                <w:rFonts w:hint="eastAsia" w:ascii="宋体" w:hAnsi="宋体" w:eastAsia="宋体" w:cs="宋体"/>
                <w:color w:val="auto"/>
                <w:sz w:val="24"/>
                <w:szCs w:val="24"/>
                <w:u w:val="none"/>
                <w:lang w:val="en-US" w:eastAsia="zh-CN"/>
              </w:rPr>
              <w:t>格式，通过CARSS中间件上传WHONET，无需格式转换。</w:t>
            </w:r>
          </w:p>
          <w:p w14:paraId="226F233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w:t>
            </w:r>
            <w:r>
              <w:rPr>
                <w:rFonts w:hint="eastAsia" w:ascii="宋体" w:hAnsi="宋体" w:eastAsia="宋体" w:cs="宋体"/>
                <w:b/>
                <w:bCs/>
                <w:color w:val="auto"/>
                <w:sz w:val="24"/>
                <w:szCs w:val="24"/>
                <w:u w:val="none"/>
                <w:lang w:val="en-US" w:eastAsia="zh-CN"/>
              </w:rPr>
              <w:t>11.具备条码识别系统，能自动填充悬浮液至试剂卡、自动密封拭卡，并自动将拭卡装载于光学读数系统/孵育系统；测试结束时可自动丢弃拭卡。卡片填充菌液后为封闭式卡片，不会造成污染。</w:t>
            </w:r>
          </w:p>
          <w:p w14:paraId="4EC2F52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12.仪器备有中文报告操作系统，仪器可与医院LIS系统和/或HIS系统联网。</w:t>
            </w:r>
          </w:p>
          <w:p w14:paraId="2B89C6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w:t>
            </w:r>
            <w:r>
              <w:rPr>
                <w:rFonts w:hint="eastAsia" w:ascii="宋体" w:hAnsi="宋体" w:eastAsia="宋体" w:cs="宋体"/>
                <w:b/>
                <w:bCs/>
                <w:color w:val="auto"/>
                <w:sz w:val="24"/>
                <w:szCs w:val="24"/>
                <w:u w:val="none"/>
                <w:lang w:val="en-US" w:eastAsia="zh-CN"/>
              </w:rPr>
              <w:t>13.配置可与鉴定药敏系统连接的比浊仪，自动将配置的菌悬液浊度传输到仪器中储存，确保药敏结果直接溯源到菌液浊度，提高药敏结果准确性。</w:t>
            </w:r>
          </w:p>
          <w:p w14:paraId="4F42A91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b/>
                <w:bCs/>
                <w:color w:val="auto"/>
                <w:sz w:val="24"/>
                <w:szCs w:val="24"/>
                <w:u w:val="none"/>
                <w:lang w:val="en-US" w:eastAsia="zh-CN"/>
              </w:rPr>
              <w:t>★</w:t>
            </w:r>
            <w:r>
              <w:rPr>
                <w:rFonts w:hint="eastAsia" w:ascii="宋体" w:hAnsi="宋体" w:eastAsia="宋体" w:cs="宋体"/>
                <w:b/>
                <w:bCs/>
                <w:color w:val="auto"/>
                <w:sz w:val="24"/>
                <w:szCs w:val="24"/>
                <w:u w:val="none"/>
                <w:lang w:val="en-US" w:eastAsia="zh-CN"/>
              </w:rPr>
              <w:t>14.能够通过独立数据传输通道实现与CARSS（全国细菌耐药监测网）中间件的连接，保障耐药数据规范快速上报。</w:t>
            </w:r>
          </w:p>
        </w:tc>
        <w:tc>
          <w:tcPr>
            <w:tcW w:w="245" w:type="pct"/>
            <w:shd w:val="clear" w:color="auto" w:fill="auto"/>
            <w:vAlign w:val="center"/>
          </w:tcPr>
          <w:p w14:paraId="28DD789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223" w:type="pct"/>
            <w:shd w:val="clear" w:color="auto" w:fill="auto"/>
            <w:vAlign w:val="center"/>
          </w:tcPr>
          <w:p w14:paraId="08B8011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台</w:t>
            </w:r>
          </w:p>
        </w:tc>
      </w:tr>
      <w:tr w14:paraId="734D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242" w:type="pct"/>
            <w:shd w:val="clear" w:color="auto" w:fill="auto"/>
            <w:vAlign w:val="center"/>
          </w:tcPr>
          <w:p w14:paraId="4485239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p>
        </w:tc>
        <w:tc>
          <w:tcPr>
            <w:tcW w:w="555" w:type="pct"/>
            <w:shd w:val="clear" w:color="auto" w:fill="auto"/>
            <w:vAlign w:val="center"/>
          </w:tcPr>
          <w:p w14:paraId="5AABB15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全自动微生物血液培养系统</w:t>
            </w:r>
          </w:p>
        </w:tc>
        <w:tc>
          <w:tcPr>
            <w:tcW w:w="3733" w:type="pct"/>
            <w:shd w:val="clear" w:color="auto" w:fill="auto"/>
            <w:vAlign w:val="center"/>
          </w:tcPr>
          <w:p w14:paraId="23003A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w:t>
            </w:r>
            <w:r>
              <w:rPr>
                <w:rFonts w:hint="eastAsia" w:ascii="宋体" w:hAnsi="宋体" w:eastAsia="宋体" w:cs="宋体"/>
                <w:b/>
                <w:bCs/>
                <w:color w:val="auto"/>
                <w:sz w:val="24"/>
                <w:szCs w:val="24"/>
                <w:u w:val="none"/>
                <w:lang w:val="en-US" w:eastAsia="zh-CN"/>
              </w:rPr>
              <w:t>1.能对血液、脑脊液、胸水、腹水、关节腔积液等各种标本进行培养。</w:t>
            </w:r>
          </w:p>
          <w:p w14:paraId="30DB184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2.快速培养的细菌范围：需氧菌、厌氧菌、真菌等。</w:t>
            </w:r>
          </w:p>
          <w:p w14:paraId="6C6F7A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w:t>
            </w:r>
            <w:r>
              <w:rPr>
                <w:rFonts w:hint="eastAsia" w:ascii="宋体" w:hAnsi="宋体" w:eastAsia="宋体" w:cs="宋体"/>
                <w:b/>
                <w:bCs/>
                <w:color w:val="auto"/>
                <w:sz w:val="24"/>
                <w:szCs w:val="24"/>
                <w:u w:val="none"/>
                <w:lang w:val="en-US" w:eastAsia="zh-CN"/>
              </w:rPr>
              <w:t>3.系统必须提供3种不同的计算方法，阈值、斜率与加速度，来决定阳性结果。</w:t>
            </w:r>
          </w:p>
          <w:p w14:paraId="1D0C268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w:t>
            </w:r>
            <w:r>
              <w:rPr>
                <w:rFonts w:hint="eastAsia" w:ascii="宋体" w:hAnsi="宋体" w:eastAsia="宋体" w:cs="宋体"/>
                <w:b/>
                <w:bCs/>
                <w:color w:val="auto"/>
                <w:sz w:val="24"/>
                <w:szCs w:val="24"/>
                <w:u w:val="none"/>
                <w:lang w:val="en-US" w:eastAsia="zh-CN"/>
              </w:rPr>
              <w:t>4.系统可同时处理不少于120个瓶。系统可独立运作并可定为一般细菌培养或分枝杆菌培养。</w:t>
            </w:r>
          </w:p>
          <w:p w14:paraId="4FE5AEC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5.系统对一些延迟放进机内的培养瓶，应仍能检测阳性结果。</w:t>
            </w:r>
          </w:p>
          <w:p w14:paraId="0D58B35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6.每组培养箱的温度应可在25℃-45℃范围内调校，来针对适合临床或环境细菌所需要的生长温度。</w:t>
            </w:r>
          </w:p>
          <w:p w14:paraId="7245F9F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w:t>
            </w:r>
            <w:r>
              <w:rPr>
                <w:rFonts w:hint="eastAsia" w:ascii="宋体" w:hAnsi="宋体" w:eastAsia="宋体" w:cs="宋体"/>
                <w:b/>
                <w:bCs/>
                <w:color w:val="auto"/>
                <w:sz w:val="24"/>
                <w:szCs w:val="24"/>
                <w:u w:val="none"/>
                <w:lang w:val="en-US" w:eastAsia="zh-CN"/>
              </w:rPr>
              <w:t>7.采用先进的不可逆的二氧化碳产色技术，通过培养瓶底二氧化碳感应器，可快速、准确地侦测出培养瓶内是否有微生物存在或生长。</w:t>
            </w:r>
          </w:p>
          <w:p w14:paraId="3D6E1D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8.系统应可通过指令显示每个培养瓶的读数曲线。</w:t>
            </w:r>
          </w:p>
          <w:p w14:paraId="26D96B4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w:t>
            </w:r>
            <w:r>
              <w:rPr>
                <w:rFonts w:hint="eastAsia" w:ascii="宋体" w:hAnsi="宋体" w:eastAsia="宋体" w:cs="宋体"/>
                <w:b/>
                <w:bCs/>
                <w:color w:val="auto"/>
                <w:sz w:val="24"/>
                <w:szCs w:val="24"/>
                <w:u w:val="none"/>
                <w:lang w:val="en-US" w:eastAsia="zh-CN"/>
              </w:rPr>
              <w:t>9.系统应能应用标准需氧及厌氧瓶、儿童标本瓶、中和抗生素瓶等。</w:t>
            </w:r>
          </w:p>
          <w:p w14:paraId="264293B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10.仪器配套使用的血培养瓶具备血液及其它正常无菌体液中微生物培养及检测功能。</w:t>
            </w:r>
          </w:p>
          <w:p w14:paraId="0E5B2D2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11.系统的记忆体应能储存多于1400个瓶的资料。</w:t>
            </w:r>
          </w:p>
          <w:p w14:paraId="5E4075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u w:val="none"/>
                <w:lang w:val="en-US" w:eastAsia="zh-CN"/>
              </w:rPr>
            </w:pPr>
            <w:r>
              <w:rPr>
                <w:rFonts w:hint="eastAsia" w:ascii="宋体" w:hAnsi="宋体" w:cs="宋体"/>
                <w:b/>
                <w:bCs/>
                <w:color w:val="auto"/>
                <w:sz w:val="24"/>
                <w:szCs w:val="24"/>
                <w:u w:val="none"/>
                <w:lang w:val="en-US" w:eastAsia="zh-CN"/>
              </w:rPr>
              <w:t>★</w:t>
            </w:r>
            <w:r>
              <w:rPr>
                <w:rFonts w:hint="eastAsia" w:ascii="宋体" w:hAnsi="宋体" w:eastAsia="宋体" w:cs="宋体"/>
                <w:b/>
                <w:bCs/>
                <w:color w:val="auto"/>
                <w:sz w:val="24"/>
                <w:szCs w:val="24"/>
                <w:u w:val="none"/>
                <w:lang w:val="en-US" w:eastAsia="zh-CN"/>
              </w:rPr>
              <w:t>12.仪器配套的需氧及厌氧中和抗生素血培养瓶均具有中和抗生素能力，可吸附青霉素类、大环内酯类、棘白霉素类等常用抗生素。仪器配套使用的厌氧和兼性厌氧微生物培养瓶可吸附亚胺培南、美罗培南、氨基糖苷类、氟喹诺酮类和糖肽类等常用抗生素（以中国药监局NMPA批准的血瓶说明书“产品性能指标”为准，提供证明材料）且仪器配套的血培养瓶在国内生产。</w:t>
            </w:r>
          </w:p>
          <w:p w14:paraId="0E47D49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13.在某些特殊情况下，儿童最低采血量0.2ml时，血培养瓶依然能检出致病菌（以中国药监局NMPA批准的儿童血培养瓶说明书“临床研究结果”为准，提供证明材料）。</w:t>
            </w:r>
          </w:p>
          <w:p w14:paraId="1FF67AB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14.每个瓶应为具有“不碎”特点的多层聚合碳纤维瓶，以增加安全性。</w:t>
            </w:r>
          </w:p>
          <w:p w14:paraId="77785DB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none"/>
                <w:lang w:val="en-US" w:eastAsia="zh-CN"/>
              </w:rPr>
              <w:t>15.仪器备有中文报告操作系统，仪器可与医院LIS系统和/或HIS系统联网，仪器使用年限≥10年且仪器在国内生产。</w:t>
            </w:r>
          </w:p>
        </w:tc>
        <w:tc>
          <w:tcPr>
            <w:tcW w:w="245" w:type="pct"/>
            <w:shd w:val="clear" w:color="auto" w:fill="auto"/>
            <w:vAlign w:val="center"/>
          </w:tcPr>
          <w:p w14:paraId="36588C0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223" w:type="pct"/>
            <w:shd w:val="clear" w:color="auto" w:fill="auto"/>
            <w:vAlign w:val="center"/>
          </w:tcPr>
          <w:p w14:paraId="663DF68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台</w:t>
            </w:r>
          </w:p>
        </w:tc>
      </w:tr>
      <w:tr w14:paraId="3455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242" w:type="pct"/>
            <w:shd w:val="clear" w:color="auto" w:fill="auto"/>
            <w:vAlign w:val="center"/>
          </w:tcPr>
          <w:p w14:paraId="565F267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p>
        </w:tc>
        <w:tc>
          <w:tcPr>
            <w:tcW w:w="555" w:type="pct"/>
            <w:shd w:val="clear" w:color="auto" w:fill="auto"/>
            <w:vAlign w:val="center"/>
          </w:tcPr>
          <w:p w14:paraId="1092D43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电子支气管镜（进口）</w:t>
            </w:r>
          </w:p>
        </w:tc>
        <w:tc>
          <w:tcPr>
            <w:tcW w:w="3733" w:type="pct"/>
            <w:shd w:val="clear" w:color="auto" w:fill="auto"/>
            <w:vAlign w:val="center"/>
          </w:tcPr>
          <w:p w14:paraId="5782BE0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1.视野角度≥120度。</w:t>
            </w:r>
          </w:p>
          <w:p w14:paraId="65AE698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2.景深距离：2-100mm。</w:t>
            </w:r>
          </w:p>
          <w:p w14:paraId="72C8007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3.先端部外径≤4.8mm。</w:t>
            </w:r>
          </w:p>
          <w:p w14:paraId="13533C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4.插入部外径≤4.9mm。</w:t>
            </w:r>
          </w:p>
          <w:p w14:paraId="6A62C95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5.插入部有效长度≧600mm。</w:t>
            </w:r>
          </w:p>
          <w:p w14:paraId="6F7A72A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6.最小器械孔道内径：≧1.95mm。</w:t>
            </w:r>
          </w:p>
          <w:p w14:paraId="4F1DCE5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7.弯曲部角度：向上≥210度、向下≥130度。</w:t>
            </w:r>
          </w:p>
          <w:p w14:paraId="7E125AA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8.插入管具备左右旋转功能，左右旋转≥120度。</w:t>
            </w:r>
          </w:p>
          <w:p w14:paraId="12A9C78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9.内镜信息记忆：内置记忆芯片，可存储相关参数并提示器械伸出方向。</w:t>
            </w:r>
          </w:p>
          <w:p w14:paraId="66E61B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10.可兼容医院现有纤支镜系统主机。</w:t>
            </w:r>
          </w:p>
          <w:p w14:paraId="5890A3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11.具有防水一触式接头，清洗时无需佩戴防水帽。</w:t>
            </w:r>
          </w:p>
          <w:p w14:paraId="25B1B77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12.按钮数量≥4个，可按需要将主机功能设置在任意一个按钮上，至少可遥控图像大小、图像强调、电子放大、图像冻结四种功能。</w:t>
            </w:r>
          </w:p>
        </w:tc>
        <w:tc>
          <w:tcPr>
            <w:tcW w:w="245" w:type="pct"/>
            <w:shd w:val="clear" w:color="auto" w:fill="auto"/>
            <w:vAlign w:val="center"/>
          </w:tcPr>
          <w:p w14:paraId="0D8C563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223" w:type="pct"/>
            <w:shd w:val="clear" w:color="auto" w:fill="auto"/>
            <w:vAlign w:val="center"/>
          </w:tcPr>
          <w:p w14:paraId="00D7061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条</w:t>
            </w:r>
          </w:p>
        </w:tc>
      </w:tr>
      <w:tr w14:paraId="5EEC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242" w:type="pct"/>
            <w:shd w:val="clear" w:color="auto" w:fill="auto"/>
            <w:vAlign w:val="center"/>
          </w:tcPr>
          <w:p w14:paraId="42B5022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p>
        </w:tc>
        <w:tc>
          <w:tcPr>
            <w:tcW w:w="555" w:type="pct"/>
            <w:shd w:val="clear" w:color="auto" w:fill="auto"/>
            <w:vAlign w:val="center"/>
          </w:tcPr>
          <w:p w14:paraId="21DF73A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骨密度仪</w:t>
            </w:r>
          </w:p>
        </w:tc>
        <w:tc>
          <w:tcPr>
            <w:tcW w:w="3733" w:type="pct"/>
            <w:shd w:val="clear" w:color="auto" w:fill="auto"/>
            <w:vAlign w:val="center"/>
          </w:tcPr>
          <w:p w14:paraId="10A4562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1.该设备需通过中国NMPA认证，请投标商提供中国NMPA认证的复印件。</w:t>
            </w:r>
          </w:p>
          <w:p w14:paraId="4976555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2.探测器系统</w:t>
            </w:r>
          </w:p>
          <w:p w14:paraId="55D7A7F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（1）光子计数探测器。</w:t>
            </w:r>
          </w:p>
          <w:p w14:paraId="114310D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（2）探测器通道数量：≥16个。</w:t>
            </w:r>
          </w:p>
          <w:p w14:paraId="295DE26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3.X线源</w:t>
            </w:r>
          </w:p>
          <w:p w14:paraId="446032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（1）K缘过滤，同时产生高低双能X线。</w:t>
            </w:r>
          </w:p>
          <w:p w14:paraId="6862F8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（2）X线扫描线束：窄角扇形且扇形开角≤5°。</w:t>
            </w:r>
          </w:p>
          <w:p w14:paraId="65C17AD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（3）球管最大电流≥3mA。</w:t>
            </w:r>
          </w:p>
          <w:p w14:paraId="0A185CD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（4）采集成像方式：连续扫描式。</w:t>
            </w:r>
          </w:p>
          <w:p w14:paraId="572F7BB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（5）自动智能扫描：</w:t>
            </w:r>
          </w:p>
          <w:p w14:paraId="2A1915D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①无需预扫描，配置激光定位系统。</w:t>
            </w:r>
          </w:p>
          <w:p w14:paraId="78122BD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②具备根据骨骼结构，适形扫描，自动调整扫描宽度功能。</w:t>
            </w:r>
          </w:p>
          <w:p w14:paraId="32AEE45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4.扫描</w:t>
            </w:r>
          </w:p>
          <w:p w14:paraId="78CD68B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（1）扫描床，长度：≥200cm；宽度：≥105cm。</w:t>
            </w:r>
          </w:p>
          <w:p w14:paraId="2A36F1C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（2）最大病人承重：≥155kg。</w:t>
            </w:r>
          </w:p>
          <w:p w14:paraId="08EC102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（3）最大有效扫描视野，长度*宽度：≥130cm * 59cm。</w:t>
            </w:r>
          </w:p>
          <w:p w14:paraId="26F6E51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（4）标准扫描时间，腰椎：≤30秒钟，股骨：≤30秒钟。</w:t>
            </w:r>
          </w:p>
          <w:p w14:paraId="1D8E450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（5）精确激光定位灯。</w:t>
            </w:r>
          </w:p>
          <w:p w14:paraId="3BCD829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（6）全配套扫描定位器（包括腰椎、髋关节等）。</w:t>
            </w:r>
          </w:p>
          <w:p w14:paraId="008647F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（7）对腰椎质控模块扫描的精度（重复性误差）：≤1.0%</w:t>
            </w:r>
          </w:p>
          <w:p w14:paraId="7BA8044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（8）提供高清晰度骨骼影像。</w:t>
            </w:r>
          </w:p>
          <w:p w14:paraId="2AF9128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（9）MVIR多视角影像重建技术。</w:t>
            </w:r>
          </w:p>
          <w:p w14:paraId="065FC46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（10）对活体常规部位扫描精度（重复性误差）：</w:t>
            </w:r>
          </w:p>
          <w:p w14:paraId="03A5FE8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①腰椎、股骨：≤1.0%</w:t>
            </w:r>
          </w:p>
          <w:p w14:paraId="152B23B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②双侧股骨：≤0.6%</w:t>
            </w:r>
          </w:p>
          <w:p w14:paraId="5D78C9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（11）具备操作质控功能，在扫描之后，系统能够自动检测脊柱、髋关节、前臂等部位是否存在摆位异常或是分析异常，并能给出提示和纠正建议（提供软件界面截图或报告）。</w:t>
            </w:r>
          </w:p>
          <w:p w14:paraId="6FAF87A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5.扫描部位及临床应用功能</w:t>
            </w:r>
          </w:p>
          <w:p w14:paraId="62808B6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（1）单侧股骨扫描、评估。</w:t>
            </w:r>
          </w:p>
          <w:p w14:paraId="6BC8155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（2）正位腰椎扫描、评估。</w:t>
            </w:r>
          </w:p>
          <w:p w14:paraId="2DA287D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（3）前臂测量和分析。</w:t>
            </w:r>
          </w:p>
          <w:p w14:paraId="6E6B888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（4）双侧股骨自动扫描、评估：</w:t>
            </w:r>
          </w:p>
          <w:p w14:paraId="5F2A047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①一次定位，自动扫描完成，同屏显示双侧髋关节影像。</w:t>
            </w:r>
          </w:p>
          <w:p w14:paraId="1D44B58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②自动提供双侧股骨平均骨密度值以及差异分析功能并提供检测联合结果。</w:t>
            </w:r>
          </w:p>
          <w:p w14:paraId="186A3CD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（5）人工髋关节置换后的自动扫描、评估：</w:t>
            </w:r>
          </w:p>
          <w:p w14:paraId="25F4C4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①增强型骨科专用软件（髋关节），用于人工髋关节置换术后假体周围骨量测量及变化评估。</w:t>
            </w:r>
          </w:p>
          <w:p w14:paraId="2923F05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②人工髋关节周围划分的评估区个数：≥19个（厂家提供临床图像和报告）。</w:t>
            </w:r>
          </w:p>
          <w:p w14:paraId="314CA52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（6）骨折风险评估软件。</w:t>
            </w:r>
          </w:p>
          <w:p w14:paraId="24354FD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（7）一次定位，自动完成腰椎、双侧股骨扫描检测功能。</w:t>
            </w:r>
          </w:p>
          <w:p w14:paraId="50420DB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（8）计算机自动辅助诊断分析软件。</w:t>
            </w:r>
          </w:p>
          <w:p w14:paraId="151BEE5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（9）具备流程管理工具，提供患者数据检索功能，可按照BMD、BMC、T值、Z值等字段进行数据筛选并导出报表。可将患者数据导出txt文档或者excel文件。</w:t>
            </w:r>
          </w:p>
          <w:p w14:paraId="5DCF2B8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（10）具备LSC最小有意义变化值辅助计算工具。</w:t>
            </w:r>
          </w:p>
          <w:p w14:paraId="5B8409A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6.临床应用软件包</w:t>
            </w:r>
          </w:p>
          <w:p w14:paraId="29B12B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（1）运行环境：预装中文WINDOWS操作系统。</w:t>
            </w:r>
          </w:p>
          <w:p w14:paraId="7778922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（2）骨密度仪中文操作软件及骨密度结果中文影像数据检测报告（非第三方汉化）。</w:t>
            </w:r>
          </w:p>
          <w:p w14:paraId="5E00A01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（3）骨密度计算软件包。</w:t>
            </w:r>
          </w:p>
          <w:p w14:paraId="32C06F1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（4）中国大陆人数据库（请提供软件界面截图证明）。</w:t>
            </w:r>
          </w:p>
          <w:p w14:paraId="7BF7D3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（5）NHANES III参照数据库。</w:t>
            </w:r>
          </w:p>
          <w:p w14:paraId="7B45F56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（6）智能自动确定骨边缘软件。</w:t>
            </w:r>
          </w:p>
          <w:p w14:paraId="7961A72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（7）体重/种族差异校正软件。</w:t>
            </w:r>
          </w:p>
          <w:p w14:paraId="0CFBFD7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（8）异常骨密度区域或金属自动排除软件。</w:t>
            </w:r>
          </w:p>
          <w:p w14:paraId="7B6142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（9）屏幕上扫描部位调整（可以通过软件，在屏幕上对扫描部位做精细调整，保证测量的精确性）。</w:t>
            </w:r>
          </w:p>
          <w:p w14:paraId="328D4EB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（10）与前一次扫描结果对比分析。</w:t>
            </w:r>
          </w:p>
          <w:p w14:paraId="24E1E12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（11）T值和Z值分析软件。</w:t>
            </w:r>
          </w:p>
          <w:p w14:paraId="26FFB8C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（12）检测质量控制系统（含质量检测程序，QA态势分析）。</w:t>
            </w:r>
          </w:p>
          <w:p w14:paraId="0ACE9D6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（13）检测结果趋势分析功能。</w:t>
            </w:r>
          </w:p>
          <w:p w14:paraId="799D53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（14）多部位集成报告软件：多部位集成报告系统，将所有检测结果打印在一张报告上进行联合评估。</w:t>
            </w:r>
          </w:p>
          <w:p w14:paraId="567EF3F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（15）自动化报告编辑书写软件。</w:t>
            </w:r>
          </w:p>
          <w:p w14:paraId="219DD48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（16）DICOM 协议接口（存储、传输、检索/查询、Worklist、打印）。</w:t>
            </w:r>
          </w:p>
          <w:p w14:paraId="3A470E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（17）HL7协议接口。</w:t>
            </w:r>
          </w:p>
          <w:p w14:paraId="7AF135A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7.放射剂量</w:t>
            </w:r>
          </w:p>
          <w:p w14:paraId="7A342B5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（1）脊柱/股骨扫描放射剂量：≤37μGy。</w:t>
            </w:r>
          </w:p>
          <w:p w14:paraId="58C679A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（2）操作者散射剂量：距扫描床1米处外溢剂量≤6μSv/Hr。</w:t>
            </w:r>
          </w:p>
          <w:p w14:paraId="6D3B7C0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8.校准系统</w:t>
            </w:r>
          </w:p>
          <w:p w14:paraId="25A799D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（1）自动质控测试程序。</w:t>
            </w:r>
          </w:p>
          <w:p w14:paraId="2F2268C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（2）自动质控趋势分析。</w:t>
            </w:r>
          </w:p>
          <w:p w14:paraId="6CA2227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（3）质控模块（含大、中、小三种骨密度校准，适合不同人群，请提供检测报告六点校准软件界面及报告）。</w:t>
            </w:r>
          </w:p>
          <w:p w14:paraId="3B198C8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9.计算机系统</w:t>
            </w:r>
          </w:p>
          <w:p w14:paraId="603D20E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（1）主控计算机。</w:t>
            </w:r>
          </w:p>
          <w:p w14:paraId="59A534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①CPU类型：Intel双核，主频≥3.40 GHz。</w:t>
            </w:r>
          </w:p>
          <w:p w14:paraId="6107B17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②内存：≥4GB。</w:t>
            </w:r>
          </w:p>
          <w:p w14:paraId="417D2DA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③硬盘：≥500GB。</w:t>
            </w:r>
          </w:p>
          <w:p w14:paraId="5C4A2FA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④DVD光驱。</w:t>
            </w:r>
          </w:p>
          <w:p w14:paraId="0F2A25E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（2）显示器：≥23英寸液晶显示器。</w:t>
            </w:r>
          </w:p>
          <w:p w14:paraId="16A76BD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（3）彩色打印机。</w:t>
            </w:r>
          </w:p>
          <w:p w14:paraId="770F48D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10.可依据医院的实际需求，结合骨密度仪相应要求，对操作间实施专业化的装修改造。</w:t>
            </w:r>
          </w:p>
        </w:tc>
        <w:tc>
          <w:tcPr>
            <w:tcW w:w="245" w:type="pct"/>
            <w:shd w:val="clear" w:color="auto" w:fill="auto"/>
            <w:vAlign w:val="center"/>
          </w:tcPr>
          <w:p w14:paraId="1838A0B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223" w:type="pct"/>
            <w:shd w:val="clear" w:color="auto" w:fill="auto"/>
            <w:vAlign w:val="center"/>
          </w:tcPr>
          <w:p w14:paraId="45A7A66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台</w:t>
            </w:r>
          </w:p>
        </w:tc>
      </w:tr>
      <w:tr w14:paraId="4F32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242" w:type="pct"/>
            <w:shd w:val="clear" w:color="auto" w:fill="auto"/>
            <w:vAlign w:val="center"/>
          </w:tcPr>
          <w:p w14:paraId="220E9B1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p>
        </w:tc>
        <w:tc>
          <w:tcPr>
            <w:tcW w:w="555" w:type="pct"/>
            <w:shd w:val="clear" w:color="auto" w:fill="auto"/>
            <w:vAlign w:val="center"/>
          </w:tcPr>
          <w:p w14:paraId="2FF09E4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视频脑电图</w:t>
            </w:r>
          </w:p>
        </w:tc>
        <w:tc>
          <w:tcPr>
            <w:tcW w:w="3733" w:type="pct"/>
            <w:shd w:val="clear" w:color="auto" w:fill="auto"/>
            <w:vAlign w:val="center"/>
          </w:tcPr>
          <w:p w14:paraId="260FA29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1.脑电图设备主机</w:t>
            </w:r>
          </w:p>
          <w:p w14:paraId="012A22E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（1）主机数据接口：放大器接口≥1个；网络接口≥1个；事件按键接口≥1个；Trigger-In接口≥1个；USB接口≥2个（提供实物照片佐证）。</w:t>
            </w:r>
          </w:p>
          <w:p w14:paraId="3A87E1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（2）设备连接方式：可通过网线、USB连接采集电脑（提供实物照片佐证）。</w:t>
            </w:r>
          </w:p>
          <w:p w14:paraId="025E68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（3）多参数同步采集：通过专用Trigger-In接口，实现通过外部设备进行多参数信号的同步采集。如：TMS同步脑电（TMS-EEG）、fNIRS同步脑电（fNIRS-EEG）等。</w:t>
            </w:r>
          </w:p>
          <w:p w14:paraId="4A64D7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（4）闪光刺激器一体化接口：同时实现闪光刺激器的供电和刺激信号打标。</w:t>
            </w:r>
          </w:p>
          <w:p w14:paraId="7EBC30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（5）音视频端口：音频输出≥1个；音频输入≥1个；HDMI高清视频输出≥1个。</w:t>
            </w:r>
          </w:p>
          <w:p w14:paraId="44C588D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2.脑电放大器（头盒）</w:t>
            </w:r>
          </w:p>
          <w:p w14:paraId="69FD02D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（1）放大器通道：脑电（EEG）输入端≥48个、双极输入端≥9对（可作为18个脑电输入端）（提供实物照片佐证）。</w:t>
            </w:r>
          </w:p>
          <w:p w14:paraId="5534701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（2）头盒采用改良10-20系统：具有专用的F9、F10、T9、T10、P9、P10插孔（提供实物照片佐证）。</w:t>
            </w:r>
          </w:p>
          <w:p w14:paraId="2B6093D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（3）其他导联：接地端口（GND）≥2个、参考电极（REF）端口≥2个、主动屏蔽电极（SHD）端口≥1个。</w:t>
            </w:r>
          </w:p>
          <w:p w14:paraId="003340F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（4）脑电帽快接端口：放大器自身集成脑电帽快接端口，无需使用转接器，确保连接的稳定性。可通过单一接口将高密度脑电帽快速连接至放大器，无需每个通道逐一插拔（提供实物照片佐证）。</w:t>
            </w:r>
          </w:p>
          <w:p w14:paraId="2460AED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（5）DC接口：≥4个，可将外部设备、传感器的信号接入脑电系统进行联合监测。</w:t>
            </w:r>
          </w:p>
          <w:p w14:paraId="3C54F1A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（6）专用功能接口：血氧脉率≥1个；脑氧≥1个；CO2≥1个；事件按键接口：≥1个。</w:t>
            </w:r>
          </w:p>
          <w:p w14:paraId="41FA6CC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（7）时间间隔：最大允许误差±5%</w:t>
            </w:r>
          </w:p>
          <w:p w14:paraId="4814F9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（8）幅频特性：(1~120)Hz，最大允许误差+5%~ -30%（提供检验报告佐证）。</w:t>
            </w:r>
          </w:p>
          <w:p w14:paraId="31EF795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（9）定标电压：标称值为100μVp-p，最大允许误差±2%</w:t>
            </w:r>
          </w:p>
          <w:p w14:paraId="3E9D4E6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（10）电压测量：最大允许误差±5%</w:t>
            </w:r>
          </w:p>
          <w:p w14:paraId="5B78E9A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（11）噪声电平：不大于1μVp-p（峰峰值）（提供检验报告佐证）。</w:t>
            </w:r>
          </w:p>
          <w:p w14:paraId="40F598E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（12）共模抑制比：输入频率10Hz时，各道不小于125dB（提供检验报告佐证）。</w:t>
            </w:r>
          </w:p>
          <w:p w14:paraId="126CD5D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（13）输入阻抗：对于10Hz正弦波信号，各道不小于130MΩ（提供检验报告佐证）。</w:t>
            </w:r>
          </w:p>
          <w:p w14:paraId="53609CB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（14）采样频率：采样率最高16,000Hz，全通道可同时以4000Hz采样记录信号。</w:t>
            </w:r>
          </w:p>
          <w:p w14:paraId="1EC5B76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（15）数模转换分辨率：24bit。</w:t>
            </w:r>
          </w:p>
          <w:p w14:paraId="334E550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（16）耐极化电压：加±300mV的直流极化电压，偏差不超过±5%</w:t>
            </w:r>
          </w:p>
          <w:p w14:paraId="305315D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（17）功率谱频率：误差不超过+5%</w:t>
            </w:r>
          </w:p>
          <w:p w14:paraId="5450927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（18）功率谱幅度：误差不超过+10%</w:t>
            </w:r>
          </w:p>
          <w:p w14:paraId="59227F7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（19）灵敏度调节误差范围：最大允许误差±5%，检测条件：1µV/mm、10µV/mm、和50µVµV/mm。</w:t>
            </w:r>
          </w:p>
          <w:p w14:paraId="777A0F8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（20）灵敏度调节可选档位：0.1~5000μV/mm，≥20档位可选。</w:t>
            </w:r>
          </w:p>
          <w:p w14:paraId="3CA7A9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（21）走纸速度可选档位：15~120mm/sec，≥7档位可选；1~30sec/page，≥8档位可选。</w:t>
            </w:r>
          </w:p>
          <w:p w14:paraId="73225AB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（22）低频滤波：0.01~500Hz，≥30档位可选。</w:t>
            </w:r>
          </w:p>
          <w:p w14:paraId="58B7F7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（23）高频滤波：2~500Hz，≥20档位可选。</w:t>
            </w:r>
          </w:p>
          <w:p w14:paraId="569F1E8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（24）头盒电极插孔具备防水设计，保护内部电路板；头盒具备防撞硅胶外套，提高设备耐用性。</w:t>
            </w:r>
          </w:p>
          <w:p w14:paraId="6B0E50E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3.脑电采集分析工作站：处理器≥i5、内存≥16GB、硬盘≥256GB固态硬盘，外加机械硬盘≥2TB、高清显示器≥24寸≥2K，Windows11 64位及以上操作系统。</w:t>
            </w:r>
          </w:p>
          <w:p w14:paraId="22508A6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4.事件按键</w:t>
            </w:r>
          </w:p>
          <w:p w14:paraId="5EB1E8B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（1）微光设计：按键装置头端具备微光LED，可在夜晚帮助医护人员快速找到按键。</w:t>
            </w:r>
          </w:p>
          <w:p w14:paraId="51F192F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（2）发作事件标记：患者癫痫发作时，可通过按键进行事件打标，便于读图医生阅图时快速定位发作事件。</w:t>
            </w:r>
          </w:p>
          <w:p w14:paraId="63952E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（3）认知功能执行能力检测：也能用于事件相关电位检测的执行能力检测。</w:t>
            </w:r>
          </w:p>
          <w:p w14:paraId="7715C62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5.闪光刺激器</w:t>
            </w:r>
          </w:p>
          <w:p w14:paraId="26AA373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（1）闪光刺激器采用圆形灯头设计，符合欧洲、中国指南推荐：圆形闪光灯可对整个视网膜产生更均匀的刺激（提供刺激器灯头实物照片佐证）。</w:t>
            </w:r>
          </w:p>
          <w:p w14:paraId="6BEEF5E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（2）闪光刺激器：最大亮度应≥900cd/m2，持续时间1s~300s可调，最大允许误差≤±5%，调节步长：≤1s。</w:t>
            </w:r>
          </w:p>
          <w:p w14:paraId="2A8EA36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（3）刺激频率1Hz~60Hz可调，最大允许误差≤±1Hz，调节步长：≤0.5Hz。</w:t>
            </w:r>
          </w:p>
          <w:p w14:paraId="5F89911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6.网络摄像头</w:t>
            </w:r>
          </w:p>
          <w:p w14:paraId="710B510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（1）可同时连接两个摄像头，提供双视角的同步视频录制，不接受单摄像头局部抠图显示双画面的设计（提供软件截图佐证）。</w:t>
            </w:r>
          </w:p>
          <w:p w14:paraId="32161B3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（2）支持4倍光学变倍，16倍数字变倍。</w:t>
            </w:r>
          </w:p>
          <w:p w14:paraId="6F9CE1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（3）支持超低照度，0.05Lux @ (F2.0,AGC ON) (彩色),0.005Lux @ (F2.0,AGC ON) 0 Lux with IR (黑白)。</w:t>
            </w:r>
          </w:p>
          <w:p w14:paraId="052C12F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（4）支持350°水平旋转，垂直方向0°-90°。</w:t>
            </w:r>
          </w:p>
          <w:p w14:paraId="2CA8F5F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（5）采用高效红外阵列，低功耗，照射距离最远可达30m。</w:t>
            </w:r>
          </w:p>
          <w:p w14:paraId="0F5060E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（6）内置高清麦克风。</w:t>
            </w:r>
          </w:p>
          <w:p w14:paraId="04DB51D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7.软件功能</w:t>
            </w:r>
          </w:p>
          <w:p w14:paraId="405EB1A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（1）脑电数据采集、存储、实时显示、历史回放：软件接收存储原始数据，并可实时显示信号波形；并可对显示参数进行实时调整；可对已记录的数据进行离线回放。</w:t>
            </w:r>
          </w:p>
          <w:p w14:paraId="30DCA6B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（2）数据在线回放：可在数据录制过程中，回看已录制的部分（提供软件截图佐证）。</w:t>
            </w:r>
          </w:p>
          <w:p w14:paraId="7E36D1B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（3）数据独立回放：可将采集完成的数据导出为独立数据包，可在任何未安装本设备软件系统的电脑上回看数据，方便学术交流、教学等使用目的。</w:t>
            </w:r>
          </w:p>
          <w:p w14:paraId="0314484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（4）棘波密度统计：通过人工智能算法，自动识别、统计棘波发放情况，帮助医生快速定位发作片段（提供软件截图佐证）。</w:t>
            </w:r>
          </w:p>
          <w:p w14:paraId="72955E8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（5）HFO实时提示：可将指定的高频振荡频带能量以背景颜色的形式，叠加在原始波形后面，通过颜色有误、深浅实时提示高频能量发放的时序、空间信息。数据采集、回放过程同时具备（提供软件截图佐证）。</w:t>
            </w:r>
          </w:p>
          <w:p w14:paraId="26E1CCF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（6）阻抗检测：可进行在线阻抗监测和离线阻抗检测。</w:t>
            </w:r>
          </w:p>
          <w:p w14:paraId="7793A40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信号质量监测：从原始信号的频域上多维度分析信号质量，医护人员可以直观的从各导联信号质量的颜色标记了解实时的信号质量情况（非传统阻抗检测，提供软件界面截图，采集界面各通道需要有信号质量的颜色标记）。</w:t>
            </w:r>
          </w:p>
          <w:p w14:paraId="709C4B9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具备三维脑电地形图功能：提供标准三维大脑模式，可自由360度旋转大脑视角；地形图可按时间间隔，以矩阵的形式显示；可设置重参考、可选择计算的脑电通道、自动或手动设定计算的时间范围；提供功率谱密度和峰值频率信息（提供软件截图佐证）。</w:t>
            </w:r>
          </w:p>
          <w:p w14:paraId="237203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（9）头盒热插拔功能：患者可在临时离开病床时拔掉头盒数据线，而无需摘掉电极。重新插回数据线缆，软件系统可自动重新开始采集数据，无需其它人为操作。</w:t>
            </w:r>
          </w:p>
          <w:p w14:paraId="65BB105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（10）断电数据保护：系统断电重启后，断电前数据不丢失。</w:t>
            </w:r>
          </w:p>
          <w:p w14:paraId="2E4361C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（11）事件标记：具有软硬件两种事件标记方式，并可对标记进行编辑调整；实时记录事件列表，可回放查看。</w:t>
            </w:r>
          </w:p>
          <w:p w14:paraId="2140C7F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（12）脑电测量：具有标尺测量和框选测量两种方式，测量幅值、时间和频率信息。</w:t>
            </w:r>
          </w:p>
          <w:p w14:paraId="643A5BE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（13）视频控制、记录和回放：可对摄像头角度等参数进行调整，进行视频数据的记录和回放；视频数据与脑电数据同步，可进行联动定位。</w:t>
            </w:r>
          </w:p>
          <w:p w14:paraId="189ABD8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（14）脑电系统支持双路1920×1080@30fps视频、脑电、以及其他同步录制的生理参数同步回放，回放稳定不卡顿。</w:t>
            </w:r>
          </w:p>
          <w:p w14:paraId="468CF21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（15）动作识别：可自动识别视频中的运动，以红色阴影进行标注，辅助医生查看（提供软件截图佐证）。</w:t>
            </w:r>
          </w:p>
          <w:p w14:paraId="6C6420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（16）具备患者信息管理系统，中文报告生成系统：具有多种简洁实用的报告模板，可任意编辑相关内容。</w:t>
            </w:r>
          </w:p>
          <w:p w14:paraId="248F5E6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8.可扩展外置高清麦克风系统，安装于床头附近，采集更清晰的发作声音。</w:t>
            </w:r>
          </w:p>
          <w:p w14:paraId="39D7548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9.医用台车，配备4轮轴承轮组，保证台车移动的平稳性、顺滑性。</w:t>
            </w:r>
          </w:p>
          <w:p w14:paraId="1D5383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配置需求：脑电采集工作站1套、台车1台、主机1套、头盒1套、头盒连接线缆1根、闪光刺激器1套、红外高清摄像头1套、数字脑电采集软件1套、医用安全电源适配器1套、事件按键1个、网线1根、桥式电极帽2套（成人、儿童尺码各1套）、导电膏1瓶、导电（磨砂）膏1瓶。</w:t>
            </w:r>
          </w:p>
        </w:tc>
        <w:tc>
          <w:tcPr>
            <w:tcW w:w="245" w:type="pct"/>
            <w:shd w:val="clear" w:color="auto" w:fill="auto"/>
            <w:vAlign w:val="center"/>
          </w:tcPr>
          <w:p w14:paraId="5E63394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223" w:type="pct"/>
            <w:shd w:val="clear" w:color="auto" w:fill="auto"/>
            <w:vAlign w:val="center"/>
          </w:tcPr>
          <w:p w14:paraId="22B95D8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台</w:t>
            </w:r>
          </w:p>
        </w:tc>
      </w:tr>
      <w:tr w14:paraId="4018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242" w:type="pct"/>
            <w:shd w:val="clear" w:color="auto" w:fill="auto"/>
            <w:vAlign w:val="center"/>
          </w:tcPr>
          <w:p w14:paraId="0E643C8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p>
        </w:tc>
        <w:tc>
          <w:tcPr>
            <w:tcW w:w="555" w:type="pct"/>
            <w:shd w:val="clear" w:color="auto" w:fill="auto"/>
            <w:vAlign w:val="center"/>
          </w:tcPr>
          <w:p w14:paraId="441B246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医用事件相关电位仪</w:t>
            </w:r>
          </w:p>
        </w:tc>
        <w:tc>
          <w:tcPr>
            <w:tcW w:w="3733" w:type="pct"/>
            <w:shd w:val="clear" w:color="auto" w:fill="auto"/>
            <w:vAlign w:val="center"/>
          </w:tcPr>
          <w:p w14:paraId="09BE0E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1.头盒放大器</w:t>
            </w:r>
          </w:p>
          <w:p w14:paraId="594CA31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（1）通道放大器：脑电（EEG）输入端≥16个；具备1个参考电极（REF）端口，≥1个接地(GND)端口（提供产品放大器实物照片证明）。</w:t>
            </w:r>
          </w:p>
          <w:p w14:paraId="0251142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（2）所有信号通道全部采用诱发电位专用“钥匙孔”双芯屏蔽线，强力阻隔外部电磁干扰。每个通道都具备独立SHD屏蔽线路（提供放大器“钥匙孔”电极线接口实物照片证明）。</w:t>
            </w:r>
          </w:p>
          <w:p w14:paraId="55D71B7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（3）幅频特性：(1~120)Hz，最大允许误差+5%~ -30%（提供注册检验报告）。</w:t>
            </w:r>
          </w:p>
          <w:p w14:paraId="56325B7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（4）噪声电平：不大于1μVp-p（峰峰值）（提供注册检验报告）。</w:t>
            </w:r>
          </w:p>
          <w:p w14:paraId="773F70E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（5）共模抑制比：各道不小于120dB（提供注册检验报告）。</w:t>
            </w:r>
          </w:p>
          <w:p w14:paraId="05DEA23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（6）耐极化电压：加±300mV的直流极化电压，偏差不超过±5%</w:t>
            </w:r>
          </w:p>
          <w:p w14:paraId="4B68DE2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（7）输入阻抗：不小于120MΩ（提供检验报告）。</w:t>
            </w:r>
          </w:p>
          <w:p w14:paraId="1CF591F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（8）按键响应时间：小于1s（提供检验报告）。</w:t>
            </w:r>
          </w:p>
          <w:p w14:paraId="576117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（9）数模转换≥24bit。</w:t>
            </w:r>
          </w:p>
          <w:p w14:paraId="738C8FC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（10）采样频率：每个通道可同时达到2000Hz。</w:t>
            </w:r>
          </w:p>
          <w:p w14:paraId="2497F6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（11）患者漏电流CF型（提供检验报告）。</w:t>
            </w:r>
          </w:p>
          <w:p w14:paraId="51957B5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2.采集工作站：处理器≥i5、内存≥16GB、硬盘≥256GB固态硬盘+2TB机械硬盘、高清显示器≥24寸2K，Windows11 64位及以上操作系统。</w:t>
            </w:r>
          </w:p>
          <w:p w14:paraId="7E807D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3.高清摄像头</w:t>
            </w:r>
          </w:p>
          <w:p w14:paraId="12DD22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（1）视频分辨率不低于1080P。</w:t>
            </w:r>
          </w:p>
          <w:p w14:paraId="4A06C71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（2）支持4倍光学变倍，16倍数字变倍。</w:t>
            </w:r>
          </w:p>
          <w:p w14:paraId="2BBDF11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（3）可同时连接的视频信号数量≥2路，可提供不同视角进行症状学捕捉（不接受单路视频信号抠图的多视频画面）。</w:t>
            </w:r>
          </w:p>
          <w:p w14:paraId="231FAE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4.事件按键</w:t>
            </w:r>
          </w:p>
          <w:p w14:paraId="728A543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（1）配合软件的认知评估范式，可对患者的响应速度、正确率等行为学指标进行评估（提供软件截图佐证）。</w:t>
            </w:r>
          </w:p>
          <w:p w14:paraId="7CD6706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（2）按键头端微光设计：夜晚发出微弱光亮，帮助长程监测时医护人员快速找到按键，进行快速的事件标记（提供实物照片佐证）。</w:t>
            </w:r>
          </w:p>
          <w:p w14:paraId="19045C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5.软件功能</w:t>
            </w:r>
          </w:p>
          <w:p w14:paraId="0DE92F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（1）具有事件相关电位/常规脑电/视频脑电等多种检测模式，可自由切换。</w:t>
            </w:r>
          </w:p>
          <w:p w14:paraId="2B28433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（2）事件相关电位检测：软件可进行事件相关电位的刺激设置、实时刺激记录、数据计算和结果显示，可进行P50、N100、MMN、P300、N170、N400-成语、N400-图词、CNV等多种范式的检测（提供软件截图佐证）。</w:t>
            </w:r>
          </w:p>
          <w:p w14:paraId="0E5E04C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（3）刺激记录模块和分析模块集成于一个软件系统，实现同步触发。</w:t>
            </w:r>
          </w:p>
          <w:p w14:paraId="1F0EEC1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（4）ERP幅值、潜伏期可自动提取，无需人工判读。对非典型波形，可人工校验修正结果（提供软件截图佐证）。</w:t>
            </w:r>
          </w:p>
          <w:p w14:paraId="3F9494B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（5）可对视觉、听觉刺激进行自行编辑、编排、预览，可进行反馈按键的设置，以记录反馈信息，统计按键响应的时间及准确性。</w:t>
            </w:r>
          </w:p>
          <w:p w14:paraId="3FC3F8B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（6）可对每试次的事件刺激进行信号校验，通过波幅、3δ原理剔除不良刺激，提升ERP波形叠加效果（提供软件截图佐证）。</w:t>
            </w:r>
          </w:p>
          <w:p w14:paraId="1BBC06F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（7）可对事件相关电位刺激的脑袋那响应进行统计学检验（P值），并使用背景颜色标注在ERP波形背后，校验刺激结果的有效性（提供软件截图佐证）。</w:t>
            </w:r>
          </w:p>
          <w:p w14:paraId="08D7FCC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（8）事件相关电位叠加：可在叠加波形时进行重参考、滤波范围选择、片段（epoch）时长设置、和恢复（自动和手动）等参数调整（提供软件截图佐证）。</w:t>
            </w:r>
          </w:p>
          <w:p w14:paraId="1F68887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（9）事件相关电位地形图，可显示各个同步信号的脑地形图，并可在片段（epoch）时程内以1毫秒为间隔自由滑动显示分布变化（提供软件截图佐证）。</w:t>
            </w:r>
          </w:p>
          <w:p w14:paraId="273675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脑功能趋势图功能模块：振幅整合脑电图（aEEG）、包络图、总功率、绝对波段功率、相对波段功率、峰值频率、边缘频率、中值频率、频率比率、α变异率、爆发抑制、频谱熵、频谱等多种量化脑电趋势图（提供软件截图佐证）。</w:t>
            </w:r>
          </w:p>
          <w:p w14:paraId="5E1A3A2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（11）数据采集、存储与实时显示：软件接收存储原始数据，并可实时显示信号波形；并可对显示参数进行实时调整。</w:t>
            </w:r>
          </w:p>
          <w:p w14:paraId="10800F0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（12）信号质量监测：从原始信号的频域特征上多维度分析信号质量，对各导联信号质量以颜色标记进行提示。</w:t>
            </w:r>
          </w:p>
          <w:p w14:paraId="2A5AE53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（13）阻抗检测：可进行在线阻抗监测和离线阻抗检测。</w:t>
            </w:r>
          </w:p>
          <w:p w14:paraId="56592C0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（14）数据回放：可进行数据的离线回放。</w:t>
            </w:r>
          </w:p>
          <w:p w14:paraId="36194E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（15）断电数据保护：系统断电重启后，断电前数据不丢失。</w:t>
            </w:r>
          </w:p>
          <w:p w14:paraId="319F831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（16）视频控制、记录和回放：可对摄像头角度等参数进行调整，进行视频数据的记录和回放；视频数据与脑电数据同步，可进行联动定位。</w:t>
            </w:r>
          </w:p>
          <w:p w14:paraId="522681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（17）可通过趋势图快速跳转至原始脑电波形。</w:t>
            </w:r>
          </w:p>
          <w:p w14:paraId="1143508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（18）动作识别：可自动识别视频中的运动，以红色阴影进行标注，辅助医生查看。</w:t>
            </w:r>
          </w:p>
          <w:p w14:paraId="74790DF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（19）脑地形图功能：具有电位地形图及功率地形图的计算与显示功能。可设置重参考、可选择计算的脑电通道、自动或手动设定计算的时间范围、提供功率谱密度和峰值频率信息。</w:t>
            </w:r>
          </w:p>
          <w:p w14:paraId="5337C38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配置需求：脑电采集分析工作站1套、16通道头盒放大器1个、脑电主机1个、事件刺激器（Trigger-In模块）1个、听觉刺激耳机1套、事件按键1个、网络摄像头1套、台车1套、医用事件相关电位软件1套、诱发电位专用“钥匙孔”屏蔽线3包（12根/包）、导电膏1瓶、导电（磨砂）膏1瓶。</w:t>
            </w:r>
          </w:p>
        </w:tc>
        <w:tc>
          <w:tcPr>
            <w:tcW w:w="245" w:type="pct"/>
            <w:shd w:val="clear" w:color="auto" w:fill="auto"/>
            <w:vAlign w:val="center"/>
          </w:tcPr>
          <w:p w14:paraId="2591890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223" w:type="pct"/>
            <w:shd w:val="clear" w:color="auto" w:fill="auto"/>
            <w:vAlign w:val="center"/>
          </w:tcPr>
          <w:p w14:paraId="1F8BFFD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台</w:t>
            </w:r>
          </w:p>
        </w:tc>
      </w:tr>
      <w:tr w14:paraId="3E4A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242" w:type="pct"/>
            <w:shd w:val="clear" w:color="auto" w:fill="auto"/>
            <w:vAlign w:val="center"/>
          </w:tcPr>
          <w:p w14:paraId="39F7587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p>
        </w:tc>
        <w:tc>
          <w:tcPr>
            <w:tcW w:w="555" w:type="pct"/>
            <w:shd w:val="clear" w:color="auto" w:fill="auto"/>
            <w:vAlign w:val="center"/>
          </w:tcPr>
          <w:p w14:paraId="7B53E67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心电图机</w:t>
            </w:r>
          </w:p>
        </w:tc>
        <w:tc>
          <w:tcPr>
            <w:tcW w:w="3733" w:type="pct"/>
            <w:shd w:val="clear" w:color="auto" w:fill="auto"/>
            <w:vAlign w:val="center"/>
          </w:tcPr>
          <w:p w14:paraId="65707E8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★1.12导数字式心电图机，支持12导心电图同步采集。</w:t>
            </w:r>
          </w:p>
          <w:p w14:paraId="601AB00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★2.支持12导心电+心向量同步采集。</w:t>
            </w:r>
          </w:p>
          <w:p w14:paraId="18C644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3.显示屏幕≥10英寸。</w:t>
            </w:r>
          </w:p>
          <w:p w14:paraId="11D3C8F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4.心电图机一体化平板设计，采集仪模块内置；主机全触控操作，无物理硬按键。</w:t>
            </w:r>
          </w:p>
          <w:p w14:paraId="5D28F3B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5.具备LAN、USB等传输接口。</w:t>
            </w:r>
          </w:p>
          <w:p w14:paraId="4216CB2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6.支持心电事件、起搏心电、晚电位功能。</w:t>
            </w:r>
          </w:p>
          <w:p w14:paraId="4C4EFF5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7.设备属于CF型防除颤类型，提供设备铭牌图片证明，具有CF型防除颤图标。</w:t>
            </w:r>
          </w:p>
          <w:p w14:paraId="2292D92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8.心电图主机支持内置4G/5G功能，不接受外置模块。</w:t>
            </w:r>
          </w:p>
          <w:p w14:paraId="15E3863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9.耐极化电压：±600mV。</w:t>
            </w:r>
          </w:p>
          <w:p w14:paraId="16CBEA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10.共模抑制比：＞125dB（默认交流滤波关闭）（提供医疗器械注册证或检测报告证明材料）。</w:t>
            </w:r>
          </w:p>
          <w:p w14:paraId="565B7D2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11.定标电压：1mV±1%（提供医疗器械注册证或检测报告证明材料）。</w:t>
            </w:r>
          </w:p>
          <w:p w14:paraId="7972FC2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12.内部噪声：≤10μVP-P（提供医疗器械注册证或检测报告证明材料）。</w:t>
            </w:r>
          </w:p>
          <w:p w14:paraId="6C88A41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13.频响范围：0.05Hz~350Hz（-30%~ +10%）。 </w:t>
            </w:r>
          </w:p>
          <w:p w14:paraId="23CD7EF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14.存储量：支持10000份心电数据存储。</w:t>
            </w:r>
          </w:p>
          <w:p w14:paraId="1ED46B7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15.具备全导联起搏检测，准确识别起搏信号（提供国家药品监督管理局直属检测单位签发的检测报告证明）。</w:t>
            </w:r>
          </w:p>
          <w:p w14:paraId="1174811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16.心电图机支持批量下载预约记录功能，并支持待检查列表显示，列表应包含检查姓名、性别、年龄等信息。</w:t>
            </w:r>
          </w:p>
          <w:p w14:paraId="6B16F3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17.QTc参数测量：内置6种及以上测量算法，QTc计算方法可通过系统设置调阅并设置（提供QTc算法功能截图证明材料）。</w:t>
            </w:r>
          </w:p>
          <w:p w14:paraId="1995229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18.心电图机支持本地报告进行同屏对比（提供功能截图证明材料）。</w:t>
            </w:r>
          </w:p>
          <w:p w14:paraId="17B58AF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19.心电图机有经过IHE专项测试，可以满足与医疗卫生机构信息系统之间的信息互联、互通、集成共享的要求（提供通过测试的相关证明文件）。</w:t>
            </w:r>
          </w:p>
          <w:p w14:paraId="7A4ECA2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20.心电图机支持导联脱落、伪差、左右手接反、无法识别、心律失常波形的自动检测和提示功能。</w:t>
            </w:r>
          </w:p>
          <w:p w14:paraId="62B2A1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21.对于危急值检查数据，支持优先诊断功能，以提醒诊断中心优先诊断（提供急性心肌梗死预警系统相关的软件著作权证书复印件证明）。</w:t>
            </w:r>
          </w:p>
          <w:p w14:paraId="32A4172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22.支持消息实时提醒功能，如危急报告提醒、诊断退回提醒、导联纠错提醒、诊断完成提醒。</w:t>
            </w:r>
          </w:p>
          <w:p w14:paraId="204B0FB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23.支持V5R、V3R、V1、V3、V5、V7儿童模式心电图采集。</w:t>
            </w:r>
          </w:p>
          <w:p w14:paraId="3192A30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24.记录测值包括：心率、电轴、P波时限、P-R间期、QRS时限、Q-T间期、QTc、T波、Rv5、Sv1等。</w:t>
            </w:r>
          </w:p>
          <w:p w14:paraId="1AF0959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25.阿托品试验采集及处理流程（提供医疗器械注册证或检测报告证明材料）。</w:t>
            </w:r>
          </w:p>
          <w:p w14:paraId="759F581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26.梯形图生成技术（提供医疗器械注册证或检测报告证明材料）。</w:t>
            </w:r>
          </w:p>
          <w:p w14:paraId="16BF51F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27.任意心搏放大、单导联图谱漂移功能、全屏图谱漂移功能。</w:t>
            </w:r>
          </w:p>
          <w:p w14:paraId="1035895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28.支持智能操作系统，可远程更新升级。</w:t>
            </w:r>
          </w:p>
          <w:p w14:paraId="59B41F7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29.配置专用推车：</w:t>
            </w:r>
          </w:p>
          <w:p w14:paraId="4BF90F4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（1）组成部分：车轮、塑胶一体底座、金属连杆、塑胶车篓、金属平台、塑胶推手。</w:t>
            </w:r>
          </w:p>
          <w:p w14:paraId="5C3F672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（2）车轮说明：由5个万向轮组成，并且每个车轮都带有自刹车功能，车轮材料包括橡胶、金属、塑胶。</w:t>
            </w:r>
          </w:p>
        </w:tc>
        <w:tc>
          <w:tcPr>
            <w:tcW w:w="245" w:type="pct"/>
            <w:shd w:val="clear" w:color="auto" w:fill="auto"/>
            <w:vAlign w:val="center"/>
          </w:tcPr>
          <w:p w14:paraId="6830475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p>
        </w:tc>
        <w:tc>
          <w:tcPr>
            <w:tcW w:w="223" w:type="pct"/>
            <w:shd w:val="clear" w:color="auto" w:fill="auto"/>
            <w:vAlign w:val="center"/>
          </w:tcPr>
          <w:p w14:paraId="1A88CFF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台</w:t>
            </w:r>
          </w:p>
        </w:tc>
      </w:tr>
      <w:tr w14:paraId="50E7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242" w:type="pct"/>
            <w:shd w:val="clear" w:color="auto" w:fill="auto"/>
            <w:vAlign w:val="center"/>
          </w:tcPr>
          <w:p w14:paraId="7142682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p>
        </w:tc>
        <w:tc>
          <w:tcPr>
            <w:tcW w:w="555" w:type="pct"/>
            <w:shd w:val="clear" w:color="auto" w:fill="auto"/>
            <w:vAlign w:val="center"/>
          </w:tcPr>
          <w:p w14:paraId="24E9D6E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动态心电图</w:t>
            </w:r>
          </w:p>
        </w:tc>
        <w:tc>
          <w:tcPr>
            <w:tcW w:w="3733" w:type="pct"/>
            <w:shd w:val="clear" w:color="auto" w:fill="auto"/>
            <w:vAlign w:val="center"/>
          </w:tcPr>
          <w:p w14:paraId="3A3341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1.支持十二导及三通道心电数据采集。</w:t>
            </w:r>
          </w:p>
          <w:p w14:paraId="346340D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2.支持蓝牙传输功能，将波形数据通过蓝牙方式实时传输到外部终端（提供医疗器械注册相关证明）。</w:t>
            </w:r>
          </w:p>
          <w:p w14:paraId="0456893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3.采集设备具有显示屏，支持心电波形实时预览。</w:t>
            </w:r>
          </w:p>
          <w:p w14:paraId="08C482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4.输入阻抗：≥50MΩ（提供医疗器械注册相关证明）。</w:t>
            </w:r>
          </w:p>
          <w:p w14:paraId="546B0DC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5.采样精度≥24位（提供医疗器械注册相关证明）。</w:t>
            </w:r>
          </w:p>
          <w:p w14:paraId="753F2A9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6.耐极化电压：±600mV（提供医疗器械注册相关证明）。</w:t>
            </w:r>
          </w:p>
          <w:p w14:paraId="12DF8A7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7.频率响应：0.05Hz-100Hz。</w:t>
            </w:r>
          </w:p>
          <w:p w14:paraId="660B12C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8.系统噪声：≤15μV。</w:t>
            </w:r>
          </w:p>
          <w:p w14:paraId="112633A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9.共模抑制比：＞98dB（提供医疗器械注册相关证明）。</w:t>
            </w:r>
          </w:p>
          <w:p w14:paraId="47AD6EA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10.数据采集功能：能够连续24小时不间断采集和存储心电数据。</w:t>
            </w:r>
          </w:p>
          <w:p w14:paraId="7A1F504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11.动态心电分析软件由系统登录模块、权限管理模块、记录盒管理模块、系统设置模块、数据管理模块、实时心电模块、心电分析模块和服务器模块组成。</w:t>
            </w:r>
          </w:p>
          <w:p w14:paraId="5884C3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12.能记录3DSensor（加速度传感器）数据以及用户事件。</w:t>
            </w:r>
          </w:p>
          <w:p w14:paraId="4D0CEF3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13.支持NFC标签功能，可通过NFC读卡设备快速识别设备，提高挂盒效率（提供医疗器械注册相关证明）。</w:t>
            </w:r>
          </w:p>
          <w:p w14:paraId="3A63FA0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14.动态心电支持模板分析，并可按照提前量、代偿间隙、QRS面积、宽度等方式排序。</w:t>
            </w:r>
          </w:p>
          <w:p w14:paraId="5C1DB8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15支持多屏、宽屏显示，同一界面浏览更多信息，减少来回切屏带来的不便。报告分析与波形浏览在同一界面展示，报告1：1显示模式使得报告结果一目了然。</w:t>
            </w:r>
          </w:p>
          <w:p w14:paraId="3640731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16.支持P波反混淆快速区分P波形态差异心搏。</w:t>
            </w:r>
          </w:p>
          <w:p w14:paraId="65D8CCA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17.支持导联纠错功能。</w:t>
            </w:r>
          </w:p>
          <w:p w14:paraId="0598218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组合散点图，通过每个心搏的特征选择相应的心搏参数（心搏可选提前量、R波和S波幅度、间期、代偿间期、QRS面积、宽度等方式作为X、Y轴坐标），形成不同的吸引子，快速区分形态不一样的心搏（提供软件界面截图证明材料）。</w:t>
            </w:r>
          </w:p>
          <w:p w14:paraId="5D6040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19.具备LORENZE散点图和差值散点图分析。</w:t>
            </w:r>
          </w:p>
          <w:p w14:paraId="3AFA9B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20.具有全导联起搏检测功能（提供国家药品监督管理局直属检测单位签发的检测报告证明）。</w:t>
            </w:r>
          </w:p>
          <w:p w14:paraId="691736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21.支持预分析房颤默认自动分析功能（提供国家药品监督管理局直属检测单位签发的检测报告证明）。</w:t>
            </w:r>
          </w:p>
          <w:p w14:paraId="16F671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22.提供独立房颤AI分析模块，快速批量编辑阵发性房颤（提供软件界面截图证明材料）。</w:t>
            </w:r>
          </w:p>
          <w:p w14:paraId="6F0147D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23.提供并行分规测量工具；提供放大镜工具。</w:t>
            </w:r>
          </w:p>
          <w:p w14:paraId="01E1808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24.支持心律失常AI分析，自动分析心电图数据识别并标记心搏。</w:t>
            </w:r>
          </w:p>
          <w:p w14:paraId="091D50C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25.K线图：支持以K线图的方式展示心搏间期变化。</w:t>
            </w:r>
          </w:p>
          <w:p w14:paraId="74613B9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26.栅栏图：支持以柱状图的形式展示一段时间的平均心率。</w:t>
            </w:r>
          </w:p>
          <w:p w14:paraId="06D5DE2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27.提供PR间期趋势图功能。</w:t>
            </w:r>
          </w:p>
          <w:p w14:paraId="6554901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28.支持不同心搏分类模板整体叠加反混淆，快速定位异常心博。</w:t>
            </w:r>
          </w:p>
          <w:p w14:paraId="1F9242D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29.支持多型性室早精准分类。</w:t>
            </w:r>
          </w:p>
          <w:p w14:paraId="37EFA40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30.支持拖动整个模版批量修改、合并心搏。</w:t>
            </w:r>
          </w:p>
          <w:p w14:paraId="2DE2DD1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31.波形图可自由组合任意导联浏览。</w:t>
            </w:r>
          </w:p>
          <w:p w14:paraId="3880128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32.提供快速测量工具。</w:t>
            </w:r>
          </w:p>
          <w:p w14:paraId="415CB41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33.支持全局撤销，方便医生误操作后可快速恢复至上一步（提供软件界面截图证明材料）。</w:t>
            </w:r>
          </w:p>
          <w:p w14:paraId="756C4B1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34.自由编辑当前心搏的上一个或下一个心搏的类型。</w:t>
            </w:r>
          </w:p>
          <w:p w14:paraId="2F30E2C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35.支持重新分析，调整心搏强度，批量识别漏搏。</w:t>
            </w:r>
          </w:p>
          <w:p w14:paraId="59D59B3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36.支持事件删除和修改，可对事件进行统计和波形展示。</w:t>
            </w:r>
          </w:p>
          <w:p w14:paraId="1A8F0D4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37.支持心率变异性、心室晚电位、心率减速力、心率震荡、T波电交替、心向量等高级功能。</w:t>
            </w:r>
          </w:p>
          <w:p w14:paraId="7E044C7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38.支持ST段扫描和参数编辑，可调整任意导联抬高压低参数。</w:t>
            </w:r>
          </w:p>
          <w:p w14:paraId="021FC2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39.支持自定义心搏功能，分析过程中可对特殊心搏进行自定义名称以及单独统计（提供软件界面截图证明材料）。</w:t>
            </w:r>
          </w:p>
          <w:p w14:paraId="779218D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40.具备查看全览图、直方图、诊断图功能。全览图可通览整个采集期间的心电图谱，异常波形用颜色标记；可提供24小时心率及心搏分类情况的诊断图；直方图可支持心率、RR间期、RR间期比直方图。</w:t>
            </w:r>
          </w:p>
          <w:p w14:paraId="153641A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41.起搏器分析模块：用于起搏钉分析，快速定位异常起搏钉（提供软件界面截图证明材料）。</w:t>
            </w:r>
          </w:p>
          <w:p w14:paraId="529B1A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42.支持对接医院现有HIS、集成平台系统。</w:t>
            </w:r>
          </w:p>
          <w:p w14:paraId="3A30513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43支持异常心搏颜色自定义设置。</w:t>
            </w:r>
          </w:p>
          <w:p w14:paraId="2A4AFD3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44.支持第三方系统调阅心电图报告，通过调用插件，可浏览并打印心电图报告。</w:t>
            </w:r>
          </w:p>
          <w:p w14:paraId="183C029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45.支持网络化功能，采用专业数据库管理原始数据和报告，支持科室分析终端、医院与分院、医院与社区医院之间进行原始数据的远程传输、管理和共享。</w:t>
            </w:r>
          </w:p>
          <w:p w14:paraId="4357E39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50.动态心电分析软件须独立取得医疗器械注册证（提供相关注册证复印件证明）。</w:t>
            </w:r>
          </w:p>
        </w:tc>
        <w:tc>
          <w:tcPr>
            <w:tcW w:w="245" w:type="pct"/>
            <w:shd w:val="clear" w:color="auto" w:fill="auto"/>
            <w:vAlign w:val="center"/>
          </w:tcPr>
          <w:p w14:paraId="727292F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p>
        </w:tc>
        <w:tc>
          <w:tcPr>
            <w:tcW w:w="223" w:type="pct"/>
            <w:shd w:val="clear" w:color="auto" w:fill="auto"/>
            <w:vAlign w:val="center"/>
          </w:tcPr>
          <w:p w14:paraId="7B3CDB6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台</w:t>
            </w:r>
          </w:p>
        </w:tc>
      </w:tr>
      <w:tr w14:paraId="5499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242" w:type="pct"/>
            <w:shd w:val="clear" w:color="auto" w:fill="auto"/>
            <w:vAlign w:val="center"/>
          </w:tcPr>
          <w:p w14:paraId="7461FF4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p>
        </w:tc>
        <w:tc>
          <w:tcPr>
            <w:tcW w:w="555" w:type="pct"/>
            <w:shd w:val="clear" w:color="auto" w:fill="auto"/>
            <w:vAlign w:val="center"/>
          </w:tcPr>
          <w:p w14:paraId="467B93B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磁场刺激仪</w:t>
            </w:r>
          </w:p>
        </w:tc>
        <w:tc>
          <w:tcPr>
            <w:tcW w:w="3733" w:type="pct"/>
            <w:shd w:val="clear" w:color="auto" w:fill="auto"/>
            <w:vAlign w:val="center"/>
          </w:tcPr>
          <w:p w14:paraId="5CB4A25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lang w:val="en-US" w:eastAsia="zh-CN"/>
              </w:rPr>
              <w:t>.适应症：刺激人体中枢神经和外周神经,用于人体中枢神经和外周神经功能的检测、评定、改善，对脑神经及神经损伤性疾病的辅助治疗。</w:t>
            </w:r>
          </w:p>
          <w:p w14:paraId="5367540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2.主机：</w:t>
            </w:r>
          </w:p>
          <w:p w14:paraId="5BE2E8F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（1）一体式可推移整机结构：静音脚轮设计、可固定线圈支架、非液电分离堆叠式结构组成（官网或产品图）。</w:t>
            </w:r>
          </w:p>
          <w:p w14:paraId="0C9242F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（2）冷却系统：恒温线圈（内含液态内循环冷却系统），非风冷或静态液冷（该设备的《医疗器械产品注册表》中应有冷却系统的相关说明或应提供国家医疗器械检测中心出具的《检测报告》加以证明）。</w:t>
            </w:r>
          </w:p>
          <w:p w14:paraId="26AD9B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操作系统：人机交互系统采用便携PC机控制操作，中文界面，非触摸屏，能实现机器开机自检、故障报警与自锁等功能。支持脱离磁刺激主机单独使用，windows系统兼容大量科研软件（彩页和操作系统界面截图）。</w:t>
            </w:r>
          </w:p>
          <w:p w14:paraId="53D4AC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（4）磁感应强度稳定输出允差：±5%</w:t>
            </w:r>
          </w:p>
          <w:p w14:paraId="1ECD92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（5）刺激强度：1.0-6Tesla连续可调。</w:t>
            </w:r>
          </w:p>
          <w:p w14:paraId="356FB1E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（6）磁感应强度最大变化率：至少包括40kT/s-70kT/s。</w:t>
            </w:r>
          </w:p>
          <w:p w14:paraId="656F831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（7）磁感应强度最大变化率允差：±5%（注册证附件产品技术要求证明）。</w:t>
            </w:r>
          </w:p>
          <w:p w14:paraId="668B633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（8）脉冲上升时间：至少包括60μs±10μs。</w:t>
            </w:r>
          </w:p>
          <w:p w14:paraId="27F1E7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（9）脉冲频率≥1Hz，步进为1Hz；脉冲频率＜1Hz，步进为0.1Hz。</w:t>
            </w:r>
          </w:p>
          <w:p w14:paraId="1924CC1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（10）输出脉冲宽度：至少包括340μs±20μs（若脉冲宽度表述为双向波单边输出脉冲宽度，则应≧260μs）。</w:t>
            </w:r>
          </w:p>
          <w:p w14:paraId="483475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（11）刺激频率：0.1-100Hz可调。</w:t>
            </w:r>
          </w:p>
          <w:p w14:paraId="32B2FF9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（12）脉冲频率允差值：±2%（医疗器械检测中心出具的注册检验报告或设备铭牌证明）。</w:t>
            </w:r>
          </w:p>
          <w:p w14:paraId="0F9C273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（13）电介质强度：主机内部高压储能电容安全可靠，电介质强度可达4000VAC（医疗器械检测中心出具的注册检验报告证明）</w:t>
            </w:r>
          </w:p>
          <w:p w14:paraId="4251010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3.刺激线圈</w:t>
            </w:r>
          </w:p>
          <w:p w14:paraId="382C64C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（1）刺激线圈可选配：成人八字形线圈、成人圆形线圈、儿童八字形线圈、儿童圆形线圈、动物线圈拍；</w:t>
            </w:r>
          </w:p>
          <w:p w14:paraId="612B13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（2）线圈全封闭一体式工艺，双面双向无孔设计，加工一次成型；（医疗器械检测中心出具的检测报告照片页证明）</w:t>
            </w:r>
          </w:p>
          <w:p w14:paraId="7749C33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（3）具有电动吸液和电动排液功能。</w:t>
            </w:r>
          </w:p>
          <w:p w14:paraId="489934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4.安全预警</w:t>
            </w:r>
          </w:p>
          <w:p w14:paraId="5181CA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（1）当冷却系统发生故障时，应有提示或停止磁场输出。</w:t>
            </w:r>
          </w:p>
          <w:p w14:paraId="7566EB7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（2）在设备连续工作中，可以通过按下设备面板上的停止开关，仪器立即停止输出。</w:t>
            </w:r>
          </w:p>
          <w:p w14:paraId="0BCF906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（3）磁刺激线圈表面温度≤40℃</w:t>
            </w:r>
          </w:p>
          <w:p w14:paraId="095879F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（4）可在100%设备强度下使用模式化脉冲(TBS)。</w:t>
            </w:r>
          </w:p>
          <w:p w14:paraId="337DC88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（5）具有电容计数功能，当计数达到10,000,000次后弹出提示框，设备停止工作（医疗器械注册证附件产品技术要求证明）。</w:t>
            </w:r>
          </w:p>
          <w:p w14:paraId="68D3ED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5.电脑操作管理方式，能实现：</w:t>
            </w:r>
          </w:p>
          <w:p w14:paraId="7FE73FE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（1）硬盘储存、USB储存。</w:t>
            </w:r>
          </w:p>
          <w:p w14:paraId="5B1C8C7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（2）专家方案、病历管理、以及病历打印输出。</w:t>
            </w:r>
          </w:p>
          <w:p w14:paraId="46E8C05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（3）刺激模式图形（数字）仿真、温度显示与控制保护。</w:t>
            </w:r>
          </w:p>
          <w:p w14:paraId="4928BE3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6.检测模式</w:t>
            </w:r>
          </w:p>
          <w:p w14:paraId="6F3AA29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（1）检测项目：支持运动阈值（MT）、运动诱发电位（MEP）、中枢神经传导时间（CMCT）、静息期检测等的检测功能。</w:t>
            </w:r>
          </w:p>
          <w:p w14:paraId="366EE52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（2）检测记录：运动阈值与治疗方案自动记忆功能，可对保存文档中波形与数据进行复现。</w:t>
            </w:r>
          </w:p>
          <w:p w14:paraId="23CB8DF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（3）具备自动计算神经传导时间功能。</w:t>
            </w:r>
          </w:p>
          <w:p w14:paraId="2B4822D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（4）实时MEP（EMG）信息显示：</w:t>
            </w:r>
          </w:p>
          <w:p w14:paraId="09A4F7B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①双通道MEP检测功能，采样率不低于100KHz（产品技术要求附件或产品说明书证明）。</w:t>
            </w:r>
          </w:p>
          <w:p w14:paraId="1CE5F1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②传输方式：有线传输内置MEP模块，信号稳定无需充电（非外挂式无线MEP模块）。</w:t>
            </w:r>
          </w:p>
          <w:p w14:paraId="0CBE00B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③最小分辨率：≤0.2μV。</w:t>
            </w:r>
          </w:p>
          <w:p w14:paraId="0AD39FD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④频率测量范围：1Hz~25KHz（第三方检测报告证明）。</w:t>
            </w:r>
          </w:p>
          <w:p w14:paraId="2668913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7.刺激模式</w:t>
            </w:r>
          </w:p>
          <w:p w14:paraId="43C3E1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（1）支持双人同时治疗，双人的刺激频率、刺激强度、刺激时间和刺激间隔可完全独立调节，并且无强制关联关系，两线圈可同时输出脉冲。</w:t>
            </w:r>
          </w:p>
          <w:p w14:paraId="770805C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（2）单脉冲、重复脉冲、BURST、PATTEREND刺激的多种刺激模式自由调整。</w:t>
            </w:r>
          </w:p>
          <w:p w14:paraId="4D53C63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（3）定时时间按照方案的需要设置，在预定时间（方案的总时间）到达后设备自动终止磁场输出，允差：±10%</w:t>
            </w:r>
          </w:p>
          <w:p w14:paraId="3BFA53A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（4）能显示阈值强度、以百分比表示相对输出强度，显示刺激序列、刺激时间、刺激数量。</w:t>
            </w:r>
          </w:p>
          <w:p w14:paraId="3FF66EF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（5）内置多种专家方案，可供临床选择，支持刺激方案自定义，设置刺激时间、输出频率、刺激间歇、刺激强度、刺激数量等。</w:t>
            </w:r>
          </w:p>
          <w:p w14:paraId="4FB65F4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8.设备生产厂家取得国际认证机构认证的ISO13485质量体系认证。</w:t>
            </w:r>
          </w:p>
          <w:p w14:paraId="5CFECA1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9.开放式的技术平台，可与国内外的主流肌电诱发电位仪、脑电图等设备兼容。</w:t>
            </w:r>
          </w:p>
          <w:p w14:paraId="20D192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10.具备触发输入输出通用接口。</w:t>
            </w:r>
          </w:p>
          <w:p w14:paraId="3390F22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11.配置有可以和主机设备线圈联用的盆底治疗座椅2台，用于盆底肌肉神经磁刺激治疗</w:t>
            </w:r>
            <w:r>
              <w:rPr>
                <w:rFonts w:hint="eastAsia" w:ascii="宋体" w:hAnsi="宋体" w:eastAsia="宋体" w:cs="宋体"/>
                <w:color w:val="auto"/>
                <w:sz w:val="24"/>
                <w:szCs w:val="24"/>
                <w:lang w:val="en-US" w:eastAsia="zh-CN"/>
              </w:rPr>
              <w:t>。</w:t>
            </w:r>
          </w:p>
          <w:p w14:paraId="44034FF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12.可与其他磁场刺激仪实现患者治疗信息共享，即在换机情况下，也能满足患者治疗连续性。</w:t>
            </w:r>
          </w:p>
        </w:tc>
        <w:tc>
          <w:tcPr>
            <w:tcW w:w="245" w:type="pct"/>
            <w:shd w:val="clear" w:color="auto" w:fill="auto"/>
            <w:vAlign w:val="center"/>
          </w:tcPr>
          <w:p w14:paraId="05A7B6E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p>
        </w:tc>
        <w:tc>
          <w:tcPr>
            <w:tcW w:w="223" w:type="pct"/>
            <w:shd w:val="clear" w:color="auto" w:fill="auto"/>
            <w:vAlign w:val="center"/>
          </w:tcPr>
          <w:p w14:paraId="77DAD50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台</w:t>
            </w:r>
          </w:p>
        </w:tc>
      </w:tr>
      <w:tr w14:paraId="7571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63" w:hRule="atLeast"/>
          <w:jc w:val="center"/>
        </w:trPr>
        <w:tc>
          <w:tcPr>
            <w:tcW w:w="242" w:type="pct"/>
            <w:shd w:val="clear" w:color="auto" w:fill="auto"/>
            <w:vAlign w:val="center"/>
          </w:tcPr>
          <w:p w14:paraId="3A810BA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p>
        </w:tc>
        <w:tc>
          <w:tcPr>
            <w:tcW w:w="555" w:type="pct"/>
            <w:shd w:val="clear" w:color="auto" w:fill="auto"/>
            <w:vAlign w:val="center"/>
          </w:tcPr>
          <w:p w14:paraId="3381D90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自然光照治疗系统</w:t>
            </w:r>
          </w:p>
          <w:p w14:paraId="0D1F78F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1套</w:t>
            </w:r>
          </w:p>
        </w:tc>
        <w:tc>
          <w:tcPr>
            <w:tcW w:w="4202" w:type="pct"/>
            <w:gridSpan w:val="3"/>
            <w:shd w:val="clear" w:color="auto" w:fill="auto"/>
            <w:vAlign w:val="center"/>
          </w:tcPr>
          <w:p w14:paraId="66F3AA3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1.配置清单</w:t>
            </w:r>
          </w:p>
          <w:tbl>
            <w:tblPr>
              <w:tblStyle w:val="16"/>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009"/>
              <w:gridCol w:w="880"/>
              <w:gridCol w:w="780"/>
              <w:gridCol w:w="2380"/>
              <w:gridCol w:w="1145"/>
            </w:tblGrid>
            <w:tr w14:paraId="77AD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Align w:val="center"/>
                </w:tcPr>
                <w:p w14:paraId="74845865">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3009" w:type="dxa"/>
                  <w:vAlign w:val="center"/>
                </w:tcPr>
                <w:p w14:paraId="06178694">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内容</w:t>
                  </w:r>
                </w:p>
              </w:tc>
              <w:tc>
                <w:tcPr>
                  <w:tcW w:w="880" w:type="dxa"/>
                  <w:vAlign w:val="center"/>
                </w:tcPr>
                <w:p w14:paraId="4EE8A5A5">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数量</w:t>
                  </w:r>
                </w:p>
              </w:tc>
              <w:tc>
                <w:tcPr>
                  <w:tcW w:w="780" w:type="dxa"/>
                  <w:vAlign w:val="center"/>
                </w:tcPr>
                <w:p w14:paraId="2C18B27E">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2380" w:type="dxa"/>
                  <w:vAlign w:val="center"/>
                </w:tcPr>
                <w:p w14:paraId="69172DE9">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内容</w:t>
                  </w:r>
                </w:p>
              </w:tc>
              <w:tc>
                <w:tcPr>
                  <w:tcW w:w="1145" w:type="dxa"/>
                  <w:vAlign w:val="center"/>
                </w:tcPr>
                <w:p w14:paraId="1BDB2E64">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数量</w:t>
                  </w:r>
                </w:p>
              </w:tc>
            </w:tr>
            <w:tr w14:paraId="5B05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Align w:val="center"/>
                </w:tcPr>
                <w:p w14:paraId="6F482059">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3009" w:type="dxa"/>
                  <w:vAlign w:val="center"/>
                </w:tcPr>
                <w:p w14:paraId="20063B44">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自然光照治疗控制管理系统</w:t>
                  </w:r>
                </w:p>
              </w:tc>
              <w:tc>
                <w:tcPr>
                  <w:tcW w:w="880" w:type="dxa"/>
                  <w:vAlign w:val="center"/>
                </w:tcPr>
                <w:p w14:paraId="00E3B06F">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c>
                <w:tcPr>
                  <w:tcW w:w="780" w:type="dxa"/>
                  <w:vAlign w:val="center"/>
                </w:tcPr>
                <w:p w14:paraId="2B26BA41">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17</w:t>
                  </w:r>
                </w:p>
              </w:tc>
              <w:tc>
                <w:tcPr>
                  <w:tcW w:w="2380" w:type="dxa"/>
                  <w:vAlign w:val="center"/>
                </w:tcPr>
                <w:p w14:paraId="7370E5C6">
                  <w:pPr>
                    <w:jc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rPr>
                    <w:t>注意力评估模块</w:t>
                  </w:r>
                </w:p>
              </w:tc>
              <w:tc>
                <w:tcPr>
                  <w:tcW w:w="1145" w:type="dxa"/>
                  <w:vAlign w:val="center"/>
                </w:tcPr>
                <w:p w14:paraId="35243999">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r w14:paraId="0FB2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Align w:val="center"/>
                </w:tcPr>
                <w:p w14:paraId="7C923759">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3009" w:type="dxa"/>
                  <w:vAlign w:val="center"/>
                </w:tcPr>
                <w:p w14:paraId="1A09B3DF">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智能光照天空灯</w:t>
                  </w:r>
                </w:p>
              </w:tc>
              <w:tc>
                <w:tcPr>
                  <w:tcW w:w="880" w:type="dxa"/>
                  <w:vAlign w:val="center"/>
                </w:tcPr>
                <w:p w14:paraId="522B7ED6">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4套</w:t>
                  </w:r>
                </w:p>
              </w:tc>
              <w:tc>
                <w:tcPr>
                  <w:tcW w:w="780" w:type="dxa"/>
                  <w:vAlign w:val="center"/>
                </w:tcPr>
                <w:p w14:paraId="1FC71D9B">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18</w:t>
                  </w:r>
                </w:p>
              </w:tc>
              <w:tc>
                <w:tcPr>
                  <w:tcW w:w="2380" w:type="dxa"/>
                  <w:vAlign w:val="center"/>
                </w:tcPr>
                <w:p w14:paraId="0D6B2673">
                  <w:pPr>
                    <w:jc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rPr>
                    <w:t>身心放松模块</w:t>
                  </w:r>
                </w:p>
              </w:tc>
              <w:tc>
                <w:tcPr>
                  <w:tcW w:w="1145" w:type="dxa"/>
                  <w:vAlign w:val="center"/>
                </w:tcPr>
                <w:p w14:paraId="6614B410">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r w14:paraId="7D00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Align w:val="center"/>
                </w:tcPr>
                <w:p w14:paraId="67A798D9">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3009" w:type="dxa"/>
                  <w:vAlign w:val="center"/>
                </w:tcPr>
                <w:p w14:paraId="3EA0FF2A">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智能光照太阳灯</w:t>
                  </w:r>
                </w:p>
              </w:tc>
              <w:tc>
                <w:tcPr>
                  <w:tcW w:w="880" w:type="dxa"/>
                  <w:vAlign w:val="center"/>
                </w:tcPr>
                <w:p w14:paraId="18A11740">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6套</w:t>
                  </w:r>
                </w:p>
              </w:tc>
              <w:tc>
                <w:tcPr>
                  <w:tcW w:w="780" w:type="dxa"/>
                  <w:vAlign w:val="center"/>
                </w:tcPr>
                <w:p w14:paraId="59C05B72">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19</w:t>
                  </w:r>
                </w:p>
              </w:tc>
              <w:tc>
                <w:tcPr>
                  <w:tcW w:w="2380" w:type="dxa"/>
                  <w:vAlign w:val="center"/>
                </w:tcPr>
                <w:p w14:paraId="1BBDF34A">
                  <w:pPr>
                    <w:jc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rPr>
                    <w:t>催眠治疗模块</w:t>
                  </w:r>
                </w:p>
              </w:tc>
              <w:tc>
                <w:tcPr>
                  <w:tcW w:w="1145" w:type="dxa"/>
                  <w:vAlign w:val="center"/>
                </w:tcPr>
                <w:p w14:paraId="36472EB7">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r w14:paraId="4D6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Align w:val="center"/>
                </w:tcPr>
                <w:p w14:paraId="3411F799">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c>
                <w:tcPr>
                  <w:tcW w:w="3009" w:type="dxa"/>
                  <w:vAlign w:val="center"/>
                </w:tcPr>
                <w:p w14:paraId="0B546377">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智能光照台灯</w:t>
                  </w:r>
                </w:p>
              </w:tc>
              <w:tc>
                <w:tcPr>
                  <w:tcW w:w="880" w:type="dxa"/>
                  <w:vAlign w:val="center"/>
                </w:tcPr>
                <w:p w14:paraId="4D938FED">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6套</w:t>
                  </w:r>
                </w:p>
              </w:tc>
              <w:tc>
                <w:tcPr>
                  <w:tcW w:w="780" w:type="dxa"/>
                  <w:vAlign w:val="center"/>
                </w:tcPr>
                <w:p w14:paraId="520871D0">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w:t>
                  </w:r>
                </w:p>
              </w:tc>
              <w:tc>
                <w:tcPr>
                  <w:tcW w:w="2380" w:type="dxa"/>
                  <w:vAlign w:val="center"/>
                </w:tcPr>
                <w:p w14:paraId="68D81315">
                  <w:pPr>
                    <w:jc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rPr>
                    <w:t>音乐治疗模块</w:t>
                  </w:r>
                </w:p>
              </w:tc>
              <w:tc>
                <w:tcPr>
                  <w:tcW w:w="1145" w:type="dxa"/>
                  <w:vAlign w:val="center"/>
                </w:tcPr>
                <w:p w14:paraId="2E3818CC">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r w14:paraId="12E0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Align w:val="center"/>
                </w:tcPr>
                <w:p w14:paraId="629E6BF4">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3009" w:type="dxa"/>
                  <w:vAlign w:val="center"/>
                </w:tcPr>
                <w:p w14:paraId="4248D2B7">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智能光照眼镜</w:t>
                  </w:r>
                </w:p>
              </w:tc>
              <w:tc>
                <w:tcPr>
                  <w:tcW w:w="880" w:type="dxa"/>
                  <w:vAlign w:val="center"/>
                </w:tcPr>
                <w:p w14:paraId="39A4B70B">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6套</w:t>
                  </w:r>
                </w:p>
              </w:tc>
              <w:tc>
                <w:tcPr>
                  <w:tcW w:w="780" w:type="dxa"/>
                  <w:vAlign w:val="center"/>
                </w:tcPr>
                <w:p w14:paraId="7E5876AE">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21</w:t>
                  </w:r>
                </w:p>
              </w:tc>
              <w:tc>
                <w:tcPr>
                  <w:tcW w:w="2380" w:type="dxa"/>
                  <w:vAlign w:val="center"/>
                </w:tcPr>
                <w:p w14:paraId="54D249A3">
                  <w:pPr>
                    <w:jc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rPr>
                    <w:t>松驰治疗模块</w:t>
                  </w:r>
                </w:p>
              </w:tc>
              <w:tc>
                <w:tcPr>
                  <w:tcW w:w="1145" w:type="dxa"/>
                  <w:vAlign w:val="center"/>
                </w:tcPr>
                <w:p w14:paraId="50EB1301">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r w14:paraId="6B56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Align w:val="center"/>
                </w:tcPr>
                <w:p w14:paraId="4D1A0213">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c>
                <w:tcPr>
                  <w:tcW w:w="3009" w:type="dxa"/>
                  <w:vAlign w:val="center"/>
                </w:tcPr>
                <w:p w14:paraId="7C32B4A4">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控制终端</w:t>
                  </w:r>
                </w:p>
              </w:tc>
              <w:tc>
                <w:tcPr>
                  <w:tcW w:w="880" w:type="dxa"/>
                  <w:vAlign w:val="center"/>
                </w:tcPr>
                <w:p w14:paraId="7C41928D">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c>
                <w:tcPr>
                  <w:tcW w:w="780" w:type="dxa"/>
                  <w:vAlign w:val="center"/>
                </w:tcPr>
                <w:p w14:paraId="2848A494">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22</w:t>
                  </w:r>
                </w:p>
              </w:tc>
              <w:tc>
                <w:tcPr>
                  <w:tcW w:w="2380" w:type="dxa"/>
                  <w:vAlign w:val="center"/>
                </w:tcPr>
                <w:p w14:paraId="0BCC307C">
                  <w:pPr>
                    <w:jc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rPr>
                    <w:t>正念训练模块</w:t>
                  </w:r>
                </w:p>
              </w:tc>
              <w:tc>
                <w:tcPr>
                  <w:tcW w:w="1145" w:type="dxa"/>
                  <w:vAlign w:val="center"/>
                </w:tcPr>
                <w:p w14:paraId="17F8F1EA">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r w14:paraId="6CBE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Align w:val="center"/>
                </w:tcPr>
                <w:p w14:paraId="44293334">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w:t>
                  </w:r>
                </w:p>
              </w:tc>
              <w:tc>
                <w:tcPr>
                  <w:tcW w:w="3009" w:type="dxa"/>
                  <w:vAlign w:val="center"/>
                </w:tcPr>
                <w:p w14:paraId="357242D7">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医用台车</w:t>
                  </w:r>
                </w:p>
              </w:tc>
              <w:tc>
                <w:tcPr>
                  <w:tcW w:w="880" w:type="dxa"/>
                  <w:vAlign w:val="center"/>
                </w:tcPr>
                <w:p w14:paraId="730F7458">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c>
                <w:tcPr>
                  <w:tcW w:w="780" w:type="dxa"/>
                  <w:vAlign w:val="center"/>
                </w:tcPr>
                <w:p w14:paraId="2FEAC576">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23</w:t>
                  </w:r>
                </w:p>
              </w:tc>
              <w:tc>
                <w:tcPr>
                  <w:tcW w:w="2380" w:type="dxa"/>
                  <w:vAlign w:val="center"/>
                </w:tcPr>
                <w:p w14:paraId="1395F1AF">
                  <w:pPr>
                    <w:jc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rPr>
                    <w:t>心理脱敏训练模块</w:t>
                  </w:r>
                </w:p>
              </w:tc>
              <w:tc>
                <w:tcPr>
                  <w:tcW w:w="1145" w:type="dxa"/>
                  <w:vAlign w:val="center"/>
                </w:tcPr>
                <w:p w14:paraId="463EDF5D">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r w14:paraId="3FB1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Align w:val="center"/>
                </w:tcPr>
                <w:p w14:paraId="6728460F">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w:t>
                  </w:r>
                </w:p>
              </w:tc>
              <w:tc>
                <w:tcPr>
                  <w:tcW w:w="3009" w:type="dxa"/>
                  <w:vAlign w:val="center"/>
                </w:tcPr>
                <w:p w14:paraId="7A3066EC">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移动测评端</w:t>
                  </w:r>
                </w:p>
              </w:tc>
              <w:tc>
                <w:tcPr>
                  <w:tcW w:w="880" w:type="dxa"/>
                  <w:vAlign w:val="center"/>
                </w:tcPr>
                <w:p w14:paraId="71C7521F">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c>
                <w:tcPr>
                  <w:tcW w:w="780" w:type="dxa"/>
                  <w:vAlign w:val="center"/>
                </w:tcPr>
                <w:p w14:paraId="5C478F9C">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24</w:t>
                  </w:r>
                </w:p>
              </w:tc>
              <w:tc>
                <w:tcPr>
                  <w:tcW w:w="2380" w:type="dxa"/>
                  <w:vAlign w:val="center"/>
                </w:tcPr>
                <w:p w14:paraId="2612B2C4">
                  <w:pPr>
                    <w:jc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rPr>
                    <w:t>自信心训练模块</w:t>
                  </w:r>
                </w:p>
              </w:tc>
              <w:tc>
                <w:tcPr>
                  <w:tcW w:w="1145" w:type="dxa"/>
                  <w:vAlign w:val="center"/>
                </w:tcPr>
                <w:p w14:paraId="2A143058">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r w14:paraId="21F3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Align w:val="center"/>
                </w:tcPr>
                <w:p w14:paraId="4FB39016">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9</w:t>
                  </w:r>
                </w:p>
              </w:tc>
              <w:tc>
                <w:tcPr>
                  <w:tcW w:w="3009" w:type="dxa"/>
                  <w:vAlign w:val="center"/>
                </w:tcPr>
                <w:p w14:paraId="056F4263">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报告输出端</w:t>
                  </w:r>
                </w:p>
              </w:tc>
              <w:tc>
                <w:tcPr>
                  <w:tcW w:w="880" w:type="dxa"/>
                  <w:vAlign w:val="center"/>
                </w:tcPr>
                <w:p w14:paraId="2B5A5848">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c>
                <w:tcPr>
                  <w:tcW w:w="780" w:type="dxa"/>
                  <w:vAlign w:val="center"/>
                </w:tcPr>
                <w:p w14:paraId="40B34BF8">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w:t>
                  </w:r>
                </w:p>
              </w:tc>
              <w:tc>
                <w:tcPr>
                  <w:tcW w:w="2380" w:type="dxa"/>
                  <w:vAlign w:val="center"/>
                </w:tcPr>
                <w:p w14:paraId="32BD0925">
                  <w:pPr>
                    <w:jc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rPr>
                    <w:t>注意力训练模块</w:t>
                  </w:r>
                </w:p>
              </w:tc>
              <w:tc>
                <w:tcPr>
                  <w:tcW w:w="1145" w:type="dxa"/>
                  <w:vAlign w:val="center"/>
                </w:tcPr>
                <w:p w14:paraId="369C64F7">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r w14:paraId="2FA2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Align w:val="center"/>
                </w:tcPr>
                <w:p w14:paraId="7CC6A3A2">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w:t>
                  </w:r>
                </w:p>
              </w:tc>
              <w:tc>
                <w:tcPr>
                  <w:tcW w:w="3009" w:type="dxa"/>
                  <w:vAlign w:val="center"/>
                </w:tcPr>
                <w:p w14:paraId="3AF901F4">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舒适沙发椅</w:t>
                  </w:r>
                </w:p>
              </w:tc>
              <w:tc>
                <w:tcPr>
                  <w:tcW w:w="880" w:type="dxa"/>
                  <w:vAlign w:val="center"/>
                </w:tcPr>
                <w:p w14:paraId="3B83CCC6">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6套</w:t>
                  </w:r>
                </w:p>
              </w:tc>
              <w:tc>
                <w:tcPr>
                  <w:tcW w:w="780" w:type="dxa"/>
                  <w:vAlign w:val="center"/>
                </w:tcPr>
                <w:p w14:paraId="435B1801">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26</w:t>
                  </w:r>
                </w:p>
              </w:tc>
              <w:tc>
                <w:tcPr>
                  <w:tcW w:w="2380" w:type="dxa"/>
                  <w:vAlign w:val="center"/>
                </w:tcPr>
                <w:p w14:paraId="2653B949">
                  <w:pPr>
                    <w:jc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rPr>
                    <w:t>认知训练模块</w:t>
                  </w:r>
                </w:p>
              </w:tc>
              <w:tc>
                <w:tcPr>
                  <w:tcW w:w="1145" w:type="dxa"/>
                  <w:vAlign w:val="center"/>
                </w:tcPr>
                <w:p w14:paraId="065ECBDC">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r w14:paraId="4495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Align w:val="center"/>
                </w:tcPr>
                <w:p w14:paraId="68FF5094">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11</w:t>
                  </w:r>
                </w:p>
              </w:tc>
              <w:tc>
                <w:tcPr>
                  <w:tcW w:w="3009" w:type="dxa"/>
                  <w:vAlign w:val="center"/>
                </w:tcPr>
                <w:p w14:paraId="7D010C45">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显示终端</w:t>
                  </w:r>
                </w:p>
              </w:tc>
              <w:tc>
                <w:tcPr>
                  <w:tcW w:w="880" w:type="dxa"/>
                  <w:vAlign w:val="center"/>
                </w:tcPr>
                <w:p w14:paraId="4844FBD4">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c>
                <w:tcPr>
                  <w:tcW w:w="780" w:type="dxa"/>
                  <w:vAlign w:val="center"/>
                </w:tcPr>
                <w:p w14:paraId="11A2C434">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27</w:t>
                  </w:r>
                </w:p>
              </w:tc>
              <w:tc>
                <w:tcPr>
                  <w:tcW w:w="2380" w:type="dxa"/>
                  <w:vAlign w:val="center"/>
                </w:tcPr>
                <w:p w14:paraId="72F9B8C0">
                  <w:pPr>
                    <w:jc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rPr>
                    <w:t>情绪压力宣泄模块</w:t>
                  </w:r>
                </w:p>
              </w:tc>
              <w:tc>
                <w:tcPr>
                  <w:tcW w:w="1145" w:type="dxa"/>
                  <w:vAlign w:val="center"/>
                </w:tcPr>
                <w:p w14:paraId="3D8C9470">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r w14:paraId="1781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Align w:val="center"/>
                </w:tcPr>
                <w:p w14:paraId="37132543">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w:t>
                  </w:r>
                </w:p>
              </w:tc>
              <w:tc>
                <w:tcPr>
                  <w:tcW w:w="3009" w:type="dxa"/>
                  <w:vAlign w:val="center"/>
                </w:tcPr>
                <w:p w14:paraId="067550BB">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路由器</w:t>
                  </w:r>
                </w:p>
              </w:tc>
              <w:tc>
                <w:tcPr>
                  <w:tcW w:w="880" w:type="dxa"/>
                  <w:vAlign w:val="center"/>
                </w:tcPr>
                <w:p w14:paraId="5107D408">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c>
                <w:tcPr>
                  <w:tcW w:w="780" w:type="dxa"/>
                  <w:vAlign w:val="center"/>
                </w:tcPr>
                <w:p w14:paraId="20590D3D">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28</w:t>
                  </w:r>
                </w:p>
              </w:tc>
              <w:tc>
                <w:tcPr>
                  <w:tcW w:w="2380" w:type="dxa"/>
                  <w:vAlign w:val="center"/>
                </w:tcPr>
                <w:p w14:paraId="3D88F90C">
                  <w:pPr>
                    <w:jc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rPr>
                    <w:t>脱瘾治疗模块</w:t>
                  </w:r>
                </w:p>
              </w:tc>
              <w:tc>
                <w:tcPr>
                  <w:tcW w:w="1145" w:type="dxa"/>
                  <w:vAlign w:val="center"/>
                </w:tcPr>
                <w:p w14:paraId="1AFE21E2">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r w14:paraId="5143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Align w:val="center"/>
                </w:tcPr>
                <w:p w14:paraId="0C82D6E9">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13</w:t>
                  </w:r>
                </w:p>
              </w:tc>
              <w:tc>
                <w:tcPr>
                  <w:tcW w:w="3009" w:type="dxa"/>
                  <w:vAlign w:val="center"/>
                </w:tcPr>
                <w:p w14:paraId="369FD578">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生理参数采集设备</w:t>
                  </w:r>
                </w:p>
              </w:tc>
              <w:tc>
                <w:tcPr>
                  <w:tcW w:w="880" w:type="dxa"/>
                  <w:vAlign w:val="center"/>
                </w:tcPr>
                <w:p w14:paraId="5E757544">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6套</w:t>
                  </w:r>
                </w:p>
              </w:tc>
              <w:tc>
                <w:tcPr>
                  <w:tcW w:w="780" w:type="dxa"/>
                  <w:vAlign w:val="center"/>
                </w:tcPr>
                <w:p w14:paraId="4AD2A442">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29</w:t>
                  </w:r>
                </w:p>
              </w:tc>
              <w:tc>
                <w:tcPr>
                  <w:tcW w:w="2380" w:type="dxa"/>
                  <w:vAlign w:val="center"/>
                </w:tcPr>
                <w:p w14:paraId="6AF3597A">
                  <w:pPr>
                    <w:jc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rPr>
                    <w:t>同理心训练模块</w:t>
                  </w:r>
                </w:p>
              </w:tc>
              <w:tc>
                <w:tcPr>
                  <w:tcW w:w="1145" w:type="dxa"/>
                  <w:vAlign w:val="center"/>
                </w:tcPr>
                <w:p w14:paraId="1EB5EA3F">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r w14:paraId="1F2F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Align w:val="center"/>
                </w:tcPr>
                <w:p w14:paraId="1B1DFDF4">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14</w:t>
                  </w:r>
                </w:p>
              </w:tc>
              <w:tc>
                <w:tcPr>
                  <w:tcW w:w="3009" w:type="dxa"/>
                  <w:vAlign w:val="center"/>
                </w:tcPr>
                <w:p w14:paraId="56C3FD23">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智能光照物联网控制模块</w:t>
                  </w:r>
                </w:p>
              </w:tc>
              <w:tc>
                <w:tcPr>
                  <w:tcW w:w="880" w:type="dxa"/>
                  <w:vAlign w:val="center"/>
                </w:tcPr>
                <w:p w14:paraId="68BB11BB">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c>
                <w:tcPr>
                  <w:tcW w:w="780" w:type="dxa"/>
                  <w:vAlign w:val="center"/>
                </w:tcPr>
                <w:p w14:paraId="35A4B7CC">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w:t>
                  </w:r>
                </w:p>
              </w:tc>
              <w:tc>
                <w:tcPr>
                  <w:tcW w:w="2380" w:type="dxa"/>
                  <w:vAlign w:val="center"/>
                </w:tcPr>
                <w:p w14:paraId="27D6E1AA">
                  <w:pPr>
                    <w:jc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rPr>
                    <w:t>工娱治疗模块</w:t>
                  </w:r>
                </w:p>
              </w:tc>
              <w:tc>
                <w:tcPr>
                  <w:tcW w:w="1145" w:type="dxa"/>
                  <w:vAlign w:val="center"/>
                </w:tcPr>
                <w:p w14:paraId="0BF81895">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r w14:paraId="7C10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Align w:val="center"/>
                </w:tcPr>
                <w:p w14:paraId="53A0D389">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15</w:t>
                  </w:r>
                </w:p>
              </w:tc>
              <w:tc>
                <w:tcPr>
                  <w:tcW w:w="3009" w:type="dxa"/>
                  <w:vAlign w:val="center"/>
                </w:tcPr>
                <w:p w14:paraId="0702E6EC">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充电消毒柜</w:t>
                  </w:r>
                </w:p>
              </w:tc>
              <w:tc>
                <w:tcPr>
                  <w:tcW w:w="880" w:type="dxa"/>
                  <w:vAlign w:val="center"/>
                </w:tcPr>
                <w:p w14:paraId="50E8CF47">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c>
                <w:tcPr>
                  <w:tcW w:w="780" w:type="dxa"/>
                  <w:vAlign w:val="center"/>
                </w:tcPr>
                <w:p w14:paraId="20A655D7">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31</w:t>
                  </w:r>
                </w:p>
              </w:tc>
              <w:tc>
                <w:tcPr>
                  <w:tcW w:w="2380" w:type="dxa"/>
                  <w:vAlign w:val="center"/>
                </w:tcPr>
                <w:p w14:paraId="24B317C3">
                  <w:pPr>
                    <w:jc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rPr>
                    <w:t>生物反馈训练模块</w:t>
                  </w:r>
                </w:p>
              </w:tc>
              <w:tc>
                <w:tcPr>
                  <w:tcW w:w="1145" w:type="dxa"/>
                  <w:vAlign w:val="center"/>
                </w:tcPr>
                <w:p w14:paraId="0A127197">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r w14:paraId="7FFB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Align w:val="center"/>
                </w:tcPr>
                <w:p w14:paraId="13524D77">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16</w:t>
                  </w:r>
                </w:p>
              </w:tc>
              <w:tc>
                <w:tcPr>
                  <w:tcW w:w="3009" w:type="dxa"/>
                  <w:vAlign w:val="center"/>
                </w:tcPr>
                <w:p w14:paraId="37217841">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沉浸式光照治疗环境打造</w:t>
                  </w:r>
                </w:p>
              </w:tc>
              <w:tc>
                <w:tcPr>
                  <w:tcW w:w="880" w:type="dxa"/>
                  <w:vAlign w:val="center"/>
                </w:tcPr>
                <w:p w14:paraId="7D1E062D">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c>
                <w:tcPr>
                  <w:tcW w:w="780" w:type="dxa"/>
                  <w:vAlign w:val="center"/>
                </w:tcPr>
                <w:p w14:paraId="16AD3EE9">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32</w:t>
                  </w:r>
                </w:p>
              </w:tc>
              <w:tc>
                <w:tcPr>
                  <w:tcW w:w="2380" w:type="dxa"/>
                  <w:vAlign w:val="center"/>
                </w:tcPr>
                <w:p w14:paraId="40430714">
                  <w:pPr>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辅助治疗配套硬件</w:t>
                  </w:r>
                </w:p>
              </w:tc>
              <w:tc>
                <w:tcPr>
                  <w:tcW w:w="1145" w:type="dxa"/>
                  <w:vAlign w:val="center"/>
                </w:tcPr>
                <w:p w14:paraId="52D98F86">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1套</w:t>
                  </w:r>
                </w:p>
              </w:tc>
            </w:tr>
          </w:tbl>
          <w:p w14:paraId="7283853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2.治疗光源</w:t>
            </w:r>
          </w:p>
          <w:p w14:paraId="20B7385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（1）支持接入光照治疗控制管理系统进行管理，实现对设备的启动、结束控制以及照度、时间等参数的调整。</w:t>
            </w:r>
          </w:p>
          <w:p w14:paraId="2DF645A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（2）支持通过控制设备光线来模拟蓝天，营造自然天空氛围。</w:t>
            </w:r>
          </w:p>
          <w:p w14:paraId="1F2DA5C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（3）设备支持调节不同色温和≥5种模式出光颜色，支持模拟早晨、正午、黄昏等不同时段的光线变化（提供不少于5种不同出光颜色的设备临床案例图证明）。</w:t>
            </w:r>
          </w:p>
          <w:p w14:paraId="362E378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（4）设备不含紫外线，功率≤200W，光通量≥50000lm，光线到达人眼位置光照强度（距离2m及以上）≥10000lux（提供检测报告证明）。</w:t>
            </w:r>
          </w:p>
          <w:p w14:paraId="5E4F34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便携光疗台灯光照强度（15cm）≥10000lux；具备定时长使用功能；具备定时闹钟功能；具备晨间唤醒功能，具备白光和蓝光两种光照治疗模式；具备不少于10个等级的光照强度调节功能；支持通过物联网技术对设备治疗参数进行控制（提供详细使用说明书、临床开展图及检测报告证明）。</w:t>
            </w:r>
          </w:p>
          <w:p w14:paraId="5881A4D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（6）提供便携光照治疗功能，设备具备便携可移动特点，根据临床用途可用于门诊、病房等场所。</w:t>
            </w:r>
          </w:p>
          <w:p w14:paraId="3DC0697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便携光疗眼镜重量≤100g，具有适应各种头部尺寸的可调节伸缩头带，具有蓝色光波长，波长峰值470-480nm，且通过专业机构光生物安全检测（提供详细使用说明书、手持光谱仪测量波长峰值实拍图及检测报告证明）。</w:t>
            </w:r>
          </w:p>
          <w:p w14:paraId="68D28E4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（8）每位患者独立对应一套治疗设备，患者之间的治疗过程互不干扰。</w:t>
            </w:r>
          </w:p>
          <w:p w14:paraId="32BDF53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3.心理评估模块</w:t>
            </w:r>
          </w:p>
          <w:p w14:paraId="3DD36F6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提供≥40个游戏化认知能力评估训练内容，包含：运动物体遮挡、节律时间期望效应、基于光点的生物运动知觉、任务转换、智力水平、注意分配能力、心理旋转能力、时间空间判断能力、空间视觉化能力、推理能力、领导决策力等测验内容以及智力、注意力、空间能力、记忆力、推理能力、决策能力、领导能力、合作能力等训练内容（分别提供每一项游戏化认知能力评估训练内容界面截图证明）。</w:t>
            </w:r>
          </w:p>
          <w:p w14:paraId="71F2267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供≥60个心理评估量表内容，包含：抑郁、焦虑、睡眠质量、睡眠觉醒模式、压力、SCL-90、生活满意度、内外型人格、意志品质、EPQ、PDP等测评内容（分别提供每一项心理测评量表内容界面截图及系统软著证明）。</w:t>
            </w:r>
          </w:p>
          <w:p w14:paraId="159F183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提供基于虚拟现实和眼动监测技术的注意力评估功能，系统全流程自动引导完成测评，无需人为指导，单次评估时长≥15分钟，支持在评估过程中加入可量化的干扰条件，最后出具客观的评估报告，报告内容需包含眼动热力图、眼动范围图、全程注意变化、干扰分析、主动分心、被动分心、总遗漏、总正确、总错误、反应时间、运动活动以及专注度变化曲线等一系列分析指标（提供系统软著、系统场景截图和详细评估报告证明）。</w:t>
            </w:r>
          </w:p>
          <w:p w14:paraId="4BAC26B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（4）支持通过手机、平板等移动设备扫码进行心理量表测评。</w:t>
            </w:r>
          </w:p>
          <w:p w14:paraId="0CAEE73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4.辅助治疗模块</w:t>
            </w:r>
          </w:p>
          <w:p w14:paraId="599CAB4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（1）提供包含治疗强化、睡眠促进和身心放松在内的≥3种暗示内容配合光照使用，增强光照治疗过程的心理暗示作用，内容总时长≥90分钟。</w:t>
            </w:r>
          </w:p>
          <w:p w14:paraId="369E56F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（2）在光照治疗过程中，融入科学的心理训练元素，以身心结合的方式对患者进行干预，辅助干预内容支持通过管理系统进行控制打开和使用（提供系统功能页面截图证明）。</w:t>
            </w:r>
          </w:p>
          <w:p w14:paraId="2A63B6A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（3）提供沉浸式声疗功能，提供≥40种治疗音乐，支持根据不同症状和光照治疗时段匹配对应的内容。</w:t>
            </w:r>
          </w:p>
          <w:p w14:paraId="7E66AD0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（4）支持临床自主添加和上传相关内容，系统自动获取新增的内容并在管理系统界面生成播放目录，并支持自主设置内容名称和封面展示。</w:t>
            </w:r>
          </w:p>
          <w:p w14:paraId="7439A63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（5）提供≥5种放松训练模式，包含呼吸放松、肌肉放松、内观情绪等。</w:t>
            </w:r>
          </w:p>
          <w:p w14:paraId="7F0DC6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（6）提供虚拟现实身心放松系统模块，训练场景数量≥12。</w:t>
            </w:r>
          </w:p>
          <w:p w14:paraId="67CB045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（7）提供虚拟现实音乐治疗系统模块，训练场景数量≥12。</w:t>
            </w:r>
          </w:p>
          <w:p w14:paraId="73BCBD8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（8）提供虚拟现实催眠治疗系统模块，训练场景数量≥6。</w:t>
            </w:r>
          </w:p>
          <w:p w14:paraId="1BA151A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（9）提供虚拟现实松驰治疗系统模块，训练场景数量≥12。</w:t>
            </w:r>
          </w:p>
          <w:p w14:paraId="719293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（10）提供虚拟现实正念训练系统模块，训练场景数量≥12。</w:t>
            </w:r>
          </w:p>
          <w:p w14:paraId="1C800F7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（11）提供虚拟现实脱敏训练系统模块，提供包含高度、幽闭、动物、校园和飞行在内的≥5种脱敏训练内容，提供≥25个脱敏训练场景。</w:t>
            </w:r>
          </w:p>
          <w:p w14:paraId="7DF4D50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提供虚拟现实自信心训练系统模块，提供包含教室、会议室、礼堂和办公室在内的≥4种训练场景，医生可实时控制虚拟听众的表情、动作及声音来对患者进行鼓励、打压等心理暗示，可控制动作种类≥10种，可控制声音种类≥10种。</w:t>
            </w:r>
          </w:p>
          <w:p w14:paraId="57F0E2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（13）提供虚拟现实注意力训练系统模块，提供≥7种VR注意力训练内容，具备≥200种训练难度方案，并支持根据患者需求进行调整。</w:t>
            </w:r>
          </w:p>
          <w:p w14:paraId="62AF7F3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（14）提供虚拟现实认知训练系统模块，提供包含记忆力、空间知觉、逻辑思维、手眼协调、超市购物等在内的≥7种认知训练内容，具备≥200种训练难度方案，并支持根据患者需求进行调整。</w:t>
            </w:r>
          </w:p>
          <w:p w14:paraId="0F02AAA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（15）提供虚拟现实宣泄训练系统模块，提供≥3种宣泄训练内容，患者可通过呐喊、游戏、运动等方式进行压力宣泄训练，在训练过程中，场景具备根据患者声音和动作产生不同变化的功能。</w:t>
            </w:r>
          </w:p>
          <w:p w14:paraId="360D0C5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（16）提供虚拟现实脱瘾治疗系统模块，提供包含酒精、香烟、网络成瘾等在内的≥3种脱瘾治疗内容，拥有≥10个训练场景，通过暴露、厌恶和放松等训练方式来降低患者对成瘾物质的线索反应。</w:t>
            </w:r>
          </w:p>
          <w:p w14:paraId="1EAF4C1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提供虚拟现实同理心训练系统模块，基于经典空椅子疗法，通过帮助患者自我安慰、安慰他人、理解自己三种模式来进行心理锻炼，虚拟场景能够1：1还原患者现实生活中的动作，并将其同步到虚拟化身上。</w:t>
            </w:r>
          </w:p>
          <w:p w14:paraId="2D8247F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提供虚拟现实生物反馈训练系统模块，支持心率、脑电生物反馈训练，支持根据训练需求自主选择反馈训练的生理指标，拥有≥3个训练场景内容，训练场景实时根据采集到的生理数据同步变化，使患者对自身的感知更加具体和真实。</w:t>
            </w:r>
          </w:p>
          <w:p w14:paraId="109AC3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（19）提供虚拟现实工娱治疗系统模块，提供包含绘画、曼陀罗和音乐演奏等在内的≥3种工娱治疗内容，通过虚拟现实媒介来帮助患者表达自我的情感和想法，促进情绪的释放和调节。</w:t>
            </w:r>
          </w:p>
          <w:p w14:paraId="6331404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（20）支持自适应难度调节功能，系统基于智能算法，可根据患者训练反馈数据自动实时变换训练难度（提供方案证明）。</w:t>
            </w:r>
          </w:p>
          <w:p w14:paraId="52B9909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以上虚拟现实辅助治疗内容均支持在虚拟现实一体机设备上运行和使用，并支持通过管理系统进行控制使用，支持远程控制训练内容的启动、结束；支持训练画面投屏到系统页面以及自主添加投屏地址；支持查看每个场景的编号、名称、适应症、简介及使用说明等详细内容；支持对监测到的生理指标数据进行实时分析及展示；支持处方运行功能，系统可自动组合多项训练内容生成训练处方，根据患者病症选择对应处方一键运行等（提供系统对应的页面截图和第三方检测机构出具的检测报告证明）。</w:t>
            </w:r>
          </w:p>
          <w:p w14:paraId="212E02C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（22）提供配套硬件设备，设备内存≥6GB，储存≥256GB。</w:t>
            </w:r>
          </w:p>
          <w:p w14:paraId="7F3D0A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5.数据监测模块</w:t>
            </w:r>
          </w:p>
          <w:p w14:paraId="4F72E25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（1）支持获取患者光照治疗期间客观生理指标，定量化评估患者行为和身心健康状态。</w:t>
            </w:r>
          </w:p>
          <w:p w14:paraId="55B05FB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（2）支持实时获取患者心率、额温和大脑δ波、θ波、α波、β波、γ波等等生理数据。</w:t>
            </w:r>
          </w:p>
          <w:p w14:paraId="495D8F8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（3）支持用0-100的数字量化患者放松度和专注度变化。</w:t>
            </w:r>
          </w:p>
          <w:p w14:paraId="20534C2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（4）支持对监测到的数据通过实时无线的传输方式进行统一传输、汇总、储存和分析。</w:t>
            </w:r>
          </w:p>
          <w:p w14:paraId="1C90A5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6.管理系统</w:t>
            </w:r>
          </w:p>
          <w:p w14:paraId="0C7FFCE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系统具备治疗操作、场景模拟、方案管理、评估量表分配、评估任务管理、训练报告管理、评估报告管理、患者档案管理、标签管理及回收站数据恢复等功能模块，一站式管理光照治疗全流程（分别提供系统以上功能模块界面截图证明）。</w:t>
            </w:r>
          </w:p>
          <w:p w14:paraId="08EA0B5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（2）所有评估、训练和治疗数据统一汇总并储存在本系统中进行管理、分析和展示。</w:t>
            </w:r>
          </w:p>
          <w:p w14:paraId="3B9C0E6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患者标签管理功能，可对患者症状、严重程度、共病、强光耐受度、视网膜感光细胞功能等多维度进行评估和标签标记，在进行治疗时，系统根据患者已绑定的标签内容自主推荐治疗方案，以满足患者不同情况下的个性化治疗方案需求（提供系统截图证明）。</w:t>
            </w:r>
          </w:p>
          <w:p w14:paraId="729C622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备实时控制功能，在患者进行评估、训练或治疗时，医生可通过管理平台可查看所有设备的状态，包括设备是否使用、使用进程、当前运行方案内容、治疗剩余时长、使用患者等信息（提供系统功能页面截图证明）。</w:t>
            </w:r>
          </w:p>
          <w:p w14:paraId="15C16EC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（5）支持启动和关闭治疗光源时控制光线稳定缓慢变亮或变暗以保护患者眼睛，且变化时间最短不低于1分钟，长短可调（提供参数设置页面截图证明）。</w:t>
            </w:r>
          </w:p>
          <w:p w14:paraId="63CBC81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具备实时生理数据分析及展示功能，采集到的所有生理数据均实时传输到管理平台中，平台基于内置算法智能分析，并将分析结果实时展示在系统界面上，并支持扩展多参数生理指标的接入，支持展示指标需包含：心率、额温、专注度、放松度、大脑δ波、θ波、α波、β波、γ波、呼吸率、血氧、压力指数、疲劳指数等（提供数据可视化展示图证明）。</w:t>
            </w:r>
          </w:p>
          <w:p w14:paraId="746272B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具备报告管理功能，每次测评、训练和治疗都需出具对应的报告，医生可自主配置报告内容，包括：患者信息、机构信息、报告简介、测评/治疗数据、生理数据、报告说明等模块内容均能够实现自主选择是否显示和打印，系统根据医生选择的内容自动进行页面排版（提供对应功能页面截图证明）。</w:t>
            </w:r>
          </w:p>
          <w:p w14:paraId="7A10191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具备档案管理功能，可查看患者详细个人信息、评估数据、治疗数据等内容，支持选择光照治疗期间所有的测评、治疗记录生成一份综合分析报告，报告内容需包含治疗期间的全部治疗记录、详细治疗方案内容、量表测评结果变化、生理数据变化分析等（提供详细综合报告内容截图证明）。</w:t>
            </w:r>
          </w:p>
          <w:p w14:paraId="6F99F2A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7.提供全系统的物联网部署服务，实现通过管理系统对设备进行远程控制和使用的目的。</w:t>
            </w:r>
          </w:p>
          <w:p w14:paraId="0611D6B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8.提供软件系统终生免费升级及维护服务。</w:t>
            </w:r>
          </w:p>
          <w:p w14:paraId="1360D7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9.全套系统需支持内网部署和运行，所有数据均本地储存和分析处理。</w:t>
            </w:r>
          </w:p>
          <w:p w14:paraId="1004B94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10.提供设备使用房间的室内布局打造服务，针对性地设计阳光沙滩、森林和草原风格的场地装修的能力，打造个性化的光照治疗环境（提供投标产品真实应用场景装修案例图证明）。</w:t>
            </w:r>
          </w:p>
        </w:tc>
      </w:tr>
    </w:tbl>
    <w:p w14:paraId="2F55D3ED">
      <w:pPr>
        <w:pStyle w:val="6"/>
        <w:widowControl w:val="0"/>
        <w:numPr>
          <w:ilvl w:val="0"/>
          <w:numId w:val="0"/>
        </w:numPr>
        <w:spacing w:before="277" w:line="218" w:lineRule="auto"/>
        <w:jc w:val="both"/>
        <w:outlineLvl w:val="1"/>
        <w:rPr>
          <w:rFonts w:hint="eastAsia" w:ascii="宋体" w:hAnsi="宋体" w:cs="宋体"/>
          <w:b/>
          <w:bCs/>
          <w:color w:val="auto"/>
          <w:sz w:val="24"/>
          <w:szCs w:val="24"/>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宋体" w:hAnsi="宋体" w:cs="宋体"/>
          <w:b/>
          <w:bCs/>
          <w:color w:val="auto"/>
          <w:sz w:val="24"/>
          <w:szCs w:val="24"/>
          <w:lang w:val="en-US" w:eastAsia="zh-CN"/>
        </w:rPr>
        <w:t>注：技术参数允许偏离，有负偏离的，进行技术响应扣分，★为重要参数。</w:t>
      </w:r>
    </w:p>
    <w:p w14:paraId="13E86B44">
      <w:pPr>
        <w:pStyle w:val="6"/>
        <w:keepNext w:val="0"/>
        <w:keepLines w:val="0"/>
        <w:pageBreakBefore w:val="0"/>
        <w:widowControl w:val="0"/>
        <w:numPr>
          <w:ilvl w:val="0"/>
          <w:numId w:val="2"/>
        </w:numPr>
        <w:kinsoku/>
        <w:wordWrap/>
        <w:overflowPunct/>
        <w:topLinePunct w:val="0"/>
        <w:autoSpaceDE/>
        <w:autoSpaceDN/>
        <w:bidi w:val="0"/>
        <w:adjustRightInd/>
        <w:snapToGrid/>
        <w:spacing w:line="370" w:lineRule="exact"/>
        <w:jc w:val="center"/>
        <w:textAlignment w:val="auto"/>
        <w:outlineLvl w:val="1"/>
        <w:rPr>
          <w:rFonts w:hint="eastAsia"/>
          <w:spacing w:val="-2"/>
          <w:sz w:val="24"/>
          <w:szCs w:val="24"/>
          <w:lang w:eastAsia="zh-CN"/>
        </w:rPr>
      </w:pPr>
      <w:r>
        <w:rPr>
          <w:rFonts w:hint="eastAsia"/>
          <w:spacing w:val="-2"/>
          <w:sz w:val="24"/>
          <w:szCs w:val="24"/>
          <w:lang w:eastAsia="zh-CN"/>
        </w:rPr>
        <w:t>商务条款</w:t>
      </w:r>
    </w:p>
    <w:p w14:paraId="0CC5347E">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lang w:val="en-US" w:eastAsia="zh-CN"/>
        </w:rPr>
      </w:pPr>
      <w:bookmarkStart w:id="18" w:name="_Toc29399"/>
      <w:r>
        <w:rPr>
          <w:rFonts w:hint="eastAsia"/>
          <w:sz w:val="24"/>
          <w:szCs w:val="24"/>
          <w:lang w:val="en-US" w:eastAsia="zh-CN"/>
        </w:rPr>
        <w:t>（一）交货期</w:t>
      </w:r>
      <w:bookmarkEnd w:id="18"/>
    </w:p>
    <w:p w14:paraId="349F8C97">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default"/>
          <w:sz w:val="24"/>
          <w:szCs w:val="24"/>
          <w:highlight w:val="none"/>
          <w:lang w:val="en-US" w:eastAsia="zh-CN"/>
        </w:rPr>
      </w:pPr>
      <w:r>
        <w:rPr>
          <w:rFonts w:hint="default"/>
          <w:sz w:val="24"/>
          <w:szCs w:val="24"/>
          <w:lang w:val="en-US" w:eastAsia="zh-CN"/>
        </w:rPr>
        <w:t>合同签订完成后，国产产品</w:t>
      </w:r>
      <w:r>
        <w:rPr>
          <w:rFonts w:hint="eastAsia"/>
          <w:sz w:val="24"/>
          <w:szCs w:val="24"/>
          <w:lang w:val="en-US" w:eastAsia="zh-CN"/>
        </w:rPr>
        <w:t>20</w:t>
      </w:r>
      <w:r>
        <w:rPr>
          <w:rFonts w:hint="default"/>
          <w:sz w:val="24"/>
          <w:szCs w:val="24"/>
          <w:lang w:val="en-US" w:eastAsia="zh-CN"/>
        </w:rPr>
        <w:t>个日历日内完成交货安装调试及验收。进口产品</w:t>
      </w:r>
      <w:r>
        <w:rPr>
          <w:rFonts w:hint="eastAsia"/>
          <w:sz w:val="24"/>
          <w:szCs w:val="24"/>
          <w:lang w:val="en-US" w:eastAsia="zh-CN"/>
        </w:rPr>
        <w:t>30</w:t>
      </w:r>
      <w:r>
        <w:rPr>
          <w:rFonts w:hint="default"/>
          <w:sz w:val="24"/>
          <w:szCs w:val="24"/>
          <w:lang w:val="en-US" w:eastAsia="zh-CN"/>
        </w:rPr>
        <w:t>个日历日内完成交货安装调试及验收。若合同签订后中标</w:t>
      </w:r>
      <w:r>
        <w:rPr>
          <w:rFonts w:hint="eastAsia"/>
          <w:sz w:val="24"/>
          <w:szCs w:val="24"/>
          <w:lang w:val="en-US" w:eastAsia="zh-CN"/>
        </w:rPr>
        <w:t>投标人</w:t>
      </w:r>
      <w:r>
        <w:rPr>
          <w:rFonts w:hint="default"/>
          <w:sz w:val="24"/>
          <w:szCs w:val="24"/>
          <w:lang w:val="en-US" w:eastAsia="zh-CN"/>
        </w:rPr>
        <w:t>未按约定发货的，医院有权立即终止合</w:t>
      </w:r>
      <w:r>
        <w:rPr>
          <w:rFonts w:hint="default"/>
          <w:sz w:val="24"/>
          <w:szCs w:val="24"/>
          <w:highlight w:val="none"/>
          <w:lang w:val="en-US" w:eastAsia="zh-CN"/>
        </w:rPr>
        <w:t>同。交</w:t>
      </w:r>
      <w:r>
        <w:rPr>
          <w:rFonts w:hint="eastAsia"/>
          <w:sz w:val="24"/>
          <w:szCs w:val="24"/>
          <w:highlight w:val="none"/>
          <w:lang w:val="en-US" w:eastAsia="zh-CN"/>
        </w:rPr>
        <w:t>货产品生产日期须是临近合同签订日期的产品，即国产设备不超过3个月，进口设备不超过6个月。</w:t>
      </w:r>
    </w:p>
    <w:p w14:paraId="7B0E7DD8">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default"/>
          <w:sz w:val="24"/>
          <w:szCs w:val="24"/>
          <w:highlight w:val="none"/>
          <w:lang w:val="en-US" w:eastAsia="zh-CN"/>
        </w:rPr>
      </w:pPr>
      <w:bookmarkStart w:id="19" w:name="_Toc23531"/>
      <w:r>
        <w:rPr>
          <w:rFonts w:hint="eastAsia"/>
          <w:sz w:val="24"/>
          <w:szCs w:val="24"/>
          <w:highlight w:val="none"/>
          <w:lang w:val="en-US" w:eastAsia="zh-CN"/>
        </w:rPr>
        <w:t>（二）</w:t>
      </w:r>
      <w:r>
        <w:rPr>
          <w:rFonts w:hint="default"/>
          <w:sz w:val="24"/>
          <w:szCs w:val="24"/>
          <w:highlight w:val="none"/>
          <w:lang w:val="en-US" w:eastAsia="zh-CN"/>
        </w:rPr>
        <w:t>交货及安装地点</w:t>
      </w:r>
      <w:bookmarkEnd w:id="19"/>
    </w:p>
    <w:p w14:paraId="3A09C71D">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bookmarkStart w:id="20" w:name="_Toc17660"/>
      <w:r>
        <w:rPr>
          <w:rFonts w:hint="eastAsia"/>
          <w:sz w:val="24"/>
          <w:szCs w:val="24"/>
          <w:highlight w:val="none"/>
          <w:lang w:val="en-US" w:eastAsia="zh-CN"/>
        </w:rPr>
        <w:t>交货及安装地点为采购人指定地点。</w:t>
      </w:r>
    </w:p>
    <w:p w14:paraId="713DBD54">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（三）</w:t>
      </w:r>
      <w:r>
        <w:rPr>
          <w:rFonts w:hint="default"/>
          <w:sz w:val="24"/>
          <w:szCs w:val="24"/>
          <w:highlight w:val="none"/>
          <w:lang w:val="en-US" w:eastAsia="zh-CN"/>
        </w:rPr>
        <w:t>软件部分总体要求</w:t>
      </w:r>
      <w:bookmarkEnd w:id="20"/>
    </w:p>
    <w:p w14:paraId="44B0D284">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1.信息安全技术要求</w:t>
      </w:r>
    </w:p>
    <w:p w14:paraId="08C203F9">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（1）投标人向医院提供的软件技术服务必须符合国家信息安全以及保密安全相关技术要求。</w:t>
      </w:r>
    </w:p>
    <w:p w14:paraId="6E261F3C">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（2）因投标人所提供的设备系统漏洞导致的信息安全风险，供应商需承诺终身免费升级修补，采购人保留对严重情节追究法律责任的权利。</w:t>
      </w:r>
    </w:p>
    <w:p w14:paraId="78EEF1B4">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（3）投标人应确保设备数据安全，实现数据加密存储和传输，防止非法阅读、复制及非法用户访问，并能阻止非法篡改数据操作、及时预警。</w:t>
      </w:r>
    </w:p>
    <w:p w14:paraId="2DD36A59">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eastAsia="宋体"/>
          <w:highlight w:val="none"/>
          <w:lang w:val="en-US" w:eastAsia="zh-CN"/>
        </w:rPr>
      </w:pPr>
      <w:r>
        <w:rPr>
          <w:rFonts w:hint="eastAsia"/>
          <w:sz w:val="24"/>
          <w:szCs w:val="24"/>
          <w:highlight w:val="none"/>
          <w:lang w:val="en-US" w:eastAsia="zh-CN"/>
        </w:rPr>
        <w:t>（4）投标人应确保在网络、服务器故障等特殊情况下设备数据不丢失。</w:t>
      </w:r>
    </w:p>
    <w:p w14:paraId="0147AC3E">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2.接口要求</w:t>
      </w:r>
    </w:p>
    <w:p w14:paraId="32CFB153">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bookmarkStart w:id="21" w:name="_Toc11023"/>
      <w:r>
        <w:rPr>
          <w:rFonts w:hint="eastAsia"/>
          <w:sz w:val="24"/>
          <w:szCs w:val="24"/>
          <w:highlight w:val="none"/>
          <w:lang w:val="en-US" w:eastAsia="zh-CN"/>
        </w:rPr>
        <w:t>（1）本次所采购设备需按医院使用需求接入医院信息系统，实现数据共享，投标人应免费开放和承担相应的接口费。</w:t>
      </w:r>
    </w:p>
    <w:p w14:paraId="11024D55">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（2）设备质保期内，投标人需按医院需求进行设备系统、软件升级改造，包括程序升级、功能调整、故障处理、接口开发及对接院内新增或更换的应用系统等。</w:t>
      </w:r>
    </w:p>
    <w:bookmarkEnd w:id="21"/>
    <w:p w14:paraId="696CB59A">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bookmarkStart w:id="22" w:name="_Toc5927"/>
      <w:r>
        <w:rPr>
          <w:rFonts w:hint="eastAsia"/>
          <w:sz w:val="24"/>
          <w:szCs w:val="24"/>
          <w:highlight w:val="none"/>
          <w:lang w:val="en-US" w:eastAsia="zh-CN"/>
        </w:rPr>
        <w:t>（四）质保期、售后服务要求及保修承诺（通用要求。技术参数中对各产品有具体特殊规定的，按照其规定）</w:t>
      </w:r>
    </w:p>
    <w:p w14:paraId="38905597">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1.除技术参数明确要求的外，整机质保（含易损件）≥ 3年，需在质保承诺书中承诺具体质保年限。以出具的质保期承诺函为准。提供质保期承诺函原件扫描件并加盖公章。</w:t>
      </w:r>
    </w:p>
    <w:p w14:paraId="1B24CD25">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2.在质保期内，一旦发生质量问题，中标人保证在接到通知后，应在及时给予答复，并按承诺时间派维修工程师到现场进行维修或更换部件，产生的所有费用由中标人负责。质保期内产品的一切质量问题，更换部件及产品本身质量原因造成的直接经济损失应全部由中标人自行负责。</w:t>
      </w:r>
    </w:p>
    <w:p w14:paraId="5C0CC18B">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3.质保期届满后，根据实际维修情况合理收取技术服务费，维修维护所需的零件配件更换费用，需按成本价进行收取。</w:t>
      </w:r>
    </w:p>
    <w:p w14:paraId="5BE889BE">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4.为保障设备正常运行，设备厂家必须在中国境内设有备件库，保证10年供应期。</w:t>
      </w:r>
    </w:p>
    <w:p w14:paraId="67535488">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5.投标人投标时须提供详尽的售后服务计划，计划应包括以下内容：</w:t>
      </w:r>
    </w:p>
    <w:p w14:paraId="1502F67B">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（1）售后服务体系。</w:t>
      </w:r>
    </w:p>
    <w:p w14:paraId="3E5E03C0">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（2）产品保质期内的服务承诺；</w:t>
      </w:r>
    </w:p>
    <w:p w14:paraId="62D5EEE2">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（3）维修与更换有缺陷的货物或部件期限：接到医院通知后响应时间为24小时，派维修人员到达现场（如遇不可抗力因素除外）并解决一般问题，特殊问题另行协商。</w:t>
      </w:r>
    </w:p>
    <w:p w14:paraId="01DA944D">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（4）运行阶段的服务承诺。</w:t>
      </w:r>
    </w:p>
    <w:p w14:paraId="023F43F7">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（5）提供相应的培训计划。</w:t>
      </w:r>
    </w:p>
    <w:bookmarkEnd w:id="22"/>
    <w:p w14:paraId="5F303669">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bookmarkStart w:id="23" w:name="_Toc20834"/>
      <w:r>
        <w:rPr>
          <w:rFonts w:hint="eastAsia"/>
          <w:sz w:val="24"/>
          <w:szCs w:val="24"/>
          <w:highlight w:val="none"/>
          <w:lang w:val="en-US" w:eastAsia="zh-CN"/>
        </w:rPr>
        <w:t>（五）验收</w:t>
      </w:r>
    </w:p>
    <w:p w14:paraId="18E87412">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1.中标人负责对系统进行检验、安装、调试，直至验收合格。验收时应与投标时产品原始样本技术资料/标书技术文件一致，并应符合我国有关技术规范和技术标准，所派人员的一切费用由中标人承担。中标人负责对用户操作人员提供现场设备操作、保养等培训，并承担相应费用。</w:t>
      </w:r>
    </w:p>
    <w:p w14:paraId="4D00FCC0">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2.包装：设备包装应满足防潮、防震、防锈要求，确保设备完好无损抵达安装现场，因包装不当造成的责任事故由中标人负责，按设备标准验收程序规程执行。</w:t>
      </w:r>
    </w:p>
    <w:p w14:paraId="7546E569">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3.若采购人需进行现场实验验证或法定计量检定，中标人须配合，检定费用由中标人承担，检定合格后方可验收。</w:t>
      </w:r>
    </w:p>
    <w:p w14:paraId="6597EDF2">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4.验收时中标人需提供设备检验证书、合格证、交货清单、结构图纸、控制电路板联络图、电子线路图（纸质和电子版）及软硬件操作手册、维护手册和维护专用工具等，并在设备到达用户所在地后1周内安排工程师完成安装、调试。若设备自安装之日起1周内未能正常使用或通过验收，中标人需更换同型号新设备或无条件退货，并赔偿采购人损失。</w:t>
      </w:r>
    </w:p>
    <w:bookmarkEnd w:id="23"/>
    <w:p w14:paraId="6A04470E">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bookmarkStart w:id="24" w:name="_Toc2745"/>
      <w:r>
        <w:rPr>
          <w:rFonts w:hint="eastAsia"/>
          <w:sz w:val="24"/>
          <w:szCs w:val="24"/>
          <w:highlight w:val="none"/>
          <w:lang w:val="en-US" w:eastAsia="zh-CN"/>
        </w:rPr>
        <w:t>（六）其他要求</w:t>
      </w:r>
    </w:p>
    <w:p w14:paraId="692814E2">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1.若中标人存在商业贿赂等违法犯罪行为，医院有权立即终止合同，并禁止其一至三年内参与医院采购项目投标；因不及时办理发票、货品以次充好、售后服务不及时等履约不到位行为，被投诉1-2次给予警告，投诉达3次及以上，采购人有权终止合同并禁止其一至三年内投标。</w:t>
      </w:r>
    </w:p>
    <w:p w14:paraId="72A0A34C">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2.若出现验收合格的设备故障或不能使用的情况，中标人应立即提供同品牌同型号新设备以供使用或换货，直到原设备维修完成继续使用。</w:t>
      </w:r>
    </w:p>
    <w:p w14:paraId="5382B460">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3.所有相关设备信息化建设按采购人要求提供，相关费用由中标人承担。</w:t>
      </w:r>
    </w:p>
    <w:p w14:paraId="498B757D">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4.若设备配备专用耗材、试剂或药品，投标人须提供厂家承诺：采购人后期采购该设备配套专用耗材、试剂或药品时，报价不得高于同期市场的最低价。</w:t>
      </w:r>
    </w:p>
    <w:p w14:paraId="20ECC900">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eastAsia="zh-CN"/>
        </w:rPr>
      </w:pPr>
      <w:r>
        <w:rPr>
          <w:rFonts w:hint="eastAsia"/>
          <w:sz w:val="24"/>
          <w:szCs w:val="24"/>
          <w:highlight w:val="none"/>
          <w:lang w:eastAsia="zh-CN"/>
        </w:rPr>
        <w:t>五、付款方式</w:t>
      </w:r>
      <w:bookmarkEnd w:id="24"/>
    </w:p>
    <w:p w14:paraId="092D15C6">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（一）</w:t>
      </w:r>
      <w:r>
        <w:rPr>
          <w:rFonts w:hint="default"/>
          <w:sz w:val="24"/>
          <w:szCs w:val="24"/>
          <w:highlight w:val="none"/>
          <w:lang w:val="en-US" w:eastAsia="zh-CN"/>
        </w:rPr>
        <w:t>履约保证金：合同签订前，</w:t>
      </w:r>
      <w:r>
        <w:rPr>
          <w:rFonts w:hint="eastAsia"/>
          <w:sz w:val="24"/>
          <w:szCs w:val="24"/>
          <w:highlight w:val="none"/>
          <w:lang w:val="en-US" w:eastAsia="zh-CN"/>
        </w:rPr>
        <w:t>中标人</w:t>
      </w:r>
      <w:r>
        <w:rPr>
          <w:rFonts w:hint="default"/>
          <w:sz w:val="24"/>
          <w:szCs w:val="24"/>
          <w:highlight w:val="none"/>
          <w:lang w:val="en-US" w:eastAsia="zh-CN"/>
        </w:rPr>
        <w:t>按合同金额的</w:t>
      </w:r>
      <w:r>
        <w:rPr>
          <w:rFonts w:hint="eastAsia"/>
          <w:sz w:val="24"/>
          <w:szCs w:val="24"/>
          <w:highlight w:val="none"/>
          <w:lang w:val="en-US" w:eastAsia="zh-CN"/>
        </w:rPr>
        <w:t>5</w:t>
      </w:r>
      <w:r>
        <w:rPr>
          <w:rFonts w:hint="default"/>
          <w:sz w:val="24"/>
          <w:szCs w:val="24"/>
          <w:highlight w:val="none"/>
          <w:lang w:val="en-US" w:eastAsia="zh-CN"/>
        </w:rPr>
        <w:t>%，支付给</w:t>
      </w:r>
      <w:r>
        <w:rPr>
          <w:rFonts w:hint="eastAsia"/>
          <w:sz w:val="24"/>
          <w:szCs w:val="24"/>
          <w:highlight w:val="none"/>
          <w:lang w:val="en-US" w:eastAsia="zh-CN"/>
        </w:rPr>
        <w:t>医院</w:t>
      </w:r>
      <w:r>
        <w:rPr>
          <w:rFonts w:hint="default"/>
          <w:sz w:val="24"/>
          <w:szCs w:val="24"/>
          <w:highlight w:val="none"/>
          <w:lang w:val="en-US" w:eastAsia="zh-CN"/>
        </w:rPr>
        <w:t>。履约保证金从验收日期起一年后，所提供货物无任何质量问题，且出现问题及时响应维修，在</w:t>
      </w:r>
      <w:r>
        <w:rPr>
          <w:rFonts w:hint="eastAsia"/>
          <w:sz w:val="24"/>
          <w:szCs w:val="24"/>
          <w:highlight w:val="none"/>
          <w:lang w:val="en-US" w:eastAsia="zh-CN"/>
        </w:rPr>
        <w:t>中标人</w:t>
      </w:r>
      <w:r>
        <w:rPr>
          <w:rFonts w:hint="default"/>
          <w:sz w:val="24"/>
          <w:szCs w:val="24"/>
          <w:highlight w:val="none"/>
          <w:lang w:val="en-US" w:eastAsia="zh-CN"/>
        </w:rPr>
        <w:t>提出书面申请后</w:t>
      </w:r>
      <w:r>
        <w:rPr>
          <w:rFonts w:hint="eastAsia"/>
          <w:sz w:val="24"/>
          <w:szCs w:val="24"/>
          <w:highlight w:val="none"/>
          <w:lang w:val="en-US" w:eastAsia="zh-CN"/>
        </w:rPr>
        <w:t>30</w:t>
      </w:r>
      <w:r>
        <w:rPr>
          <w:rFonts w:hint="default"/>
          <w:sz w:val="24"/>
          <w:szCs w:val="24"/>
          <w:highlight w:val="none"/>
          <w:lang w:val="en-US" w:eastAsia="zh-CN"/>
        </w:rPr>
        <w:t>个日历日内全额无息退还。</w:t>
      </w:r>
    </w:p>
    <w:p w14:paraId="1A1A503B">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（二）货款结算：合同签订完成，货物安装调试完成并验收合格后30个工作日内支付合同全部货款。</w:t>
      </w:r>
    </w:p>
    <w:p w14:paraId="424319F3">
      <w:pPr>
        <w:pStyle w:val="6"/>
        <w:widowControl w:val="0"/>
        <w:numPr>
          <w:ilvl w:val="0"/>
          <w:numId w:val="0"/>
        </w:numPr>
        <w:spacing w:before="277" w:line="218" w:lineRule="auto"/>
        <w:jc w:val="center"/>
        <w:outlineLvl w:val="1"/>
        <w:rPr>
          <w:rFonts w:hint="eastAsia"/>
          <w:spacing w:val="-2"/>
          <w:sz w:val="24"/>
          <w:szCs w:val="24"/>
          <w:lang w:eastAsia="zh-CN"/>
        </w:rPr>
        <w:sectPr>
          <w:pgSz w:w="11906" w:h="16838"/>
          <w:pgMar w:top="1440" w:right="1080" w:bottom="1440" w:left="1080" w:header="851" w:footer="992" w:gutter="0"/>
          <w:pgNumType w:fmt="decimal"/>
          <w:cols w:space="425" w:num="1"/>
          <w:docGrid w:type="lines" w:linePitch="312" w:charSpace="0"/>
        </w:sectPr>
      </w:pPr>
    </w:p>
    <w:p w14:paraId="5BDE6126">
      <w:pPr>
        <w:pStyle w:val="6"/>
        <w:spacing w:before="249" w:line="224" w:lineRule="auto"/>
        <w:jc w:val="center"/>
        <w:outlineLvl w:val="0"/>
        <w:rPr>
          <w:sz w:val="31"/>
          <w:szCs w:val="31"/>
        </w:rPr>
      </w:pPr>
      <w:bookmarkStart w:id="25" w:name="bookmark9"/>
      <w:bookmarkEnd w:id="25"/>
      <w:bookmarkStart w:id="26" w:name="_Toc18260"/>
      <w:r>
        <w:rPr>
          <w:b/>
          <w:bCs/>
          <w:spacing w:val="6"/>
          <w:sz w:val="31"/>
          <w:szCs w:val="31"/>
        </w:rPr>
        <w:t>第八章</w:t>
      </w:r>
      <w:r>
        <w:rPr>
          <w:spacing w:val="6"/>
          <w:sz w:val="31"/>
          <w:szCs w:val="31"/>
        </w:rPr>
        <w:t xml:space="preserve"> </w:t>
      </w:r>
      <w:r>
        <w:rPr>
          <w:b/>
          <w:bCs/>
          <w:spacing w:val="6"/>
          <w:sz w:val="31"/>
          <w:szCs w:val="31"/>
        </w:rPr>
        <w:t>拟签订的合同文本</w:t>
      </w:r>
      <w:bookmarkEnd w:id="26"/>
    </w:p>
    <w:p w14:paraId="4CBF334F">
      <w:pPr>
        <w:pStyle w:val="6"/>
        <w:spacing w:before="36" w:line="219" w:lineRule="auto"/>
        <w:jc w:val="center"/>
        <w:outlineLvl w:val="1"/>
        <w:rPr>
          <w:sz w:val="24"/>
          <w:szCs w:val="24"/>
        </w:rPr>
      </w:pPr>
      <w:bookmarkStart w:id="27" w:name="bookmark10"/>
      <w:bookmarkEnd w:id="27"/>
      <w:bookmarkStart w:id="28" w:name="bookmark11"/>
      <w:bookmarkEnd w:id="28"/>
      <w:bookmarkStart w:id="29" w:name="_Toc22636"/>
      <w:r>
        <w:rPr>
          <w:spacing w:val="-5"/>
          <w:sz w:val="30"/>
          <w:szCs w:val="30"/>
        </w:rPr>
        <w:t>（参考格式）</w:t>
      </w:r>
    </w:p>
    <w:p w14:paraId="24CF7E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合同编号：</w:t>
      </w:r>
    </w:p>
    <w:p w14:paraId="479BA2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采购人：</w:t>
      </w:r>
      <w:r>
        <w:rPr>
          <w:sz w:val="24"/>
          <w:szCs w:val="24"/>
          <w:u w:val="single"/>
        </w:rPr>
        <w:t xml:space="preserve"> 六盘水市</w:t>
      </w:r>
      <w:r>
        <w:rPr>
          <w:rFonts w:hint="eastAsia"/>
          <w:sz w:val="24"/>
          <w:szCs w:val="24"/>
          <w:u w:val="single"/>
          <w:lang w:eastAsia="zh-CN"/>
        </w:rPr>
        <w:t>第三</w:t>
      </w:r>
      <w:r>
        <w:rPr>
          <w:sz w:val="24"/>
          <w:szCs w:val="24"/>
          <w:u w:val="single"/>
        </w:rPr>
        <w:t xml:space="preserve">人民医院 </w:t>
      </w:r>
      <w:r>
        <w:rPr>
          <w:sz w:val="24"/>
          <w:szCs w:val="24"/>
        </w:rPr>
        <w:t>（以下简称甲方）</w:t>
      </w:r>
    </w:p>
    <w:p w14:paraId="6500A0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eastAsia="zh-CN"/>
        </w:rPr>
        <w:t>投标人</w:t>
      </w:r>
      <w:r>
        <w:rPr>
          <w:sz w:val="24"/>
          <w:szCs w:val="24"/>
        </w:rPr>
        <w:t>：</w:t>
      </w:r>
      <w:r>
        <w:rPr>
          <w:sz w:val="24"/>
          <w:szCs w:val="24"/>
          <w:u w:val="single"/>
        </w:rPr>
        <w:t xml:space="preserve">                     </w:t>
      </w:r>
      <w:r>
        <w:rPr>
          <w:sz w:val="24"/>
          <w:szCs w:val="24"/>
        </w:rPr>
        <w:t>（以下简称乙方）</w:t>
      </w:r>
    </w:p>
    <w:p w14:paraId="548A74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根据《中华人民共和国民法典》、政府采购有关规定，遵循平等、 自愿、公平和诚实守信 用的原则，双方就“医疗设备 ”及有关事项协商一致，共同达成如下协议：</w:t>
      </w:r>
    </w:p>
    <w:p w14:paraId="3B7E5F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mc:AlternateContent>
          <mc:Choice Requires="wps">
            <w:drawing>
              <wp:anchor distT="0" distB="0" distL="114300" distR="114300" simplePos="0" relativeHeight="251673600" behindDoc="0" locked="0" layoutInCell="1" allowOverlap="1">
                <wp:simplePos x="0" y="0"/>
                <wp:positionH relativeFrom="column">
                  <wp:posOffset>732790</wp:posOffset>
                </wp:positionH>
                <wp:positionV relativeFrom="paragraph">
                  <wp:posOffset>85090</wp:posOffset>
                </wp:positionV>
                <wp:extent cx="136525" cy="1028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6525" cy="102870"/>
                        </a:xfrm>
                        <a:prstGeom prst="rect">
                          <a:avLst/>
                        </a:prstGeom>
                        <a:noFill/>
                        <a:ln>
                          <a:noFill/>
                        </a:ln>
                      </wps:spPr>
                      <wps:txbx>
                        <w:txbxContent>
                          <w:p w14:paraId="53C9393A">
                            <w:pPr>
                              <w:pStyle w:val="6"/>
                              <w:spacing w:before="20" w:line="121" w:lineRule="exact"/>
                              <w:jc w:val="right"/>
                              <w:rPr>
                                <w:sz w:val="24"/>
                                <w:szCs w:val="24"/>
                              </w:rPr>
                            </w:pPr>
                            <w:r>
                              <w:rPr>
                                <w:spacing w:val="-48"/>
                                <w:w w:val="92"/>
                                <w:position w:val="1"/>
                                <w:sz w:val="24"/>
                                <w:szCs w:val="24"/>
                              </w:rPr>
                              <w:t>、</w:t>
                            </w:r>
                          </w:p>
                        </w:txbxContent>
                      </wps:txbx>
                      <wps:bodyPr lIns="0" tIns="0" rIns="0" bIns="0" upright="1"/>
                    </wps:wsp>
                  </a:graphicData>
                </a:graphic>
              </wp:anchor>
            </w:drawing>
          </mc:Choice>
          <mc:Fallback>
            <w:pict>
              <v:shape id="_x0000_s1026" o:spid="_x0000_s1026" o:spt="202" type="#_x0000_t202" style="position:absolute;left:0pt;margin-left:57.7pt;margin-top:6.7pt;height:8.1pt;width:10.75pt;z-index:251673600;mso-width-relative:page;mso-height-relative:page;" filled="f" stroked="f" coordsize="21600,21600" o:gfxdata="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nL98NcAAAAJAQAADwAAAAAAAAABACAAAAAiAAAAZHJzL2Rvd25yZXYueG1sUEsBAhQA&#10;FAAAAAgAh07iQP8xpPu6AQAAcQMAAA4AAAAAAAAAAQAgAAAAJgEAAGRycy9lMm9Eb2MueG1sUEsF&#10;BgAAAAAGAAYAWQEAAFIFAAAAAA==&#10;">
                <v:fill on="f" focussize="0,0"/>
                <v:stroke on="f"/>
                <v:imagedata o:title=""/>
                <o:lock v:ext="edit" aspectratio="f"/>
                <v:textbox inset="0mm,0mm,0mm,0mm">
                  <w:txbxContent>
                    <w:p w14:paraId="53C9393A">
                      <w:pPr>
                        <w:pStyle w:val="6"/>
                        <w:spacing w:before="20" w:line="121" w:lineRule="exact"/>
                        <w:jc w:val="right"/>
                        <w:rPr>
                          <w:sz w:val="24"/>
                          <w:szCs w:val="24"/>
                        </w:rPr>
                      </w:pPr>
                      <w:r>
                        <w:rPr>
                          <w:spacing w:val="-48"/>
                          <w:w w:val="92"/>
                          <w:position w:val="1"/>
                          <w:sz w:val="24"/>
                          <w:szCs w:val="24"/>
                        </w:rPr>
                        <w:t>、</w:t>
                      </w:r>
                    </w:p>
                  </w:txbxContent>
                </v:textbox>
              </v:shape>
            </w:pict>
          </mc:Fallback>
        </mc:AlternateContent>
      </w:r>
      <w:r>
        <w:rPr>
          <w:sz w:val="24"/>
          <w:szCs w:val="24"/>
        </w:rPr>
        <w:t>—  项目概况：</w:t>
      </w:r>
    </w:p>
    <w:p w14:paraId="57E759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1、项目名称：医疗设备</w:t>
      </w:r>
    </w:p>
    <w:p w14:paraId="5719FB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2、合同总价：</w:t>
      </w:r>
    </w:p>
    <w:p w14:paraId="2FD9F4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3、采购品牌、型号及技术参数、数量、单价、总价：</w:t>
      </w:r>
    </w:p>
    <w:tbl>
      <w:tblPr>
        <w:tblStyle w:val="27"/>
        <w:tblW w:w="10140" w:type="dxa"/>
        <w:tblInd w:w="3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7"/>
        <w:gridCol w:w="2131"/>
        <w:gridCol w:w="1752"/>
        <w:gridCol w:w="1889"/>
        <w:gridCol w:w="1351"/>
        <w:gridCol w:w="1520"/>
      </w:tblGrid>
      <w:tr w14:paraId="6EED0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497" w:type="dxa"/>
            <w:vAlign w:val="top"/>
          </w:tcPr>
          <w:p w14:paraId="64754A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设备</w:t>
            </w:r>
          </w:p>
        </w:tc>
        <w:tc>
          <w:tcPr>
            <w:tcW w:w="2131" w:type="dxa"/>
            <w:vAlign w:val="top"/>
          </w:tcPr>
          <w:p w14:paraId="75CDE1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品牌型号及技术参数</w:t>
            </w:r>
          </w:p>
        </w:tc>
        <w:tc>
          <w:tcPr>
            <w:tcW w:w="1752" w:type="dxa"/>
            <w:vAlign w:val="top"/>
          </w:tcPr>
          <w:p w14:paraId="1B0E39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数量</w:t>
            </w:r>
          </w:p>
        </w:tc>
        <w:tc>
          <w:tcPr>
            <w:tcW w:w="1889" w:type="dxa"/>
            <w:vAlign w:val="top"/>
          </w:tcPr>
          <w:p w14:paraId="618BD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单价</w:t>
            </w:r>
          </w:p>
        </w:tc>
        <w:tc>
          <w:tcPr>
            <w:tcW w:w="1351" w:type="dxa"/>
            <w:vAlign w:val="top"/>
          </w:tcPr>
          <w:p w14:paraId="7705D3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总价</w:t>
            </w:r>
          </w:p>
        </w:tc>
        <w:tc>
          <w:tcPr>
            <w:tcW w:w="1520" w:type="dxa"/>
            <w:vAlign w:val="top"/>
          </w:tcPr>
          <w:p w14:paraId="67687F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产地</w:t>
            </w:r>
          </w:p>
        </w:tc>
      </w:tr>
      <w:tr w14:paraId="516BE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497" w:type="dxa"/>
            <w:vAlign w:val="top"/>
          </w:tcPr>
          <w:p w14:paraId="1ABC59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2131" w:type="dxa"/>
            <w:vAlign w:val="top"/>
          </w:tcPr>
          <w:p w14:paraId="678E8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52" w:type="dxa"/>
            <w:vAlign w:val="top"/>
          </w:tcPr>
          <w:p w14:paraId="0EEE3E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889" w:type="dxa"/>
            <w:vAlign w:val="top"/>
          </w:tcPr>
          <w:p w14:paraId="16D65C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351" w:type="dxa"/>
            <w:vAlign w:val="top"/>
          </w:tcPr>
          <w:p w14:paraId="458CA7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520" w:type="dxa"/>
            <w:vAlign w:val="top"/>
          </w:tcPr>
          <w:p w14:paraId="79A01A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14:paraId="478FD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497" w:type="dxa"/>
            <w:vAlign w:val="top"/>
          </w:tcPr>
          <w:p w14:paraId="565152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2131" w:type="dxa"/>
            <w:vAlign w:val="top"/>
          </w:tcPr>
          <w:p w14:paraId="7D9CF8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52" w:type="dxa"/>
            <w:vAlign w:val="top"/>
          </w:tcPr>
          <w:p w14:paraId="2DCBFD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889" w:type="dxa"/>
            <w:vAlign w:val="top"/>
          </w:tcPr>
          <w:p w14:paraId="2657E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351" w:type="dxa"/>
            <w:vAlign w:val="top"/>
          </w:tcPr>
          <w:p w14:paraId="4F5BFA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520" w:type="dxa"/>
            <w:vAlign w:val="top"/>
          </w:tcPr>
          <w:p w14:paraId="4A4266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14:paraId="2B11A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497" w:type="dxa"/>
            <w:vAlign w:val="top"/>
          </w:tcPr>
          <w:p w14:paraId="6470FC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2131" w:type="dxa"/>
            <w:vAlign w:val="top"/>
          </w:tcPr>
          <w:p w14:paraId="1B74CF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52" w:type="dxa"/>
            <w:vAlign w:val="top"/>
          </w:tcPr>
          <w:p w14:paraId="5ACD49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889" w:type="dxa"/>
            <w:vAlign w:val="top"/>
          </w:tcPr>
          <w:p w14:paraId="31195E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351" w:type="dxa"/>
            <w:vAlign w:val="top"/>
          </w:tcPr>
          <w:p w14:paraId="792583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520" w:type="dxa"/>
            <w:vAlign w:val="top"/>
          </w:tcPr>
          <w:p w14:paraId="50CCF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14:paraId="7EACE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497" w:type="dxa"/>
            <w:vAlign w:val="top"/>
          </w:tcPr>
          <w:p w14:paraId="698385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2131" w:type="dxa"/>
            <w:vAlign w:val="top"/>
          </w:tcPr>
          <w:p w14:paraId="62AE91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52" w:type="dxa"/>
            <w:vAlign w:val="top"/>
          </w:tcPr>
          <w:p w14:paraId="085FC9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889" w:type="dxa"/>
            <w:vAlign w:val="top"/>
          </w:tcPr>
          <w:p w14:paraId="07EF54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351" w:type="dxa"/>
            <w:vAlign w:val="top"/>
          </w:tcPr>
          <w:p w14:paraId="2DE84A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520" w:type="dxa"/>
            <w:vAlign w:val="top"/>
          </w:tcPr>
          <w:p w14:paraId="19C554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r w14:paraId="5C0AF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497" w:type="dxa"/>
            <w:vAlign w:val="top"/>
          </w:tcPr>
          <w:p w14:paraId="3C40C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2131" w:type="dxa"/>
            <w:vAlign w:val="top"/>
          </w:tcPr>
          <w:p w14:paraId="5D565C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752" w:type="dxa"/>
            <w:vAlign w:val="top"/>
          </w:tcPr>
          <w:p w14:paraId="63C2A9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889" w:type="dxa"/>
            <w:vAlign w:val="top"/>
          </w:tcPr>
          <w:p w14:paraId="1C4E78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351" w:type="dxa"/>
            <w:vAlign w:val="top"/>
          </w:tcPr>
          <w:p w14:paraId="6E6904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c>
          <w:tcPr>
            <w:tcW w:w="1520" w:type="dxa"/>
            <w:vAlign w:val="top"/>
          </w:tcPr>
          <w:p w14:paraId="0BECD4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tc>
      </w:tr>
    </w:tbl>
    <w:p w14:paraId="36240C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4、交（提）货地点、方式：</w:t>
      </w:r>
    </w:p>
    <w:p w14:paraId="719865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5、验收标准及提出异议时间：</w:t>
      </w:r>
    </w:p>
    <w:p w14:paraId="7AAFAA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5.1 货物送达、调试等完毕后，由采购人组织相关部门验收。</w:t>
      </w:r>
    </w:p>
    <w:p w14:paraId="733AA6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5.2 货物为原制造商制造的全新产品并保持原厂包装，表面无划损、无任何缺陷隐患， 可依常规安全合法使用。具备出厂合格证，序列号、包装箱号与出厂批号一致，并可追溯查 阅。</w:t>
      </w:r>
    </w:p>
    <w:p w14:paraId="3C4EAA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5.3 交付验收标准依次序对照适用标准为：</w:t>
      </w:r>
    </w:p>
    <w:p w14:paraId="309855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5.3.1 符合中华人民共和国国家安全质量标准、环保标准或行业标准；</w:t>
      </w:r>
    </w:p>
    <w:p w14:paraId="39D78C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5.3.2 符合招标文件和响应承诺中采购人认可的合理最佳配置、参数及各项要求；</w:t>
      </w:r>
    </w:p>
    <w:p w14:paraId="58CD08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5.3.3 中标人应将关键货物的用户手册、保修手册、有关单证资料及配备件、随机工具 等交付给采购人，属于进口产品的初验时须提供进口产品相关报关资料，使用操作及安全须 知等重要资料应附有中文说明；</w:t>
      </w:r>
    </w:p>
    <w:p w14:paraId="3B6C0A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5.3.4 采购人组成验收小组按国家有关规定、规范进行验收（包含破环性检验），产生 的费用由中标人自行负责。</w:t>
      </w:r>
    </w:p>
    <w:p w14:paraId="17D867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6、质保期（依据招标文件的要求和投标文件的承诺）：</w:t>
      </w:r>
    </w:p>
    <w:p w14:paraId="6F1138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采购内容中部分产品对质保期和免费运营维保期的要求高于上述要求的，从其要求质保  期和免费运营维保期。若产品厂家或国家对产品质保期和免费运营维保期有特殊规定，且期  限高于招标文件所列质保期和免费运营维保期的，按质保期和免费运营维保期限最高的执行。 所有质保期和免费运营维保期均从采购人验收合格之日起计算。</w:t>
      </w:r>
    </w:p>
    <w:p w14:paraId="4D5FE1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7、履约保证金的缴纳：合同签订前缴纳中标金额的</w:t>
      </w:r>
      <w:r>
        <w:rPr>
          <w:rFonts w:hint="eastAsia"/>
          <w:sz w:val="24"/>
          <w:szCs w:val="24"/>
          <w:lang w:val="en-US" w:eastAsia="zh-CN"/>
        </w:rPr>
        <w:t>5</w:t>
      </w:r>
      <w:r>
        <w:rPr>
          <w:sz w:val="24"/>
          <w:szCs w:val="24"/>
        </w:rPr>
        <w:t>%作为履约保证金。</w:t>
      </w:r>
    </w:p>
    <w:p w14:paraId="5FC0F7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8、履约保证金的退还：</w:t>
      </w:r>
      <w:r>
        <w:rPr>
          <w:rFonts w:hint="eastAsia"/>
          <w:sz w:val="24"/>
          <w:szCs w:val="24"/>
        </w:rPr>
        <w:t>履约保证金从验收日期起一年后，所提供货物无任何质量问题，且出现问题及时响应维修，在中标人提出书面申请后30个日历日内全额无息退还。</w:t>
      </w:r>
    </w:p>
    <w:p w14:paraId="7D48EB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9、付款约定及期限：项目设备验收合格后一次性支付100%货款。</w:t>
      </w:r>
    </w:p>
    <w:p w14:paraId="6BE6BC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投标人开户行名称：</w:t>
      </w:r>
    </w:p>
    <w:p w14:paraId="67EC14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账号：</w:t>
      </w:r>
    </w:p>
    <w:p w14:paraId="3C7D3C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10、违约责任：</w:t>
      </w:r>
    </w:p>
    <w:p w14:paraId="2657E8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10.1 甲乙双方均应当全面履行本合同的约定，一方违约给另一方造成损失的，应当承 担赔偿责任。</w:t>
      </w:r>
    </w:p>
    <w:p w14:paraId="797E2C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10.2 乙方未按照已经签订的合同内容发货，应当负责更换或补足；造成中标货物延迟 的，每延迟1个工作日应当支付延迟交货金额万分之五的违约金；迟延交货或不能履行合同 的，甲方有权解除本合同并承担甲方相应损失。</w:t>
      </w:r>
    </w:p>
    <w:p w14:paraId="4B6BA3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10.3 甲方逾期支付乙方资金的，乙方可要求甲方支付中标金额万分之五。</w:t>
      </w:r>
    </w:p>
    <w:p w14:paraId="7B9956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10.4如</w:t>
      </w:r>
      <w:r>
        <w:rPr>
          <w:rFonts w:hint="eastAsia"/>
          <w:sz w:val="24"/>
          <w:szCs w:val="24"/>
          <w:lang w:eastAsia="zh-CN"/>
        </w:rPr>
        <w:t>投标人</w:t>
      </w:r>
      <w:r>
        <w:rPr>
          <w:sz w:val="24"/>
          <w:szCs w:val="24"/>
        </w:rPr>
        <w:t>未按期实现系统上线使用，则按照逾期日期，每日向采购人支付合同款项 5‰</w:t>
      </w:r>
    </w:p>
    <w:p w14:paraId="1D29C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的违约金。</w:t>
      </w:r>
    </w:p>
    <w:p w14:paraId="0DF2B0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10.5如合同双方中任何一方由于不可抗力，如：地震在、水灾、台风、战争和其他双方都认 为的不可抗力原因而无法按期履行合同，由双方协商确定达成一致意见。</w:t>
      </w:r>
    </w:p>
    <w:p w14:paraId="2D844B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11、甲、乙双方权利和义务：双方约定</w:t>
      </w:r>
    </w:p>
    <w:p w14:paraId="51C52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12、解决合同纠纷方式：</w:t>
      </w:r>
    </w:p>
    <w:p w14:paraId="79A35A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（1）双方协商解决 (   ) ;</w:t>
      </w:r>
    </w:p>
    <w:p w14:paraId="47849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（2）提起仲裁 (   ) ;</w:t>
      </w:r>
    </w:p>
    <w:p w14:paraId="6984BB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（3）向甲方所在地人民法院提起诉讼（  ）。</w:t>
      </w:r>
    </w:p>
    <w:p w14:paraId="06E9A9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13、签订时间：本合同于 202</w:t>
      </w:r>
      <w:r>
        <w:rPr>
          <w:rFonts w:hint="eastAsia"/>
          <w:sz w:val="24"/>
          <w:szCs w:val="24"/>
          <w:lang w:val="en-US" w:eastAsia="zh-CN"/>
        </w:rPr>
        <w:t>5</w:t>
      </w:r>
      <w:r>
        <w:rPr>
          <w:sz w:val="24"/>
          <w:szCs w:val="24"/>
        </w:rPr>
        <w:t>年  月  日  签订。</w:t>
      </w:r>
    </w:p>
    <w:p w14:paraId="55BC9F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14、合同签订地点：</w:t>
      </w:r>
    </w:p>
    <w:p w14:paraId="66B881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本合同在                签订。</w:t>
      </w:r>
    </w:p>
    <w:p w14:paraId="451C80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15、合同生效：本合同自采购双方签字、盖章之日起生效</w:t>
      </w:r>
    </w:p>
    <w:p w14:paraId="7E41F7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采购人：（公章）                   投标人：（公章）</w:t>
      </w:r>
    </w:p>
    <w:p w14:paraId="2A8ACA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法定代表人或其委托代理人：         法定代表人或其委托代理人：</w:t>
      </w:r>
    </w:p>
    <w:p w14:paraId="48D945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（签字）                          （签字）</w:t>
      </w:r>
    </w:p>
    <w:p w14:paraId="744E4B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地址：                              地址：</w:t>
      </w:r>
    </w:p>
    <w:p w14:paraId="50C665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开户银行：                          开户银行：</w:t>
      </w:r>
    </w:p>
    <w:p w14:paraId="6634F6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账号：                              账号：</w:t>
      </w:r>
    </w:p>
    <w:p w14:paraId="144EB9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本合同一式</w:t>
      </w:r>
      <w:r>
        <w:rPr>
          <w:sz w:val="24"/>
          <w:szCs w:val="24"/>
          <w:u w:val="single"/>
        </w:rPr>
        <w:t xml:space="preserve">      </w:t>
      </w:r>
      <w:r>
        <w:rPr>
          <w:sz w:val="24"/>
          <w:szCs w:val="24"/>
        </w:rPr>
        <w:t>份，均具有法律效力。</w:t>
      </w:r>
    </w:p>
    <w:p w14:paraId="003CFF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注：1. 本合同仅供参考，投标人在领取中标通知书后30日内与采购人签订合同，且合同</w:t>
      </w:r>
    </w:p>
    <w:p w14:paraId="09729C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应及时送至贵州省六盘水市凉都公证处予以公证（免费办理0858-8269684）。</w:t>
      </w:r>
    </w:p>
    <w:p w14:paraId="1734DA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sectPr>
          <w:headerReference r:id="rId15" w:type="default"/>
          <w:footerReference r:id="rId16" w:type="default"/>
          <w:pgSz w:w="11906" w:h="16838"/>
          <w:pgMar w:top="1440" w:right="1080" w:bottom="1440" w:left="1080" w:header="851" w:footer="992" w:gutter="0"/>
          <w:pgNumType w:fmt="decimal"/>
          <w:cols w:space="425" w:num="1"/>
          <w:docGrid w:type="lines" w:linePitch="312" w:charSpace="0"/>
        </w:sectPr>
      </w:pPr>
      <w:r>
        <w:rPr>
          <w:sz w:val="24"/>
          <w:szCs w:val="24"/>
        </w:rPr>
        <w:t>2. 本合同一般条款作为参考，中标人与采购人在签订合同时可具体商定</w:t>
      </w:r>
    </w:p>
    <w:p w14:paraId="07006C1F">
      <w:pPr>
        <w:pStyle w:val="6"/>
        <w:spacing w:before="231" w:line="224" w:lineRule="auto"/>
        <w:ind w:left="1646"/>
        <w:outlineLvl w:val="0"/>
        <w:rPr>
          <w:sz w:val="31"/>
          <w:szCs w:val="31"/>
        </w:rPr>
      </w:pPr>
      <w:r>
        <w:rPr>
          <w:b/>
          <w:bCs/>
          <w:spacing w:val="6"/>
          <w:sz w:val="31"/>
          <w:szCs w:val="31"/>
        </w:rPr>
        <w:t>第九章</w:t>
      </w:r>
      <w:r>
        <w:rPr>
          <w:spacing w:val="3"/>
          <w:sz w:val="31"/>
          <w:szCs w:val="31"/>
        </w:rPr>
        <w:t xml:space="preserve">  </w:t>
      </w:r>
      <w:r>
        <w:rPr>
          <w:b/>
          <w:bCs/>
          <w:spacing w:val="6"/>
          <w:sz w:val="31"/>
          <w:szCs w:val="31"/>
        </w:rPr>
        <w:t>货物、服务提供的时间、地点、方式</w:t>
      </w:r>
      <w:bookmarkEnd w:id="29"/>
    </w:p>
    <w:p w14:paraId="5437672C">
      <w:pPr>
        <w:pStyle w:val="6"/>
        <w:keepNext w:val="0"/>
        <w:keepLines w:val="0"/>
        <w:pageBreakBefore w:val="0"/>
        <w:widowControl w:val="0"/>
        <w:kinsoku/>
        <w:wordWrap/>
        <w:overflowPunct/>
        <w:topLinePunct w:val="0"/>
        <w:autoSpaceDE/>
        <w:autoSpaceDN/>
        <w:bidi w:val="0"/>
        <w:adjustRightInd/>
        <w:snapToGrid/>
        <w:spacing w:before="231" w:line="219" w:lineRule="auto"/>
        <w:ind w:left="27" w:firstLine="476" w:firstLineChars="200"/>
        <w:textAlignment w:val="auto"/>
        <w:rPr>
          <w:rFonts w:ascii="Arial"/>
          <w:sz w:val="21"/>
        </w:rPr>
      </w:pPr>
      <w:r>
        <w:rPr>
          <w:spacing w:val="-1"/>
          <w:sz w:val="24"/>
          <w:szCs w:val="24"/>
        </w:rPr>
        <w:t>1、货物、服务提供的时间：按照招标文件第七章商务条款执行</w:t>
      </w:r>
    </w:p>
    <w:p w14:paraId="7873F8DF">
      <w:pPr>
        <w:pStyle w:val="6"/>
        <w:keepNext w:val="0"/>
        <w:keepLines w:val="0"/>
        <w:pageBreakBefore w:val="0"/>
        <w:widowControl w:val="0"/>
        <w:kinsoku/>
        <w:wordWrap/>
        <w:overflowPunct/>
        <w:topLinePunct w:val="0"/>
        <w:autoSpaceDE/>
        <w:autoSpaceDN/>
        <w:bidi w:val="0"/>
        <w:adjustRightInd/>
        <w:snapToGrid/>
        <w:spacing w:before="78" w:line="219" w:lineRule="auto"/>
        <w:ind w:left="12" w:firstLine="476" w:firstLineChars="200"/>
        <w:textAlignment w:val="auto"/>
        <w:rPr>
          <w:rFonts w:ascii="Arial"/>
          <w:sz w:val="21"/>
        </w:rPr>
      </w:pPr>
      <w:r>
        <w:rPr>
          <w:spacing w:val="-1"/>
          <w:sz w:val="24"/>
          <w:szCs w:val="24"/>
        </w:rPr>
        <w:t>2、货物、服务提供的地点：按照招标文件第七章商务条款执行</w:t>
      </w:r>
    </w:p>
    <w:p w14:paraId="3F030544">
      <w:pPr>
        <w:pStyle w:val="6"/>
        <w:keepNext w:val="0"/>
        <w:keepLines w:val="0"/>
        <w:pageBreakBefore w:val="0"/>
        <w:widowControl w:val="0"/>
        <w:kinsoku/>
        <w:wordWrap/>
        <w:overflowPunct/>
        <w:topLinePunct w:val="0"/>
        <w:autoSpaceDE/>
        <w:autoSpaceDN/>
        <w:bidi w:val="0"/>
        <w:adjustRightInd/>
        <w:snapToGrid/>
        <w:spacing w:before="78" w:line="219" w:lineRule="auto"/>
        <w:ind w:left="14" w:firstLine="476" w:firstLineChars="200"/>
        <w:textAlignment w:val="auto"/>
        <w:rPr>
          <w:spacing w:val="-1"/>
          <w:sz w:val="24"/>
          <w:szCs w:val="24"/>
        </w:rPr>
        <w:sectPr>
          <w:pgSz w:w="11906" w:h="16838"/>
          <w:pgMar w:top="1440" w:right="1080" w:bottom="1440" w:left="1080" w:header="851" w:footer="992" w:gutter="0"/>
          <w:pgNumType w:fmt="decimal"/>
          <w:cols w:space="425" w:num="1"/>
          <w:docGrid w:type="lines" w:linePitch="312" w:charSpace="0"/>
        </w:sectPr>
      </w:pPr>
      <w:r>
        <w:rPr>
          <w:spacing w:val="-1"/>
          <w:sz w:val="24"/>
          <w:szCs w:val="24"/>
        </w:rPr>
        <w:t>3、货物、服务提供的方式：按照招标文件第七章商务条款执行</w:t>
      </w:r>
    </w:p>
    <w:p w14:paraId="27EE79F8">
      <w:pPr>
        <w:pStyle w:val="3"/>
        <w:bidi w:val="0"/>
        <w:spacing w:line="240" w:lineRule="auto"/>
        <w:jc w:val="center"/>
      </w:pPr>
      <w:bookmarkStart w:id="30" w:name="_Toc9952"/>
      <w:bookmarkStart w:id="31" w:name="_Toc4778"/>
      <w:r>
        <w:t>第十章采购资金的支付方式、时间、条件</w:t>
      </w:r>
      <w:bookmarkEnd w:id="30"/>
      <w:bookmarkEnd w:id="31"/>
    </w:p>
    <w:p w14:paraId="627F353E">
      <w:pPr>
        <w:spacing w:line="245" w:lineRule="auto"/>
        <w:rPr>
          <w:rFonts w:ascii="Arial"/>
          <w:sz w:val="21"/>
        </w:rPr>
      </w:pPr>
    </w:p>
    <w:p w14:paraId="20FD74F0">
      <w:pPr>
        <w:keepNext w:val="0"/>
        <w:keepLines w:val="0"/>
        <w:pageBreakBefore w:val="0"/>
        <w:widowControl w:val="0"/>
        <w:kinsoku/>
        <w:wordWrap/>
        <w:overflowPunct/>
        <w:topLinePunct w:val="0"/>
        <w:autoSpaceDE/>
        <w:autoSpaceDN/>
        <w:bidi w:val="0"/>
        <w:adjustRightInd/>
        <w:spacing w:line="245" w:lineRule="auto"/>
        <w:ind w:firstLine="480" w:firstLineChars="200"/>
        <w:textAlignment w:val="auto"/>
        <w:rPr>
          <w:rFonts w:ascii="Arial"/>
          <w:sz w:val="24"/>
          <w:szCs w:val="24"/>
        </w:rPr>
      </w:pPr>
    </w:p>
    <w:p w14:paraId="3DD445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Style w:val="28"/>
          <w:rFonts w:hint="eastAsia" w:ascii="宋体" w:hAnsi="宋体"/>
          <w:b w:val="0"/>
          <w:bCs w:val="0"/>
          <w:color w:val="000000"/>
          <w:sz w:val="24"/>
          <w:szCs w:val="24"/>
          <w:u w:val="none"/>
        </w:rPr>
      </w:pPr>
      <w:r>
        <w:rPr>
          <w:rFonts w:hint="eastAsia" w:ascii="宋体" w:hAnsi="宋体"/>
          <w:b w:val="0"/>
          <w:bCs w:val="0"/>
          <w:color w:val="000000"/>
          <w:sz w:val="24"/>
          <w:szCs w:val="24"/>
        </w:rPr>
        <w:t>资金支付方式、时间</w:t>
      </w:r>
      <w:r>
        <w:rPr>
          <w:rFonts w:hint="eastAsia" w:ascii="宋体" w:hAnsi="宋体" w:eastAsia="宋体"/>
          <w:b w:val="0"/>
          <w:bCs w:val="0"/>
          <w:color w:val="000000"/>
          <w:sz w:val="24"/>
          <w:szCs w:val="24"/>
          <w:lang w:eastAsia="zh-CN"/>
        </w:rPr>
        <w:t>：</w:t>
      </w:r>
      <w:r>
        <w:rPr>
          <w:rStyle w:val="28"/>
          <w:rFonts w:hint="eastAsia" w:ascii="宋体" w:hAnsi="宋体"/>
          <w:b w:val="0"/>
          <w:bCs w:val="0"/>
          <w:color w:val="000000"/>
          <w:sz w:val="24"/>
          <w:szCs w:val="24"/>
          <w:u w:val="none"/>
        </w:rPr>
        <w:t>合同签订完成，货物安装调试完成并验收合格后30个工作日内支付合同全部货款。</w:t>
      </w:r>
    </w:p>
    <w:p w14:paraId="35CCFA39">
      <w:pPr>
        <w:pStyle w:val="6"/>
        <w:keepNext w:val="0"/>
        <w:keepLines w:val="0"/>
        <w:pageBreakBefore w:val="0"/>
        <w:widowControl w:val="0"/>
        <w:kinsoku/>
        <w:wordWrap/>
        <w:overflowPunct/>
        <w:topLinePunct w:val="0"/>
        <w:autoSpaceDE/>
        <w:autoSpaceDN/>
        <w:bidi w:val="0"/>
        <w:adjustRightInd/>
        <w:snapToGrid/>
        <w:spacing w:before="78" w:line="219" w:lineRule="auto"/>
        <w:ind w:left="14" w:firstLine="476" w:firstLineChars="200"/>
        <w:textAlignment w:val="auto"/>
        <w:rPr>
          <w:spacing w:val="-1"/>
          <w:sz w:val="24"/>
          <w:szCs w:val="24"/>
        </w:rPr>
        <w:sectPr>
          <w:pgSz w:w="11906" w:h="16838"/>
          <w:pgMar w:top="1440" w:right="1080" w:bottom="1440" w:left="1080" w:header="851" w:footer="992" w:gutter="0"/>
          <w:pgNumType w:fmt="decimal"/>
          <w:cols w:space="425" w:num="1"/>
          <w:docGrid w:type="lines" w:linePitch="312" w:charSpace="0"/>
        </w:sectPr>
      </w:pPr>
    </w:p>
    <w:p w14:paraId="65EB3084">
      <w:pPr>
        <w:pStyle w:val="6"/>
        <w:spacing w:before="100" w:line="224" w:lineRule="auto"/>
        <w:ind w:left="1943"/>
        <w:outlineLvl w:val="0"/>
        <w:rPr>
          <w:sz w:val="31"/>
          <w:szCs w:val="31"/>
        </w:rPr>
      </w:pPr>
      <w:bookmarkStart w:id="32" w:name="_Toc25870"/>
      <w:r>
        <w:rPr>
          <w:b/>
          <w:bCs/>
          <w:spacing w:val="7"/>
          <w:sz w:val="31"/>
          <w:szCs w:val="31"/>
        </w:rPr>
        <w:t>第十一章</w:t>
      </w:r>
      <w:r>
        <w:rPr>
          <w:spacing w:val="7"/>
          <w:sz w:val="31"/>
          <w:szCs w:val="31"/>
        </w:rPr>
        <w:t xml:space="preserve"> </w:t>
      </w:r>
      <w:r>
        <w:rPr>
          <w:b/>
          <w:bCs/>
          <w:spacing w:val="7"/>
          <w:sz w:val="31"/>
          <w:szCs w:val="31"/>
        </w:rPr>
        <w:t>评标办法、评标标准和投标无效情形</w:t>
      </w:r>
      <w:bookmarkEnd w:id="32"/>
    </w:p>
    <w:p w14:paraId="14A2C4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一、评标办法</w:t>
      </w:r>
    </w:p>
    <w:p w14:paraId="013DAB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综合评分法：是指投标文件满足招标文件全部实质性要求，且按照评审因素的量化指标 评审得分最高的投标人为中标候选人的评标方法。</w:t>
      </w:r>
    </w:p>
    <w:p w14:paraId="6327D0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综合评分的主要因素包括：投标报价及合理性、投标文件的规范性、质量保证、售后服 务、商务条款等对招标文件的响应程度，以及相应的比重或者权值，评标委员会各成员独立 对投标文件评价、打分、汇总得分。;</w:t>
      </w:r>
    </w:p>
    <w:p w14:paraId="3E2AF5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二、评标标准</w:t>
      </w:r>
    </w:p>
    <w:p w14:paraId="6993E2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（一）采购人代表和采购代理机构代表对投标人资格审查</w:t>
      </w:r>
    </w:p>
    <w:tbl>
      <w:tblPr>
        <w:tblStyle w:val="15"/>
        <w:tblpPr w:leftFromText="180" w:rightFromText="180" w:vertAnchor="text" w:horzAnchor="page" w:tblpX="875" w:tblpY="430"/>
        <w:tblOverlap w:val="never"/>
        <w:tblW w:w="10473" w:type="dxa"/>
        <w:tblInd w:w="0" w:type="dxa"/>
        <w:tblLayout w:type="fixed"/>
        <w:tblCellMar>
          <w:top w:w="0" w:type="dxa"/>
          <w:left w:w="108" w:type="dxa"/>
          <w:bottom w:w="0" w:type="dxa"/>
          <w:right w:w="108" w:type="dxa"/>
        </w:tblCellMar>
      </w:tblPr>
      <w:tblGrid>
        <w:gridCol w:w="825"/>
        <w:gridCol w:w="1481"/>
        <w:gridCol w:w="6485"/>
        <w:gridCol w:w="1682"/>
      </w:tblGrid>
      <w:tr w14:paraId="457FB5FD">
        <w:tblPrEx>
          <w:tblCellMar>
            <w:top w:w="0" w:type="dxa"/>
            <w:left w:w="108" w:type="dxa"/>
            <w:bottom w:w="0" w:type="dxa"/>
            <w:right w:w="108" w:type="dxa"/>
          </w:tblCellMar>
        </w:tblPrEx>
        <w:trPr>
          <w:tblHead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00F70697">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序号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678021F">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审查内容</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50EE29F5">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审查标准</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32C2DDCC">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条件或说明</w:t>
            </w:r>
          </w:p>
        </w:tc>
      </w:tr>
      <w:tr w14:paraId="480D8FE7">
        <w:tblPrEx>
          <w:tblCellMar>
            <w:top w:w="0" w:type="dxa"/>
            <w:left w:w="108" w:type="dxa"/>
            <w:bottom w:w="0" w:type="dxa"/>
            <w:right w:w="108" w:type="dxa"/>
          </w:tblCellMar>
        </w:tblPrEx>
        <w:tc>
          <w:tcPr>
            <w:tcW w:w="825" w:type="dxa"/>
            <w:vMerge w:val="restart"/>
            <w:tcBorders>
              <w:top w:val="single" w:color="000000" w:sz="4" w:space="0"/>
              <w:left w:val="single" w:color="000000" w:sz="4" w:space="0"/>
              <w:right w:val="single" w:color="000000" w:sz="4" w:space="0"/>
            </w:tcBorders>
            <w:noWrap w:val="0"/>
            <w:vAlign w:val="center"/>
          </w:tcPr>
          <w:p w14:paraId="20B956F1">
            <w:pPr>
              <w:jc w:val="center"/>
              <w:rPr>
                <w:sz w:val="21"/>
                <w:szCs w:val="21"/>
              </w:rPr>
            </w:pPr>
            <w:r>
              <w:rPr>
                <w:rFonts w:hint="eastAsia"/>
                <w:sz w:val="21"/>
                <w:szCs w:val="21"/>
              </w:rPr>
              <w:t>1</w:t>
            </w:r>
          </w:p>
        </w:tc>
        <w:tc>
          <w:tcPr>
            <w:tcW w:w="1481" w:type="dxa"/>
            <w:vMerge w:val="restart"/>
            <w:tcBorders>
              <w:top w:val="single" w:color="000000" w:sz="4" w:space="0"/>
              <w:left w:val="single" w:color="000000" w:sz="4" w:space="0"/>
              <w:right w:val="single" w:color="000000" w:sz="4" w:space="0"/>
            </w:tcBorders>
            <w:noWrap w:val="0"/>
            <w:vAlign w:val="center"/>
          </w:tcPr>
          <w:p w14:paraId="3DF3BCDD">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法定代表人身份证明与</w:t>
            </w:r>
            <w:r>
              <w:rPr>
                <w:rFonts w:hint="eastAsia" w:ascii="微软雅黑" w:hAnsi="微软雅黑" w:cs="微软雅黑"/>
                <w:color w:val="000000"/>
                <w:sz w:val="21"/>
                <w:szCs w:val="21"/>
                <w:shd w:val="clear" w:color="000000" w:fill="FFFFFF"/>
              </w:rPr>
              <w:t>单位法人授权委托书</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7321B2BD">
            <w:pPr>
              <w:snapToGrid w:val="0"/>
              <w:spacing w:line="360" w:lineRule="auto"/>
              <w:rPr>
                <w:rFonts w:hint="eastAsia" w:ascii="微软雅黑" w:hAnsi="微软雅黑" w:cs="微软雅黑"/>
                <w:color w:val="000000"/>
                <w:sz w:val="21"/>
                <w:szCs w:val="21"/>
              </w:rPr>
            </w:pPr>
            <w:r>
              <w:rPr>
                <w:rFonts w:hint="eastAsia" w:ascii="微软雅黑" w:hAnsi="微软雅黑" w:cs="微软雅黑"/>
                <w:color w:val="000000"/>
                <w:sz w:val="21"/>
                <w:szCs w:val="21"/>
              </w:rPr>
              <w:t>1.若由法定代表人参加投标，按公开招标文件格式提供法人代表身份证明。</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2BFEE1F8">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提供复印件或扫描件加盖公章或电子公章</w:t>
            </w:r>
          </w:p>
        </w:tc>
      </w:tr>
      <w:tr w14:paraId="29AE1746">
        <w:tblPrEx>
          <w:tblCellMar>
            <w:top w:w="0" w:type="dxa"/>
            <w:left w:w="108" w:type="dxa"/>
            <w:bottom w:w="0" w:type="dxa"/>
            <w:right w:w="108" w:type="dxa"/>
          </w:tblCellMar>
        </w:tblPrEx>
        <w:trPr>
          <w:trHeight w:val="992" w:hRule="atLeast"/>
        </w:trPr>
        <w:tc>
          <w:tcPr>
            <w:tcW w:w="825" w:type="dxa"/>
            <w:vMerge w:val="continue"/>
            <w:tcBorders>
              <w:left w:val="single" w:color="000000" w:sz="4" w:space="0"/>
              <w:bottom w:val="single" w:color="000000" w:sz="4" w:space="0"/>
              <w:right w:val="single" w:color="000000" w:sz="4" w:space="0"/>
            </w:tcBorders>
            <w:noWrap w:val="0"/>
            <w:vAlign w:val="center"/>
          </w:tcPr>
          <w:p w14:paraId="05A5F44A">
            <w:pPr>
              <w:jc w:val="center"/>
              <w:rPr>
                <w:sz w:val="21"/>
                <w:szCs w:val="21"/>
              </w:rPr>
            </w:pPr>
          </w:p>
        </w:tc>
        <w:tc>
          <w:tcPr>
            <w:tcW w:w="1481" w:type="dxa"/>
            <w:vMerge w:val="continue"/>
            <w:tcBorders>
              <w:left w:val="single" w:color="000000" w:sz="4" w:space="0"/>
              <w:bottom w:val="single" w:color="000000" w:sz="4" w:space="0"/>
              <w:right w:val="single" w:color="000000" w:sz="4" w:space="0"/>
            </w:tcBorders>
            <w:noWrap w:val="0"/>
            <w:vAlign w:val="center"/>
          </w:tcPr>
          <w:p w14:paraId="54747880">
            <w:pPr>
              <w:snapToGrid w:val="0"/>
              <w:spacing w:line="360" w:lineRule="auto"/>
              <w:rPr>
                <w:rFonts w:ascii="微软雅黑" w:hAnsi="微软雅黑" w:cs="微软雅黑"/>
                <w:color w:val="000000"/>
                <w:sz w:val="21"/>
                <w:szCs w:val="21"/>
              </w:rPr>
            </w:pPr>
          </w:p>
        </w:tc>
        <w:tc>
          <w:tcPr>
            <w:tcW w:w="6485" w:type="dxa"/>
            <w:tcBorders>
              <w:top w:val="single" w:color="000000" w:sz="4" w:space="0"/>
              <w:left w:val="single" w:color="000000" w:sz="4" w:space="0"/>
              <w:right w:val="single" w:color="000000" w:sz="4" w:space="0"/>
            </w:tcBorders>
            <w:noWrap w:val="0"/>
            <w:vAlign w:val="center"/>
          </w:tcPr>
          <w:p w14:paraId="53281CEC">
            <w:pPr>
              <w:snapToGrid w:val="0"/>
              <w:spacing w:line="360" w:lineRule="auto"/>
              <w:rPr>
                <w:rFonts w:hint="eastAsia" w:ascii="微软雅黑" w:hAnsi="微软雅黑" w:cs="微软雅黑"/>
                <w:color w:val="000000"/>
                <w:sz w:val="21"/>
                <w:szCs w:val="21"/>
              </w:rPr>
            </w:pPr>
            <w:r>
              <w:rPr>
                <w:rFonts w:hint="eastAsia" w:ascii="微软雅黑" w:hAnsi="微软雅黑" w:cs="微软雅黑"/>
                <w:color w:val="000000"/>
                <w:sz w:val="21"/>
                <w:szCs w:val="21"/>
              </w:rPr>
              <w:t>2.若是法定代表人授权代表参与投标，需提供法人身份证明、法人授权委托书、法人身份证复印件及授权代表身份证复印件，按公开招标文件格式提供。</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A4A1E94">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提供复印件或扫描件加盖公章或电子公章</w:t>
            </w:r>
          </w:p>
        </w:tc>
      </w:tr>
      <w:tr w14:paraId="06C00D2F">
        <w:tblPrEx>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noWrap w:val="0"/>
            <w:vAlign w:val="center"/>
          </w:tcPr>
          <w:p w14:paraId="1402A4FE">
            <w:pPr>
              <w:jc w:val="center"/>
              <w:rPr>
                <w:sz w:val="21"/>
                <w:szCs w:val="21"/>
              </w:rPr>
            </w:pPr>
            <w:r>
              <w:rPr>
                <w:rFonts w:hint="eastAsia"/>
                <w:sz w:val="21"/>
                <w:szCs w:val="21"/>
              </w:rPr>
              <w:t>2</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8B6022F">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营业执照</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3A574343">
            <w:pPr>
              <w:snapToGrid w:val="0"/>
              <w:spacing w:line="360" w:lineRule="auto"/>
              <w:rPr>
                <w:rFonts w:ascii="微软雅黑" w:hAnsi="微软雅黑" w:cs="微软雅黑"/>
                <w:color w:val="000000"/>
                <w:sz w:val="21"/>
                <w:szCs w:val="21"/>
              </w:rPr>
            </w:pPr>
            <w:r>
              <w:rPr>
                <w:rFonts w:hint="eastAsia" w:ascii="宋体" w:hAnsi="宋体"/>
                <w:color w:val="000000"/>
                <w:kern w:val="0"/>
                <w:sz w:val="21"/>
                <w:szCs w:val="21"/>
              </w:rPr>
              <w:t>提供多证合一的营业执照复印件，营业执照非多证合一的，</w:t>
            </w:r>
            <w:r>
              <w:rPr>
                <w:rFonts w:hint="eastAsia" w:ascii="宋体" w:hAnsi="宋体" w:eastAsia="宋体"/>
                <w:color w:val="000000"/>
                <w:kern w:val="0"/>
                <w:sz w:val="21"/>
                <w:szCs w:val="21"/>
                <w:lang w:eastAsia="zh-CN"/>
              </w:rPr>
              <w:t>投标人</w:t>
            </w:r>
            <w:r>
              <w:rPr>
                <w:rFonts w:hint="eastAsia" w:ascii="宋体" w:hAnsi="宋体"/>
                <w:color w:val="000000"/>
                <w:kern w:val="0"/>
                <w:sz w:val="21"/>
                <w:szCs w:val="21"/>
              </w:rPr>
              <w:t>还应提供税务登记证和组织机构代码证。</w:t>
            </w:r>
          </w:p>
        </w:tc>
        <w:tc>
          <w:tcPr>
            <w:tcW w:w="1682" w:type="dxa"/>
            <w:tcBorders>
              <w:top w:val="single" w:color="000000" w:sz="4" w:space="0"/>
              <w:left w:val="single" w:color="000000" w:sz="4" w:space="0"/>
              <w:bottom w:val="single" w:color="auto" w:sz="4" w:space="0"/>
              <w:right w:val="single" w:color="000000" w:sz="4" w:space="0"/>
            </w:tcBorders>
            <w:noWrap w:val="0"/>
            <w:vAlign w:val="center"/>
          </w:tcPr>
          <w:p w14:paraId="49B6E64C">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提供复印件或扫描件加盖公章或电子公章</w:t>
            </w:r>
          </w:p>
        </w:tc>
      </w:tr>
      <w:tr w14:paraId="25CDE712">
        <w:tblPrEx>
          <w:tblCellMar>
            <w:top w:w="0" w:type="dxa"/>
            <w:left w:w="108" w:type="dxa"/>
            <w:bottom w:w="0" w:type="dxa"/>
            <w:right w:w="108" w:type="dxa"/>
          </w:tblCellMar>
        </w:tblPrEx>
        <w:trPr>
          <w:trHeight w:val="988" w:hRule="atLeast"/>
        </w:trPr>
        <w:tc>
          <w:tcPr>
            <w:tcW w:w="825" w:type="dxa"/>
            <w:vMerge w:val="restart"/>
            <w:tcBorders>
              <w:top w:val="single" w:color="000000" w:sz="4" w:space="0"/>
              <w:left w:val="single" w:color="000000" w:sz="4" w:space="0"/>
              <w:right w:val="single" w:color="000000" w:sz="4" w:space="0"/>
            </w:tcBorders>
            <w:noWrap w:val="0"/>
            <w:vAlign w:val="center"/>
          </w:tcPr>
          <w:p w14:paraId="6F3B4679">
            <w:pPr>
              <w:jc w:val="center"/>
              <w:rPr>
                <w:sz w:val="21"/>
                <w:szCs w:val="21"/>
              </w:rPr>
            </w:pPr>
            <w:r>
              <w:rPr>
                <w:rFonts w:hint="eastAsia"/>
                <w:sz w:val="21"/>
                <w:szCs w:val="21"/>
              </w:rPr>
              <w:t>3</w:t>
            </w:r>
          </w:p>
        </w:tc>
        <w:tc>
          <w:tcPr>
            <w:tcW w:w="1481" w:type="dxa"/>
            <w:vMerge w:val="restart"/>
            <w:tcBorders>
              <w:top w:val="single" w:color="000000" w:sz="4" w:space="0"/>
              <w:left w:val="single" w:color="000000" w:sz="4" w:space="0"/>
              <w:right w:val="single" w:color="000000" w:sz="4" w:space="0"/>
            </w:tcBorders>
            <w:noWrap w:val="0"/>
            <w:vAlign w:val="center"/>
          </w:tcPr>
          <w:p w14:paraId="11C072E7">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财务状况证明材料（</w:t>
            </w:r>
            <w:r>
              <w:rPr>
                <w:rFonts w:hint="eastAsia" w:ascii="微软雅黑" w:hAnsi="微软雅黑" w:eastAsia="宋体" w:cs="微软雅黑"/>
                <w:color w:val="000000"/>
                <w:sz w:val="21"/>
                <w:szCs w:val="21"/>
                <w:lang w:eastAsia="zh-CN"/>
              </w:rPr>
              <w:t>投标人</w:t>
            </w:r>
            <w:r>
              <w:rPr>
                <w:rFonts w:hint="eastAsia" w:ascii="微软雅黑" w:hAnsi="微软雅黑" w:cs="微软雅黑"/>
                <w:color w:val="000000"/>
                <w:sz w:val="21"/>
                <w:szCs w:val="21"/>
              </w:rPr>
              <w:t>可以按右侧两种方式其中之一提供）</w:t>
            </w:r>
          </w:p>
        </w:tc>
        <w:tc>
          <w:tcPr>
            <w:tcW w:w="6485" w:type="dxa"/>
            <w:tcBorders>
              <w:top w:val="single" w:color="000000" w:sz="4" w:space="0"/>
              <w:left w:val="single" w:color="000000" w:sz="4" w:space="0"/>
              <w:right w:val="single" w:color="auto" w:sz="4" w:space="0"/>
            </w:tcBorders>
            <w:noWrap w:val="0"/>
            <w:vAlign w:val="center"/>
          </w:tcPr>
          <w:p w14:paraId="0D5EE5A9">
            <w:pPr>
              <w:shd w:val="clear" w:color="000000" w:fill="FFFFFF"/>
              <w:snapToGrid w:val="0"/>
              <w:spacing w:line="360" w:lineRule="auto"/>
              <w:rPr>
                <w:rFonts w:ascii="微软雅黑" w:hAnsi="微软雅黑" w:cs="微软雅黑"/>
                <w:sz w:val="21"/>
                <w:szCs w:val="21"/>
              </w:rPr>
            </w:pPr>
            <w:r>
              <w:rPr>
                <w:rFonts w:hint="eastAsia" w:ascii="微软雅黑" w:hAnsi="微软雅黑" w:eastAsia="宋体" w:cs="微软雅黑"/>
                <w:sz w:val="21"/>
                <w:szCs w:val="21"/>
                <w:lang w:eastAsia="zh-CN"/>
              </w:rPr>
              <w:t>投标人</w:t>
            </w:r>
            <w:r>
              <w:rPr>
                <w:rFonts w:hint="eastAsia" w:ascii="微软雅黑" w:hAnsi="微软雅黑" w:cs="微软雅黑"/>
                <w:sz w:val="21"/>
                <w:szCs w:val="21"/>
              </w:rPr>
              <w:t>是法人的，应提供202</w:t>
            </w:r>
            <w:r>
              <w:rPr>
                <w:rFonts w:hint="eastAsia" w:ascii="微软雅黑" w:hAnsi="微软雅黑" w:cs="微软雅黑"/>
                <w:sz w:val="21"/>
                <w:szCs w:val="21"/>
                <w:lang w:val="en-US" w:eastAsia="zh-CN"/>
              </w:rPr>
              <w:t>3</w:t>
            </w:r>
            <w:r>
              <w:rPr>
                <w:rFonts w:hint="eastAsia" w:ascii="微软雅黑" w:hAnsi="微软雅黑" w:cs="微软雅黑"/>
                <w:sz w:val="21"/>
                <w:szCs w:val="21"/>
              </w:rPr>
              <w:t>年或20</w:t>
            </w:r>
            <w:r>
              <w:rPr>
                <w:rFonts w:hint="eastAsia" w:ascii="微软雅黑" w:hAnsi="微软雅黑" w:cs="微软雅黑"/>
                <w:sz w:val="21"/>
                <w:szCs w:val="21"/>
                <w:lang w:val="en-US" w:eastAsia="zh-CN"/>
              </w:rPr>
              <w:t>24</w:t>
            </w:r>
            <w:r>
              <w:rPr>
                <w:rFonts w:hint="eastAsia" w:ascii="微软雅黑" w:hAnsi="微软雅黑" w:cs="微软雅黑"/>
                <w:sz w:val="21"/>
                <w:szCs w:val="21"/>
              </w:rPr>
              <w:t>年度的财务报告，或基本开户银行出具的银行资信证明。部分其他组织和自然人，没有财务报告的，可以提供财务报表或银行出具的资信证明，如为纳税零申报，请提供相关证明材料</w:t>
            </w:r>
          </w:p>
        </w:tc>
        <w:tc>
          <w:tcPr>
            <w:tcW w:w="1682" w:type="dxa"/>
            <w:vMerge w:val="restart"/>
            <w:tcBorders>
              <w:top w:val="single" w:color="auto" w:sz="4" w:space="0"/>
              <w:left w:val="single" w:color="auto" w:sz="4" w:space="0"/>
              <w:right w:val="single" w:color="auto" w:sz="4" w:space="0"/>
            </w:tcBorders>
            <w:noWrap w:val="0"/>
            <w:vAlign w:val="center"/>
          </w:tcPr>
          <w:p w14:paraId="74F02292">
            <w:pPr>
              <w:snapToGrid w:val="0"/>
              <w:spacing w:line="360" w:lineRule="auto"/>
              <w:rPr>
                <w:sz w:val="21"/>
                <w:szCs w:val="21"/>
              </w:rPr>
            </w:pPr>
            <w:r>
              <w:rPr>
                <w:rFonts w:hint="eastAsia" w:ascii="微软雅黑" w:hAnsi="微软雅黑" w:cs="微软雅黑"/>
                <w:color w:val="000000"/>
                <w:sz w:val="21"/>
                <w:szCs w:val="21"/>
              </w:rPr>
              <w:t>提供复印件或扫描件加盖公章或电子公章</w:t>
            </w:r>
          </w:p>
        </w:tc>
      </w:tr>
      <w:tr w14:paraId="36D4C146">
        <w:tblPrEx>
          <w:tblCellMar>
            <w:top w:w="0" w:type="dxa"/>
            <w:left w:w="108" w:type="dxa"/>
            <w:bottom w:w="0" w:type="dxa"/>
            <w:right w:w="108" w:type="dxa"/>
          </w:tblCellMar>
        </w:tblPrEx>
        <w:trPr>
          <w:trHeight w:val="988" w:hRule="atLeast"/>
        </w:trPr>
        <w:tc>
          <w:tcPr>
            <w:tcW w:w="825" w:type="dxa"/>
            <w:vMerge w:val="continue"/>
            <w:tcBorders>
              <w:left w:val="single" w:color="000000" w:sz="4" w:space="0"/>
              <w:right w:val="single" w:color="000000" w:sz="4" w:space="0"/>
            </w:tcBorders>
            <w:noWrap w:val="0"/>
            <w:vAlign w:val="center"/>
          </w:tcPr>
          <w:p w14:paraId="3384F60B">
            <w:pPr>
              <w:jc w:val="center"/>
              <w:rPr>
                <w:sz w:val="21"/>
                <w:szCs w:val="21"/>
              </w:rPr>
            </w:pPr>
          </w:p>
        </w:tc>
        <w:tc>
          <w:tcPr>
            <w:tcW w:w="1481" w:type="dxa"/>
            <w:vMerge w:val="continue"/>
            <w:tcBorders>
              <w:left w:val="single" w:color="000000" w:sz="4" w:space="0"/>
              <w:right w:val="single" w:color="000000" w:sz="4" w:space="0"/>
            </w:tcBorders>
            <w:noWrap w:val="0"/>
            <w:vAlign w:val="center"/>
          </w:tcPr>
          <w:p w14:paraId="5F47EF2B">
            <w:pPr>
              <w:shd w:val="clear" w:color="000000" w:fill="FFFFFF"/>
              <w:snapToGrid w:val="0"/>
              <w:spacing w:line="360" w:lineRule="auto"/>
              <w:rPr>
                <w:sz w:val="21"/>
                <w:szCs w:val="21"/>
              </w:rPr>
            </w:pPr>
          </w:p>
        </w:tc>
        <w:tc>
          <w:tcPr>
            <w:tcW w:w="6485" w:type="dxa"/>
            <w:tcBorders>
              <w:top w:val="single" w:color="000000" w:sz="4" w:space="0"/>
              <w:left w:val="single" w:color="000000" w:sz="4" w:space="0"/>
              <w:right w:val="single" w:color="auto" w:sz="4" w:space="0"/>
            </w:tcBorders>
            <w:noWrap w:val="0"/>
            <w:vAlign w:val="center"/>
          </w:tcPr>
          <w:p w14:paraId="46327408">
            <w:pPr>
              <w:shd w:val="clear" w:color="000000" w:fill="FFFFFF"/>
              <w:snapToGrid w:val="0"/>
              <w:spacing w:line="360" w:lineRule="auto"/>
              <w:rPr>
                <w:rFonts w:hint="eastAsia" w:ascii="微软雅黑" w:hAnsi="微软雅黑" w:cs="微软雅黑"/>
                <w:sz w:val="21"/>
                <w:szCs w:val="21"/>
              </w:rPr>
            </w:pPr>
            <w:r>
              <w:rPr>
                <w:rFonts w:hint="eastAsia" w:ascii="微软雅黑" w:hAnsi="微软雅黑" w:cs="微软雅黑"/>
                <w:sz w:val="21"/>
                <w:szCs w:val="21"/>
              </w:rPr>
              <w:t>202</w:t>
            </w:r>
            <w:r>
              <w:rPr>
                <w:rFonts w:hint="eastAsia" w:ascii="微软雅黑" w:hAnsi="微软雅黑" w:cs="微软雅黑"/>
                <w:sz w:val="21"/>
                <w:szCs w:val="21"/>
                <w:lang w:val="en-US" w:eastAsia="zh-CN"/>
              </w:rPr>
              <w:t>5</w:t>
            </w:r>
            <w:r>
              <w:rPr>
                <w:rFonts w:hint="eastAsia" w:ascii="微软雅黑" w:hAnsi="微软雅黑" w:cs="微软雅黑"/>
                <w:sz w:val="21"/>
                <w:szCs w:val="21"/>
              </w:rPr>
              <w:t>年</w:t>
            </w:r>
            <w:r>
              <w:rPr>
                <w:rFonts w:hint="eastAsia" w:ascii="微软雅黑" w:hAnsi="微软雅黑" w:cs="微软雅黑"/>
                <w:sz w:val="21"/>
                <w:szCs w:val="21"/>
                <w:lang w:val="en-US" w:eastAsia="zh-CN"/>
              </w:rPr>
              <w:t>5</w:t>
            </w:r>
            <w:r>
              <w:rPr>
                <w:rFonts w:hint="eastAsia" w:ascii="微软雅黑" w:hAnsi="微软雅黑" w:cs="微软雅黑"/>
                <w:sz w:val="21"/>
                <w:szCs w:val="21"/>
              </w:rPr>
              <w:t>月1日以后成立的单位需提供最近一个月财务报表（含资产负债表、利润表或损益表）</w:t>
            </w:r>
          </w:p>
        </w:tc>
        <w:tc>
          <w:tcPr>
            <w:tcW w:w="1682" w:type="dxa"/>
            <w:vMerge w:val="continue"/>
            <w:tcBorders>
              <w:left w:val="single" w:color="auto" w:sz="4" w:space="0"/>
              <w:bottom w:val="single" w:color="auto" w:sz="4" w:space="0"/>
              <w:right w:val="single" w:color="auto" w:sz="4" w:space="0"/>
            </w:tcBorders>
            <w:noWrap w:val="0"/>
            <w:vAlign w:val="center"/>
          </w:tcPr>
          <w:p w14:paraId="78C582B5">
            <w:pPr>
              <w:shd w:val="clear" w:color="000000" w:fill="FFFFFF"/>
              <w:snapToGrid w:val="0"/>
              <w:spacing w:line="360" w:lineRule="auto"/>
              <w:rPr>
                <w:rFonts w:hint="eastAsia" w:ascii="微软雅黑" w:hAnsi="微软雅黑" w:cs="微软雅黑"/>
                <w:sz w:val="21"/>
                <w:szCs w:val="21"/>
              </w:rPr>
            </w:pPr>
          </w:p>
        </w:tc>
      </w:tr>
      <w:tr w14:paraId="55A22AD1">
        <w:tblPrEx>
          <w:tblCellMar>
            <w:top w:w="0" w:type="dxa"/>
            <w:left w:w="108" w:type="dxa"/>
            <w:bottom w:w="0" w:type="dxa"/>
            <w:right w:w="108" w:type="dxa"/>
          </w:tblCellMar>
        </w:tblPrEx>
        <w:trPr>
          <w:trHeight w:val="132" w:hRule="atLeast"/>
        </w:trPr>
        <w:tc>
          <w:tcPr>
            <w:tcW w:w="825" w:type="dxa"/>
            <w:vMerge w:val="restart"/>
            <w:tcBorders>
              <w:top w:val="single" w:color="000000" w:sz="4" w:space="0"/>
              <w:left w:val="single" w:color="000000" w:sz="4" w:space="0"/>
              <w:right w:val="single" w:color="000000" w:sz="4" w:space="0"/>
            </w:tcBorders>
            <w:noWrap w:val="0"/>
            <w:vAlign w:val="center"/>
          </w:tcPr>
          <w:p w14:paraId="380BDFBC">
            <w:pPr>
              <w:jc w:val="center"/>
              <w:rPr>
                <w:sz w:val="21"/>
                <w:szCs w:val="21"/>
              </w:rPr>
            </w:pPr>
            <w:r>
              <w:rPr>
                <w:rFonts w:hint="eastAsia"/>
                <w:sz w:val="21"/>
                <w:szCs w:val="21"/>
              </w:rPr>
              <w:t>4</w:t>
            </w:r>
          </w:p>
        </w:tc>
        <w:tc>
          <w:tcPr>
            <w:tcW w:w="1481" w:type="dxa"/>
            <w:vMerge w:val="restart"/>
            <w:tcBorders>
              <w:top w:val="single" w:color="000000" w:sz="4" w:space="0"/>
              <w:left w:val="single" w:color="000000" w:sz="4" w:space="0"/>
              <w:right w:val="single" w:color="000000" w:sz="4" w:space="0"/>
            </w:tcBorders>
            <w:noWrap w:val="0"/>
            <w:vAlign w:val="center"/>
          </w:tcPr>
          <w:p w14:paraId="7CCA36AC">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依法缴纳税收的相关材料（</w:t>
            </w:r>
            <w:r>
              <w:rPr>
                <w:rFonts w:hint="eastAsia" w:ascii="微软雅黑" w:hAnsi="微软雅黑" w:eastAsia="宋体" w:cs="微软雅黑"/>
                <w:color w:val="000000"/>
                <w:sz w:val="21"/>
                <w:szCs w:val="21"/>
                <w:lang w:eastAsia="zh-CN"/>
              </w:rPr>
              <w:t>投标人</w:t>
            </w:r>
            <w:r>
              <w:rPr>
                <w:rFonts w:hint="eastAsia" w:ascii="微软雅黑" w:hAnsi="微软雅黑" w:cs="微软雅黑"/>
                <w:color w:val="000000"/>
                <w:sz w:val="21"/>
                <w:szCs w:val="21"/>
              </w:rPr>
              <w:t>可以按右侧三种方式提供其中一种即可）</w:t>
            </w:r>
          </w:p>
        </w:tc>
        <w:tc>
          <w:tcPr>
            <w:tcW w:w="6485" w:type="dxa"/>
            <w:tcBorders>
              <w:top w:val="single" w:color="000000" w:sz="4" w:space="0"/>
              <w:left w:val="single" w:color="000000" w:sz="4" w:space="0"/>
              <w:bottom w:val="single" w:color="000000" w:sz="4" w:space="0"/>
              <w:right w:val="single" w:color="auto" w:sz="4" w:space="0"/>
            </w:tcBorders>
            <w:noWrap w:val="0"/>
            <w:vAlign w:val="center"/>
          </w:tcPr>
          <w:p w14:paraId="5D700323">
            <w:pPr>
              <w:shd w:val="clear" w:color="000000" w:fill="FFFFFF"/>
              <w:snapToGrid w:val="0"/>
              <w:spacing w:line="360" w:lineRule="auto"/>
              <w:rPr>
                <w:rFonts w:ascii="微软雅黑" w:hAnsi="微软雅黑" w:cs="微软雅黑"/>
                <w:color w:val="000000"/>
                <w:sz w:val="21"/>
                <w:szCs w:val="21"/>
              </w:rPr>
            </w:pPr>
            <w:r>
              <w:rPr>
                <w:rFonts w:hint="eastAsia" w:ascii="微软雅黑" w:hAnsi="微软雅黑" w:eastAsia="宋体" w:cs="微软雅黑"/>
                <w:color w:val="000000"/>
                <w:sz w:val="21"/>
                <w:szCs w:val="21"/>
                <w:lang w:eastAsia="zh-CN"/>
              </w:rPr>
              <w:t>投标人</w:t>
            </w:r>
            <w:r>
              <w:rPr>
                <w:rFonts w:hint="eastAsia" w:ascii="微软雅黑" w:hAnsi="微软雅黑" w:cs="微软雅黑"/>
                <w:color w:val="000000"/>
                <w:sz w:val="21"/>
                <w:szCs w:val="21"/>
              </w:rPr>
              <w:t>提供202</w:t>
            </w:r>
            <w:r>
              <w:rPr>
                <w:rFonts w:hint="eastAsia" w:ascii="微软雅黑" w:hAnsi="微软雅黑" w:cs="微软雅黑"/>
                <w:color w:val="000000"/>
                <w:sz w:val="21"/>
                <w:szCs w:val="21"/>
                <w:lang w:val="en-US" w:eastAsia="zh-CN"/>
              </w:rPr>
              <w:t>5</w:t>
            </w:r>
            <w:r>
              <w:rPr>
                <w:rFonts w:hint="eastAsia" w:ascii="微软雅黑" w:hAnsi="微软雅黑" w:cs="微软雅黑"/>
                <w:color w:val="000000"/>
                <w:sz w:val="21"/>
                <w:szCs w:val="21"/>
              </w:rPr>
              <w:t>年1月至今任意3个月依法缴纳税收的相关材料</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64F851EC">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提供复印件或扫描件加盖公章或电子公章</w:t>
            </w:r>
          </w:p>
        </w:tc>
      </w:tr>
      <w:tr w14:paraId="51106A26">
        <w:tblPrEx>
          <w:tblCellMar>
            <w:top w:w="0" w:type="dxa"/>
            <w:left w:w="108" w:type="dxa"/>
            <w:bottom w:w="0" w:type="dxa"/>
            <w:right w:w="108" w:type="dxa"/>
          </w:tblCellMar>
        </w:tblPrEx>
        <w:trPr>
          <w:trHeight w:val="132" w:hRule="atLeast"/>
        </w:trPr>
        <w:tc>
          <w:tcPr>
            <w:tcW w:w="825" w:type="dxa"/>
            <w:vMerge w:val="continue"/>
            <w:tcBorders>
              <w:left w:val="single" w:color="000000" w:sz="4" w:space="0"/>
              <w:right w:val="single" w:color="000000" w:sz="4" w:space="0"/>
            </w:tcBorders>
            <w:noWrap w:val="0"/>
            <w:vAlign w:val="center"/>
          </w:tcPr>
          <w:p w14:paraId="28AEB182">
            <w:pPr>
              <w:jc w:val="center"/>
              <w:rPr>
                <w:sz w:val="21"/>
                <w:szCs w:val="21"/>
              </w:rPr>
            </w:pPr>
          </w:p>
        </w:tc>
        <w:tc>
          <w:tcPr>
            <w:tcW w:w="1481" w:type="dxa"/>
            <w:vMerge w:val="continue"/>
            <w:tcBorders>
              <w:left w:val="single" w:color="000000" w:sz="4" w:space="0"/>
              <w:right w:val="single" w:color="000000" w:sz="4" w:space="0"/>
            </w:tcBorders>
            <w:noWrap w:val="0"/>
            <w:vAlign w:val="center"/>
          </w:tcPr>
          <w:p w14:paraId="53463390">
            <w:pPr>
              <w:shd w:val="clear" w:color="000000" w:fill="FFFFFF"/>
              <w:snapToGrid w:val="0"/>
              <w:spacing w:line="360" w:lineRule="auto"/>
              <w:rPr>
                <w:sz w:val="21"/>
                <w:szCs w:val="21"/>
              </w:rPr>
            </w:pPr>
          </w:p>
        </w:tc>
        <w:tc>
          <w:tcPr>
            <w:tcW w:w="6485" w:type="dxa"/>
            <w:tcBorders>
              <w:top w:val="single" w:color="000000" w:sz="4" w:space="0"/>
              <w:left w:val="single" w:color="000000" w:sz="4" w:space="0"/>
              <w:bottom w:val="single" w:color="000000" w:sz="4" w:space="0"/>
              <w:right w:val="single" w:color="auto" w:sz="4" w:space="0"/>
            </w:tcBorders>
            <w:noWrap w:val="0"/>
            <w:vAlign w:val="center"/>
          </w:tcPr>
          <w:p w14:paraId="2FFE194F">
            <w:pPr>
              <w:shd w:val="clear" w:color="000000" w:fill="FFFFFF"/>
              <w:snapToGrid w:val="0"/>
              <w:spacing w:line="360" w:lineRule="auto"/>
              <w:rPr>
                <w:rFonts w:ascii="微软雅黑" w:hAnsi="微软雅黑" w:cs="微软雅黑"/>
                <w:color w:val="000000"/>
                <w:sz w:val="21"/>
                <w:szCs w:val="21"/>
              </w:rPr>
            </w:pPr>
            <w:r>
              <w:rPr>
                <w:rFonts w:hint="eastAsia" w:ascii="微软雅黑" w:hAnsi="微软雅黑" w:eastAsia="宋体" w:cs="微软雅黑"/>
                <w:color w:val="000000"/>
                <w:sz w:val="21"/>
                <w:szCs w:val="21"/>
                <w:lang w:eastAsia="zh-CN"/>
              </w:rPr>
              <w:t>投标人</w:t>
            </w:r>
            <w:r>
              <w:rPr>
                <w:rFonts w:hint="eastAsia" w:ascii="微软雅黑" w:hAnsi="微软雅黑" w:cs="微软雅黑"/>
                <w:color w:val="000000"/>
                <w:sz w:val="21"/>
                <w:szCs w:val="21"/>
              </w:rPr>
              <w:t>按招标文件格式提供缴纳税收的证明（按采购文件格式提供证明）或提供其他有效证明。</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16D590E8">
            <w:pPr>
              <w:shd w:val="clear" w:color="000000" w:fill="FFFFFF"/>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提供复印件或扫描件加盖公章或电子公章</w:t>
            </w:r>
          </w:p>
        </w:tc>
      </w:tr>
      <w:tr w14:paraId="1298C4F4">
        <w:tblPrEx>
          <w:tblCellMar>
            <w:top w:w="0" w:type="dxa"/>
            <w:left w:w="108" w:type="dxa"/>
            <w:bottom w:w="0" w:type="dxa"/>
            <w:right w:w="108" w:type="dxa"/>
          </w:tblCellMar>
        </w:tblPrEx>
        <w:trPr>
          <w:trHeight w:val="132" w:hRule="atLeast"/>
        </w:trPr>
        <w:tc>
          <w:tcPr>
            <w:tcW w:w="825" w:type="dxa"/>
            <w:vMerge w:val="continue"/>
            <w:tcBorders>
              <w:left w:val="single" w:color="000000" w:sz="4" w:space="0"/>
              <w:bottom w:val="single" w:color="000000" w:sz="4" w:space="0"/>
              <w:right w:val="single" w:color="000000" w:sz="4" w:space="0"/>
            </w:tcBorders>
            <w:noWrap w:val="0"/>
            <w:vAlign w:val="center"/>
          </w:tcPr>
          <w:p w14:paraId="2F2EB249">
            <w:pPr>
              <w:jc w:val="center"/>
              <w:rPr>
                <w:sz w:val="21"/>
                <w:szCs w:val="21"/>
              </w:rPr>
            </w:pPr>
          </w:p>
        </w:tc>
        <w:tc>
          <w:tcPr>
            <w:tcW w:w="1481" w:type="dxa"/>
            <w:vMerge w:val="continue"/>
            <w:tcBorders>
              <w:left w:val="single" w:color="000000" w:sz="4" w:space="0"/>
              <w:bottom w:val="single" w:color="000000" w:sz="4" w:space="0"/>
              <w:right w:val="single" w:color="000000" w:sz="4" w:space="0"/>
            </w:tcBorders>
            <w:noWrap w:val="0"/>
            <w:vAlign w:val="center"/>
          </w:tcPr>
          <w:p w14:paraId="6EC410B2">
            <w:pPr>
              <w:shd w:val="clear" w:color="000000" w:fill="FFFFFF"/>
              <w:snapToGrid w:val="0"/>
              <w:spacing w:line="360" w:lineRule="auto"/>
              <w:rPr>
                <w:rFonts w:ascii="微软雅黑" w:hAnsi="微软雅黑" w:cs="微软雅黑"/>
                <w:color w:val="000000"/>
                <w:sz w:val="21"/>
                <w:szCs w:val="21"/>
              </w:rPr>
            </w:pPr>
          </w:p>
        </w:tc>
        <w:tc>
          <w:tcPr>
            <w:tcW w:w="6485" w:type="dxa"/>
            <w:tcBorders>
              <w:top w:val="single" w:color="000000" w:sz="4" w:space="0"/>
              <w:left w:val="single" w:color="000000" w:sz="4" w:space="0"/>
              <w:bottom w:val="single" w:color="000000" w:sz="4" w:space="0"/>
              <w:right w:val="single" w:color="auto" w:sz="4" w:space="0"/>
            </w:tcBorders>
            <w:noWrap w:val="0"/>
            <w:vAlign w:val="center"/>
          </w:tcPr>
          <w:p w14:paraId="0B0934FC">
            <w:pPr>
              <w:shd w:val="clear" w:color="000000" w:fill="FFFFFF"/>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依法免税的</w:t>
            </w:r>
            <w:r>
              <w:rPr>
                <w:rFonts w:hint="eastAsia" w:ascii="微软雅黑" w:hAnsi="微软雅黑" w:eastAsia="宋体" w:cs="微软雅黑"/>
                <w:color w:val="000000"/>
                <w:sz w:val="21"/>
                <w:szCs w:val="21"/>
                <w:lang w:eastAsia="zh-CN"/>
              </w:rPr>
              <w:t>投标人</w:t>
            </w:r>
            <w:r>
              <w:rPr>
                <w:rFonts w:hint="eastAsia" w:ascii="微软雅黑" w:hAnsi="微软雅黑" w:cs="微软雅黑"/>
                <w:color w:val="000000"/>
                <w:sz w:val="21"/>
                <w:szCs w:val="21"/>
              </w:rPr>
              <w:t>提供相应证明材料</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1580205D">
            <w:pPr>
              <w:shd w:val="clear" w:color="000000" w:fill="FFFFFF"/>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提供复印件或扫描件加盖公章或电子公章</w:t>
            </w:r>
          </w:p>
        </w:tc>
      </w:tr>
      <w:tr w14:paraId="0016B045">
        <w:tblPrEx>
          <w:tblCellMar>
            <w:top w:w="0" w:type="dxa"/>
            <w:left w:w="108" w:type="dxa"/>
            <w:bottom w:w="0" w:type="dxa"/>
            <w:right w:w="108" w:type="dxa"/>
          </w:tblCellMar>
        </w:tblPrEx>
        <w:trPr>
          <w:trHeight w:val="1029" w:hRule="atLeast"/>
        </w:trPr>
        <w:tc>
          <w:tcPr>
            <w:tcW w:w="825" w:type="dxa"/>
            <w:vMerge w:val="restart"/>
            <w:tcBorders>
              <w:top w:val="single" w:color="000000" w:sz="4" w:space="0"/>
              <w:left w:val="single" w:color="000000" w:sz="4" w:space="0"/>
              <w:right w:val="single" w:color="000000" w:sz="4" w:space="0"/>
            </w:tcBorders>
            <w:noWrap w:val="0"/>
            <w:vAlign w:val="center"/>
          </w:tcPr>
          <w:p w14:paraId="3A91F317">
            <w:pPr>
              <w:jc w:val="center"/>
              <w:rPr>
                <w:sz w:val="21"/>
                <w:szCs w:val="21"/>
              </w:rPr>
            </w:pPr>
            <w:r>
              <w:rPr>
                <w:rFonts w:hint="eastAsia"/>
                <w:sz w:val="21"/>
                <w:szCs w:val="21"/>
              </w:rPr>
              <w:t>5</w:t>
            </w:r>
          </w:p>
        </w:tc>
        <w:tc>
          <w:tcPr>
            <w:tcW w:w="1481" w:type="dxa"/>
            <w:vMerge w:val="restart"/>
            <w:tcBorders>
              <w:top w:val="single" w:color="000000" w:sz="4" w:space="0"/>
              <w:left w:val="single" w:color="000000" w:sz="4" w:space="0"/>
              <w:right w:val="single" w:color="000000" w:sz="4" w:space="0"/>
            </w:tcBorders>
            <w:noWrap w:val="0"/>
            <w:vAlign w:val="center"/>
          </w:tcPr>
          <w:p w14:paraId="190AADDF">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依法缴纳社会保障资金的相关材料（</w:t>
            </w:r>
            <w:r>
              <w:rPr>
                <w:rFonts w:hint="eastAsia" w:ascii="微软雅黑" w:hAnsi="微软雅黑" w:eastAsia="宋体" w:cs="微软雅黑"/>
                <w:color w:val="000000"/>
                <w:sz w:val="21"/>
                <w:szCs w:val="21"/>
                <w:lang w:eastAsia="zh-CN"/>
              </w:rPr>
              <w:t>投标人</w:t>
            </w:r>
            <w:r>
              <w:rPr>
                <w:rFonts w:hint="eastAsia" w:ascii="微软雅黑" w:hAnsi="微软雅黑" w:cs="微软雅黑"/>
                <w:color w:val="000000"/>
                <w:sz w:val="21"/>
                <w:szCs w:val="21"/>
              </w:rPr>
              <w:t>可以按右侧两种方式其中之一提供）</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0685A782">
            <w:pPr>
              <w:shd w:val="clear" w:color="000000" w:fill="FFFFFF"/>
              <w:snapToGrid w:val="0"/>
              <w:spacing w:line="360" w:lineRule="auto"/>
              <w:rPr>
                <w:rFonts w:ascii="微软雅黑" w:hAnsi="微软雅黑" w:cs="微软雅黑"/>
                <w:color w:val="000000"/>
                <w:sz w:val="21"/>
                <w:szCs w:val="21"/>
              </w:rPr>
            </w:pPr>
            <w:r>
              <w:rPr>
                <w:rFonts w:hint="eastAsia" w:ascii="微软雅黑" w:hAnsi="微软雅黑" w:eastAsia="宋体" w:cs="微软雅黑"/>
                <w:color w:val="000000"/>
                <w:sz w:val="21"/>
                <w:szCs w:val="21"/>
                <w:lang w:eastAsia="zh-CN"/>
              </w:rPr>
              <w:t>投标人</w:t>
            </w:r>
            <w:r>
              <w:rPr>
                <w:rFonts w:hint="eastAsia" w:ascii="微软雅黑" w:hAnsi="微软雅黑" w:cs="微软雅黑"/>
                <w:color w:val="000000"/>
                <w:sz w:val="21"/>
                <w:szCs w:val="21"/>
              </w:rPr>
              <w:t>提供202</w:t>
            </w:r>
            <w:r>
              <w:rPr>
                <w:rFonts w:hint="eastAsia" w:ascii="微软雅黑" w:hAnsi="微软雅黑" w:cs="微软雅黑"/>
                <w:color w:val="000000"/>
                <w:sz w:val="21"/>
                <w:szCs w:val="21"/>
                <w:lang w:val="en-US" w:eastAsia="zh-CN"/>
              </w:rPr>
              <w:t>5</w:t>
            </w:r>
            <w:r>
              <w:rPr>
                <w:rFonts w:hint="eastAsia" w:ascii="微软雅黑" w:hAnsi="微软雅黑" w:cs="微软雅黑"/>
                <w:color w:val="000000"/>
                <w:sz w:val="21"/>
                <w:szCs w:val="21"/>
              </w:rPr>
              <w:t>年1月至今任意3个月依法缴纳社会保障资金的相关材料。</w:t>
            </w:r>
          </w:p>
        </w:tc>
        <w:tc>
          <w:tcPr>
            <w:tcW w:w="1682" w:type="dxa"/>
            <w:tcBorders>
              <w:top w:val="single" w:color="auto" w:sz="4" w:space="0"/>
              <w:left w:val="single" w:color="000000" w:sz="4" w:space="0"/>
              <w:bottom w:val="single" w:color="auto" w:sz="4" w:space="0"/>
              <w:right w:val="single" w:color="000000" w:sz="4" w:space="0"/>
            </w:tcBorders>
            <w:noWrap w:val="0"/>
            <w:vAlign w:val="center"/>
          </w:tcPr>
          <w:p w14:paraId="1C50DD8F">
            <w:pPr>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提供复印件或扫描件加盖公章或电子公章</w:t>
            </w:r>
          </w:p>
        </w:tc>
      </w:tr>
      <w:tr w14:paraId="41CB0BD9">
        <w:tblPrEx>
          <w:tblCellMar>
            <w:top w:w="0" w:type="dxa"/>
            <w:left w:w="108" w:type="dxa"/>
            <w:bottom w:w="0" w:type="dxa"/>
            <w:right w:w="108" w:type="dxa"/>
          </w:tblCellMar>
        </w:tblPrEx>
        <w:trPr>
          <w:trHeight w:val="870" w:hRule="atLeast"/>
        </w:trPr>
        <w:tc>
          <w:tcPr>
            <w:tcW w:w="825" w:type="dxa"/>
            <w:vMerge w:val="continue"/>
            <w:tcBorders>
              <w:left w:val="single" w:color="000000" w:sz="4" w:space="0"/>
              <w:bottom w:val="single" w:color="000000" w:sz="4" w:space="0"/>
              <w:right w:val="single" w:color="000000" w:sz="4" w:space="0"/>
            </w:tcBorders>
            <w:noWrap w:val="0"/>
            <w:vAlign w:val="center"/>
          </w:tcPr>
          <w:p w14:paraId="275D96F4">
            <w:pPr>
              <w:jc w:val="center"/>
              <w:rPr>
                <w:sz w:val="21"/>
                <w:szCs w:val="21"/>
              </w:rPr>
            </w:pPr>
          </w:p>
        </w:tc>
        <w:tc>
          <w:tcPr>
            <w:tcW w:w="1481" w:type="dxa"/>
            <w:vMerge w:val="continue"/>
            <w:tcBorders>
              <w:left w:val="single" w:color="000000" w:sz="4" w:space="0"/>
              <w:bottom w:val="single" w:color="000000" w:sz="4" w:space="0"/>
              <w:right w:val="single" w:color="000000" w:sz="4" w:space="0"/>
            </w:tcBorders>
            <w:noWrap w:val="0"/>
            <w:vAlign w:val="center"/>
          </w:tcPr>
          <w:p w14:paraId="27D02BD0">
            <w:pPr>
              <w:shd w:val="clear" w:color="000000" w:fill="FFFFFF"/>
              <w:snapToGrid w:val="0"/>
              <w:spacing w:line="360" w:lineRule="auto"/>
              <w:rPr>
                <w:sz w:val="21"/>
                <w:szCs w:val="21"/>
              </w:rPr>
            </w:pP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0C01A8FA">
            <w:pPr>
              <w:shd w:val="clear" w:color="000000" w:fill="FFFFFF"/>
              <w:snapToGrid w:val="0"/>
              <w:spacing w:line="360" w:lineRule="auto"/>
              <w:rPr>
                <w:rFonts w:ascii="微软雅黑" w:hAnsi="微软雅黑" w:cs="微软雅黑"/>
                <w:color w:val="000000"/>
                <w:sz w:val="21"/>
                <w:szCs w:val="21"/>
              </w:rPr>
            </w:pPr>
            <w:r>
              <w:rPr>
                <w:rFonts w:hint="eastAsia" w:ascii="微软雅黑" w:hAnsi="微软雅黑" w:eastAsia="宋体" w:cs="微软雅黑"/>
                <w:color w:val="000000"/>
                <w:sz w:val="21"/>
                <w:szCs w:val="21"/>
                <w:lang w:eastAsia="zh-CN"/>
              </w:rPr>
              <w:t>投标人</w:t>
            </w:r>
            <w:r>
              <w:rPr>
                <w:rFonts w:hint="eastAsia" w:ascii="微软雅黑" w:hAnsi="微软雅黑" w:cs="微软雅黑"/>
                <w:color w:val="000000"/>
                <w:sz w:val="21"/>
                <w:szCs w:val="21"/>
              </w:rPr>
              <w:t>按公开招标文件格式提供缴纳社会保障资金的证明（按采购文件格式提供证明）或提供其他有效证明。</w:t>
            </w:r>
          </w:p>
        </w:tc>
        <w:tc>
          <w:tcPr>
            <w:tcW w:w="1682" w:type="dxa"/>
            <w:tcBorders>
              <w:top w:val="single" w:color="auto" w:sz="4" w:space="0"/>
              <w:left w:val="single" w:color="000000" w:sz="4" w:space="0"/>
              <w:bottom w:val="single" w:color="auto" w:sz="4" w:space="0"/>
              <w:right w:val="single" w:color="000000" w:sz="4" w:space="0"/>
            </w:tcBorders>
            <w:noWrap w:val="0"/>
            <w:vAlign w:val="center"/>
          </w:tcPr>
          <w:p w14:paraId="34143D1B">
            <w:pPr>
              <w:shd w:val="clear" w:color="000000" w:fill="FFFFFF"/>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提供复印件或扫描件加盖公章或电子公章</w:t>
            </w:r>
          </w:p>
        </w:tc>
      </w:tr>
      <w:tr w14:paraId="76F1EE9F">
        <w:tblPrEx>
          <w:tblCellMar>
            <w:top w:w="0" w:type="dxa"/>
            <w:left w:w="108" w:type="dxa"/>
            <w:bottom w:w="0" w:type="dxa"/>
            <w:right w:w="108" w:type="dxa"/>
          </w:tblCellMar>
        </w:tblPrEx>
        <w:trPr>
          <w:trHeight w:val="476"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D9DBC6A">
            <w:pPr>
              <w:jc w:val="center"/>
              <w:rPr>
                <w:sz w:val="21"/>
                <w:szCs w:val="21"/>
              </w:rPr>
            </w:pPr>
            <w:r>
              <w:rPr>
                <w:rFonts w:hint="eastAsia"/>
                <w:sz w:val="21"/>
                <w:szCs w:val="21"/>
              </w:rPr>
              <w:t>6</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A81FEF4">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具备履行合同所必须的设备和专业技术能力</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23674A22">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按招标文件格式提供具备履行合同所必须的设备和专业技术能力的承诺函。</w:t>
            </w:r>
          </w:p>
        </w:tc>
        <w:tc>
          <w:tcPr>
            <w:tcW w:w="1682" w:type="dxa"/>
            <w:tcBorders>
              <w:top w:val="single" w:color="auto" w:sz="4" w:space="0"/>
              <w:left w:val="single" w:color="000000" w:sz="4" w:space="0"/>
              <w:bottom w:val="single" w:color="000000" w:sz="4" w:space="0"/>
              <w:right w:val="single" w:color="000000" w:sz="4" w:space="0"/>
            </w:tcBorders>
            <w:noWrap w:val="0"/>
            <w:vAlign w:val="center"/>
          </w:tcPr>
          <w:p w14:paraId="4D94917F">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提供复印件或扫描件加盖公章或电子公章</w:t>
            </w:r>
          </w:p>
        </w:tc>
      </w:tr>
      <w:tr w14:paraId="37D37FA3">
        <w:tblPrEx>
          <w:tblCellMar>
            <w:top w:w="0" w:type="dxa"/>
            <w:left w:w="108" w:type="dxa"/>
            <w:bottom w:w="0" w:type="dxa"/>
            <w:right w:w="108" w:type="dxa"/>
          </w:tblCellMar>
        </w:tblPrEx>
        <w:trPr>
          <w:trHeight w:val="476"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1398B840">
            <w:pPr>
              <w:jc w:val="center"/>
              <w:rPr>
                <w:sz w:val="21"/>
                <w:szCs w:val="21"/>
              </w:rPr>
            </w:pPr>
            <w:r>
              <w:rPr>
                <w:rFonts w:hint="eastAsia"/>
                <w:sz w:val="21"/>
                <w:szCs w:val="21"/>
              </w:rPr>
              <w:t>7</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2F545F3">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禁止参加政府采购承诺</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2D35D5DC">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未被财政部门列入禁止参加政府采购活动期间的书面承诺，按招标文件格式文本提供承诺函。</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64E6C81F">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提供复印件或扫描件加盖公章或电子公章</w:t>
            </w:r>
          </w:p>
        </w:tc>
      </w:tr>
      <w:tr w14:paraId="49BCD68C">
        <w:tblPrEx>
          <w:tblCellMar>
            <w:top w:w="0" w:type="dxa"/>
            <w:left w:w="108" w:type="dxa"/>
            <w:bottom w:w="0" w:type="dxa"/>
            <w:right w:w="108" w:type="dxa"/>
          </w:tblCellMar>
        </w:tblPrEx>
        <w:trPr>
          <w:trHeight w:val="941"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25999A0F">
            <w:pPr>
              <w:jc w:val="center"/>
              <w:rPr>
                <w:sz w:val="21"/>
                <w:szCs w:val="21"/>
              </w:rPr>
            </w:pPr>
            <w:r>
              <w:rPr>
                <w:rFonts w:hint="eastAsia"/>
                <w:sz w:val="21"/>
                <w:szCs w:val="21"/>
              </w:rPr>
              <w:t>8</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7EAB134">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无违法记录声明</w:t>
            </w:r>
          </w:p>
        </w:tc>
        <w:tc>
          <w:tcPr>
            <w:tcW w:w="6485" w:type="dxa"/>
            <w:tcBorders>
              <w:top w:val="single" w:color="000000" w:sz="4" w:space="0"/>
              <w:left w:val="single" w:color="000000" w:sz="4" w:space="0"/>
              <w:bottom w:val="single" w:color="000000" w:sz="4" w:space="0"/>
              <w:right w:val="single" w:color="000000" w:sz="4" w:space="0"/>
            </w:tcBorders>
            <w:noWrap w:val="0"/>
            <w:vAlign w:val="center"/>
          </w:tcPr>
          <w:p w14:paraId="0DF028FC">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参加政府采购活动前三年内，在经营活动中没有重大违法记录的书面承诺，按招标文件格式文本提供承诺函。</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1E5ED98F">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提供复印件或扫描件加盖公章或电子公章</w:t>
            </w:r>
          </w:p>
        </w:tc>
      </w:tr>
      <w:tr w14:paraId="7F9134CD">
        <w:tblPrEx>
          <w:tblCellMar>
            <w:top w:w="0" w:type="dxa"/>
            <w:left w:w="108" w:type="dxa"/>
            <w:bottom w:w="0" w:type="dxa"/>
            <w:right w:w="108" w:type="dxa"/>
          </w:tblCellMar>
        </w:tblPrEx>
        <w:trPr>
          <w:trHeight w:val="684" w:hRule="atLeast"/>
        </w:trPr>
        <w:tc>
          <w:tcPr>
            <w:tcW w:w="825"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14:paraId="33B2A053">
            <w:pPr>
              <w:jc w:val="center"/>
              <w:rPr>
                <w:sz w:val="21"/>
                <w:szCs w:val="21"/>
              </w:rPr>
            </w:pPr>
            <w:r>
              <w:rPr>
                <w:rFonts w:hint="eastAsia"/>
                <w:sz w:val="21"/>
                <w:szCs w:val="21"/>
              </w:rPr>
              <w:t>9</w:t>
            </w:r>
          </w:p>
        </w:tc>
        <w:tc>
          <w:tcPr>
            <w:tcW w:w="1481"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14:paraId="77DCE55F">
            <w:pPr>
              <w:snapToGrid w:val="0"/>
              <w:spacing w:line="360" w:lineRule="auto"/>
              <w:rPr>
                <w:rFonts w:ascii="微软雅黑" w:hAnsi="微软雅黑" w:cs="微软雅黑"/>
                <w:color w:val="000000"/>
                <w:sz w:val="21"/>
                <w:szCs w:val="21"/>
              </w:rPr>
            </w:pPr>
            <w:r>
              <w:rPr>
                <w:rFonts w:hint="eastAsia" w:ascii="微软雅黑" w:hAnsi="微软雅黑" w:eastAsia="宋体" w:cs="微软雅黑"/>
                <w:color w:val="000000"/>
                <w:sz w:val="21"/>
                <w:szCs w:val="21"/>
                <w:lang w:eastAsia="zh-CN"/>
              </w:rPr>
              <w:t>投标人</w:t>
            </w:r>
            <w:r>
              <w:rPr>
                <w:rFonts w:hint="eastAsia" w:ascii="微软雅黑" w:hAnsi="微软雅黑" w:cs="微软雅黑"/>
                <w:color w:val="000000"/>
                <w:sz w:val="21"/>
                <w:szCs w:val="21"/>
              </w:rPr>
              <w:t>承诺书</w:t>
            </w:r>
          </w:p>
        </w:tc>
        <w:tc>
          <w:tcPr>
            <w:tcW w:w="64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2636AE">
            <w:pPr>
              <w:snapToGrid w:val="0"/>
              <w:spacing w:line="360" w:lineRule="auto"/>
              <w:rPr>
                <w:rFonts w:ascii="微软雅黑" w:hAnsi="微软雅黑" w:cs="微软雅黑"/>
                <w:color w:val="000000"/>
                <w:sz w:val="21"/>
                <w:szCs w:val="21"/>
                <w:highlight w:val="yellow"/>
              </w:rPr>
            </w:pPr>
            <w:r>
              <w:rPr>
                <w:rFonts w:hint="eastAsia" w:ascii="微软雅黑" w:hAnsi="微软雅黑" w:cs="微软雅黑"/>
                <w:color w:val="000000"/>
                <w:sz w:val="21"/>
                <w:szCs w:val="21"/>
              </w:rPr>
              <w:t>按招标文件格式文本提供承诺函</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741556CC">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提供复印件或扫描件加盖公章或电子公章</w:t>
            </w:r>
          </w:p>
        </w:tc>
      </w:tr>
      <w:tr w14:paraId="0D61C0DC">
        <w:tblPrEx>
          <w:tblCellMar>
            <w:top w:w="0" w:type="dxa"/>
            <w:left w:w="108" w:type="dxa"/>
            <w:bottom w:w="0" w:type="dxa"/>
            <w:right w:w="108" w:type="dxa"/>
          </w:tblCellMar>
        </w:tblPrEx>
        <w:trPr>
          <w:trHeight w:val="362" w:hRule="atLeast"/>
        </w:trPr>
        <w:tc>
          <w:tcPr>
            <w:tcW w:w="825"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14:paraId="1292A163">
            <w:pPr>
              <w:jc w:val="center"/>
              <w:rPr>
                <w:sz w:val="21"/>
                <w:szCs w:val="21"/>
              </w:rPr>
            </w:pPr>
            <w:r>
              <w:rPr>
                <w:rFonts w:hint="eastAsia"/>
                <w:sz w:val="21"/>
                <w:szCs w:val="21"/>
              </w:rPr>
              <w:t>10</w:t>
            </w:r>
          </w:p>
        </w:tc>
        <w:tc>
          <w:tcPr>
            <w:tcW w:w="1481"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14:paraId="48EB1BBD">
            <w:pPr>
              <w:snapToGrid w:val="0"/>
              <w:spacing w:line="360" w:lineRule="auto"/>
              <w:rPr>
                <w:rFonts w:ascii="微软雅黑" w:hAnsi="微软雅黑" w:cs="微软雅黑"/>
                <w:color w:val="000000"/>
                <w:sz w:val="21"/>
                <w:szCs w:val="21"/>
              </w:rPr>
            </w:pPr>
            <w:r>
              <w:rPr>
                <w:rFonts w:hint="eastAsia" w:ascii="微软雅黑" w:hAnsi="微软雅黑" w:eastAsia="宋体" w:cs="微软雅黑"/>
                <w:color w:val="000000"/>
                <w:sz w:val="21"/>
                <w:szCs w:val="21"/>
                <w:lang w:eastAsia="zh-CN"/>
              </w:rPr>
              <w:t>投标人</w:t>
            </w:r>
            <w:r>
              <w:rPr>
                <w:rFonts w:hint="eastAsia" w:ascii="微软雅黑" w:hAnsi="微软雅黑" w:cs="微软雅黑"/>
                <w:color w:val="000000"/>
                <w:sz w:val="21"/>
                <w:szCs w:val="21"/>
              </w:rPr>
              <w:t>信用信息</w:t>
            </w:r>
          </w:p>
        </w:tc>
        <w:tc>
          <w:tcPr>
            <w:tcW w:w="64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A1D5B">
            <w:pPr>
              <w:snapToGrid w:val="0"/>
              <w:spacing w:line="360" w:lineRule="auto"/>
              <w:rPr>
                <w:rFonts w:ascii="微软雅黑" w:hAnsi="微软雅黑" w:cs="微软雅黑"/>
                <w:color w:val="000000"/>
                <w:sz w:val="21"/>
                <w:szCs w:val="21"/>
                <w:shd w:val="clear" w:color="000000" w:fill="FFFFFF"/>
              </w:rPr>
            </w:pPr>
            <w:r>
              <w:rPr>
                <w:rFonts w:hint="eastAsia" w:ascii="微软雅黑" w:hAnsi="微软雅黑" w:cs="微软雅黑"/>
                <w:color w:val="000000"/>
                <w:sz w:val="21"/>
                <w:szCs w:val="21"/>
                <w:shd w:val="clear" w:color="000000" w:fill="FFFFFF"/>
              </w:rPr>
              <w:t>对列入失信被执行人、税收违法黑名单、政府采购严重违法失信行为记录名单且还在执行期的</w:t>
            </w:r>
            <w:r>
              <w:rPr>
                <w:rFonts w:hint="eastAsia" w:ascii="微软雅黑" w:hAnsi="微软雅黑" w:eastAsia="宋体" w:cs="微软雅黑"/>
                <w:color w:val="000000"/>
                <w:sz w:val="21"/>
                <w:szCs w:val="21"/>
                <w:shd w:val="clear" w:color="000000" w:fill="FFFFFF"/>
                <w:lang w:eastAsia="zh-CN"/>
              </w:rPr>
              <w:t>投标人</w:t>
            </w:r>
            <w:r>
              <w:rPr>
                <w:rFonts w:hint="eastAsia" w:ascii="微软雅黑" w:hAnsi="微软雅黑" w:cs="微软雅黑"/>
                <w:color w:val="000000"/>
                <w:sz w:val="21"/>
                <w:szCs w:val="21"/>
                <w:shd w:val="clear" w:color="000000" w:fill="FFFFFF"/>
              </w:rPr>
              <w:t>资格审查不通过，拒绝其参与政府采购活动（提供查询截图及</w:t>
            </w:r>
            <w:r>
              <w:rPr>
                <w:rFonts w:hint="eastAsia" w:ascii="微软雅黑" w:hAnsi="微软雅黑" w:eastAsia="宋体" w:cs="微软雅黑"/>
                <w:color w:val="000000"/>
                <w:sz w:val="21"/>
                <w:szCs w:val="21"/>
                <w:shd w:val="clear" w:color="000000" w:fill="FFFFFF"/>
                <w:lang w:eastAsia="zh-CN"/>
              </w:rPr>
              <w:t>投标人</w:t>
            </w:r>
            <w:r>
              <w:rPr>
                <w:rFonts w:hint="eastAsia" w:ascii="微软雅黑" w:hAnsi="微软雅黑" w:cs="微软雅黑"/>
                <w:color w:val="000000"/>
                <w:sz w:val="21"/>
                <w:szCs w:val="21"/>
                <w:shd w:val="clear" w:color="000000" w:fill="FFFFFF"/>
              </w:rPr>
              <w:t>信用报告）。</w:t>
            </w:r>
          </w:p>
          <w:p w14:paraId="70583C5B">
            <w:pPr>
              <w:snapToGrid w:val="0"/>
              <w:spacing w:line="360" w:lineRule="auto"/>
              <w:rPr>
                <w:rFonts w:ascii="微软雅黑" w:hAnsi="微软雅黑" w:cs="微软雅黑"/>
                <w:color w:val="000000"/>
                <w:sz w:val="21"/>
                <w:szCs w:val="21"/>
                <w:shd w:val="clear" w:color="000000" w:fill="FFFFFF"/>
              </w:rPr>
            </w:pPr>
            <w:r>
              <w:rPr>
                <w:rFonts w:hint="eastAsia" w:ascii="微软雅黑" w:hAnsi="微软雅黑" w:cs="微软雅黑"/>
                <w:color w:val="000000"/>
                <w:sz w:val="21"/>
                <w:szCs w:val="21"/>
                <w:shd w:val="clear" w:color="000000" w:fill="FFFFFF"/>
              </w:rPr>
              <w:t>注：信用记录查询渠道为“信用中国”网站（www.creditchina.gov.cn）及中国政府采购网（www.ccgp.gov.cn），查询时间为本项目采购公告发布之日至</w:t>
            </w:r>
            <w:r>
              <w:rPr>
                <w:rFonts w:hint="eastAsia" w:ascii="微软雅黑" w:hAnsi="微软雅黑" w:eastAsia="宋体" w:cs="微软雅黑"/>
                <w:color w:val="000000"/>
                <w:sz w:val="21"/>
                <w:szCs w:val="21"/>
                <w:shd w:val="clear" w:color="000000" w:fill="FFFFFF"/>
                <w:lang w:eastAsia="zh-CN"/>
              </w:rPr>
              <w:t>开标</w:t>
            </w:r>
            <w:r>
              <w:rPr>
                <w:rFonts w:hint="eastAsia" w:ascii="微软雅黑" w:hAnsi="微软雅黑" w:cs="微软雅黑"/>
                <w:color w:val="000000"/>
                <w:sz w:val="21"/>
                <w:szCs w:val="21"/>
                <w:shd w:val="clear" w:color="000000" w:fill="FFFFFF"/>
              </w:rPr>
              <w:t>会议开始时间前的任意时间，</w:t>
            </w:r>
            <w:r>
              <w:rPr>
                <w:rFonts w:hint="eastAsia" w:ascii="微软雅黑" w:hAnsi="微软雅黑" w:eastAsia="宋体" w:cs="微软雅黑"/>
                <w:color w:val="000000"/>
                <w:sz w:val="21"/>
                <w:szCs w:val="21"/>
                <w:shd w:val="clear" w:color="000000" w:fill="FFFFFF"/>
                <w:lang w:eastAsia="zh-CN"/>
              </w:rPr>
              <w:t>投标人</w:t>
            </w:r>
            <w:r>
              <w:rPr>
                <w:rFonts w:hint="eastAsia" w:ascii="微软雅黑" w:hAnsi="微软雅黑" w:cs="微软雅黑"/>
                <w:color w:val="000000"/>
                <w:sz w:val="21"/>
                <w:szCs w:val="21"/>
                <w:shd w:val="clear" w:color="000000" w:fill="FFFFFF"/>
              </w:rPr>
              <w:t>须提供失信被执行人、重大税收违法案件当事人名单，作为信用信息查询记录和证据编入</w:t>
            </w:r>
            <w:r>
              <w:rPr>
                <w:rFonts w:hint="eastAsia" w:ascii="微软雅黑" w:hAnsi="微软雅黑" w:eastAsia="宋体" w:cs="微软雅黑"/>
                <w:color w:val="000000"/>
                <w:sz w:val="21"/>
                <w:szCs w:val="21"/>
                <w:shd w:val="clear" w:color="000000" w:fill="FFFFFF"/>
                <w:lang w:eastAsia="zh-CN"/>
              </w:rPr>
              <w:t>投标</w:t>
            </w:r>
            <w:r>
              <w:rPr>
                <w:rFonts w:hint="eastAsia" w:ascii="微软雅黑" w:hAnsi="微软雅黑" w:cs="微软雅黑"/>
                <w:color w:val="000000"/>
                <w:sz w:val="21"/>
                <w:szCs w:val="21"/>
                <w:shd w:val="clear" w:color="000000" w:fill="FFFFFF"/>
              </w:rPr>
              <w:t>资格文件。</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605F1FFA">
            <w:pPr>
              <w:snapToGrid w:val="0"/>
              <w:spacing w:line="360" w:lineRule="auto"/>
              <w:rPr>
                <w:rFonts w:ascii="微软雅黑" w:hAnsi="微软雅黑" w:cs="微软雅黑"/>
                <w:color w:val="000000"/>
                <w:sz w:val="21"/>
                <w:szCs w:val="21"/>
              </w:rPr>
            </w:pPr>
            <w:r>
              <w:rPr>
                <w:rFonts w:hint="eastAsia" w:ascii="微软雅黑" w:hAnsi="微软雅黑" w:cs="微软雅黑"/>
                <w:color w:val="000000"/>
                <w:sz w:val="21"/>
                <w:szCs w:val="21"/>
              </w:rPr>
              <w:t>提供复印件或扫描件加盖公章或电子公章</w:t>
            </w:r>
          </w:p>
        </w:tc>
      </w:tr>
      <w:tr w14:paraId="58D70800">
        <w:tblPrEx>
          <w:tblCellMar>
            <w:top w:w="0" w:type="dxa"/>
            <w:left w:w="108" w:type="dxa"/>
            <w:bottom w:w="0" w:type="dxa"/>
            <w:right w:w="108" w:type="dxa"/>
          </w:tblCellMar>
        </w:tblPrEx>
        <w:trPr>
          <w:trHeight w:val="362" w:hRule="atLeast"/>
        </w:trPr>
        <w:tc>
          <w:tcPr>
            <w:tcW w:w="825"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14:paraId="7A13AE62">
            <w:pPr>
              <w:jc w:val="center"/>
              <w:rPr>
                <w:rFonts w:hint="default" w:eastAsia="宋体"/>
                <w:sz w:val="21"/>
                <w:szCs w:val="21"/>
                <w:lang w:val="en-US" w:eastAsia="zh-CN"/>
              </w:rPr>
            </w:pPr>
            <w:r>
              <w:rPr>
                <w:rFonts w:hint="eastAsia" w:eastAsia="宋体"/>
                <w:sz w:val="21"/>
                <w:szCs w:val="21"/>
                <w:lang w:val="en-US" w:eastAsia="zh-CN"/>
              </w:rPr>
              <w:t>1</w:t>
            </w:r>
            <w:r>
              <w:rPr>
                <w:rFonts w:hint="eastAsia"/>
                <w:sz w:val="21"/>
                <w:szCs w:val="21"/>
                <w:lang w:val="en-US" w:eastAsia="zh-CN"/>
              </w:rPr>
              <w:t>1</w:t>
            </w:r>
          </w:p>
        </w:tc>
        <w:tc>
          <w:tcPr>
            <w:tcW w:w="1481"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14:paraId="7EBB49F2">
            <w:pPr>
              <w:snapToGrid w:val="0"/>
              <w:spacing w:line="360" w:lineRule="auto"/>
              <w:rPr>
                <w:rFonts w:hint="eastAsia" w:ascii="微软雅黑" w:hAnsi="微软雅黑" w:eastAsia="宋体" w:cs="微软雅黑"/>
                <w:color w:val="000000"/>
                <w:sz w:val="21"/>
                <w:szCs w:val="21"/>
                <w:lang w:eastAsia="zh-CN"/>
              </w:rPr>
            </w:pPr>
            <w:r>
              <w:rPr>
                <w:rFonts w:hint="eastAsia" w:ascii="微软雅黑" w:hAnsi="微软雅黑" w:eastAsia="宋体" w:cs="微软雅黑"/>
                <w:color w:val="000000"/>
                <w:sz w:val="21"/>
                <w:szCs w:val="21"/>
                <w:lang w:eastAsia="zh-CN"/>
              </w:rPr>
              <w:t>特殊资格要求</w:t>
            </w:r>
          </w:p>
        </w:tc>
        <w:tc>
          <w:tcPr>
            <w:tcW w:w="64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25BAF5">
            <w:pPr>
              <w:snapToGrid w:val="0"/>
              <w:spacing w:line="360" w:lineRule="auto"/>
              <w:rPr>
                <w:rFonts w:hint="eastAsia" w:ascii="微软雅黑" w:hAnsi="微软雅黑" w:cs="微软雅黑"/>
                <w:color w:val="000000"/>
                <w:sz w:val="21"/>
                <w:szCs w:val="21"/>
              </w:rPr>
            </w:pPr>
            <w:r>
              <w:rPr>
                <w:rFonts w:hint="eastAsia" w:ascii="宋体" w:hAnsi="宋体" w:eastAsia="宋体" w:cs="宋体"/>
                <w:sz w:val="21"/>
                <w:szCs w:val="21"/>
                <w:lang w:eastAsia="zh-CN"/>
              </w:rPr>
              <w:t>投标人若为生产厂家的需提供《医疗器械生产许可证》，投标人若为代理商的须提供有效的《医疗器械经营许可证》或医疗器械经营许可备案证明材料</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13D22B0C">
            <w:pPr>
              <w:snapToGrid w:val="0"/>
              <w:spacing w:line="360" w:lineRule="auto"/>
              <w:rPr>
                <w:rFonts w:hint="eastAsia" w:ascii="微软雅黑" w:hAnsi="微软雅黑" w:cs="微软雅黑"/>
                <w:color w:val="000000"/>
                <w:sz w:val="21"/>
                <w:szCs w:val="21"/>
              </w:rPr>
            </w:pPr>
            <w:r>
              <w:rPr>
                <w:rFonts w:hint="eastAsia" w:ascii="微软雅黑" w:hAnsi="微软雅黑" w:cs="微软雅黑"/>
                <w:color w:val="000000"/>
                <w:sz w:val="21"/>
                <w:szCs w:val="21"/>
              </w:rPr>
              <w:t>提供复印件或扫描件加盖公章或电子公章</w:t>
            </w:r>
          </w:p>
        </w:tc>
      </w:tr>
    </w:tbl>
    <w:p w14:paraId="1932CA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注：（1）有一项因素不符合审查标准的，不通过资格审查。未通过资格审查投标人投标文件按无效投标处理。</w:t>
      </w:r>
    </w:p>
    <w:p w14:paraId="1AD451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（2）以上证明资料需加盖投标人电子章。</w:t>
      </w:r>
    </w:p>
    <w:p w14:paraId="5DDC4A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（二）符合性审查</w:t>
      </w:r>
    </w:p>
    <w:p w14:paraId="087EB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第二阶段工作：符合性审查。评标委员会对资格审查合格的投标人的投标文件进行符合性审查，有一项评审因素及评审标准不符合的，不得通过符合性审查。未通过符合性审查的投标人，投标文件按无效投标处理。投标文件无效，无资格进行下一阶段的评审。符合性审查内容包括以下内容：</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70"/>
        <w:gridCol w:w="2796"/>
        <w:gridCol w:w="5153"/>
      </w:tblGrid>
      <w:tr w14:paraId="4EBF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66C5DE72">
            <w:pPr>
              <w:spacing w:line="360" w:lineRule="auto"/>
              <w:jc w:val="center"/>
              <w:rPr>
                <w:szCs w:val="21"/>
              </w:rPr>
            </w:pPr>
            <w:r>
              <w:rPr>
                <w:rFonts w:hint="eastAsia"/>
                <w:szCs w:val="21"/>
              </w:rPr>
              <w:t>序号</w:t>
            </w:r>
          </w:p>
        </w:tc>
        <w:tc>
          <w:tcPr>
            <w:tcW w:w="4066" w:type="dxa"/>
            <w:gridSpan w:val="2"/>
            <w:tcBorders>
              <w:top w:val="single" w:color="auto" w:sz="4" w:space="0"/>
              <w:left w:val="single" w:color="auto" w:sz="4" w:space="0"/>
              <w:bottom w:val="single" w:color="auto" w:sz="4" w:space="0"/>
              <w:right w:val="single" w:color="auto" w:sz="4" w:space="0"/>
            </w:tcBorders>
            <w:noWrap w:val="0"/>
            <w:vAlign w:val="center"/>
          </w:tcPr>
          <w:p w14:paraId="3837C153">
            <w:pPr>
              <w:spacing w:line="360" w:lineRule="auto"/>
              <w:jc w:val="center"/>
              <w:rPr>
                <w:szCs w:val="21"/>
              </w:rPr>
            </w:pPr>
            <w:r>
              <w:rPr>
                <w:rFonts w:hint="eastAsia"/>
                <w:szCs w:val="21"/>
              </w:rPr>
              <w:t>评审因素</w:t>
            </w:r>
          </w:p>
        </w:tc>
        <w:tc>
          <w:tcPr>
            <w:tcW w:w="5153" w:type="dxa"/>
            <w:tcBorders>
              <w:top w:val="single" w:color="auto" w:sz="4" w:space="0"/>
              <w:left w:val="single" w:color="auto" w:sz="4" w:space="0"/>
              <w:bottom w:val="single" w:color="auto" w:sz="4" w:space="0"/>
              <w:right w:val="single" w:color="auto" w:sz="4" w:space="0"/>
            </w:tcBorders>
            <w:noWrap w:val="0"/>
            <w:vAlign w:val="center"/>
          </w:tcPr>
          <w:p w14:paraId="1C230FE9">
            <w:pPr>
              <w:spacing w:line="360" w:lineRule="auto"/>
              <w:jc w:val="center"/>
              <w:rPr>
                <w:szCs w:val="21"/>
              </w:rPr>
            </w:pPr>
            <w:r>
              <w:rPr>
                <w:rFonts w:hint="eastAsia"/>
                <w:szCs w:val="21"/>
              </w:rPr>
              <w:t>评审标准</w:t>
            </w:r>
          </w:p>
        </w:tc>
      </w:tr>
      <w:tr w14:paraId="3099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trPr>
        <w:tc>
          <w:tcPr>
            <w:tcW w:w="655" w:type="dxa"/>
            <w:tcBorders>
              <w:top w:val="single" w:color="auto" w:sz="4" w:space="0"/>
              <w:left w:val="single" w:color="auto" w:sz="4" w:space="0"/>
              <w:right w:val="single" w:color="auto" w:sz="4" w:space="0"/>
            </w:tcBorders>
            <w:noWrap w:val="0"/>
            <w:vAlign w:val="center"/>
          </w:tcPr>
          <w:p w14:paraId="7209EF97">
            <w:pPr>
              <w:spacing w:line="360" w:lineRule="auto"/>
              <w:jc w:val="center"/>
              <w:rPr>
                <w:szCs w:val="21"/>
              </w:rPr>
            </w:pPr>
            <w:r>
              <w:rPr>
                <w:rFonts w:hint="eastAsia"/>
                <w:szCs w:val="21"/>
              </w:rPr>
              <w:t>1</w:t>
            </w:r>
          </w:p>
          <w:p w14:paraId="62316168">
            <w:pPr>
              <w:spacing w:line="360" w:lineRule="auto"/>
              <w:jc w:val="center"/>
              <w:rPr>
                <w:szCs w:val="21"/>
              </w:rPr>
            </w:pPr>
          </w:p>
        </w:tc>
        <w:tc>
          <w:tcPr>
            <w:tcW w:w="4066" w:type="dxa"/>
            <w:gridSpan w:val="2"/>
            <w:tcBorders>
              <w:top w:val="single" w:color="auto" w:sz="4" w:space="0"/>
              <w:left w:val="single" w:color="auto" w:sz="4" w:space="0"/>
              <w:right w:val="single" w:color="auto" w:sz="4" w:space="0"/>
            </w:tcBorders>
            <w:noWrap w:val="0"/>
            <w:vAlign w:val="center"/>
          </w:tcPr>
          <w:p w14:paraId="178D376D">
            <w:pPr>
              <w:spacing w:line="360" w:lineRule="auto"/>
              <w:rPr>
                <w:rFonts w:hint="eastAsia" w:eastAsia="宋体"/>
                <w:szCs w:val="21"/>
                <w:lang w:eastAsia="zh-CN"/>
              </w:rPr>
            </w:pPr>
            <w:r>
              <w:rPr>
                <w:rFonts w:hint="eastAsia"/>
                <w:szCs w:val="21"/>
              </w:rPr>
              <w:t>投标报价</w:t>
            </w:r>
            <w:r>
              <w:rPr>
                <w:rFonts w:hint="eastAsia"/>
                <w:szCs w:val="21"/>
                <w:lang w:eastAsia="zh-CN"/>
              </w:rPr>
              <w:t>审查</w:t>
            </w:r>
          </w:p>
        </w:tc>
        <w:tc>
          <w:tcPr>
            <w:tcW w:w="5153" w:type="dxa"/>
            <w:tcBorders>
              <w:top w:val="single" w:color="auto" w:sz="4" w:space="0"/>
              <w:left w:val="single" w:color="auto" w:sz="4" w:space="0"/>
              <w:bottom w:val="single" w:color="auto" w:sz="4" w:space="0"/>
              <w:right w:val="single" w:color="auto" w:sz="4" w:space="0"/>
            </w:tcBorders>
            <w:noWrap w:val="0"/>
            <w:vAlign w:val="center"/>
          </w:tcPr>
          <w:p w14:paraId="1209FD97">
            <w:pPr>
              <w:rPr>
                <w:szCs w:val="21"/>
              </w:rPr>
            </w:pPr>
            <w:r>
              <w:rPr>
                <w:rFonts w:hint="eastAsia"/>
                <w:szCs w:val="21"/>
              </w:rPr>
              <w:t>符合招标文件要求。</w:t>
            </w:r>
          </w:p>
        </w:tc>
      </w:tr>
      <w:tr w14:paraId="4F73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55" w:type="dxa"/>
            <w:vMerge w:val="restart"/>
            <w:tcBorders>
              <w:top w:val="single" w:color="auto" w:sz="4" w:space="0"/>
              <w:left w:val="single" w:color="auto" w:sz="4" w:space="0"/>
              <w:right w:val="single" w:color="auto" w:sz="4" w:space="0"/>
            </w:tcBorders>
            <w:noWrap w:val="0"/>
            <w:vAlign w:val="center"/>
          </w:tcPr>
          <w:p w14:paraId="58D69632">
            <w:pPr>
              <w:spacing w:line="360" w:lineRule="auto"/>
              <w:jc w:val="center"/>
              <w:rPr>
                <w:rFonts w:hint="eastAsia"/>
                <w:szCs w:val="21"/>
              </w:rPr>
            </w:pPr>
            <w:r>
              <w:rPr>
                <w:rFonts w:hint="eastAsia"/>
                <w:szCs w:val="21"/>
              </w:rPr>
              <w:t>2</w:t>
            </w:r>
          </w:p>
        </w:tc>
        <w:tc>
          <w:tcPr>
            <w:tcW w:w="1270" w:type="dxa"/>
            <w:vMerge w:val="restart"/>
            <w:tcBorders>
              <w:top w:val="single" w:color="auto" w:sz="4" w:space="0"/>
              <w:left w:val="single" w:color="auto" w:sz="4" w:space="0"/>
              <w:right w:val="single" w:color="auto" w:sz="4" w:space="0"/>
            </w:tcBorders>
            <w:noWrap w:val="0"/>
            <w:vAlign w:val="center"/>
          </w:tcPr>
          <w:p w14:paraId="025DDCB8">
            <w:pPr>
              <w:spacing w:line="360" w:lineRule="auto"/>
              <w:rPr>
                <w:szCs w:val="21"/>
              </w:rPr>
            </w:pPr>
            <w:r>
              <w:rPr>
                <w:rFonts w:hint="eastAsia"/>
                <w:szCs w:val="21"/>
              </w:rPr>
              <w:t>响应性审查</w:t>
            </w:r>
          </w:p>
        </w:tc>
        <w:tc>
          <w:tcPr>
            <w:tcW w:w="2796" w:type="dxa"/>
            <w:tcBorders>
              <w:top w:val="single" w:color="auto" w:sz="4" w:space="0"/>
              <w:left w:val="single" w:color="auto" w:sz="4" w:space="0"/>
              <w:right w:val="single" w:color="auto" w:sz="4" w:space="0"/>
            </w:tcBorders>
            <w:noWrap w:val="0"/>
            <w:vAlign w:val="center"/>
          </w:tcPr>
          <w:p w14:paraId="57C02E28">
            <w:pPr>
              <w:spacing w:line="360" w:lineRule="auto"/>
              <w:rPr>
                <w:szCs w:val="21"/>
              </w:rPr>
            </w:pPr>
            <w:r>
              <w:rPr>
                <w:rFonts w:hint="eastAsia"/>
                <w:szCs w:val="21"/>
              </w:rPr>
              <w:t>投标文件商务条款响应</w:t>
            </w:r>
          </w:p>
        </w:tc>
        <w:tc>
          <w:tcPr>
            <w:tcW w:w="5153" w:type="dxa"/>
            <w:tcBorders>
              <w:top w:val="single" w:color="auto" w:sz="4" w:space="0"/>
              <w:left w:val="single" w:color="auto" w:sz="4" w:space="0"/>
              <w:bottom w:val="single" w:color="auto" w:sz="4" w:space="0"/>
              <w:right w:val="single" w:color="auto" w:sz="4" w:space="0"/>
            </w:tcBorders>
            <w:noWrap w:val="0"/>
            <w:vAlign w:val="center"/>
          </w:tcPr>
          <w:p w14:paraId="61678C06">
            <w:pPr>
              <w:rPr>
                <w:szCs w:val="21"/>
              </w:rPr>
            </w:pPr>
            <w:r>
              <w:rPr>
                <w:rFonts w:hint="eastAsia"/>
                <w:szCs w:val="21"/>
              </w:rPr>
              <w:t>投标文件满足或优于招标文件规定的商务条款。</w:t>
            </w:r>
          </w:p>
        </w:tc>
      </w:tr>
      <w:tr w14:paraId="03F9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655" w:type="dxa"/>
            <w:vMerge w:val="continue"/>
            <w:tcBorders>
              <w:left w:val="single" w:color="auto" w:sz="4" w:space="0"/>
              <w:bottom w:val="single" w:color="auto" w:sz="4" w:space="0"/>
              <w:right w:val="single" w:color="auto" w:sz="4" w:space="0"/>
            </w:tcBorders>
            <w:noWrap w:val="0"/>
            <w:vAlign w:val="center"/>
          </w:tcPr>
          <w:p w14:paraId="1835CF0C">
            <w:pPr>
              <w:spacing w:line="360" w:lineRule="auto"/>
              <w:rPr>
                <w:szCs w:val="21"/>
              </w:rPr>
            </w:pPr>
          </w:p>
        </w:tc>
        <w:tc>
          <w:tcPr>
            <w:tcW w:w="1270" w:type="dxa"/>
            <w:vMerge w:val="continue"/>
            <w:tcBorders>
              <w:left w:val="single" w:color="auto" w:sz="4" w:space="0"/>
              <w:bottom w:val="single" w:color="auto" w:sz="4" w:space="0"/>
              <w:right w:val="single" w:color="auto" w:sz="4" w:space="0"/>
            </w:tcBorders>
            <w:noWrap w:val="0"/>
            <w:vAlign w:val="center"/>
          </w:tcPr>
          <w:p w14:paraId="78456A57">
            <w:pPr>
              <w:spacing w:line="360" w:lineRule="auto"/>
              <w:rPr>
                <w:szCs w:val="21"/>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14:paraId="7776B03E">
            <w:pPr>
              <w:spacing w:line="360" w:lineRule="auto"/>
              <w:rPr>
                <w:szCs w:val="21"/>
              </w:rPr>
            </w:pPr>
            <w:r>
              <w:rPr>
                <w:rFonts w:hint="eastAsia"/>
                <w:szCs w:val="21"/>
              </w:rPr>
              <w:t>投标文件有效期</w:t>
            </w:r>
          </w:p>
        </w:tc>
        <w:tc>
          <w:tcPr>
            <w:tcW w:w="5153" w:type="dxa"/>
            <w:tcBorders>
              <w:top w:val="single" w:color="auto" w:sz="4" w:space="0"/>
              <w:left w:val="single" w:color="auto" w:sz="4" w:space="0"/>
              <w:bottom w:val="single" w:color="auto" w:sz="4" w:space="0"/>
              <w:right w:val="single" w:color="auto" w:sz="4" w:space="0"/>
            </w:tcBorders>
            <w:noWrap w:val="0"/>
            <w:vAlign w:val="center"/>
          </w:tcPr>
          <w:p w14:paraId="23E95B73">
            <w:pPr>
              <w:rPr>
                <w:szCs w:val="21"/>
              </w:rPr>
            </w:pPr>
            <w:r>
              <w:rPr>
                <w:rFonts w:hint="eastAsia"/>
                <w:szCs w:val="21"/>
              </w:rPr>
              <w:t>90日历天</w:t>
            </w:r>
          </w:p>
        </w:tc>
      </w:tr>
    </w:tbl>
    <w:p w14:paraId="512DBA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sz w:val="24"/>
          <w:szCs w:val="24"/>
        </w:rPr>
        <w:t>（三）本次采购项目的评标方法采用综合评分法。</w:t>
      </w:r>
    </w:p>
    <w:p w14:paraId="4B41DF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1、综合评分法评标标准中的分值设置应当与评审因素的量化指标相对应。招标文件中没有规 定的评标标准不得作为评审依据。</w:t>
      </w:r>
    </w:p>
    <w:p w14:paraId="179402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2、评审时，评标委员会各成员应当独立对每个有效投标文件进行评价、打分，然后汇总每个投标人每项评审因素的得分。</w:t>
      </w:r>
    </w:p>
    <w:p w14:paraId="53E508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3、评分分值：满分105分</w:t>
      </w:r>
    </w:p>
    <w:p w14:paraId="3C6587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投标人最终得分=技术分+商务分+报价分+政策性加分</w:t>
      </w:r>
    </w:p>
    <w:p w14:paraId="66169B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三、投标人存在下列情况之一的，投标无效：</w:t>
      </w:r>
    </w:p>
    <w:p w14:paraId="3700C7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1、未按照招标文件的规定提交投标保证金的；</w:t>
      </w:r>
    </w:p>
    <w:p w14:paraId="05D9E2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2、投标文件未按照招标文件要求签署、盖章的；</w:t>
      </w:r>
    </w:p>
    <w:p w14:paraId="2C8361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3、不具备招标文件中规定的资格要求的；</w:t>
      </w:r>
    </w:p>
    <w:p w14:paraId="2029FE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4、报价超过招标文件中规定的预算金额或者最高限价的；</w:t>
      </w:r>
    </w:p>
    <w:p w14:paraId="1D9E28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5、投标文件含有采购人不能接受的附加条件的；</w:t>
      </w:r>
    </w:p>
    <w:p w14:paraId="7C2D85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6、投标人串通投标的；</w:t>
      </w:r>
    </w:p>
    <w:p w14:paraId="636D56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7、妨碍其他投标人投标行为的；</w:t>
      </w:r>
    </w:p>
    <w:p w14:paraId="3B5DE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8、损害采购人合法权益的；损害其他投标人合法权益的； 提供虚假投标资料的；</w:t>
      </w:r>
    </w:p>
    <w:p w14:paraId="04BBD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9、向采购主管单位、采购人、采购代理机构等行贿或者提供其他不正当利益的；</w:t>
      </w:r>
    </w:p>
    <w:p w14:paraId="49A499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10、拒绝财政及有关部门的检查或者不如实反映情况、提供材料的；</w:t>
      </w:r>
    </w:p>
    <w:p w14:paraId="57E860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四、有下列情形之一的，视为投标人串通投标，其投标无效：</w:t>
      </w:r>
    </w:p>
    <w:p w14:paraId="546353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1、不同投标人的投标文件由同一单位或者个人编制；</w:t>
      </w:r>
    </w:p>
    <w:p w14:paraId="78A5D4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2、不同投标人委托同一单位或者个人办理投标事宜；</w:t>
      </w:r>
    </w:p>
    <w:p w14:paraId="152326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3、不同投标人的投标文件载明的项目管理成员或者联系人员为同一人；</w:t>
      </w:r>
    </w:p>
    <w:p w14:paraId="5A1766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4、不同投标人的投标文件异常一致或者投标报价呈规律性差异；</w:t>
      </w:r>
    </w:p>
    <w:p w14:paraId="098F0F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5、不同投标人的投标文件相互混装；</w:t>
      </w:r>
    </w:p>
    <w:p w14:paraId="57F6B3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6、不同投标人的投标保证金从同一单位或者个人的账户转出。</w:t>
      </w:r>
    </w:p>
    <w:p w14:paraId="3EE24D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四、在招标采购中，出现下列情形之一的，应予废标：</w:t>
      </w:r>
    </w:p>
    <w:p w14:paraId="081F03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1、符合专业条件的</w:t>
      </w:r>
      <w:r>
        <w:rPr>
          <w:rFonts w:hint="eastAsia"/>
          <w:sz w:val="24"/>
          <w:szCs w:val="24"/>
          <w:lang w:eastAsia="zh-CN"/>
        </w:rPr>
        <w:t>投标人</w:t>
      </w:r>
      <w:r>
        <w:rPr>
          <w:rFonts w:hint="eastAsia"/>
          <w:sz w:val="24"/>
          <w:szCs w:val="24"/>
        </w:rPr>
        <w:t>或者对招标文件作实质响应的</w:t>
      </w:r>
      <w:r>
        <w:rPr>
          <w:rFonts w:hint="eastAsia"/>
          <w:sz w:val="24"/>
          <w:szCs w:val="24"/>
          <w:lang w:eastAsia="zh-CN"/>
        </w:rPr>
        <w:t>投标人</w:t>
      </w:r>
      <w:r>
        <w:rPr>
          <w:rFonts w:hint="eastAsia"/>
          <w:sz w:val="24"/>
          <w:szCs w:val="24"/>
        </w:rPr>
        <w:t>不足三家的；</w:t>
      </w:r>
    </w:p>
    <w:p w14:paraId="508480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2、出现影响采购公正的违法、违规行为的；</w:t>
      </w:r>
    </w:p>
    <w:p w14:paraId="0C210E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3、因重大变故，采购任务取消的。</w:t>
      </w:r>
    </w:p>
    <w:p w14:paraId="74F121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4、法律、法规和招标文件规定的其他无效情形。</w:t>
      </w:r>
    </w:p>
    <w:p w14:paraId="5BE5A8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sectPr>
          <w:pgSz w:w="11906" w:h="16838"/>
          <w:pgMar w:top="1440" w:right="1080" w:bottom="1440" w:left="1080" w:header="851" w:footer="992" w:gutter="0"/>
          <w:pgNumType w:fmt="decimal"/>
          <w:cols w:space="425" w:num="1"/>
          <w:docGrid w:type="lines" w:linePitch="312" w:charSpace="0"/>
        </w:sectPr>
      </w:pPr>
      <w:r>
        <w:rPr>
          <w:rFonts w:hint="eastAsia"/>
          <w:sz w:val="24"/>
          <w:szCs w:val="24"/>
        </w:rPr>
        <w:t>废标后，采购人应当将废标理由通知所有投标人。</w:t>
      </w:r>
    </w:p>
    <w:p w14:paraId="10223542">
      <w:pPr>
        <w:pStyle w:val="19"/>
        <w:ind w:left="0" w:leftChars="0" w:firstLine="0" w:firstLineChars="0"/>
        <w:jc w:val="center"/>
        <w:rPr>
          <w:rFonts w:hint="eastAsia"/>
          <w:sz w:val="32"/>
          <w:szCs w:val="32"/>
          <w:lang w:eastAsia="zh-CN"/>
        </w:rPr>
      </w:pPr>
      <w:r>
        <w:rPr>
          <w:rFonts w:hint="eastAsia"/>
          <w:sz w:val="32"/>
          <w:szCs w:val="32"/>
          <w:lang w:eastAsia="zh-CN"/>
        </w:rPr>
        <w:t>评标标准</w:t>
      </w:r>
    </w:p>
    <w:tbl>
      <w:tblPr>
        <w:tblStyle w:val="15"/>
        <w:tblW w:w="98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6"/>
        <w:gridCol w:w="1779"/>
        <w:gridCol w:w="3092"/>
        <w:gridCol w:w="3109"/>
        <w:gridCol w:w="1086"/>
      </w:tblGrid>
      <w:tr w14:paraId="65F63D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6" w:type="dxa"/>
            <w:tcBorders>
              <w:top w:val="single" w:color="auto" w:sz="12" w:space="0"/>
              <w:left w:val="single" w:color="auto" w:sz="12" w:space="0"/>
            </w:tcBorders>
            <w:noWrap w:val="0"/>
            <w:vAlign w:val="center"/>
          </w:tcPr>
          <w:p w14:paraId="086E4F1A">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sz w:val="24"/>
                <w:szCs w:val="21"/>
              </w:rPr>
            </w:pPr>
            <w:r>
              <w:rPr>
                <w:rFonts w:hint="eastAsia" w:ascii="宋体" w:hAnsi="宋体" w:eastAsia="宋体" w:cs="宋体"/>
                <w:b w:val="0"/>
                <w:sz w:val="24"/>
                <w:szCs w:val="21"/>
              </w:rPr>
              <w:t>序号</w:t>
            </w:r>
          </w:p>
        </w:tc>
        <w:tc>
          <w:tcPr>
            <w:tcW w:w="1779" w:type="dxa"/>
            <w:tcBorders>
              <w:top w:val="single" w:color="auto" w:sz="12" w:space="0"/>
            </w:tcBorders>
            <w:noWrap w:val="0"/>
            <w:vAlign w:val="center"/>
          </w:tcPr>
          <w:p w14:paraId="7286D34C">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sz w:val="24"/>
                <w:szCs w:val="21"/>
              </w:rPr>
            </w:pPr>
            <w:r>
              <w:rPr>
                <w:rFonts w:hint="eastAsia" w:ascii="宋体" w:hAnsi="宋体" w:eastAsia="宋体" w:cs="宋体"/>
                <w:b w:val="0"/>
                <w:sz w:val="24"/>
                <w:szCs w:val="21"/>
              </w:rPr>
              <w:t>评审因素</w:t>
            </w:r>
          </w:p>
        </w:tc>
        <w:tc>
          <w:tcPr>
            <w:tcW w:w="6201" w:type="dxa"/>
            <w:gridSpan w:val="2"/>
            <w:tcBorders>
              <w:top w:val="single" w:color="auto" w:sz="12" w:space="0"/>
            </w:tcBorders>
            <w:noWrap w:val="0"/>
            <w:vAlign w:val="center"/>
          </w:tcPr>
          <w:p w14:paraId="39C0780D">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sz w:val="24"/>
                <w:szCs w:val="21"/>
              </w:rPr>
            </w:pPr>
            <w:r>
              <w:rPr>
                <w:rFonts w:hint="eastAsia" w:ascii="宋体" w:hAnsi="宋体" w:eastAsia="宋体" w:cs="宋体"/>
                <w:b w:val="0"/>
                <w:sz w:val="24"/>
                <w:szCs w:val="21"/>
              </w:rPr>
              <w:t>评分细则</w:t>
            </w:r>
          </w:p>
        </w:tc>
        <w:tc>
          <w:tcPr>
            <w:tcW w:w="1086" w:type="dxa"/>
            <w:tcBorders>
              <w:top w:val="single" w:color="auto" w:sz="12" w:space="0"/>
              <w:right w:val="single" w:color="auto" w:sz="12" w:space="0"/>
            </w:tcBorders>
            <w:noWrap w:val="0"/>
            <w:vAlign w:val="center"/>
          </w:tcPr>
          <w:p w14:paraId="4E61AD30">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sz w:val="24"/>
                <w:szCs w:val="21"/>
              </w:rPr>
            </w:pPr>
            <w:r>
              <w:rPr>
                <w:rFonts w:hint="eastAsia" w:ascii="宋体" w:hAnsi="宋体" w:eastAsia="宋体" w:cs="宋体"/>
                <w:b w:val="0"/>
                <w:sz w:val="24"/>
                <w:szCs w:val="21"/>
              </w:rPr>
              <w:t>分值（分）</w:t>
            </w:r>
          </w:p>
        </w:tc>
      </w:tr>
      <w:tr w14:paraId="540607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 w:hRule="atLeast"/>
        </w:trPr>
        <w:tc>
          <w:tcPr>
            <w:tcW w:w="9822" w:type="dxa"/>
            <w:gridSpan w:val="5"/>
            <w:tcBorders>
              <w:left w:val="single" w:color="auto" w:sz="12" w:space="0"/>
              <w:right w:val="single" w:color="auto" w:sz="12" w:space="0"/>
            </w:tcBorders>
            <w:noWrap w:val="0"/>
            <w:vAlign w:val="center"/>
          </w:tcPr>
          <w:p w14:paraId="3DDBCD28">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color w:val="000000"/>
                <w:sz w:val="24"/>
                <w:szCs w:val="21"/>
              </w:rPr>
            </w:pPr>
            <w:r>
              <w:rPr>
                <w:rFonts w:hint="eastAsia" w:ascii="宋体" w:hAnsi="宋体" w:eastAsia="宋体" w:cs="宋体"/>
                <w:b w:val="0"/>
                <w:sz w:val="24"/>
                <w:szCs w:val="21"/>
                <w:lang w:eastAsia="zh-CN"/>
              </w:rPr>
              <w:t>一</w:t>
            </w:r>
            <w:r>
              <w:rPr>
                <w:rFonts w:hint="eastAsia" w:ascii="宋体" w:hAnsi="宋体" w:eastAsia="宋体" w:cs="宋体"/>
                <w:b w:val="0"/>
                <w:sz w:val="24"/>
                <w:szCs w:val="21"/>
              </w:rPr>
              <w:t>、价格部分（30分）</w:t>
            </w:r>
          </w:p>
        </w:tc>
      </w:tr>
      <w:tr w14:paraId="08E439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 w:hRule="atLeast"/>
        </w:trPr>
        <w:tc>
          <w:tcPr>
            <w:tcW w:w="756" w:type="dxa"/>
            <w:tcBorders>
              <w:left w:val="single" w:color="auto" w:sz="12" w:space="0"/>
              <w:right w:val="single" w:color="auto" w:sz="12" w:space="0"/>
            </w:tcBorders>
            <w:noWrap w:val="0"/>
            <w:vAlign w:val="center"/>
          </w:tcPr>
          <w:p w14:paraId="64896596">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color w:val="000000"/>
                <w:sz w:val="24"/>
                <w:szCs w:val="21"/>
              </w:rPr>
            </w:pPr>
            <w:r>
              <w:rPr>
                <w:rFonts w:hint="eastAsia" w:ascii="宋体" w:hAnsi="宋体" w:eastAsia="宋体" w:cs="宋体"/>
                <w:b w:val="0"/>
                <w:sz w:val="24"/>
                <w:szCs w:val="21"/>
                <w:lang w:val="en-US" w:eastAsia="zh-CN"/>
              </w:rPr>
              <w:t>1</w:t>
            </w:r>
          </w:p>
        </w:tc>
        <w:tc>
          <w:tcPr>
            <w:tcW w:w="1779" w:type="dxa"/>
            <w:tcBorders>
              <w:left w:val="single" w:color="auto" w:sz="12" w:space="0"/>
              <w:right w:val="single" w:color="auto" w:sz="12" w:space="0"/>
            </w:tcBorders>
            <w:noWrap w:val="0"/>
            <w:vAlign w:val="center"/>
          </w:tcPr>
          <w:p w14:paraId="17976214">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宋体" w:hAnsi="宋体" w:eastAsia="宋体" w:cs="宋体"/>
                <w:b w:val="0"/>
                <w:color w:val="000000"/>
                <w:sz w:val="24"/>
                <w:szCs w:val="21"/>
                <w:lang w:eastAsia="zh-CN"/>
              </w:rPr>
            </w:pPr>
            <w:r>
              <w:rPr>
                <w:rFonts w:hint="eastAsia" w:ascii="宋体" w:hAnsi="宋体" w:eastAsia="宋体" w:cs="宋体"/>
                <w:b w:val="0"/>
                <w:color w:val="000000"/>
                <w:sz w:val="24"/>
                <w:szCs w:val="21"/>
              </w:rPr>
              <w:t>投标报价分</w:t>
            </w:r>
          </w:p>
        </w:tc>
        <w:tc>
          <w:tcPr>
            <w:tcW w:w="6201" w:type="dxa"/>
            <w:gridSpan w:val="2"/>
            <w:tcBorders>
              <w:left w:val="single" w:color="auto" w:sz="12" w:space="0"/>
              <w:right w:val="single" w:color="auto" w:sz="12" w:space="0"/>
            </w:tcBorders>
            <w:noWrap w:val="0"/>
            <w:vAlign w:val="center"/>
          </w:tcPr>
          <w:p w14:paraId="3AB6B6FB">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bidi="ar"/>
              </w:rPr>
            </w:pPr>
            <w:r>
              <w:rPr>
                <w:rFonts w:hint="eastAsia" w:ascii="宋体" w:hAnsi="宋体" w:eastAsia="宋体" w:cs="宋体"/>
                <w:b w:val="0"/>
                <w:color w:val="000000"/>
                <w:kern w:val="0"/>
                <w:sz w:val="24"/>
                <w:szCs w:val="21"/>
                <w:lang w:bidi="ar"/>
              </w:rPr>
              <w:t>投标报价得分</w:t>
            </w:r>
            <w:r>
              <w:rPr>
                <w:rFonts w:hint="eastAsia" w:ascii="宋体" w:hAnsi="宋体" w:eastAsia="宋体" w:cs="宋体"/>
                <w:b w:val="0"/>
                <w:color w:val="000000"/>
                <w:kern w:val="0"/>
                <w:sz w:val="24"/>
                <w:szCs w:val="21"/>
                <w:lang w:val="en-US" w:eastAsia="zh-CN" w:bidi="ar"/>
              </w:rPr>
              <w:t xml:space="preserve"> </w:t>
            </w:r>
            <w:r>
              <w:rPr>
                <w:rFonts w:hint="eastAsia" w:ascii="宋体" w:hAnsi="宋体" w:eastAsia="宋体" w:cs="宋体"/>
                <w:b w:val="0"/>
                <w:color w:val="000000"/>
                <w:kern w:val="0"/>
                <w:sz w:val="24"/>
                <w:szCs w:val="21"/>
                <w:lang w:bidi="ar"/>
              </w:rPr>
              <w:t>=（评标基准价/投标报价）×30×100%</w:t>
            </w:r>
          </w:p>
          <w:p w14:paraId="71DC4C37">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bCs/>
                <w:sz w:val="24"/>
                <w:szCs w:val="21"/>
                <w:lang w:val="en-US" w:eastAsia="zh-CN"/>
              </w:rPr>
            </w:pPr>
            <w:r>
              <w:rPr>
                <w:rFonts w:hint="eastAsia" w:ascii="宋体" w:hAnsi="宋体" w:eastAsia="宋体" w:cs="宋体"/>
                <w:b w:val="0"/>
                <w:color w:val="000000"/>
                <w:kern w:val="0"/>
                <w:sz w:val="24"/>
                <w:szCs w:val="21"/>
                <w:lang w:bidi="ar"/>
              </w:rPr>
              <w:t>注：</w:t>
            </w:r>
            <w:r>
              <w:rPr>
                <w:rFonts w:hint="eastAsia" w:ascii="宋体" w:hAnsi="宋体" w:eastAsia="宋体" w:cs="宋体"/>
                <w:b w:val="0"/>
                <w:color w:val="000000"/>
                <w:kern w:val="0"/>
                <w:sz w:val="24"/>
                <w:szCs w:val="21"/>
                <w:lang w:eastAsia="zh-CN" w:bidi="ar"/>
              </w:rPr>
              <w:t>评标基准价为全部投标人的最低有效报价</w:t>
            </w:r>
            <w:r>
              <w:rPr>
                <w:rFonts w:hint="eastAsia" w:ascii="宋体" w:hAnsi="宋体" w:cs="宋体"/>
                <w:b w:val="0"/>
                <w:color w:val="000000"/>
                <w:kern w:val="0"/>
                <w:sz w:val="24"/>
                <w:szCs w:val="21"/>
                <w:lang w:eastAsia="zh-CN" w:bidi="ar"/>
              </w:rPr>
              <w:t>，投标人为中小企业的，投标</w:t>
            </w:r>
            <w:r>
              <w:rPr>
                <w:rFonts w:hint="eastAsia"/>
                <w:sz w:val="24"/>
                <w:szCs w:val="24"/>
              </w:rPr>
              <w:t>价格给予10%的扣除，用扣除后的价格参与评审</w:t>
            </w:r>
            <w:r>
              <w:rPr>
                <w:rFonts w:hint="eastAsia"/>
                <w:sz w:val="24"/>
                <w:szCs w:val="24"/>
                <w:lang w:eastAsia="zh-CN"/>
              </w:rPr>
              <w:t>。</w:t>
            </w:r>
          </w:p>
        </w:tc>
        <w:tc>
          <w:tcPr>
            <w:tcW w:w="1086" w:type="dxa"/>
            <w:tcBorders>
              <w:left w:val="single" w:color="auto" w:sz="12" w:space="0"/>
              <w:right w:val="single" w:color="auto" w:sz="12" w:space="0"/>
            </w:tcBorders>
            <w:noWrap w:val="0"/>
            <w:vAlign w:val="center"/>
          </w:tcPr>
          <w:p w14:paraId="2302631B">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color w:val="000000"/>
                <w:sz w:val="24"/>
                <w:szCs w:val="21"/>
              </w:rPr>
            </w:pPr>
            <w:r>
              <w:rPr>
                <w:rFonts w:hint="eastAsia" w:ascii="宋体" w:hAnsi="宋体" w:eastAsia="宋体" w:cs="宋体"/>
                <w:b w:val="0"/>
                <w:sz w:val="24"/>
                <w:szCs w:val="21"/>
              </w:rPr>
              <w:t>30</w:t>
            </w:r>
            <w:r>
              <w:rPr>
                <w:rFonts w:hint="eastAsia" w:ascii="宋体" w:hAnsi="宋体" w:eastAsia="宋体" w:cs="宋体"/>
                <w:b w:val="0"/>
                <w:color w:val="000000"/>
                <w:kern w:val="0"/>
                <w:sz w:val="24"/>
                <w:szCs w:val="21"/>
                <w:lang w:bidi="ar"/>
              </w:rPr>
              <w:t>分</w:t>
            </w:r>
          </w:p>
        </w:tc>
      </w:tr>
      <w:tr w14:paraId="327C17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 w:hRule="atLeast"/>
        </w:trPr>
        <w:tc>
          <w:tcPr>
            <w:tcW w:w="9822" w:type="dxa"/>
            <w:gridSpan w:val="5"/>
            <w:tcBorders>
              <w:left w:val="single" w:color="auto" w:sz="12" w:space="0"/>
              <w:right w:val="single" w:color="auto" w:sz="12" w:space="0"/>
            </w:tcBorders>
            <w:noWrap w:val="0"/>
            <w:vAlign w:val="center"/>
          </w:tcPr>
          <w:p w14:paraId="6A6E3985">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sz w:val="24"/>
                <w:szCs w:val="21"/>
              </w:rPr>
            </w:pPr>
            <w:r>
              <w:rPr>
                <w:rFonts w:hint="eastAsia" w:ascii="宋体" w:hAnsi="宋体" w:eastAsia="宋体" w:cs="宋体"/>
                <w:b w:val="0"/>
                <w:color w:val="000000"/>
                <w:sz w:val="24"/>
                <w:szCs w:val="21"/>
                <w:lang w:eastAsia="zh-CN"/>
              </w:rPr>
              <w:t>二</w:t>
            </w:r>
            <w:r>
              <w:rPr>
                <w:rFonts w:hint="eastAsia" w:ascii="宋体" w:hAnsi="宋体" w:eastAsia="宋体" w:cs="宋体"/>
                <w:b w:val="0"/>
                <w:color w:val="000000"/>
                <w:sz w:val="24"/>
                <w:szCs w:val="21"/>
              </w:rPr>
              <w:t>、技术部分（</w:t>
            </w:r>
            <w:r>
              <w:rPr>
                <w:rFonts w:hint="eastAsia" w:ascii="宋体" w:hAnsi="宋体" w:eastAsia="宋体" w:cs="宋体"/>
                <w:b w:val="0"/>
                <w:color w:val="000000"/>
                <w:sz w:val="24"/>
                <w:szCs w:val="21"/>
                <w:lang w:val="en-US" w:eastAsia="zh-CN"/>
              </w:rPr>
              <w:t>5</w:t>
            </w:r>
            <w:r>
              <w:rPr>
                <w:rFonts w:hint="eastAsia" w:ascii="宋体" w:hAnsi="宋体" w:cs="宋体"/>
                <w:b w:val="0"/>
                <w:color w:val="000000"/>
                <w:sz w:val="24"/>
                <w:szCs w:val="21"/>
                <w:lang w:val="en-US" w:eastAsia="zh-CN"/>
              </w:rPr>
              <w:t>5</w:t>
            </w:r>
            <w:bookmarkStart w:id="48" w:name="_GoBack"/>
            <w:bookmarkEnd w:id="48"/>
            <w:r>
              <w:rPr>
                <w:rFonts w:hint="eastAsia" w:ascii="宋体" w:hAnsi="宋体" w:eastAsia="宋体" w:cs="宋体"/>
                <w:b w:val="0"/>
                <w:color w:val="000000"/>
                <w:sz w:val="24"/>
                <w:szCs w:val="21"/>
              </w:rPr>
              <w:t>分）</w:t>
            </w:r>
          </w:p>
        </w:tc>
      </w:tr>
      <w:tr w14:paraId="61DA78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5" w:hRule="atLeast"/>
        </w:trPr>
        <w:tc>
          <w:tcPr>
            <w:tcW w:w="756" w:type="dxa"/>
            <w:vMerge w:val="restart"/>
            <w:tcBorders>
              <w:left w:val="single" w:color="auto" w:sz="12" w:space="0"/>
            </w:tcBorders>
            <w:noWrap w:val="0"/>
            <w:vAlign w:val="center"/>
          </w:tcPr>
          <w:p w14:paraId="38D1FEC2">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sz w:val="24"/>
                <w:szCs w:val="21"/>
                <w:lang w:eastAsia="zh-CN"/>
              </w:rPr>
            </w:pPr>
            <w:r>
              <w:rPr>
                <w:rFonts w:hint="eastAsia" w:ascii="宋体" w:hAnsi="宋体" w:eastAsia="宋体" w:cs="宋体"/>
                <w:b w:val="0"/>
                <w:sz w:val="24"/>
                <w:szCs w:val="21"/>
                <w:lang w:val="en-US" w:eastAsia="zh-CN"/>
              </w:rPr>
              <w:t>2</w:t>
            </w:r>
          </w:p>
        </w:tc>
        <w:tc>
          <w:tcPr>
            <w:tcW w:w="1779" w:type="dxa"/>
            <w:vMerge w:val="restart"/>
            <w:noWrap w:val="0"/>
            <w:vAlign w:val="center"/>
          </w:tcPr>
          <w:p w14:paraId="567ED725">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sz w:val="24"/>
                <w:szCs w:val="21"/>
              </w:rPr>
            </w:pPr>
            <w:r>
              <w:rPr>
                <w:rFonts w:hint="eastAsia" w:ascii="宋体" w:hAnsi="宋体" w:eastAsia="宋体" w:cs="宋体"/>
                <w:b w:val="0"/>
                <w:sz w:val="24"/>
                <w:szCs w:val="21"/>
              </w:rPr>
              <w:t>产品技术参数响应</w:t>
            </w:r>
          </w:p>
        </w:tc>
        <w:tc>
          <w:tcPr>
            <w:tcW w:w="3092" w:type="dxa"/>
            <w:vMerge w:val="restart"/>
            <w:noWrap w:val="0"/>
            <w:vAlign w:val="center"/>
          </w:tcPr>
          <w:p w14:paraId="5CEFE445">
            <w:pPr>
              <w:keepNext w:val="0"/>
              <w:keepLines w:val="0"/>
              <w:pageBreakBefore w:val="0"/>
              <w:kinsoku/>
              <w:wordWrap/>
              <w:overflowPunct/>
              <w:topLinePunct w:val="0"/>
              <w:autoSpaceDE/>
              <w:autoSpaceDN/>
              <w:bidi w:val="0"/>
              <w:spacing w:line="360" w:lineRule="exact"/>
              <w:ind w:left="0" w:leftChars="0" w:right="0" w:rightChars="0" w:firstLine="0" w:firstLineChars="0"/>
              <w:jc w:val="both"/>
              <w:textAlignment w:val="auto"/>
              <w:rPr>
                <w:rFonts w:hint="eastAsia" w:ascii="宋体" w:hAnsi="宋体" w:eastAsia="宋体" w:cs="宋体"/>
                <w:b w:val="0"/>
                <w:color w:val="000000"/>
                <w:kern w:val="0"/>
                <w:sz w:val="24"/>
                <w:szCs w:val="21"/>
                <w:lang w:eastAsia="zh-CN" w:bidi="ar"/>
              </w:rPr>
            </w:pPr>
            <w:r>
              <w:rPr>
                <w:rFonts w:hint="eastAsia" w:ascii="宋体" w:hAnsi="宋体" w:eastAsia="宋体" w:cs="宋体"/>
                <w:b w:val="0"/>
                <w:color w:val="auto"/>
                <w:kern w:val="0"/>
                <w:sz w:val="24"/>
                <w:szCs w:val="21"/>
                <w:highlight w:val="none"/>
                <w:lang w:bidi="ar"/>
              </w:rPr>
              <w:t>以采购设备参数与技术要求响应情况为依据进行评分：完全满足招标文件采购需求“技术条款”要求的得</w:t>
            </w:r>
            <w:r>
              <w:rPr>
                <w:rFonts w:hint="eastAsia" w:ascii="宋体" w:hAnsi="宋体" w:cs="宋体"/>
                <w:b w:val="0"/>
                <w:color w:val="auto"/>
                <w:kern w:val="0"/>
                <w:sz w:val="24"/>
                <w:szCs w:val="21"/>
                <w:highlight w:val="none"/>
                <w:lang w:val="en-US" w:eastAsia="zh-CN" w:bidi="ar"/>
              </w:rPr>
              <w:t>40</w:t>
            </w:r>
            <w:r>
              <w:rPr>
                <w:rFonts w:hint="eastAsia" w:ascii="宋体" w:hAnsi="宋体" w:eastAsia="宋体" w:cs="宋体"/>
                <w:b w:val="0"/>
                <w:color w:val="auto"/>
                <w:kern w:val="0"/>
                <w:sz w:val="24"/>
                <w:szCs w:val="21"/>
                <w:highlight w:val="none"/>
                <w:lang w:bidi="ar"/>
              </w:rPr>
              <w:t>分</w:t>
            </w:r>
          </w:p>
        </w:tc>
        <w:tc>
          <w:tcPr>
            <w:tcW w:w="3109" w:type="dxa"/>
            <w:noWrap w:val="0"/>
            <w:vAlign w:val="center"/>
          </w:tcPr>
          <w:p w14:paraId="2610E89C">
            <w:pPr>
              <w:keepNext w:val="0"/>
              <w:keepLines w:val="0"/>
              <w:pageBreakBefore w:val="0"/>
              <w:kinsoku/>
              <w:wordWrap/>
              <w:overflowPunct/>
              <w:topLinePunct w:val="0"/>
              <w:autoSpaceDE/>
              <w:autoSpaceDN/>
              <w:bidi w:val="0"/>
              <w:spacing w:line="360" w:lineRule="exact"/>
              <w:ind w:left="0" w:leftChars="0" w:right="0" w:rightChars="0" w:firstLine="0" w:firstLineChars="0"/>
              <w:jc w:val="both"/>
              <w:textAlignment w:val="auto"/>
              <w:rPr>
                <w:rFonts w:hint="default" w:ascii="宋体" w:hAnsi="宋体" w:eastAsia="宋体" w:cs="宋体"/>
                <w:b w:val="0"/>
                <w:color w:val="auto"/>
                <w:kern w:val="0"/>
                <w:sz w:val="24"/>
                <w:szCs w:val="21"/>
                <w:highlight w:val="none"/>
                <w:lang w:val="en-US" w:eastAsia="zh-CN" w:bidi="ar"/>
              </w:rPr>
            </w:pPr>
            <w:r>
              <w:rPr>
                <w:rFonts w:hint="eastAsia" w:ascii="宋体" w:hAnsi="宋体" w:cs="宋体"/>
                <w:b w:val="0"/>
                <w:color w:val="auto"/>
                <w:kern w:val="0"/>
                <w:sz w:val="24"/>
                <w:szCs w:val="21"/>
                <w:highlight w:val="none"/>
                <w:lang w:eastAsia="zh-CN" w:bidi="ar"/>
              </w:rPr>
              <w:t>其中带★项每不满足一条扣</w:t>
            </w:r>
            <w:r>
              <w:rPr>
                <w:rFonts w:hint="eastAsia" w:ascii="宋体" w:hAnsi="宋体" w:cs="宋体"/>
                <w:b w:val="0"/>
                <w:color w:val="auto"/>
                <w:kern w:val="0"/>
                <w:sz w:val="24"/>
                <w:szCs w:val="21"/>
                <w:highlight w:val="none"/>
                <w:lang w:val="en-US" w:eastAsia="zh-CN" w:bidi="ar"/>
              </w:rPr>
              <w:t>0.6分，</w:t>
            </w:r>
            <w:r>
              <w:rPr>
                <w:rFonts w:hint="eastAsia" w:ascii="宋体" w:hAnsi="宋体" w:eastAsia="宋体" w:cs="宋体"/>
                <w:b w:val="0"/>
                <w:color w:val="auto"/>
                <w:kern w:val="0"/>
                <w:sz w:val="24"/>
                <w:szCs w:val="21"/>
                <w:highlight w:val="none"/>
                <w:lang w:bidi="ar"/>
              </w:rPr>
              <w:t>扣完为止。</w:t>
            </w:r>
            <w:r>
              <w:rPr>
                <w:rFonts w:hint="eastAsia" w:ascii="宋体" w:hAnsi="宋体" w:cs="宋体"/>
                <w:b w:val="0"/>
                <w:color w:val="auto"/>
                <w:kern w:val="0"/>
                <w:sz w:val="24"/>
                <w:szCs w:val="21"/>
                <w:highlight w:val="none"/>
                <w:lang w:eastAsia="zh-CN" w:bidi="ar"/>
              </w:rPr>
              <w:t>（总计</w:t>
            </w:r>
            <w:r>
              <w:rPr>
                <w:rFonts w:hint="eastAsia" w:ascii="宋体" w:hAnsi="宋体" w:cs="宋体"/>
                <w:b w:val="0"/>
                <w:color w:val="auto"/>
                <w:kern w:val="0"/>
                <w:sz w:val="24"/>
                <w:szCs w:val="21"/>
                <w:highlight w:val="none"/>
                <w:lang w:val="en-US" w:eastAsia="zh-CN" w:bidi="ar"/>
              </w:rPr>
              <w:t>30分）</w:t>
            </w:r>
          </w:p>
        </w:tc>
        <w:tc>
          <w:tcPr>
            <w:tcW w:w="1086" w:type="dxa"/>
            <w:vMerge w:val="restart"/>
            <w:tcBorders>
              <w:right w:val="single" w:color="auto" w:sz="12" w:space="0"/>
            </w:tcBorders>
            <w:noWrap w:val="0"/>
            <w:vAlign w:val="center"/>
          </w:tcPr>
          <w:p w14:paraId="0CFCC9EE">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rPr>
                <w:rFonts w:hint="default" w:ascii="宋体" w:hAnsi="宋体" w:eastAsia="宋体" w:cs="宋体"/>
                <w:b w:val="0"/>
                <w:color w:val="auto"/>
                <w:kern w:val="0"/>
                <w:sz w:val="24"/>
                <w:szCs w:val="21"/>
                <w:highlight w:val="none"/>
                <w:lang w:val="en-US" w:eastAsia="zh-CN" w:bidi="ar"/>
              </w:rPr>
            </w:pPr>
            <w:r>
              <w:rPr>
                <w:rFonts w:hint="eastAsia" w:ascii="宋体" w:hAnsi="宋体" w:cs="宋体"/>
                <w:b w:val="0"/>
                <w:color w:val="auto"/>
                <w:kern w:val="0"/>
                <w:sz w:val="24"/>
                <w:szCs w:val="21"/>
                <w:highlight w:val="none"/>
                <w:lang w:val="en-US" w:eastAsia="zh-CN" w:bidi="ar"/>
              </w:rPr>
              <w:t>40分</w:t>
            </w:r>
          </w:p>
        </w:tc>
      </w:tr>
      <w:tr w14:paraId="2332B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5" w:hRule="atLeast"/>
        </w:trPr>
        <w:tc>
          <w:tcPr>
            <w:tcW w:w="756" w:type="dxa"/>
            <w:vMerge w:val="continue"/>
            <w:tcBorders>
              <w:left w:val="single" w:color="auto" w:sz="12" w:space="0"/>
            </w:tcBorders>
            <w:noWrap w:val="0"/>
            <w:vAlign w:val="center"/>
          </w:tcPr>
          <w:p w14:paraId="17F5AC69">
            <w:pPr>
              <w:keepNext w:val="0"/>
              <w:keepLines w:val="0"/>
              <w:pageBreakBefore w:val="0"/>
              <w:kinsoku/>
              <w:wordWrap/>
              <w:overflowPunct/>
              <w:topLinePunct w:val="0"/>
              <w:autoSpaceDE/>
              <w:autoSpaceDN/>
              <w:bidi w:val="0"/>
              <w:spacing w:line="360" w:lineRule="exact"/>
              <w:ind w:left="0" w:leftChars="0" w:right="0" w:rightChars="0" w:firstLine="0" w:firstLineChars="0"/>
              <w:jc w:val="both"/>
              <w:textAlignment w:val="auto"/>
            </w:pPr>
          </w:p>
        </w:tc>
        <w:tc>
          <w:tcPr>
            <w:tcW w:w="1779" w:type="dxa"/>
            <w:vMerge w:val="continue"/>
            <w:noWrap w:val="0"/>
            <w:vAlign w:val="center"/>
          </w:tcPr>
          <w:p w14:paraId="7FC4109B">
            <w:pPr>
              <w:keepNext w:val="0"/>
              <w:keepLines w:val="0"/>
              <w:pageBreakBefore w:val="0"/>
              <w:kinsoku/>
              <w:wordWrap/>
              <w:overflowPunct/>
              <w:topLinePunct w:val="0"/>
              <w:autoSpaceDE/>
              <w:autoSpaceDN/>
              <w:bidi w:val="0"/>
              <w:spacing w:line="360" w:lineRule="exact"/>
              <w:ind w:left="0" w:leftChars="0" w:right="0" w:rightChars="0" w:firstLine="0" w:firstLineChars="0"/>
              <w:jc w:val="both"/>
              <w:textAlignment w:val="auto"/>
            </w:pPr>
          </w:p>
        </w:tc>
        <w:tc>
          <w:tcPr>
            <w:tcW w:w="3092" w:type="dxa"/>
            <w:vMerge w:val="continue"/>
            <w:noWrap w:val="0"/>
            <w:vAlign w:val="center"/>
          </w:tcPr>
          <w:p w14:paraId="7768A246">
            <w:pPr>
              <w:keepNext w:val="0"/>
              <w:keepLines w:val="0"/>
              <w:pageBreakBefore w:val="0"/>
              <w:kinsoku/>
              <w:wordWrap/>
              <w:overflowPunct/>
              <w:topLinePunct w:val="0"/>
              <w:autoSpaceDE/>
              <w:autoSpaceDN/>
              <w:bidi w:val="0"/>
              <w:spacing w:line="360" w:lineRule="exact"/>
              <w:ind w:left="0" w:leftChars="0" w:right="0" w:rightChars="0" w:firstLine="0" w:firstLineChars="0"/>
              <w:jc w:val="both"/>
              <w:textAlignment w:val="auto"/>
            </w:pPr>
          </w:p>
        </w:tc>
        <w:tc>
          <w:tcPr>
            <w:tcW w:w="3109" w:type="dxa"/>
            <w:noWrap w:val="0"/>
            <w:vAlign w:val="center"/>
          </w:tcPr>
          <w:p w14:paraId="750DF06B">
            <w:pPr>
              <w:keepNext w:val="0"/>
              <w:keepLines w:val="0"/>
              <w:pageBreakBefore w:val="0"/>
              <w:kinsoku/>
              <w:wordWrap/>
              <w:overflowPunct/>
              <w:topLinePunct w:val="0"/>
              <w:autoSpaceDE/>
              <w:autoSpaceDN/>
              <w:bidi w:val="0"/>
              <w:spacing w:line="360" w:lineRule="exact"/>
              <w:ind w:left="0" w:leftChars="0" w:right="0" w:rightChars="0" w:firstLine="0" w:firstLineChars="0"/>
              <w:jc w:val="both"/>
              <w:textAlignment w:val="auto"/>
              <w:rPr>
                <w:rFonts w:hint="default" w:eastAsia="宋体"/>
                <w:lang w:val="en-US" w:eastAsia="zh-CN"/>
              </w:rPr>
            </w:pPr>
            <w:r>
              <w:rPr>
                <w:rFonts w:hint="eastAsia" w:ascii="宋体" w:hAnsi="宋体" w:cs="宋体"/>
                <w:b w:val="0"/>
                <w:color w:val="auto"/>
                <w:kern w:val="0"/>
                <w:sz w:val="24"/>
                <w:szCs w:val="21"/>
                <w:highlight w:val="none"/>
                <w:lang w:eastAsia="zh-CN" w:bidi="ar"/>
              </w:rPr>
              <w:t>未带★项每不满足一条扣</w:t>
            </w:r>
            <w:r>
              <w:rPr>
                <w:rFonts w:hint="eastAsia" w:ascii="宋体" w:hAnsi="宋体" w:cs="宋体"/>
                <w:b w:val="0"/>
                <w:color w:val="auto"/>
                <w:kern w:val="0"/>
                <w:sz w:val="24"/>
                <w:szCs w:val="21"/>
                <w:highlight w:val="none"/>
                <w:lang w:val="en-US" w:eastAsia="zh-CN" w:bidi="ar"/>
              </w:rPr>
              <w:t>0.5分，</w:t>
            </w:r>
            <w:r>
              <w:rPr>
                <w:rFonts w:hint="eastAsia" w:ascii="宋体" w:hAnsi="宋体" w:eastAsia="宋体" w:cs="宋体"/>
                <w:b w:val="0"/>
                <w:color w:val="auto"/>
                <w:kern w:val="0"/>
                <w:sz w:val="24"/>
                <w:szCs w:val="21"/>
                <w:highlight w:val="none"/>
                <w:lang w:bidi="ar"/>
              </w:rPr>
              <w:t>扣完为止。</w:t>
            </w:r>
            <w:r>
              <w:rPr>
                <w:rFonts w:hint="eastAsia" w:ascii="宋体" w:hAnsi="宋体" w:cs="宋体"/>
                <w:b w:val="0"/>
                <w:color w:val="auto"/>
                <w:kern w:val="0"/>
                <w:sz w:val="24"/>
                <w:szCs w:val="21"/>
                <w:highlight w:val="none"/>
                <w:lang w:eastAsia="zh-CN" w:bidi="ar"/>
              </w:rPr>
              <w:t>（总计</w:t>
            </w:r>
            <w:r>
              <w:rPr>
                <w:rFonts w:hint="eastAsia" w:ascii="宋体" w:hAnsi="宋体" w:cs="宋体"/>
                <w:b w:val="0"/>
                <w:color w:val="auto"/>
                <w:kern w:val="0"/>
                <w:sz w:val="24"/>
                <w:szCs w:val="21"/>
                <w:highlight w:val="none"/>
                <w:lang w:val="en-US" w:eastAsia="zh-CN" w:bidi="ar"/>
              </w:rPr>
              <w:t>10分）</w:t>
            </w:r>
          </w:p>
        </w:tc>
        <w:tc>
          <w:tcPr>
            <w:tcW w:w="1086" w:type="dxa"/>
            <w:vMerge w:val="continue"/>
            <w:tcBorders>
              <w:right w:val="single" w:color="auto" w:sz="12" w:space="0"/>
            </w:tcBorders>
            <w:noWrap w:val="0"/>
            <w:vAlign w:val="center"/>
          </w:tcPr>
          <w:p w14:paraId="2023AEA1">
            <w:pPr>
              <w:keepNext w:val="0"/>
              <w:keepLines w:val="0"/>
              <w:pageBreakBefore w:val="0"/>
              <w:kinsoku/>
              <w:wordWrap/>
              <w:overflowPunct/>
              <w:topLinePunct w:val="0"/>
              <w:autoSpaceDE/>
              <w:autoSpaceDN/>
              <w:bidi w:val="0"/>
              <w:spacing w:line="360" w:lineRule="exact"/>
              <w:ind w:left="0" w:leftChars="0" w:right="0" w:rightChars="0" w:firstLine="0" w:firstLineChars="0"/>
              <w:jc w:val="both"/>
              <w:textAlignment w:val="auto"/>
            </w:pPr>
          </w:p>
        </w:tc>
      </w:tr>
      <w:tr w14:paraId="339AED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9" w:hRule="atLeast"/>
        </w:trPr>
        <w:tc>
          <w:tcPr>
            <w:tcW w:w="756" w:type="dxa"/>
            <w:tcBorders>
              <w:left w:val="single" w:color="auto" w:sz="12" w:space="0"/>
            </w:tcBorders>
            <w:noWrap w:val="0"/>
            <w:vAlign w:val="center"/>
          </w:tcPr>
          <w:p w14:paraId="39997EA8">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default" w:ascii="宋体" w:hAnsi="宋体" w:eastAsia="宋体" w:cs="宋体"/>
                <w:b w:val="0"/>
                <w:color w:val="000000"/>
                <w:kern w:val="0"/>
                <w:sz w:val="24"/>
                <w:szCs w:val="21"/>
                <w:lang w:val="en-US" w:eastAsia="zh-CN" w:bidi="ar"/>
              </w:rPr>
            </w:pPr>
            <w:r>
              <w:rPr>
                <w:rFonts w:hint="eastAsia" w:ascii="宋体" w:hAnsi="宋体" w:eastAsia="宋体" w:cs="宋体"/>
                <w:b w:val="0"/>
                <w:color w:val="000000"/>
                <w:kern w:val="0"/>
                <w:sz w:val="24"/>
                <w:szCs w:val="21"/>
                <w:lang w:val="en-US" w:eastAsia="zh-CN" w:bidi="ar"/>
              </w:rPr>
              <w:t>3</w:t>
            </w:r>
          </w:p>
        </w:tc>
        <w:tc>
          <w:tcPr>
            <w:tcW w:w="1779" w:type="dxa"/>
            <w:noWrap w:val="0"/>
            <w:vAlign w:val="center"/>
          </w:tcPr>
          <w:p w14:paraId="43FE0AC6">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bidi="ar"/>
              </w:rPr>
            </w:pPr>
            <w:r>
              <w:rPr>
                <w:rFonts w:hint="eastAsia" w:ascii="宋体" w:hAnsi="宋体" w:eastAsia="宋体" w:cs="宋体"/>
                <w:b w:val="0"/>
                <w:color w:val="000000"/>
                <w:kern w:val="0"/>
                <w:sz w:val="24"/>
                <w:szCs w:val="21"/>
                <w:lang w:bidi="ar"/>
              </w:rPr>
              <w:t>项目服务方案</w:t>
            </w:r>
          </w:p>
        </w:tc>
        <w:tc>
          <w:tcPr>
            <w:tcW w:w="6201" w:type="dxa"/>
            <w:gridSpan w:val="2"/>
            <w:noWrap w:val="0"/>
            <w:vAlign w:val="center"/>
          </w:tcPr>
          <w:p w14:paraId="7654DE09">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bidi="ar"/>
              </w:rPr>
            </w:pPr>
            <w:r>
              <w:rPr>
                <w:rFonts w:hint="eastAsia" w:ascii="宋体" w:hAnsi="宋体" w:cs="宋体"/>
                <w:b w:val="0"/>
                <w:color w:val="000000"/>
                <w:kern w:val="0"/>
                <w:sz w:val="24"/>
                <w:szCs w:val="21"/>
                <w:lang w:eastAsia="zh-CN" w:bidi="ar"/>
              </w:rPr>
              <w:t>投标人</w:t>
            </w:r>
            <w:r>
              <w:rPr>
                <w:rFonts w:hint="eastAsia" w:ascii="宋体" w:hAnsi="宋体" w:eastAsia="宋体" w:cs="宋体"/>
                <w:b w:val="0"/>
                <w:color w:val="000000"/>
                <w:kern w:val="0"/>
                <w:sz w:val="24"/>
                <w:szCs w:val="21"/>
                <w:lang w:bidi="ar"/>
              </w:rPr>
              <w:t>应结合项目特征及自身企业实力编写</w:t>
            </w:r>
            <w:r>
              <w:rPr>
                <w:rFonts w:hint="eastAsia" w:ascii="宋体" w:hAnsi="宋体" w:eastAsia="宋体" w:cs="宋体"/>
                <w:b w:val="0"/>
                <w:color w:val="000000"/>
                <w:kern w:val="0"/>
                <w:sz w:val="24"/>
                <w:szCs w:val="21"/>
                <w:lang w:val="en-US" w:eastAsia="zh-CN" w:bidi="ar"/>
              </w:rPr>
              <w:t>服务方案</w:t>
            </w:r>
            <w:r>
              <w:rPr>
                <w:rFonts w:hint="eastAsia" w:ascii="宋体" w:hAnsi="宋体" w:eastAsia="宋体" w:cs="宋体"/>
                <w:b w:val="0"/>
                <w:color w:val="000000"/>
                <w:kern w:val="0"/>
                <w:sz w:val="24"/>
                <w:szCs w:val="21"/>
                <w:lang w:bidi="ar"/>
              </w:rPr>
              <w:t>，</w:t>
            </w:r>
            <w:r>
              <w:rPr>
                <w:rFonts w:hint="eastAsia" w:ascii="宋体" w:hAnsi="宋体" w:eastAsia="宋体" w:cs="宋体"/>
                <w:b w:val="0"/>
                <w:color w:val="000000"/>
                <w:kern w:val="0"/>
                <w:sz w:val="24"/>
                <w:szCs w:val="21"/>
                <w:lang w:val="en-US" w:eastAsia="zh-CN" w:bidi="ar"/>
              </w:rPr>
              <w:t>服务方案主要内容包含但不限于项目实施总体计划、质量保障措施、货物配送进度计划、售后服务方案等</w:t>
            </w:r>
            <w:r>
              <w:rPr>
                <w:rFonts w:hint="eastAsia" w:ascii="宋体" w:hAnsi="宋体" w:eastAsia="宋体" w:cs="宋体"/>
                <w:b w:val="0"/>
                <w:color w:val="000000"/>
                <w:kern w:val="0"/>
                <w:sz w:val="24"/>
                <w:szCs w:val="21"/>
                <w:lang w:bidi="ar"/>
              </w:rPr>
              <w:t>，评标委员会对各</w:t>
            </w:r>
            <w:r>
              <w:rPr>
                <w:rFonts w:hint="eastAsia" w:ascii="宋体" w:hAnsi="宋体" w:cs="宋体"/>
                <w:b w:val="0"/>
                <w:color w:val="000000"/>
                <w:kern w:val="0"/>
                <w:sz w:val="24"/>
                <w:szCs w:val="21"/>
                <w:lang w:eastAsia="zh-CN" w:bidi="ar"/>
              </w:rPr>
              <w:t>投标人</w:t>
            </w:r>
            <w:r>
              <w:rPr>
                <w:rFonts w:hint="eastAsia" w:ascii="宋体" w:hAnsi="宋体" w:eastAsia="宋体" w:cs="宋体"/>
                <w:b w:val="0"/>
                <w:color w:val="000000"/>
                <w:kern w:val="0"/>
                <w:sz w:val="24"/>
                <w:szCs w:val="21"/>
                <w:lang w:bidi="ar"/>
              </w:rPr>
              <w:t>的方案进行比较并打分：</w:t>
            </w:r>
          </w:p>
          <w:p w14:paraId="06BBF065">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bidi="ar"/>
              </w:rPr>
            </w:pPr>
            <w:r>
              <w:rPr>
                <w:rFonts w:hint="eastAsia" w:ascii="宋体" w:hAnsi="宋体" w:eastAsia="宋体" w:cs="宋体"/>
                <w:b w:val="0"/>
                <w:color w:val="000000"/>
                <w:kern w:val="0"/>
                <w:sz w:val="24"/>
                <w:szCs w:val="21"/>
                <w:lang w:val="en-US" w:eastAsia="zh-CN" w:bidi="ar"/>
              </w:rPr>
              <w:t>（1）方案内容全面，</w:t>
            </w:r>
            <w:r>
              <w:rPr>
                <w:rFonts w:hint="eastAsia" w:ascii="宋体" w:hAnsi="宋体" w:eastAsia="宋体" w:cs="宋体"/>
                <w:b w:val="0"/>
                <w:color w:val="000000"/>
                <w:kern w:val="0"/>
                <w:sz w:val="24"/>
                <w:szCs w:val="21"/>
                <w:lang w:bidi="ar"/>
              </w:rPr>
              <w:t>实质性优于</w:t>
            </w:r>
            <w:r>
              <w:rPr>
                <w:rFonts w:hint="eastAsia" w:ascii="宋体" w:hAnsi="宋体" w:eastAsia="宋体" w:cs="宋体"/>
                <w:b w:val="0"/>
                <w:color w:val="000000"/>
                <w:kern w:val="0"/>
                <w:sz w:val="24"/>
                <w:szCs w:val="21"/>
                <w:lang w:val="en-US" w:eastAsia="zh-CN" w:bidi="ar"/>
              </w:rPr>
              <w:t>符合项目要求，实施计划清晰、高效、科学、合理，把握工作的重点，符合相关规范要求，得1</w:t>
            </w:r>
            <w:r>
              <w:rPr>
                <w:rFonts w:hint="eastAsia" w:ascii="宋体" w:hAnsi="宋体" w:cs="宋体"/>
                <w:b w:val="0"/>
                <w:color w:val="000000"/>
                <w:kern w:val="0"/>
                <w:sz w:val="24"/>
                <w:szCs w:val="21"/>
                <w:lang w:val="en-US" w:eastAsia="zh-CN" w:bidi="ar"/>
              </w:rPr>
              <w:t>5</w:t>
            </w:r>
            <w:r>
              <w:rPr>
                <w:rFonts w:hint="eastAsia" w:ascii="宋体" w:hAnsi="宋体" w:eastAsia="宋体" w:cs="宋体"/>
                <w:b w:val="0"/>
                <w:color w:val="000000"/>
                <w:kern w:val="0"/>
                <w:sz w:val="24"/>
                <w:szCs w:val="21"/>
                <w:lang w:val="en-US" w:eastAsia="zh-CN" w:bidi="ar"/>
              </w:rPr>
              <w:t>分；</w:t>
            </w:r>
          </w:p>
          <w:p w14:paraId="399FF821">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bidi="ar"/>
              </w:rPr>
            </w:pPr>
            <w:r>
              <w:rPr>
                <w:rFonts w:hint="eastAsia" w:ascii="宋体" w:hAnsi="宋体" w:eastAsia="宋体" w:cs="宋体"/>
                <w:b w:val="0"/>
                <w:color w:val="000000"/>
                <w:kern w:val="0"/>
                <w:sz w:val="24"/>
                <w:szCs w:val="21"/>
                <w:lang w:val="en-US" w:eastAsia="zh-CN" w:bidi="ar"/>
              </w:rPr>
              <w:t>（2）方案内容较为全面，符合项目要求，实施计划较为清晰、合理，能把握工作的重点，符合相关规范要求，得</w:t>
            </w:r>
            <w:r>
              <w:rPr>
                <w:rFonts w:hint="eastAsia" w:ascii="宋体" w:hAnsi="宋体" w:cs="宋体"/>
                <w:b w:val="0"/>
                <w:color w:val="000000"/>
                <w:kern w:val="0"/>
                <w:sz w:val="24"/>
                <w:szCs w:val="21"/>
                <w:lang w:val="en-US" w:eastAsia="zh-CN" w:bidi="ar"/>
              </w:rPr>
              <w:t>10</w:t>
            </w:r>
            <w:r>
              <w:rPr>
                <w:rFonts w:hint="eastAsia" w:ascii="宋体" w:hAnsi="宋体" w:eastAsia="宋体" w:cs="宋体"/>
                <w:b w:val="0"/>
                <w:color w:val="000000"/>
                <w:kern w:val="0"/>
                <w:sz w:val="24"/>
                <w:szCs w:val="21"/>
                <w:lang w:val="en-US" w:eastAsia="zh-CN" w:bidi="ar"/>
              </w:rPr>
              <w:t>分；</w:t>
            </w:r>
          </w:p>
          <w:p w14:paraId="77FF4D4B">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bidi="ar"/>
              </w:rPr>
            </w:pPr>
            <w:r>
              <w:rPr>
                <w:rFonts w:hint="eastAsia" w:ascii="宋体" w:hAnsi="宋体" w:eastAsia="宋体" w:cs="宋体"/>
                <w:b w:val="0"/>
                <w:color w:val="000000"/>
                <w:kern w:val="0"/>
                <w:sz w:val="24"/>
                <w:szCs w:val="21"/>
                <w:lang w:val="en-US" w:eastAsia="zh-CN" w:bidi="ar"/>
              </w:rPr>
              <w:t>（3）方案内容基本可行，</w:t>
            </w:r>
            <w:r>
              <w:rPr>
                <w:rFonts w:hint="eastAsia" w:ascii="宋体" w:hAnsi="宋体" w:eastAsia="宋体" w:cs="宋体"/>
                <w:b w:val="0"/>
                <w:color w:val="000000"/>
                <w:kern w:val="0"/>
                <w:sz w:val="24"/>
                <w:szCs w:val="21"/>
                <w:lang w:bidi="ar"/>
              </w:rPr>
              <w:t>基本满足</w:t>
            </w:r>
            <w:r>
              <w:rPr>
                <w:rFonts w:hint="eastAsia" w:ascii="宋体" w:hAnsi="宋体" w:eastAsia="宋体" w:cs="宋体"/>
                <w:b w:val="0"/>
                <w:color w:val="000000"/>
                <w:kern w:val="0"/>
                <w:sz w:val="24"/>
                <w:szCs w:val="21"/>
                <w:lang w:val="en-US" w:eastAsia="zh-CN" w:bidi="ar"/>
              </w:rPr>
              <w:t>本次采购项目需求</w:t>
            </w:r>
            <w:r>
              <w:rPr>
                <w:rFonts w:hint="eastAsia" w:ascii="宋体" w:hAnsi="宋体" w:eastAsia="宋体" w:cs="宋体"/>
                <w:b w:val="0"/>
                <w:color w:val="000000"/>
                <w:kern w:val="0"/>
                <w:sz w:val="24"/>
                <w:szCs w:val="21"/>
                <w:lang w:bidi="ar"/>
              </w:rPr>
              <w:t>，但有不足之处</w:t>
            </w:r>
            <w:r>
              <w:rPr>
                <w:rFonts w:hint="eastAsia" w:ascii="宋体" w:hAnsi="宋体" w:eastAsia="宋体" w:cs="宋体"/>
                <w:b w:val="0"/>
                <w:color w:val="000000"/>
                <w:kern w:val="0"/>
                <w:sz w:val="24"/>
                <w:szCs w:val="21"/>
                <w:lang w:val="en-US" w:eastAsia="zh-CN" w:bidi="ar"/>
              </w:rPr>
              <w:t>，得5分；</w:t>
            </w:r>
          </w:p>
          <w:p w14:paraId="7C37C638">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val="en-US" w:eastAsia="zh-CN" w:bidi="ar"/>
              </w:rPr>
            </w:pPr>
            <w:r>
              <w:rPr>
                <w:rFonts w:hint="eastAsia" w:ascii="宋体" w:hAnsi="宋体" w:eastAsia="宋体" w:cs="宋体"/>
                <w:b w:val="0"/>
                <w:color w:val="000000"/>
                <w:kern w:val="0"/>
                <w:sz w:val="24"/>
                <w:szCs w:val="21"/>
                <w:lang w:val="en-US" w:eastAsia="zh-CN" w:bidi="ar"/>
              </w:rPr>
              <w:t>（4）未提供方案</w:t>
            </w:r>
            <w:r>
              <w:rPr>
                <w:rFonts w:hint="eastAsia" w:ascii="宋体" w:hAnsi="宋体" w:eastAsia="宋体" w:cs="宋体"/>
                <w:b w:val="0"/>
                <w:color w:val="000000"/>
                <w:kern w:val="0"/>
                <w:sz w:val="24"/>
                <w:szCs w:val="21"/>
                <w:lang w:bidi="ar"/>
              </w:rPr>
              <w:t>或安排有较大缺陷</w:t>
            </w:r>
            <w:r>
              <w:rPr>
                <w:rFonts w:hint="eastAsia" w:ascii="宋体" w:hAnsi="宋体" w:eastAsia="宋体" w:cs="宋体"/>
                <w:b w:val="0"/>
                <w:color w:val="000000"/>
                <w:kern w:val="0"/>
                <w:sz w:val="24"/>
                <w:szCs w:val="21"/>
                <w:lang w:eastAsia="zh-CN" w:bidi="ar"/>
              </w:rPr>
              <w:t>，无法</w:t>
            </w:r>
            <w:r>
              <w:rPr>
                <w:rFonts w:hint="eastAsia" w:ascii="宋体" w:hAnsi="宋体" w:eastAsia="宋体" w:cs="宋体"/>
                <w:b w:val="0"/>
                <w:color w:val="000000"/>
                <w:kern w:val="0"/>
                <w:sz w:val="24"/>
                <w:szCs w:val="21"/>
                <w:lang w:bidi="ar"/>
              </w:rPr>
              <w:t>满足</w:t>
            </w:r>
            <w:r>
              <w:rPr>
                <w:rFonts w:hint="eastAsia" w:ascii="宋体" w:hAnsi="宋体" w:eastAsia="宋体" w:cs="宋体"/>
                <w:b w:val="0"/>
                <w:color w:val="000000"/>
                <w:kern w:val="0"/>
                <w:sz w:val="24"/>
                <w:szCs w:val="21"/>
                <w:lang w:val="en-US" w:eastAsia="zh-CN" w:bidi="ar"/>
              </w:rPr>
              <w:t>本次采购项目需求，得0分。</w:t>
            </w:r>
          </w:p>
          <w:p w14:paraId="68F614A2">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val="en-US" w:eastAsia="zh-CN" w:bidi="ar"/>
              </w:rPr>
            </w:pPr>
            <w:r>
              <w:rPr>
                <w:rFonts w:hint="eastAsia" w:ascii="宋体" w:hAnsi="宋体" w:eastAsia="宋体" w:cs="宋体"/>
                <w:b w:val="0"/>
                <w:color w:val="000000"/>
                <w:kern w:val="0"/>
                <w:sz w:val="24"/>
                <w:szCs w:val="21"/>
                <w:lang w:val="en-US" w:eastAsia="zh-CN" w:bidi="ar"/>
              </w:rPr>
              <w:t>注：①项目实施总体计划：包含从备货到质保期内的整体工作计划。</w:t>
            </w:r>
          </w:p>
          <w:p w14:paraId="51B4989E">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val="en-US" w:eastAsia="zh-CN" w:bidi="ar"/>
              </w:rPr>
            </w:pPr>
            <w:r>
              <w:rPr>
                <w:rFonts w:hint="eastAsia" w:ascii="宋体" w:hAnsi="宋体" w:eastAsia="宋体" w:cs="宋体"/>
                <w:b w:val="0"/>
                <w:color w:val="000000"/>
                <w:kern w:val="0"/>
                <w:sz w:val="24"/>
                <w:szCs w:val="21"/>
                <w:lang w:val="en-US" w:eastAsia="zh-CN" w:bidi="ar"/>
              </w:rPr>
              <w:t>②质量保障措施：包含产品质量保障措施、配送质量保障措施、售后保障措施等。</w:t>
            </w:r>
          </w:p>
          <w:p w14:paraId="79EDC51B">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val="en-US" w:eastAsia="zh-CN" w:bidi="ar"/>
              </w:rPr>
            </w:pPr>
            <w:r>
              <w:rPr>
                <w:rFonts w:hint="eastAsia" w:ascii="宋体" w:hAnsi="宋体" w:eastAsia="宋体" w:cs="宋体"/>
                <w:b w:val="0"/>
                <w:color w:val="000000"/>
                <w:kern w:val="0"/>
                <w:sz w:val="24"/>
                <w:szCs w:val="21"/>
                <w:lang w:val="en-US" w:eastAsia="zh-CN" w:bidi="ar"/>
              </w:rPr>
              <w:t>③项目配送进度计划：因本项目交货时间要求短，投标人应针对实际情况制定切实可行的配送进度计划，不得影响采购方业务开展。</w:t>
            </w:r>
          </w:p>
          <w:p w14:paraId="7CB3C99C">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bidi="ar"/>
              </w:rPr>
            </w:pPr>
            <w:r>
              <w:rPr>
                <w:rFonts w:hint="eastAsia" w:ascii="宋体" w:hAnsi="宋体" w:eastAsia="宋体" w:cs="宋体"/>
                <w:b w:val="0"/>
                <w:color w:val="000000"/>
                <w:kern w:val="0"/>
                <w:sz w:val="24"/>
                <w:szCs w:val="21"/>
                <w:lang w:val="en-US" w:eastAsia="zh-CN" w:bidi="ar"/>
              </w:rPr>
              <w:t>④售后服务方案：包含售后服务人员、售后培训计划等</w:t>
            </w:r>
          </w:p>
        </w:tc>
        <w:tc>
          <w:tcPr>
            <w:tcW w:w="1086" w:type="dxa"/>
            <w:tcBorders>
              <w:right w:val="single" w:color="auto" w:sz="12" w:space="0"/>
            </w:tcBorders>
            <w:noWrap w:val="0"/>
            <w:vAlign w:val="center"/>
          </w:tcPr>
          <w:p w14:paraId="40C935CA">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val="en-US" w:eastAsia="zh-CN" w:bidi="ar"/>
              </w:rPr>
            </w:pPr>
            <w:r>
              <w:rPr>
                <w:rFonts w:hint="eastAsia" w:ascii="宋体" w:hAnsi="宋体" w:eastAsia="宋体" w:cs="宋体"/>
                <w:b w:val="0"/>
                <w:color w:val="000000"/>
                <w:kern w:val="0"/>
                <w:sz w:val="24"/>
                <w:szCs w:val="21"/>
                <w:lang w:bidi="ar"/>
              </w:rPr>
              <w:t>1</w:t>
            </w:r>
            <w:r>
              <w:rPr>
                <w:rFonts w:hint="eastAsia" w:ascii="宋体" w:hAnsi="宋体" w:cs="宋体"/>
                <w:b w:val="0"/>
                <w:color w:val="000000"/>
                <w:kern w:val="0"/>
                <w:sz w:val="24"/>
                <w:szCs w:val="21"/>
                <w:lang w:val="en-US" w:eastAsia="zh-CN" w:bidi="ar"/>
              </w:rPr>
              <w:t>5</w:t>
            </w:r>
            <w:r>
              <w:rPr>
                <w:rFonts w:hint="eastAsia" w:ascii="宋体" w:hAnsi="宋体" w:eastAsia="宋体" w:cs="宋体"/>
                <w:b w:val="0"/>
                <w:color w:val="000000"/>
                <w:kern w:val="0"/>
                <w:sz w:val="24"/>
                <w:szCs w:val="21"/>
                <w:lang w:bidi="ar"/>
              </w:rPr>
              <w:t>分</w:t>
            </w:r>
          </w:p>
        </w:tc>
      </w:tr>
      <w:tr w14:paraId="0E8146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7" w:hRule="atLeast"/>
        </w:trPr>
        <w:tc>
          <w:tcPr>
            <w:tcW w:w="9822" w:type="dxa"/>
            <w:gridSpan w:val="5"/>
            <w:tcBorders>
              <w:top w:val="single" w:color="auto" w:sz="4" w:space="0"/>
              <w:left w:val="single" w:color="auto" w:sz="12" w:space="0"/>
              <w:right w:val="single" w:color="auto" w:sz="12" w:space="0"/>
            </w:tcBorders>
            <w:noWrap w:val="0"/>
            <w:vAlign w:val="center"/>
          </w:tcPr>
          <w:p w14:paraId="1ABAE494">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color w:val="000000"/>
                <w:kern w:val="0"/>
                <w:sz w:val="24"/>
                <w:szCs w:val="21"/>
                <w:lang w:bidi="ar"/>
              </w:rPr>
            </w:pPr>
            <w:r>
              <w:rPr>
                <w:rFonts w:hint="eastAsia" w:ascii="宋体" w:hAnsi="宋体" w:eastAsia="宋体" w:cs="宋体"/>
                <w:b w:val="0"/>
                <w:color w:val="000000"/>
                <w:kern w:val="0"/>
                <w:sz w:val="24"/>
                <w:szCs w:val="21"/>
                <w:lang w:eastAsia="zh-CN" w:bidi="ar"/>
              </w:rPr>
              <w:t>三</w:t>
            </w:r>
            <w:r>
              <w:rPr>
                <w:rFonts w:hint="eastAsia" w:ascii="宋体" w:hAnsi="宋体" w:eastAsia="宋体" w:cs="宋体"/>
                <w:b w:val="0"/>
                <w:color w:val="000000"/>
                <w:kern w:val="0"/>
                <w:sz w:val="24"/>
                <w:szCs w:val="21"/>
                <w:lang w:bidi="ar"/>
              </w:rPr>
              <w:t>、商务部分（</w:t>
            </w:r>
            <w:r>
              <w:rPr>
                <w:rFonts w:hint="eastAsia" w:ascii="宋体" w:hAnsi="宋体" w:cs="宋体"/>
                <w:b w:val="0"/>
                <w:color w:val="000000"/>
                <w:kern w:val="0"/>
                <w:sz w:val="24"/>
                <w:szCs w:val="21"/>
                <w:lang w:val="en-US" w:eastAsia="zh-CN" w:bidi="ar"/>
              </w:rPr>
              <w:t>15</w:t>
            </w:r>
            <w:r>
              <w:rPr>
                <w:rFonts w:hint="eastAsia" w:ascii="宋体" w:hAnsi="宋体" w:eastAsia="宋体" w:cs="宋体"/>
                <w:b w:val="0"/>
                <w:color w:val="000000"/>
                <w:kern w:val="0"/>
                <w:sz w:val="24"/>
                <w:szCs w:val="21"/>
                <w:lang w:bidi="ar"/>
              </w:rPr>
              <w:t>分）</w:t>
            </w:r>
          </w:p>
        </w:tc>
      </w:tr>
      <w:tr w14:paraId="301D91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6" w:type="dxa"/>
            <w:tcBorders>
              <w:top w:val="single" w:color="auto" w:sz="4" w:space="0"/>
              <w:left w:val="single" w:color="auto" w:sz="12" w:space="0"/>
              <w:bottom w:val="single" w:color="auto" w:sz="4" w:space="0"/>
            </w:tcBorders>
            <w:noWrap w:val="0"/>
            <w:vAlign w:val="center"/>
          </w:tcPr>
          <w:p w14:paraId="1CBA2D89">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default" w:ascii="宋体" w:hAnsi="宋体" w:eastAsia="宋体" w:cs="宋体"/>
                <w:b w:val="0"/>
                <w:color w:val="000000"/>
                <w:kern w:val="0"/>
                <w:sz w:val="24"/>
                <w:szCs w:val="21"/>
                <w:lang w:val="en-US" w:eastAsia="zh-CN" w:bidi="ar"/>
              </w:rPr>
            </w:pPr>
            <w:r>
              <w:rPr>
                <w:rFonts w:hint="eastAsia" w:ascii="宋体" w:hAnsi="宋体" w:eastAsia="宋体" w:cs="宋体"/>
                <w:b w:val="0"/>
                <w:color w:val="000000"/>
                <w:kern w:val="0"/>
                <w:sz w:val="24"/>
                <w:szCs w:val="21"/>
                <w:lang w:val="en-US" w:eastAsia="zh-CN" w:bidi="ar"/>
              </w:rPr>
              <w:t>4</w:t>
            </w:r>
          </w:p>
        </w:tc>
        <w:tc>
          <w:tcPr>
            <w:tcW w:w="1779" w:type="dxa"/>
            <w:noWrap w:val="0"/>
            <w:vAlign w:val="center"/>
          </w:tcPr>
          <w:p w14:paraId="32D24AE6">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bidi="ar"/>
              </w:rPr>
            </w:pPr>
            <w:r>
              <w:rPr>
                <w:rFonts w:hint="eastAsia" w:ascii="宋体" w:hAnsi="宋体" w:eastAsia="宋体" w:cs="宋体"/>
                <w:b w:val="0"/>
                <w:color w:val="000000"/>
                <w:kern w:val="0"/>
                <w:sz w:val="24"/>
                <w:szCs w:val="21"/>
                <w:lang w:bidi="ar"/>
              </w:rPr>
              <w:t>业绩</w:t>
            </w:r>
          </w:p>
        </w:tc>
        <w:tc>
          <w:tcPr>
            <w:tcW w:w="6201" w:type="dxa"/>
            <w:gridSpan w:val="2"/>
            <w:noWrap w:val="0"/>
            <w:vAlign w:val="top"/>
          </w:tcPr>
          <w:p w14:paraId="5B5F8181">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bidi="ar"/>
              </w:rPr>
            </w:pPr>
            <w:r>
              <w:rPr>
                <w:rFonts w:hint="eastAsia" w:ascii="宋体" w:hAnsi="宋体" w:eastAsia="宋体" w:cs="宋体"/>
                <w:b w:val="0"/>
                <w:color w:val="000000"/>
                <w:kern w:val="0"/>
                <w:sz w:val="24"/>
                <w:szCs w:val="21"/>
                <w:lang w:bidi="ar"/>
              </w:rPr>
              <w:t>投标人提供20</w:t>
            </w:r>
            <w:r>
              <w:rPr>
                <w:rFonts w:hint="eastAsia" w:ascii="宋体" w:hAnsi="宋体" w:eastAsia="宋体" w:cs="宋体"/>
                <w:b w:val="0"/>
                <w:color w:val="000000"/>
                <w:kern w:val="0"/>
                <w:sz w:val="24"/>
                <w:szCs w:val="21"/>
                <w:lang w:val="en-US" w:eastAsia="zh-CN" w:bidi="ar"/>
              </w:rPr>
              <w:t>22</w:t>
            </w:r>
            <w:r>
              <w:rPr>
                <w:rFonts w:hint="eastAsia" w:ascii="宋体" w:hAnsi="宋体" w:eastAsia="宋体" w:cs="宋体"/>
                <w:b w:val="0"/>
                <w:color w:val="000000"/>
                <w:kern w:val="0"/>
                <w:sz w:val="24"/>
                <w:szCs w:val="21"/>
                <w:lang w:bidi="ar"/>
              </w:rPr>
              <w:t>年1月至今</w:t>
            </w:r>
            <w:r>
              <w:rPr>
                <w:rFonts w:hint="eastAsia" w:ascii="宋体" w:hAnsi="宋体" w:eastAsia="宋体" w:cs="宋体"/>
                <w:b w:val="0"/>
                <w:color w:val="000000"/>
                <w:kern w:val="0"/>
                <w:sz w:val="24"/>
                <w:szCs w:val="21"/>
                <w:lang w:eastAsia="zh-CN" w:bidi="ar"/>
              </w:rPr>
              <w:t>医疗设备</w:t>
            </w:r>
            <w:r>
              <w:rPr>
                <w:rFonts w:hint="eastAsia" w:ascii="宋体" w:hAnsi="宋体" w:eastAsia="宋体" w:cs="宋体"/>
                <w:b w:val="0"/>
                <w:color w:val="000000"/>
                <w:kern w:val="0"/>
                <w:sz w:val="24"/>
                <w:szCs w:val="21"/>
                <w:lang w:bidi="ar"/>
              </w:rPr>
              <w:t>供应业绩，提供1个得</w:t>
            </w:r>
            <w:r>
              <w:rPr>
                <w:rFonts w:hint="eastAsia" w:ascii="宋体" w:hAnsi="宋体" w:eastAsia="宋体" w:cs="宋体"/>
                <w:b w:val="0"/>
                <w:color w:val="000000"/>
                <w:kern w:val="0"/>
                <w:sz w:val="24"/>
                <w:szCs w:val="21"/>
                <w:lang w:val="en-US" w:eastAsia="zh-CN" w:bidi="ar"/>
              </w:rPr>
              <w:t>2</w:t>
            </w:r>
            <w:r>
              <w:rPr>
                <w:rFonts w:hint="eastAsia" w:ascii="宋体" w:hAnsi="宋体" w:eastAsia="宋体" w:cs="宋体"/>
                <w:b w:val="0"/>
                <w:color w:val="000000"/>
                <w:kern w:val="0"/>
                <w:sz w:val="24"/>
                <w:szCs w:val="21"/>
                <w:lang w:bidi="ar"/>
              </w:rPr>
              <w:t>分，共计</w:t>
            </w:r>
            <w:r>
              <w:rPr>
                <w:rFonts w:hint="eastAsia" w:ascii="宋体" w:hAnsi="宋体" w:eastAsia="宋体" w:cs="宋体"/>
                <w:b w:val="0"/>
                <w:color w:val="000000"/>
                <w:kern w:val="0"/>
                <w:sz w:val="24"/>
                <w:szCs w:val="21"/>
                <w:lang w:val="en-US" w:eastAsia="zh-CN" w:bidi="ar"/>
              </w:rPr>
              <w:t>8</w:t>
            </w:r>
            <w:r>
              <w:rPr>
                <w:rFonts w:hint="eastAsia" w:ascii="宋体" w:hAnsi="宋体" w:eastAsia="宋体" w:cs="宋体"/>
                <w:b w:val="0"/>
                <w:color w:val="000000"/>
                <w:kern w:val="0"/>
                <w:sz w:val="24"/>
                <w:szCs w:val="21"/>
                <w:lang w:bidi="ar"/>
              </w:rPr>
              <w:t>分。</w:t>
            </w:r>
          </w:p>
          <w:p w14:paraId="0201114F">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bidi="ar"/>
              </w:rPr>
            </w:pPr>
            <w:r>
              <w:rPr>
                <w:rFonts w:hint="eastAsia" w:ascii="宋体" w:hAnsi="宋体" w:eastAsia="宋体" w:cs="宋体"/>
                <w:b w:val="0"/>
                <w:color w:val="000000"/>
                <w:kern w:val="0"/>
                <w:sz w:val="24"/>
                <w:szCs w:val="21"/>
                <w:lang w:bidi="ar"/>
              </w:rPr>
              <w:t>注：需提供合同复印件加盖公章作为评审依据，不提供不得分。</w:t>
            </w:r>
          </w:p>
        </w:tc>
        <w:tc>
          <w:tcPr>
            <w:tcW w:w="1086" w:type="dxa"/>
            <w:tcBorders>
              <w:right w:val="single" w:color="auto" w:sz="12" w:space="0"/>
            </w:tcBorders>
            <w:noWrap w:val="0"/>
            <w:vAlign w:val="center"/>
          </w:tcPr>
          <w:p w14:paraId="493D5D56">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bidi="ar"/>
              </w:rPr>
            </w:pPr>
            <w:r>
              <w:rPr>
                <w:rFonts w:hint="eastAsia" w:ascii="宋体" w:hAnsi="宋体" w:eastAsia="宋体" w:cs="宋体"/>
                <w:b w:val="0"/>
                <w:color w:val="000000"/>
                <w:kern w:val="0"/>
                <w:sz w:val="24"/>
                <w:szCs w:val="21"/>
                <w:lang w:val="en-US" w:eastAsia="zh-CN" w:bidi="ar"/>
              </w:rPr>
              <w:t>8</w:t>
            </w:r>
            <w:r>
              <w:rPr>
                <w:rFonts w:hint="eastAsia" w:ascii="宋体" w:hAnsi="宋体" w:eastAsia="宋体" w:cs="宋体"/>
                <w:b w:val="0"/>
                <w:color w:val="000000"/>
                <w:kern w:val="0"/>
                <w:sz w:val="24"/>
                <w:szCs w:val="21"/>
                <w:lang w:bidi="ar"/>
              </w:rPr>
              <w:t>分</w:t>
            </w:r>
          </w:p>
        </w:tc>
      </w:tr>
      <w:tr w14:paraId="629169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trPr>
        <w:tc>
          <w:tcPr>
            <w:tcW w:w="756" w:type="dxa"/>
            <w:tcBorders>
              <w:top w:val="single" w:color="auto" w:sz="4" w:space="0"/>
              <w:left w:val="single" w:color="auto" w:sz="12" w:space="0"/>
              <w:bottom w:val="single" w:color="auto" w:sz="4" w:space="0"/>
            </w:tcBorders>
            <w:noWrap w:val="0"/>
            <w:vAlign w:val="center"/>
          </w:tcPr>
          <w:p w14:paraId="1B60CDF2">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eastAsia="zh-CN" w:bidi="ar"/>
              </w:rPr>
            </w:pPr>
            <w:r>
              <w:rPr>
                <w:rFonts w:hint="eastAsia" w:ascii="宋体" w:hAnsi="宋体" w:eastAsia="宋体" w:cs="宋体"/>
                <w:b w:val="0"/>
                <w:color w:val="000000"/>
                <w:kern w:val="0"/>
                <w:sz w:val="24"/>
                <w:szCs w:val="21"/>
                <w:lang w:val="en-US" w:eastAsia="zh-CN" w:bidi="ar"/>
              </w:rPr>
              <w:t>5</w:t>
            </w:r>
          </w:p>
        </w:tc>
        <w:tc>
          <w:tcPr>
            <w:tcW w:w="1779" w:type="dxa"/>
            <w:noWrap w:val="0"/>
            <w:vAlign w:val="center"/>
          </w:tcPr>
          <w:p w14:paraId="77D7EEFF">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bidi="ar"/>
              </w:rPr>
            </w:pPr>
            <w:r>
              <w:rPr>
                <w:rFonts w:hint="eastAsia" w:ascii="宋体" w:hAnsi="宋体" w:eastAsia="宋体" w:cs="宋体"/>
                <w:b w:val="0"/>
                <w:color w:val="000000"/>
                <w:kern w:val="0"/>
                <w:sz w:val="24"/>
                <w:szCs w:val="21"/>
                <w:lang w:bidi="ar"/>
              </w:rPr>
              <w:t>售后服务承诺</w:t>
            </w:r>
          </w:p>
        </w:tc>
        <w:tc>
          <w:tcPr>
            <w:tcW w:w="6201" w:type="dxa"/>
            <w:gridSpan w:val="2"/>
            <w:noWrap w:val="0"/>
            <w:vAlign w:val="center"/>
          </w:tcPr>
          <w:p w14:paraId="2904B6B7">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bidi="ar"/>
              </w:rPr>
            </w:pPr>
            <w:r>
              <w:rPr>
                <w:rFonts w:hint="eastAsia" w:ascii="宋体" w:hAnsi="宋体" w:eastAsia="宋体" w:cs="宋体"/>
                <w:b w:val="0"/>
                <w:color w:val="000000"/>
                <w:kern w:val="0"/>
                <w:sz w:val="24"/>
                <w:szCs w:val="21"/>
                <w:lang w:bidi="ar"/>
              </w:rPr>
              <w:t>投标人承诺在基本质保期的基础上，每增加1年质保得</w:t>
            </w:r>
            <w:r>
              <w:rPr>
                <w:rFonts w:hint="eastAsia" w:ascii="宋体" w:hAnsi="宋体" w:cs="宋体"/>
                <w:b w:val="0"/>
                <w:color w:val="000000"/>
                <w:kern w:val="0"/>
                <w:sz w:val="24"/>
                <w:szCs w:val="21"/>
                <w:lang w:val="en-US" w:eastAsia="zh-CN" w:bidi="ar"/>
              </w:rPr>
              <w:t>2</w:t>
            </w:r>
            <w:r>
              <w:rPr>
                <w:rFonts w:hint="eastAsia" w:ascii="宋体" w:hAnsi="宋体" w:eastAsia="宋体" w:cs="宋体"/>
                <w:b w:val="0"/>
                <w:color w:val="000000"/>
                <w:kern w:val="0"/>
                <w:sz w:val="24"/>
                <w:szCs w:val="21"/>
                <w:lang w:bidi="ar"/>
              </w:rPr>
              <w:t>分，最多得</w:t>
            </w:r>
            <w:r>
              <w:rPr>
                <w:rFonts w:hint="eastAsia" w:ascii="宋体" w:hAnsi="宋体" w:cs="宋体"/>
                <w:b w:val="0"/>
                <w:color w:val="000000"/>
                <w:kern w:val="0"/>
                <w:sz w:val="24"/>
                <w:szCs w:val="21"/>
                <w:lang w:val="en-US" w:eastAsia="zh-CN" w:bidi="ar"/>
              </w:rPr>
              <w:t>4</w:t>
            </w:r>
            <w:r>
              <w:rPr>
                <w:rFonts w:hint="eastAsia" w:ascii="宋体" w:hAnsi="宋体" w:eastAsia="宋体" w:cs="宋体"/>
                <w:b w:val="0"/>
                <w:color w:val="000000"/>
                <w:kern w:val="0"/>
                <w:sz w:val="24"/>
                <w:szCs w:val="21"/>
                <w:lang w:bidi="ar"/>
              </w:rPr>
              <w:t>分，提供承诺函加盖公章，不提供不得分。</w:t>
            </w:r>
          </w:p>
        </w:tc>
        <w:tc>
          <w:tcPr>
            <w:tcW w:w="1086" w:type="dxa"/>
            <w:tcBorders>
              <w:right w:val="single" w:color="auto" w:sz="12" w:space="0"/>
            </w:tcBorders>
            <w:noWrap w:val="0"/>
            <w:vAlign w:val="center"/>
          </w:tcPr>
          <w:p w14:paraId="38F28B1F">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bidi="ar"/>
              </w:rPr>
            </w:pPr>
            <w:r>
              <w:rPr>
                <w:rFonts w:hint="eastAsia" w:ascii="宋体" w:hAnsi="宋体" w:cs="宋体"/>
                <w:b w:val="0"/>
                <w:color w:val="000000"/>
                <w:kern w:val="0"/>
                <w:sz w:val="24"/>
                <w:szCs w:val="21"/>
                <w:lang w:val="en-US" w:eastAsia="zh-CN" w:bidi="ar"/>
              </w:rPr>
              <w:t>4</w:t>
            </w:r>
            <w:r>
              <w:rPr>
                <w:rFonts w:hint="eastAsia" w:ascii="宋体" w:hAnsi="宋体" w:eastAsia="宋体" w:cs="宋体"/>
                <w:b w:val="0"/>
                <w:color w:val="000000"/>
                <w:kern w:val="0"/>
                <w:sz w:val="24"/>
                <w:szCs w:val="21"/>
                <w:lang w:bidi="ar"/>
              </w:rPr>
              <w:t>分</w:t>
            </w:r>
          </w:p>
        </w:tc>
      </w:tr>
      <w:tr w14:paraId="44723A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trPr>
        <w:tc>
          <w:tcPr>
            <w:tcW w:w="756" w:type="dxa"/>
            <w:tcBorders>
              <w:top w:val="single" w:color="auto" w:sz="4" w:space="0"/>
              <w:left w:val="single" w:color="auto" w:sz="12" w:space="0"/>
              <w:bottom w:val="single" w:color="auto" w:sz="4" w:space="0"/>
            </w:tcBorders>
            <w:noWrap w:val="0"/>
            <w:vAlign w:val="center"/>
          </w:tcPr>
          <w:p w14:paraId="21B4EB1F">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val="en-US" w:eastAsia="zh-CN" w:bidi="ar"/>
              </w:rPr>
            </w:pPr>
            <w:r>
              <w:rPr>
                <w:rFonts w:hint="eastAsia" w:ascii="宋体" w:hAnsi="宋体" w:eastAsia="宋体" w:cs="宋体"/>
                <w:b w:val="0"/>
                <w:color w:val="000000"/>
                <w:kern w:val="0"/>
                <w:sz w:val="24"/>
                <w:szCs w:val="21"/>
                <w:lang w:val="en-US" w:eastAsia="zh-CN" w:bidi="ar"/>
              </w:rPr>
              <w:t>6</w:t>
            </w:r>
          </w:p>
        </w:tc>
        <w:tc>
          <w:tcPr>
            <w:tcW w:w="1779" w:type="dxa"/>
            <w:noWrap w:val="0"/>
            <w:vAlign w:val="center"/>
          </w:tcPr>
          <w:p w14:paraId="75D9DFB1">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highlight w:val="none"/>
                <w:lang w:val="en-US" w:eastAsia="zh-CN" w:bidi="ar"/>
              </w:rPr>
            </w:pPr>
            <w:r>
              <w:rPr>
                <w:rFonts w:hint="eastAsia" w:ascii="宋体" w:hAnsi="宋体" w:eastAsia="宋体" w:cs="宋体"/>
                <w:b w:val="0"/>
                <w:color w:val="000000"/>
                <w:kern w:val="0"/>
                <w:sz w:val="24"/>
                <w:szCs w:val="21"/>
                <w:highlight w:val="none"/>
                <w:lang w:eastAsia="zh-CN" w:bidi="ar"/>
              </w:rPr>
              <w:t>售后服务响应</w:t>
            </w:r>
          </w:p>
        </w:tc>
        <w:tc>
          <w:tcPr>
            <w:tcW w:w="6201" w:type="dxa"/>
            <w:gridSpan w:val="2"/>
            <w:noWrap w:val="0"/>
            <w:vAlign w:val="center"/>
          </w:tcPr>
          <w:p w14:paraId="32D34313">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highlight w:val="none"/>
                <w:lang w:val="en-US" w:eastAsia="zh-CN" w:bidi="ar"/>
              </w:rPr>
            </w:pPr>
            <w:r>
              <w:rPr>
                <w:rFonts w:hint="eastAsia" w:ascii="宋体" w:hAnsi="宋体" w:eastAsia="宋体" w:cs="宋体"/>
                <w:b w:val="0"/>
                <w:color w:val="000000"/>
                <w:kern w:val="0"/>
                <w:sz w:val="24"/>
                <w:szCs w:val="21"/>
                <w:highlight w:val="none"/>
                <w:lang w:val="en-US" w:eastAsia="zh-CN" w:bidi="ar"/>
              </w:rPr>
              <w:t>根据投标人自行承诺到达现场维修以及更换损坏件的响应时间进行评比：</w:t>
            </w:r>
          </w:p>
          <w:p w14:paraId="63650CEC">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highlight w:val="none"/>
                <w:lang w:val="en-US" w:eastAsia="zh-CN" w:bidi="ar"/>
              </w:rPr>
            </w:pPr>
            <w:r>
              <w:rPr>
                <w:rFonts w:hint="eastAsia" w:ascii="宋体" w:hAnsi="宋体" w:eastAsia="宋体" w:cs="宋体"/>
                <w:b w:val="0"/>
                <w:color w:val="000000"/>
                <w:kern w:val="0"/>
                <w:sz w:val="24"/>
                <w:szCs w:val="21"/>
                <w:highlight w:val="none"/>
                <w:lang w:val="en-US" w:eastAsia="zh-CN" w:bidi="ar"/>
              </w:rPr>
              <w:t>承诺在6小时内到达现场维修以及更换损坏件的得</w:t>
            </w:r>
            <w:r>
              <w:rPr>
                <w:rFonts w:hint="eastAsia" w:ascii="宋体" w:hAnsi="宋体" w:cs="宋体"/>
                <w:b w:val="0"/>
                <w:color w:val="000000"/>
                <w:kern w:val="0"/>
                <w:sz w:val="24"/>
                <w:szCs w:val="21"/>
                <w:highlight w:val="none"/>
                <w:lang w:val="en-US" w:eastAsia="zh-CN" w:bidi="ar"/>
              </w:rPr>
              <w:t>3</w:t>
            </w:r>
            <w:r>
              <w:rPr>
                <w:rFonts w:hint="eastAsia" w:ascii="宋体" w:hAnsi="宋体" w:eastAsia="宋体" w:cs="宋体"/>
                <w:b w:val="0"/>
                <w:color w:val="000000"/>
                <w:kern w:val="0"/>
                <w:sz w:val="24"/>
                <w:szCs w:val="21"/>
                <w:highlight w:val="none"/>
                <w:lang w:val="en-US" w:eastAsia="zh-CN" w:bidi="ar"/>
              </w:rPr>
              <w:t>分；</w:t>
            </w:r>
          </w:p>
          <w:p w14:paraId="645C990D">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highlight w:val="none"/>
                <w:lang w:val="en-US" w:eastAsia="zh-CN" w:bidi="ar"/>
              </w:rPr>
            </w:pPr>
            <w:r>
              <w:rPr>
                <w:rFonts w:hint="eastAsia" w:ascii="宋体" w:hAnsi="宋体" w:eastAsia="宋体" w:cs="宋体"/>
                <w:b w:val="0"/>
                <w:color w:val="000000"/>
                <w:kern w:val="0"/>
                <w:sz w:val="24"/>
                <w:szCs w:val="21"/>
                <w:highlight w:val="none"/>
                <w:lang w:val="en-US" w:eastAsia="zh-CN" w:bidi="ar"/>
              </w:rPr>
              <w:t>承诺在8小时内到达现场以及更换损坏件的得2分；</w:t>
            </w:r>
          </w:p>
          <w:p w14:paraId="6A640D2B">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highlight w:val="none"/>
                <w:lang w:val="en-US" w:eastAsia="zh-CN" w:bidi="ar"/>
              </w:rPr>
            </w:pPr>
            <w:r>
              <w:rPr>
                <w:rFonts w:hint="eastAsia" w:ascii="宋体" w:hAnsi="宋体" w:eastAsia="宋体" w:cs="宋体"/>
                <w:b w:val="0"/>
                <w:color w:val="000000"/>
                <w:kern w:val="0"/>
                <w:sz w:val="24"/>
                <w:szCs w:val="21"/>
                <w:highlight w:val="none"/>
                <w:lang w:val="en-US" w:eastAsia="zh-CN" w:bidi="ar"/>
              </w:rPr>
              <w:t>承诺在12小时内到达现场以及更换损坏件的得1分；</w:t>
            </w:r>
          </w:p>
          <w:p w14:paraId="42B25970">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eastAsia="宋体"/>
                <w:highlight w:val="none"/>
                <w:lang w:eastAsia="zh-CN"/>
              </w:rPr>
            </w:pPr>
            <w:r>
              <w:rPr>
                <w:rFonts w:hint="eastAsia" w:ascii="宋体" w:hAnsi="宋体" w:eastAsia="宋体" w:cs="宋体"/>
                <w:b w:val="0"/>
                <w:color w:val="000000"/>
                <w:kern w:val="0"/>
                <w:sz w:val="24"/>
                <w:szCs w:val="21"/>
                <w:highlight w:val="none"/>
                <w:lang w:val="en-US" w:eastAsia="zh-CN" w:bidi="ar"/>
              </w:rPr>
              <w:t>不提供承诺函的不得分。</w:t>
            </w:r>
          </w:p>
        </w:tc>
        <w:tc>
          <w:tcPr>
            <w:tcW w:w="1086" w:type="dxa"/>
            <w:tcBorders>
              <w:right w:val="single" w:color="auto" w:sz="12" w:space="0"/>
            </w:tcBorders>
            <w:noWrap w:val="0"/>
            <w:vAlign w:val="center"/>
          </w:tcPr>
          <w:p w14:paraId="01B06EE8">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highlight w:val="none"/>
                <w:lang w:val="en-US" w:eastAsia="zh-CN" w:bidi="ar"/>
              </w:rPr>
            </w:pPr>
            <w:r>
              <w:rPr>
                <w:rFonts w:hint="eastAsia" w:ascii="宋体" w:hAnsi="宋体" w:cs="宋体"/>
                <w:b w:val="0"/>
                <w:color w:val="000000"/>
                <w:kern w:val="0"/>
                <w:sz w:val="24"/>
                <w:szCs w:val="21"/>
                <w:highlight w:val="none"/>
                <w:lang w:val="en-US" w:eastAsia="zh-CN" w:bidi="ar"/>
              </w:rPr>
              <w:t>3</w:t>
            </w:r>
            <w:r>
              <w:rPr>
                <w:rFonts w:hint="eastAsia" w:ascii="宋体" w:hAnsi="宋体" w:eastAsia="宋体" w:cs="宋体"/>
                <w:b w:val="0"/>
                <w:color w:val="000000"/>
                <w:kern w:val="0"/>
                <w:sz w:val="24"/>
                <w:szCs w:val="21"/>
                <w:highlight w:val="none"/>
                <w:lang w:val="en-US" w:eastAsia="zh-CN" w:bidi="ar"/>
              </w:rPr>
              <w:t>分</w:t>
            </w:r>
          </w:p>
        </w:tc>
      </w:tr>
      <w:tr w14:paraId="10DB8A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trPr>
        <w:tc>
          <w:tcPr>
            <w:tcW w:w="9822" w:type="dxa"/>
            <w:gridSpan w:val="5"/>
            <w:tcBorders>
              <w:top w:val="single" w:color="auto" w:sz="4" w:space="0"/>
              <w:left w:val="single" w:color="auto" w:sz="12" w:space="0"/>
              <w:bottom w:val="single" w:color="auto" w:sz="4" w:space="0"/>
              <w:right w:val="single" w:color="auto" w:sz="12" w:space="0"/>
            </w:tcBorders>
            <w:noWrap w:val="0"/>
            <w:vAlign w:val="center"/>
          </w:tcPr>
          <w:p w14:paraId="12D663C8">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color w:val="000000"/>
                <w:kern w:val="0"/>
                <w:sz w:val="24"/>
                <w:szCs w:val="21"/>
                <w:lang w:bidi="ar"/>
              </w:rPr>
            </w:pPr>
            <w:r>
              <w:rPr>
                <w:rFonts w:hint="eastAsia" w:ascii="宋体" w:hAnsi="宋体" w:eastAsia="宋体" w:cs="宋体"/>
                <w:b w:val="0"/>
                <w:color w:val="000000"/>
                <w:kern w:val="0"/>
                <w:sz w:val="24"/>
                <w:szCs w:val="21"/>
                <w:lang w:bidi="ar"/>
              </w:rPr>
              <w:t>三、政策性加分（5分）</w:t>
            </w:r>
          </w:p>
        </w:tc>
      </w:tr>
      <w:tr w14:paraId="11B4C5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trPr>
        <w:tc>
          <w:tcPr>
            <w:tcW w:w="756" w:type="dxa"/>
            <w:tcBorders>
              <w:top w:val="single" w:color="auto" w:sz="4" w:space="0"/>
              <w:left w:val="single" w:color="auto" w:sz="12" w:space="0"/>
              <w:bottom w:val="single" w:color="auto" w:sz="4" w:space="0"/>
            </w:tcBorders>
            <w:noWrap w:val="0"/>
            <w:vAlign w:val="center"/>
          </w:tcPr>
          <w:p w14:paraId="142FC6E5">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sz w:val="24"/>
                <w:szCs w:val="21"/>
                <w:lang w:eastAsia="zh-CN"/>
              </w:rPr>
            </w:pPr>
            <w:r>
              <w:rPr>
                <w:rFonts w:hint="eastAsia" w:ascii="宋体" w:hAnsi="宋体" w:eastAsia="宋体" w:cs="宋体"/>
                <w:b w:val="0"/>
                <w:sz w:val="24"/>
                <w:szCs w:val="21"/>
                <w:lang w:val="en-US" w:eastAsia="zh-CN"/>
              </w:rPr>
              <w:t>7</w:t>
            </w:r>
          </w:p>
        </w:tc>
        <w:tc>
          <w:tcPr>
            <w:tcW w:w="1779" w:type="dxa"/>
            <w:noWrap w:val="0"/>
            <w:vAlign w:val="center"/>
          </w:tcPr>
          <w:p w14:paraId="3E87CC11">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sz w:val="24"/>
                <w:szCs w:val="21"/>
              </w:rPr>
            </w:pPr>
            <w:r>
              <w:rPr>
                <w:rFonts w:hint="eastAsia" w:ascii="宋体" w:hAnsi="宋体" w:eastAsia="宋体" w:cs="宋体"/>
                <w:b w:val="0"/>
                <w:color w:val="000000"/>
                <w:kern w:val="0"/>
                <w:sz w:val="24"/>
                <w:szCs w:val="21"/>
                <w:lang w:bidi="ar"/>
              </w:rPr>
              <w:t>节能或环保</w:t>
            </w:r>
          </w:p>
        </w:tc>
        <w:tc>
          <w:tcPr>
            <w:tcW w:w="6201" w:type="dxa"/>
            <w:gridSpan w:val="2"/>
            <w:noWrap w:val="0"/>
            <w:vAlign w:val="top"/>
          </w:tcPr>
          <w:p w14:paraId="69FD3B43">
            <w:pPr>
              <w:keepNext w:val="0"/>
              <w:keepLines w:val="0"/>
              <w:pageBreakBefore w:val="0"/>
              <w:kinsoku/>
              <w:wordWrap/>
              <w:overflowPunct/>
              <w:topLinePunct w:val="0"/>
              <w:autoSpaceDE/>
              <w:autoSpaceDN/>
              <w:bidi w:val="0"/>
              <w:spacing w:line="360" w:lineRule="exact"/>
              <w:ind w:left="0" w:leftChars="0" w:right="0" w:rightChars="0" w:firstLine="0" w:firstLineChars="0"/>
              <w:textAlignment w:val="auto"/>
              <w:rPr>
                <w:rFonts w:hint="eastAsia" w:ascii="宋体" w:hAnsi="宋体" w:eastAsia="宋体" w:cs="宋体"/>
                <w:b w:val="0"/>
                <w:sz w:val="24"/>
                <w:szCs w:val="21"/>
              </w:rPr>
            </w:pPr>
            <w:r>
              <w:rPr>
                <w:rFonts w:hint="eastAsia" w:ascii="宋体" w:hAnsi="宋体" w:eastAsia="宋体" w:cs="宋体"/>
                <w:b w:val="0"/>
                <w:color w:val="000000"/>
                <w:kern w:val="0"/>
                <w:sz w:val="24"/>
                <w:szCs w:val="21"/>
                <w:lang w:bidi="ar"/>
              </w:rPr>
              <w:t>所投产品属于“节能产品清单”或“环保产品清单”有效期内中的产品（强制采购产品除外），有一项得0.3分；所投产品同时属于“节能产品清单”和“环保产品清单”两个清单中产品的，每一项加0.5分，最高不超过2分。（提供入选节能产品清单或单入选环保产品清单电脑截图扫描件加盖公章）</w:t>
            </w:r>
          </w:p>
        </w:tc>
        <w:tc>
          <w:tcPr>
            <w:tcW w:w="1086" w:type="dxa"/>
            <w:tcBorders>
              <w:right w:val="single" w:color="auto" w:sz="12" w:space="0"/>
            </w:tcBorders>
            <w:noWrap w:val="0"/>
            <w:vAlign w:val="center"/>
          </w:tcPr>
          <w:p w14:paraId="0A0C065B">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sz w:val="24"/>
                <w:szCs w:val="21"/>
              </w:rPr>
            </w:pPr>
            <w:r>
              <w:rPr>
                <w:rFonts w:hint="eastAsia" w:ascii="宋体" w:hAnsi="宋体" w:eastAsia="宋体" w:cs="宋体"/>
                <w:b w:val="0"/>
                <w:sz w:val="24"/>
                <w:szCs w:val="21"/>
              </w:rPr>
              <w:t>2分</w:t>
            </w:r>
          </w:p>
        </w:tc>
      </w:tr>
      <w:tr w14:paraId="6D216D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trPr>
        <w:tc>
          <w:tcPr>
            <w:tcW w:w="756" w:type="dxa"/>
            <w:tcBorders>
              <w:top w:val="single" w:color="auto" w:sz="4" w:space="0"/>
              <w:left w:val="single" w:color="auto" w:sz="12" w:space="0"/>
              <w:bottom w:val="single" w:color="auto" w:sz="4" w:space="0"/>
            </w:tcBorders>
            <w:noWrap w:val="0"/>
            <w:vAlign w:val="center"/>
          </w:tcPr>
          <w:p w14:paraId="562AC07A">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sz w:val="24"/>
                <w:szCs w:val="21"/>
                <w:lang w:eastAsia="zh-CN"/>
              </w:rPr>
            </w:pPr>
            <w:r>
              <w:rPr>
                <w:rFonts w:hint="eastAsia" w:ascii="宋体" w:hAnsi="宋体" w:eastAsia="宋体" w:cs="宋体"/>
                <w:b w:val="0"/>
                <w:sz w:val="24"/>
                <w:szCs w:val="21"/>
                <w:lang w:val="en-US" w:eastAsia="zh-CN"/>
              </w:rPr>
              <w:t>8</w:t>
            </w:r>
          </w:p>
        </w:tc>
        <w:tc>
          <w:tcPr>
            <w:tcW w:w="1779" w:type="dxa"/>
            <w:noWrap w:val="0"/>
            <w:vAlign w:val="center"/>
          </w:tcPr>
          <w:p w14:paraId="484DE6C4">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sz w:val="24"/>
                <w:szCs w:val="21"/>
              </w:rPr>
            </w:pPr>
            <w:r>
              <w:rPr>
                <w:rFonts w:hint="eastAsia" w:ascii="宋体" w:hAnsi="宋体" w:eastAsia="宋体" w:cs="宋体"/>
                <w:b w:val="0"/>
                <w:sz w:val="24"/>
                <w:szCs w:val="21"/>
              </w:rPr>
              <w:t>少数民族自治区和享受少数民族自治待遇的省份的投标主产品</w:t>
            </w:r>
          </w:p>
        </w:tc>
        <w:tc>
          <w:tcPr>
            <w:tcW w:w="6201" w:type="dxa"/>
            <w:gridSpan w:val="2"/>
            <w:noWrap w:val="0"/>
            <w:vAlign w:val="top"/>
          </w:tcPr>
          <w:p w14:paraId="4BFCBDE9">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color w:val="000000"/>
                <w:kern w:val="0"/>
                <w:sz w:val="24"/>
                <w:szCs w:val="21"/>
                <w:lang w:bidi="ar"/>
              </w:rPr>
            </w:pPr>
            <w:r>
              <w:rPr>
                <w:rFonts w:hint="eastAsia" w:ascii="宋体" w:hAnsi="宋体" w:eastAsia="宋体" w:cs="宋体"/>
                <w:b w:val="0"/>
                <w:color w:val="000000"/>
                <w:kern w:val="0"/>
                <w:sz w:val="24"/>
                <w:szCs w:val="21"/>
                <w:lang w:bidi="ar"/>
              </w:rPr>
              <w:t>对原产地在少数民族自治区和享受少数民族自治待遇的省份的投标主产品（不含附带产品）得3分。（①少数民族自治区：内蒙古自治区、新疆维吾尔自治区、宁夏回族自治区、广西壮族自治区、西藏自治区；②享受少数民族自治待遇的省份：青海省、云南省、贵州省。）（提供所投产品享受少数民族自治待遇省份相关证明材料复印件加盖公章）</w:t>
            </w:r>
          </w:p>
          <w:p w14:paraId="3914E837">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left"/>
              <w:textAlignment w:val="auto"/>
              <w:rPr>
                <w:rFonts w:hint="eastAsia" w:ascii="宋体" w:hAnsi="宋体" w:eastAsia="宋体" w:cs="宋体"/>
                <w:b w:val="0"/>
                <w:sz w:val="24"/>
                <w:szCs w:val="21"/>
              </w:rPr>
            </w:pPr>
            <w:r>
              <w:rPr>
                <w:rFonts w:hint="eastAsia" w:ascii="宋体" w:hAnsi="宋体" w:eastAsia="宋体" w:cs="宋体"/>
                <w:b w:val="0"/>
                <w:color w:val="000000"/>
                <w:kern w:val="0"/>
                <w:sz w:val="24"/>
                <w:szCs w:val="21"/>
                <w:lang w:bidi="ar"/>
              </w:rPr>
              <w:t>注：投标主产品按照不得低于本采购项目预算金额50%加以确定</w:t>
            </w:r>
            <w:r>
              <w:rPr>
                <w:rFonts w:hint="eastAsia" w:ascii="宋体" w:hAnsi="宋体" w:eastAsia="宋体" w:cs="宋体"/>
                <w:b w:val="0"/>
                <w:sz w:val="24"/>
                <w:szCs w:val="21"/>
              </w:rPr>
              <w:t>。</w:t>
            </w:r>
          </w:p>
        </w:tc>
        <w:tc>
          <w:tcPr>
            <w:tcW w:w="1086" w:type="dxa"/>
            <w:tcBorders>
              <w:right w:val="single" w:color="auto" w:sz="12" w:space="0"/>
            </w:tcBorders>
            <w:noWrap w:val="0"/>
            <w:vAlign w:val="center"/>
          </w:tcPr>
          <w:p w14:paraId="52BA60A6">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sz w:val="24"/>
                <w:szCs w:val="21"/>
              </w:rPr>
            </w:pPr>
            <w:r>
              <w:rPr>
                <w:rFonts w:hint="eastAsia" w:ascii="宋体" w:hAnsi="宋体" w:eastAsia="宋体" w:cs="宋体"/>
                <w:b w:val="0"/>
                <w:sz w:val="24"/>
                <w:szCs w:val="21"/>
              </w:rPr>
              <w:t>3分</w:t>
            </w:r>
          </w:p>
        </w:tc>
      </w:tr>
      <w:tr w14:paraId="21299E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atLeast"/>
        </w:trPr>
        <w:tc>
          <w:tcPr>
            <w:tcW w:w="8736" w:type="dxa"/>
            <w:gridSpan w:val="4"/>
            <w:tcBorders>
              <w:left w:val="single" w:color="auto" w:sz="12" w:space="0"/>
              <w:bottom w:val="single" w:color="auto" w:sz="12" w:space="0"/>
            </w:tcBorders>
            <w:noWrap w:val="0"/>
            <w:vAlign w:val="center"/>
          </w:tcPr>
          <w:p w14:paraId="4F3362EB">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sz w:val="24"/>
                <w:szCs w:val="21"/>
              </w:rPr>
            </w:pPr>
            <w:r>
              <w:rPr>
                <w:rFonts w:hint="eastAsia" w:ascii="宋体" w:hAnsi="宋体" w:eastAsia="宋体" w:cs="宋体"/>
                <w:b w:val="0"/>
                <w:sz w:val="24"/>
                <w:szCs w:val="21"/>
              </w:rPr>
              <w:t>合计</w:t>
            </w:r>
          </w:p>
        </w:tc>
        <w:tc>
          <w:tcPr>
            <w:tcW w:w="1086" w:type="dxa"/>
            <w:tcBorders>
              <w:bottom w:val="single" w:color="auto" w:sz="12" w:space="0"/>
              <w:right w:val="single" w:color="auto" w:sz="12" w:space="0"/>
            </w:tcBorders>
            <w:noWrap w:val="0"/>
            <w:vAlign w:val="center"/>
          </w:tcPr>
          <w:p w14:paraId="40E181A3">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b w:val="0"/>
                <w:sz w:val="24"/>
                <w:szCs w:val="21"/>
              </w:rPr>
            </w:pPr>
            <w:r>
              <w:rPr>
                <w:rFonts w:hint="eastAsia" w:ascii="宋体" w:hAnsi="宋体" w:eastAsia="宋体" w:cs="宋体"/>
                <w:b w:val="0"/>
                <w:sz w:val="24"/>
                <w:szCs w:val="21"/>
              </w:rPr>
              <w:t>105分</w:t>
            </w:r>
          </w:p>
        </w:tc>
      </w:tr>
    </w:tbl>
    <w:p w14:paraId="06C1E31E">
      <w:pPr>
        <w:pStyle w:val="6"/>
        <w:spacing w:before="78" w:line="242" w:lineRule="auto"/>
        <w:ind w:left="120" w:right="148"/>
        <w:rPr>
          <w:sz w:val="24"/>
          <w:szCs w:val="24"/>
        </w:rPr>
      </w:pPr>
      <w:r>
        <w:rPr>
          <w:b/>
          <w:bCs/>
          <w:spacing w:val="-2"/>
          <w:sz w:val="24"/>
          <w:szCs w:val="24"/>
        </w:rPr>
        <w:t>注：投标人需根据所投产品如实填写，若中标后发现所投产品不满足招标文件要求，采购人及采购代理机构依法向投</w:t>
      </w:r>
      <w:r>
        <w:rPr>
          <w:spacing w:val="6"/>
          <w:sz w:val="24"/>
          <w:szCs w:val="24"/>
        </w:rPr>
        <w:t xml:space="preserve"> </w:t>
      </w:r>
      <w:r>
        <w:rPr>
          <w:b/>
          <w:bCs/>
          <w:spacing w:val="-3"/>
          <w:sz w:val="24"/>
          <w:szCs w:val="24"/>
        </w:rPr>
        <w:t>标人追究相关法律责任及经济责任等。</w:t>
      </w:r>
    </w:p>
    <w:p w14:paraId="7D43821D">
      <w:pPr>
        <w:rPr>
          <w:rFonts w:hint="eastAsia"/>
          <w:lang w:eastAsia="zh-CN"/>
        </w:rPr>
        <w:sectPr>
          <w:pgSz w:w="11906" w:h="16838"/>
          <w:pgMar w:top="1440" w:right="1080" w:bottom="1440" w:left="1080" w:header="851" w:footer="992" w:gutter="0"/>
          <w:pgNumType w:fmt="decimal"/>
          <w:cols w:space="425" w:num="1"/>
          <w:docGrid w:type="lines" w:linePitch="312" w:charSpace="0"/>
        </w:sectPr>
      </w:pPr>
    </w:p>
    <w:p w14:paraId="46B4E6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（三）评审总得分计算方法：</w:t>
      </w:r>
    </w:p>
    <w:p w14:paraId="037950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评审总得分=F1+F2+F3+……+Fn</w:t>
      </w:r>
    </w:p>
    <w:p w14:paraId="3779C4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F1、F2、……Fn分别为各项评审因素的汇总</w:t>
      </w:r>
      <w:r>
        <w:rPr>
          <w:rFonts w:hint="eastAsia" w:ascii="宋体" w:hAnsi="宋体" w:cs="宋体"/>
          <w:sz w:val="24"/>
          <w:szCs w:val="24"/>
          <w:lang w:eastAsia="zh-CN"/>
        </w:rPr>
        <w:t>平均</w:t>
      </w:r>
      <w:r>
        <w:rPr>
          <w:rFonts w:hint="eastAsia" w:ascii="宋体" w:hAnsi="宋体" w:eastAsia="宋体" w:cs="宋体"/>
          <w:sz w:val="24"/>
          <w:szCs w:val="24"/>
        </w:rPr>
        <w:t>得分。评审总得分为评标委员会评审得分总和的平均分。</w:t>
      </w:r>
    </w:p>
    <w:p w14:paraId="6CE9AB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p w14:paraId="7A4BAD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因落实政府采购政策进行价格调整的，以调整后的价格计算评审基准价和投标报价，调整办法见招标文件第四章。</w:t>
      </w:r>
    </w:p>
    <w:p w14:paraId="303A2C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（四）排序原则：按评审总得分由高到低顺序排列。评审总得分相同的，按投标报价由低到高顺序排列，评审总得分投标报价相同的，按技术参数优劣排列。</w:t>
      </w:r>
    </w:p>
    <w:p w14:paraId="70215D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中标原则：采购人应当自收到评标报告之日起5个工作日内，在评标报告确定的中标候选人名单中按顺序确定中标人。中标候选人并列的，由采购人或者采购人委托评标委员会按照招标文件规定的方式确定中标人。采购人在收到评标报告5个工作日内未按评标报告推荐的中标候选人顺序确定中标人，又不能说明合法理由的，视同按评标报告推荐的顺序确定排名第一的中标候选人为中标人。</w:t>
      </w:r>
    </w:p>
    <w:p w14:paraId="2BE991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1）投标人提供的所有产品均为节能产品时，需提供对应财政部、发展改革委、生态环境部等部门发布的品目清单，确定实施政府优先采购和强制采购的产品类别及所依据的相关标准规范，根据产品节能环保性能、技术水平和市场成熟程度等因素进行评审。</w:t>
      </w:r>
    </w:p>
    <w:p w14:paraId="4C1C192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提供的所有产品均为环境标志产品时，需提供对应财政部、发展改革委、生态环境部等部门发布的品目清单，确定实施政府优先采购和强制采购的产品类别及所依据的相关标准规范，根据产品节能环保性能、技术水平和市场成熟程度等因素进行评审。</w:t>
      </w:r>
    </w:p>
    <w:p w14:paraId="442369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2336" behindDoc="0" locked="0" layoutInCell="0" allowOverlap="1">
            <wp:simplePos x="0" y="0"/>
            <wp:positionH relativeFrom="page">
              <wp:posOffset>685800</wp:posOffset>
            </wp:positionH>
            <wp:positionV relativeFrom="page">
              <wp:posOffset>826770</wp:posOffset>
            </wp:positionV>
            <wp:extent cx="6189345" cy="8890"/>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68"/>
                    <a:stretch>
                      <a:fillRect/>
                    </a:stretch>
                  </pic:blipFill>
                  <pic:spPr>
                    <a:xfrm>
                      <a:off x="0" y="0"/>
                      <a:ext cx="6189344" cy="9143"/>
                    </a:xfrm>
                    <a:prstGeom prst="rect">
                      <a:avLst/>
                    </a:prstGeom>
                  </pic:spPr>
                </pic:pic>
              </a:graphicData>
            </a:graphic>
          </wp:anchor>
        </w:drawing>
      </w:r>
      <w:r>
        <w:rPr>
          <w:rFonts w:hint="eastAsia" w:ascii="宋体" w:hAnsi="宋体" w:eastAsia="宋体" w:cs="宋体"/>
          <w:sz w:val="24"/>
          <w:szCs w:val="24"/>
        </w:rPr>
        <w:t>三、评审原则及评审纪律</w:t>
      </w:r>
    </w:p>
    <w:p w14:paraId="256C27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1、评审工作由采购代理机构组织的评标委员会进行，评标委员会由技术、经济等方面评审专家（贵州省综合专家库随机抽取专家）</w:t>
      </w:r>
      <w:r>
        <w:rPr>
          <w:rFonts w:hint="eastAsia" w:ascii="宋体" w:hAnsi="宋体" w:eastAsia="宋体" w:cs="宋体"/>
          <w:sz w:val="24"/>
          <w:szCs w:val="24"/>
          <w:lang w:val="en-US" w:eastAsia="zh-CN"/>
        </w:rPr>
        <w:t>4</w:t>
      </w:r>
      <w:r>
        <w:rPr>
          <w:rFonts w:hint="eastAsia" w:ascii="宋体" w:hAnsi="宋体" w:eastAsia="宋体" w:cs="宋体"/>
          <w:sz w:val="24"/>
          <w:szCs w:val="24"/>
        </w:rPr>
        <w:t>人和采购人代表</w:t>
      </w:r>
      <w:r>
        <w:rPr>
          <w:rFonts w:hint="eastAsia" w:ascii="宋体" w:hAnsi="宋体" w:eastAsia="宋体" w:cs="宋体"/>
          <w:sz w:val="24"/>
          <w:szCs w:val="24"/>
          <w:lang w:val="en-US" w:eastAsia="zh-CN"/>
        </w:rPr>
        <w:t>1</w:t>
      </w:r>
      <w:r>
        <w:rPr>
          <w:rFonts w:hint="eastAsia" w:ascii="宋体" w:hAnsi="宋体" w:eastAsia="宋体" w:cs="宋体"/>
          <w:sz w:val="24"/>
          <w:szCs w:val="24"/>
        </w:rPr>
        <w:t>人组成。</w:t>
      </w:r>
    </w:p>
    <w:p w14:paraId="15B5F1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标委员会及有关人员应严格遵守国家有关法律、法令，公正廉洁，不徇私情，应当客观、公正地履行职务、遵守职业道德，不得有损害国家和企业利益的行为，如有发生，将追究法律责任。评审期间，评标委员会必须严格遵守招标工作纪律和保密的规定，不得以任何形式，将评标情况和投标情况透露给与投标有关的单位和个人；如有违反，将按照有关法律、法规的规定进行处理。从开标之日起，至《中标通知书》发出之日止，任何投标人不得与评标委员会、采购人及有关评标委员会私下接触或联系。投标人企图影响评审的任何活动或采用不正当手段骗取中标的，中标无效，并将依照《中华人民共和国政府采购法》、《政府采购货物服务招标投标管理办法》及有关法规进行处理。</w:t>
      </w:r>
    </w:p>
    <w:p w14:paraId="37D651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3、评审的依据是招标文件的规定和要求，以及投标文件和经评标委员会审核的投标文件的补充资料，而不是其他任何资料。</w:t>
      </w:r>
    </w:p>
    <w:p w14:paraId="0FE1B5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4、评标委员会有权要求投标人对投标文件中不明确的地方作出解释和澄清，并用书面方式予以确认。澄清后满足要求的，按有效投标文件接收。但不允许对技术、商务、价格等实质性内容进行修改。</w:t>
      </w:r>
    </w:p>
    <w:p w14:paraId="3E0A0F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5、评标委员会按照《政府采购货物服务招标投标管理办法》及相关规定。并按照招标文件中规定的评标办法进行评审，评标委员会根据评标结果确定中标候选人。</w:t>
      </w:r>
    </w:p>
    <w:p w14:paraId="31A808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6、评标委员会对本人的评标结果负责，并在《评标报告》上签名确认。</w:t>
      </w:r>
    </w:p>
    <w:p w14:paraId="176269A7">
      <w:pPr>
        <w:rPr>
          <w:rFonts w:hint="eastAsia"/>
          <w:lang w:eastAsia="zh-CN"/>
        </w:rPr>
        <w:sectPr>
          <w:headerReference r:id="rId17" w:type="default"/>
          <w:footerReference r:id="rId18" w:type="default"/>
          <w:pgSz w:w="11906" w:h="16838"/>
          <w:pgMar w:top="1440" w:right="1080" w:bottom="1440" w:left="1080" w:header="851" w:footer="992" w:gutter="0"/>
          <w:pgNumType w:fmt="decimal"/>
          <w:cols w:space="425" w:num="1"/>
          <w:docGrid w:type="lines" w:linePitch="312" w:charSpace="0"/>
        </w:sectPr>
      </w:pPr>
    </w:p>
    <w:p w14:paraId="2DC38AAD">
      <w:pPr>
        <w:pStyle w:val="6"/>
        <w:spacing w:before="100" w:line="224" w:lineRule="auto"/>
        <w:ind w:left="3240"/>
        <w:outlineLvl w:val="0"/>
        <w:rPr>
          <w:sz w:val="31"/>
          <w:szCs w:val="31"/>
        </w:rPr>
      </w:pPr>
      <w:bookmarkStart w:id="33" w:name="_Toc19837"/>
      <w:r>
        <w:rPr>
          <w:b/>
          <w:bCs/>
          <w:spacing w:val="6"/>
          <w:sz w:val="31"/>
          <w:szCs w:val="31"/>
        </w:rPr>
        <w:t>第十二章</w:t>
      </w:r>
      <w:r>
        <w:rPr>
          <w:spacing w:val="6"/>
          <w:sz w:val="31"/>
          <w:szCs w:val="31"/>
        </w:rPr>
        <w:t xml:space="preserve"> </w:t>
      </w:r>
      <w:r>
        <w:rPr>
          <w:b/>
          <w:bCs/>
          <w:spacing w:val="6"/>
          <w:sz w:val="31"/>
          <w:szCs w:val="31"/>
        </w:rPr>
        <w:t>投标有效期</w:t>
      </w:r>
      <w:bookmarkEnd w:id="33"/>
    </w:p>
    <w:p w14:paraId="526910EF">
      <w:pPr>
        <w:pStyle w:val="6"/>
        <w:spacing w:before="24" w:line="219" w:lineRule="auto"/>
        <w:ind w:left="22" w:firstLine="468" w:firstLineChars="200"/>
        <w:rPr>
          <w:spacing w:val="-4"/>
          <w:sz w:val="24"/>
          <w:szCs w:val="24"/>
        </w:rPr>
        <w:sectPr>
          <w:pgSz w:w="11906" w:h="16838"/>
          <w:pgMar w:top="1440" w:right="1080" w:bottom="1440" w:left="1080" w:header="851" w:footer="992" w:gutter="0"/>
          <w:pgNumType w:fmt="decimal"/>
          <w:cols w:space="425" w:num="1"/>
          <w:docGrid w:type="lines" w:linePitch="312" w:charSpace="0"/>
        </w:sectPr>
      </w:pPr>
      <w:r>
        <w:rPr>
          <w:spacing w:val="-3"/>
          <w:sz w:val="24"/>
          <w:szCs w:val="24"/>
        </w:rPr>
        <w:t>一、本项目投标有效期为 90</w:t>
      </w:r>
      <w:r>
        <w:rPr>
          <w:spacing w:val="51"/>
          <w:sz w:val="24"/>
          <w:szCs w:val="24"/>
        </w:rPr>
        <w:t xml:space="preserve"> </w:t>
      </w:r>
      <w:r>
        <w:rPr>
          <w:spacing w:val="-3"/>
          <w:sz w:val="24"/>
          <w:szCs w:val="24"/>
        </w:rPr>
        <w:t>日历天，投标</w:t>
      </w:r>
      <w:r>
        <w:rPr>
          <w:spacing w:val="-4"/>
          <w:sz w:val="24"/>
          <w:szCs w:val="24"/>
        </w:rPr>
        <w:t>保证金有效期为 90日历天。</w:t>
      </w:r>
    </w:p>
    <w:p w14:paraId="1A9264C6">
      <w:pPr>
        <w:pStyle w:val="6"/>
        <w:spacing w:before="101" w:line="224" w:lineRule="auto"/>
        <w:ind w:left="2039"/>
        <w:outlineLvl w:val="0"/>
        <w:rPr>
          <w:sz w:val="31"/>
          <w:szCs w:val="31"/>
        </w:rPr>
      </w:pPr>
      <w:bookmarkStart w:id="34" w:name="_Toc3211"/>
      <w:r>
        <w:rPr>
          <w:b/>
          <w:bCs/>
          <w:spacing w:val="6"/>
          <w:sz w:val="31"/>
          <w:szCs w:val="31"/>
        </w:rPr>
        <w:t>第十三章</w:t>
      </w:r>
      <w:r>
        <w:rPr>
          <w:spacing w:val="-21"/>
          <w:sz w:val="31"/>
          <w:szCs w:val="31"/>
        </w:rPr>
        <w:t xml:space="preserve"> </w:t>
      </w:r>
      <w:r>
        <w:rPr>
          <w:b/>
          <w:bCs/>
          <w:spacing w:val="6"/>
          <w:sz w:val="31"/>
          <w:szCs w:val="31"/>
        </w:rPr>
        <w:t>投标截止时间、开标时间及地点</w:t>
      </w:r>
      <w:bookmarkEnd w:id="34"/>
    </w:p>
    <w:p w14:paraId="3634D021">
      <w:pPr>
        <w:spacing w:line="244" w:lineRule="auto"/>
        <w:rPr>
          <w:rFonts w:ascii="Arial"/>
          <w:sz w:val="21"/>
        </w:rPr>
      </w:pPr>
    </w:p>
    <w:p w14:paraId="1F6CB7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一、投标截止时间：2025年0</w:t>
      </w:r>
      <w:r>
        <w:rPr>
          <w:rFonts w:hint="eastAsia"/>
          <w:sz w:val="24"/>
          <w:szCs w:val="24"/>
          <w:lang w:val="en-US" w:eastAsia="zh-CN"/>
        </w:rPr>
        <w:t>7</w:t>
      </w:r>
      <w:r>
        <w:rPr>
          <w:sz w:val="24"/>
          <w:szCs w:val="24"/>
        </w:rPr>
        <w:t>月</w:t>
      </w:r>
      <w:r>
        <w:rPr>
          <w:rFonts w:hint="eastAsia"/>
          <w:sz w:val="24"/>
          <w:szCs w:val="24"/>
          <w:lang w:val="en-US" w:eastAsia="zh-CN"/>
        </w:rPr>
        <w:t xml:space="preserve">  </w:t>
      </w:r>
      <w:r>
        <w:rPr>
          <w:sz w:val="24"/>
          <w:szCs w:val="24"/>
        </w:rPr>
        <w:t>日上午09时30分。</w:t>
      </w:r>
    </w:p>
    <w:p w14:paraId="717F00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二、开标时间：2025年0</w:t>
      </w:r>
      <w:r>
        <w:rPr>
          <w:rFonts w:hint="eastAsia"/>
          <w:sz w:val="24"/>
          <w:szCs w:val="24"/>
          <w:lang w:val="en-US" w:eastAsia="zh-CN"/>
        </w:rPr>
        <w:t>7</w:t>
      </w:r>
      <w:r>
        <w:rPr>
          <w:sz w:val="24"/>
          <w:szCs w:val="24"/>
        </w:rPr>
        <w:t>月</w:t>
      </w:r>
      <w:r>
        <w:rPr>
          <w:rFonts w:hint="eastAsia"/>
          <w:sz w:val="24"/>
          <w:szCs w:val="24"/>
          <w:lang w:val="en-US" w:eastAsia="zh-CN"/>
        </w:rPr>
        <w:t xml:space="preserve">  </w:t>
      </w:r>
      <w:r>
        <w:rPr>
          <w:sz w:val="24"/>
          <w:szCs w:val="24"/>
        </w:rPr>
        <w:t>日上午09时30分准时开标，</w:t>
      </w:r>
    </w:p>
    <w:p w14:paraId="23DAFF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三、开标地点：投标单位需在加密电子投标文件上传截至时间前使用《贵州六盘水市公共资源交易平台投标文件制作工具》制作加密电子投标文件上传至六盘水市公共资源交易平台。加密电子投标文件如未上传至交易平台，投标人将无法参与开标解密环节。（注：各投标企业自行在40分钟内远程解密投标文件，超过时限的按无效标处理；解密完成后投标人自行对开标记录表在文字互动处回复确认，未提出异议的，视为无异议，认可开标结果。如开标过</w:t>
      </w:r>
      <w:bookmarkStart w:id="35" w:name="bookmark15"/>
      <w:bookmarkEnd w:id="35"/>
      <w:r>
        <w:rPr>
          <w:sz w:val="24"/>
          <w:szCs w:val="24"/>
        </w:rPr>
        <w:t>程中存在问题，请及时联系代理机构）。</w:t>
      </w:r>
    </w:p>
    <w:p w14:paraId="0C377696">
      <w:pPr>
        <w:pStyle w:val="6"/>
        <w:spacing w:before="24" w:line="219" w:lineRule="auto"/>
        <w:ind w:left="22" w:firstLine="464" w:firstLineChars="200"/>
        <w:rPr>
          <w:spacing w:val="-4"/>
          <w:sz w:val="24"/>
          <w:szCs w:val="24"/>
        </w:rPr>
        <w:sectPr>
          <w:pgSz w:w="11906" w:h="16838"/>
          <w:pgMar w:top="1440" w:right="1080" w:bottom="1440" w:left="1080" w:header="851" w:footer="992" w:gutter="0"/>
          <w:pgNumType w:fmt="decimal"/>
          <w:cols w:space="425" w:num="1"/>
          <w:docGrid w:type="lines" w:linePitch="312" w:charSpace="0"/>
        </w:sectPr>
      </w:pPr>
    </w:p>
    <w:p w14:paraId="3B1E8703">
      <w:pPr>
        <w:pStyle w:val="6"/>
        <w:spacing w:before="24" w:line="219" w:lineRule="auto"/>
        <w:ind w:left="22" w:firstLine="464" w:firstLineChars="200"/>
        <w:rPr>
          <w:spacing w:val="-4"/>
          <w:sz w:val="24"/>
          <w:szCs w:val="24"/>
        </w:rPr>
      </w:pPr>
    </w:p>
    <w:p w14:paraId="19FF52A6">
      <w:pPr>
        <w:pStyle w:val="3"/>
        <w:bidi w:val="0"/>
        <w:spacing w:line="240" w:lineRule="auto"/>
        <w:jc w:val="center"/>
        <w:rPr>
          <w:rFonts w:ascii="Arial"/>
          <w:sz w:val="21"/>
        </w:rPr>
      </w:pPr>
      <w:bookmarkStart w:id="36" w:name="_Toc25726"/>
      <w:bookmarkStart w:id="37" w:name="_Toc24766"/>
      <w:r>
        <w:t>第十四章采购代理机构代理费用的收取标准和方式</w:t>
      </w:r>
      <w:bookmarkEnd w:id="36"/>
      <w:bookmarkEnd w:id="37"/>
    </w:p>
    <w:p w14:paraId="390A5CC7">
      <w:pPr>
        <w:keepNext w:val="0"/>
        <w:keepLines w:val="0"/>
        <w:pageBreakBefore w:val="0"/>
        <w:widowControl w:val="0"/>
        <w:kinsoku/>
        <w:wordWrap/>
        <w:overflowPunct/>
        <w:topLinePunct w:val="0"/>
        <w:autoSpaceDE/>
        <w:autoSpaceDN/>
        <w:bidi w:val="0"/>
        <w:adjustRightInd/>
        <w:snapToGrid/>
        <w:spacing w:before="69" w:line="360" w:lineRule="auto"/>
        <w:ind w:left="35" w:right="151" w:firstLine="408" w:firstLineChars="200"/>
        <w:textAlignment w:val="auto"/>
        <w:rPr>
          <w:rFonts w:ascii="宋体" w:hAnsi="宋体" w:eastAsia="宋体" w:cs="宋体"/>
          <w:sz w:val="24"/>
          <w:szCs w:val="24"/>
        </w:rPr>
      </w:pPr>
      <w:r>
        <w:rPr>
          <w:rFonts w:ascii="宋体" w:hAnsi="宋体" w:eastAsia="宋体" w:cs="宋体"/>
          <w:spacing w:val="-18"/>
          <w:sz w:val="24"/>
          <w:szCs w:val="24"/>
        </w:rPr>
        <w:t>1.采购</w:t>
      </w:r>
      <w:r>
        <w:rPr>
          <w:rFonts w:ascii="宋体" w:hAnsi="宋体" w:eastAsia="宋体" w:cs="宋体"/>
          <w:spacing w:val="-16"/>
          <w:sz w:val="24"/>
          <w:szCs w:val="24"/>
        </w:rPr>
        <w:t>代</w:t>
      </w:r>
      <w:r>
        <w:rPr>
          <w:rFonts w:ascii="宋体" w:hAnsi="宋体" w:eastAsia="宋体" w:cs="宋体"/>
          <w:spacing w:val="-9"/>
          <w:sz w:val="24"/>
          <w:szCs w:val="24"/>
        </w:rPr>
        <w:t>理机构费用的收费金额：</w:t>
      </w:r>
      <w:r>
        <w:rPr>
          <w:rFonts w:hint="eastAsia" w:ascii="宋体" w:hAnsi="宋体" w:cs="宋体"/>
          <w:spacing w:val="-9"/>
          <w:sz w:val="24"/>
          <w:szCs w:val="24"/>
          <w:lang w:val="en-US" w:eastAsia="zh-CN"/>
        </w:rPr>
        <w:t>28500.00元</w:t>
      </w:r>
      <w:r>
        <w:rPr>
          <w:rFonts w:ascii="宋体" w:hAnsi="宋体" w:eastAsia="宋体" w:cs="宋体"/>
          <w:spacing w:val="-13"/>
          <w:sz w:val="24"/>
          <w:szCs w:val="24"/>
        </w:rPr>
        <w:t>。</w:t>
      </w:r>
    </w:p>
    <w:p w14:paraId="4A5FA16C">
      <w:pPr>
        <w:keepNext w:val="0"/>
        <w:keepLines w:val="0"/>
        <w:pageBreakBefore w:val="0"/>
        <w:widowControl w:val="0"/>
        <w:kinsoku/>
        <w:wordWrap/>
        <w:overflowPunct/>
        <w:topLinePunct w:val="0"/>
        <w:autoSpaceDE/>
        <w:autoSpaceDN/>
        <w:bidi w:val="0"/>
        <w:adjustRightInd/>
        <w:snapToGrid/>
        <w:spacing w:before="2" w:line="358" w:lineRule="auto"/>
        <w:ind w:left="37" w:right="67" w:firstLine="476" w:firstLineChars="200"/>
        <w:textAlignment w:val="auto"/>
        <w:rPr>
          <w:rFonts w:ascii="宋体" w:hAnsi="宋体" w:eastAsia="宋体" w:cs="宋体"/>
          <w:sz w:val="24"/>
          <w:szCs w:val="24"/>
        </w:rPr>
      </w:pPr>
      <w:r>
        <w:rPr>
          <w:rFonts w:ascii="宋体" w:hAnsi="宋体" w:eastAsia="宋体" w:cs="宋体"/>
          <w:spacing w:val="-1"/>
          <w:sz w:val="24"/>
          <w:szCs w:val="24"/>
        </w:rPr>
        <w:t>2.采购</w:t>
      </w:r>
      <w:r>
        <w:rPr>
          <w:rFonts w:ascii="宋体" w:hAnsi="宋体" w:eastAsia="宋体" w:cs="宋体"/>
          <w:sz w:val="24"/>
          <w:szCs w:val="24"/>
        </w:rPr>
        <w:t>代理机构费用的收取方式：中标人领取中标通知书之前，以转账或现金方式向采购代理机构</w:t>
      </w:r>
      <w:r>
        <w:rPr>
          <w:rFonts w:ascii="宋体" w:hAnsi="宋体" w:eastAsia="宋体" w:cs="宋体"/>
          <w:spacing w:val="-2"/>
          <w:sz w:val="24"/>
          <w:szCs w:val="24"/>
        </w:rPr>
        <w:t>一次性全额支付</w:t>
      </w:r>
      <w:r>
        <w:rPr>
          <w:rFonts w:hint="eastAsia" w:ascii="宋体" w:hAnsi="宋体" w:eastAsia="宋体" w:cs="宋体"/>
          <w:spacing w:val="-2"/>
          <w:sz w:val="24"/>
          <w:szCs w:val="24"/>
          <w:lang w:eastAsia="zh-CN"/>
        </w:rPr>
        <w:t>中标</w:t>
      </w:r>
      <w:r>
        <w:rPr>
          <w:rFonts w:ascii="宋体" w:hAnsi="宋体" w:eastAsia="宋体" w:cs="宋体"/>
          <w:spacing w:val="-2"/>
          <w:sz w:val="24"/>
          <w:szCs w:val="24"/>
        </w:rPr>
        <w:t>服</w:t>
      </w:r>
      <w:r>
        <w:rPr>
          <w:rFonts w:ascii="宋体" w:hAnsi="宋体" w:eastAsia="宋体" w:cs="宋体"/>
          <w:spacing w:val="-1"/>
          <w:sz w:val="24"/>
          <w:szCs w:val="24"/>
        </w:rPr>
        <w:t>务费。</w:t>
      </w:r>
    </w:p>
    <w:p w14:paraId="226F64C9">
      <w:pPr>
        <w:spacing w:line="247" w:lineRule="auto"/>
        <w:rPr>
          <w:rFonts w:ascii="Arial"/>
          <w:sz w:val="21"/>
        </w:rPr>
      </w:pPr>
    </w:p>
    <w:p w14:paraId="30A28255">
      <w:pPr>
        <w:pStyle w:val="3"/>
        <w:bidi w:val="0"/>
        <w:spacing w:line="240" w:lineRule="auto"/>
        <w:jc w:val="center"/>
        <w:sectPr>
          <w:pgSz w:w="11906" w:h="16838"/>
          <w:pgMar w:top="1440" w:right="1080" w:bottom="1440" w:left="1080" w:header="851" w:footer="992" w:gutter="0"/>
          <w:pgNumType w:fmt="decimal"/>
          <w:cols w:space="425" w:num="1"/>
          <w:docGrid w:type="lines" w:linePitch="312" w:charSpace="0"/>
        </w:sectPr>
      </w:pPr>
      <w:bookmarkStart w:id="38" w:name="_bookmark20"/>
      <w:bookmarkEnd w:id="38"/>
      <w:bookmarkStart w:id="39" w:name="_Toc3034"/>
    </w:p>
    <w:p w14:paraId="620F67C3">
      <w:pPr>
        <w:pStyle w:val="3"/>
        <w:bidi w:val="0"/>
        <w:spacing w:line="240" w:lineRule="auto"/>
        <w:jc w:val="center"/>
        <w:rPr>
          <w:rFonts w:hint="eastAsia"/>
        </w:rPr>
      </w:pPr>
      <w:bookmarkStart w:id="40" w:name="_Toc193"/>
      <w:r>
        <w:t>第十五章</w:t>
      </w:r>
      <w:bookmarkStart w:id="41" w:name="_Toc77153179"/>
      <w:r>
        <w:rPr>
          <w:rFonts w:hint="eastAsia"/>
        </w:rPr>
        <w:t>投标人信用信息查询渠道及截止时间地点、信用信息查询记录和证据留存的具体方式、信用信息的使用规则等</w:t>
      </w:r>
      <w:bookmarkEnd w:id="39"/>
      <w:bookmarkEnd w:id="40"/>
      <w:bookmarkEnd w:id="41"/>
    </w:p>
    <w:p w14:paraId="767B3773">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1.投标人信用信息查询渠道：信用中国网站，信用中国网址：（http://www.creditchina.gov.cn）</w:t>
      </w:r>
    </w:p>
    <w:p w14:paraId="4D3771A2">
      <w:pPr>
        <w:spacing w:line="360" w:lineRule="auto"/>
        <w:ind w:firstLine="480" w:firstLineChars="200"/>
        <w:rPr>
          <w:rFonts w:hint="eastAsia" w:ascii="宋体" w:hAnsi="宋体"/>
          <w:color w:val="000000"/>
          <w:sz w:val="24"/>
        </w:rPr>
      </w:pPr>
      <w:r>
        <w:rPr>
          <w:rFonts w:hint="eastAsia" w:ascii="宋体" w:hAnsi="宋体"/>
          <w:color w:val="000000"/>
          <w:sz w:val="24"/>
        </w:rPr>
        <w:t>2.投标人信用信息查询截止时点：招标公告发布后至投标截止时间前的任意时间。</w:t>
      </w:r>
    </w:p>
    <w:p w14:paraId="359304EA">
      <w:pPr>
        <w:spacing w:line="360" w:lineRule="auto"/>
        <w:ind w:firstLine="480" w:firstLineChars="200"/>
        <w:rPr>
          <w:rFonts w:hint="eastAsia" w:ascii="宋体" w:hAnsi="宋体"/>
          <w:color w:val="000000"/>
          <w:sz w:val="24"/>
        </w:rPr>
      </w:pPr>
      <w:r>
        <w:rPr>
          <w:rFonts w:hint="eastAsia" w:ascii="宋体" w:hAnsi="宋体"/>
          <w:color w:val="000000"/>
          <w:sz w:val="24"/>
        </w:rPr>
        <w:t>3.投标人信用信息查询记录和证据留存的具体方式：提供投标人在信用中国网站截图或网页打印件或信用报告复印件或扫描件，截图或网页打印件加盖投标人单位公章。</w:t>
      </w:r>
    </w:p>
    <w:p w14:paraId="215692EA">
      <w:pPr>
        <w:spacing w:line="360" w:lineRule="auto"/>
        <w:ind w:firstLine="480" w:firstLineChars="200"/>
        <w:rPr>
          <w:rFonts w:ascii="宋体" w:hAnsi="宋体" w:eastAsia="宋体" w:cs="宋体"/>
          <w:spacing w:val="15"/>
          <w:sz w:val="31"/>
          <w:szCs w:val="31"/>
        </w:rPr>
      </w:pPr>
      <w:r>
        <w:rPr>
          <w:rFonts w:hint="eastAsia" w:ascii="宋体" w:hAnsi="宋体"/>
          <w:color w:val="000000"/>
          <w:sz w:val="24"/>
        </w:rPr>
        <w:t>4.投标人信用信息的使用规则：投标人在信用中国网站受惩罚名单中未被列入禁止加参政府采购活动期间。</w:t>
      </w:r>
    </w:p>
    <w:p w14:paraId="3E841C3F">
      <w:pPr>
        <w:pStyle w:val="3"/>
        <w:bidi w:val="0"/>
        <w:spacing w:line="240" w:lineRule="auto"/>
        <w:jc w:val="center"/>
        <w:sectPr>
          <w:pgSz w:w="11906" w:h="16838"/>
          <w:pgMar w:top="1440" w:right="1080" w:bottom="1440" w:left="1080" w:header="851" w:footer="992" w:gutter="0"/>
          <w:pgNumType w:fmt="decimal"/>
          <w:cols w:space="425" w:num="1"/>
          <w:docGrid w:type="lines" w:linePitch="312" w:charSpace="0"/>
        </w:sectPr>
      </w:pPr>
      <w:bookmarkStart w:id="42" w:name="_Toc12653"/>
    </w:p>
    <w:p w14:paraId="76DD4785">
      <w:pPr>
        <w:pStyle w:val="3"/>
        <w:bidi w:val="0"/>
        <w:spacing w:line="240" w:lineRule="auto"/>
        <w:jc w:val="center"/>
        <w:rPr>
          <w:rFonts w:ascii="Arial"/>
          <w:sz w:val="21"/>
        </w:rPr>
      </w:pPr>
      <w:bookmarkStart w:id="43" w:name="_Toc6359"/>
      <w:r>
        <w:t>第十六章省级以上财政部门规定的其他事项</w:t>
      </w:r>
      <w:bookmarkEnd w:id="42"/>
      <w:bookmarkEnd w:id="43"/>
    </w:p>
    <w:p w14:paraId="2B774B1E">
      <w:pPr>
        <w:spacing w:line="245" w:lineRule="auto"/>
        <w:rPr>
          <w:rFonts w:ascii="Arial"/>
          <w:sz w:val="21"/>
        </w:rPr>
      </w:pPr>
    </w:p>
    <w:p w14:paraId="4A61C324">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1.《关于进一步落实政府采购有关问题的通知》(黔财采〔2014〕15号)规定的政府采购优惠政策。</w:t>
      </w:r>
    </w:p>
    <w:p w14:paraId="08283745">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节能产品：所投产品属于“节能产品清单”或“环保产品清单”有效期内中的产品(强制采购产品除外)，有一项得0.3分；所投产品同时属于“节能产品清单”和“环保产品清单”两个清单中产品的，每一项加0.5分，最高不超过2分。</w:t>
      </w:r>
    </w:p>
    <w:p w14:paraId="593C45F9">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对原产地在少数民族自治区和享受少数民族自治待遇的省份(享受少数民族自治待遇的省份为云南、贵州、青海)的响应主产品(不含附带产品)，享受政策性加分，在总得分基础上加3分。响应主产品按照不得低于本采购项目预算金的50%加以确定，若实行分品目采购的，可以以品目为单位计算。</w:t>
      </w:r>
    </w:p>
    <w:p w14:paraId="4281F03E">
      <w:pPr>
        <w:keepNext w:val="0"/>
        <w:keepLines w:val="0"/>
        <w:pageBreakBefore w:val="0"/>
        <w:wordWrap/>
        <w:overflowPunct/>
        <w:topLinePunct w:val="0"/>
        <w:bidi w:val="0"/>
        <w:ind w:firstLine="480" w:firstLineChars="200"/>
        <w:rPr>
          <w:rFonts w:hint="eastAsia" w:ascii="宋体" w:hAnsi="宋体" w:eastAsia="宋体" w:cs="宋体"/>
          <w:sz w:val="24"/>
          <w:szCs w:val="24"/>
        </w:rPr>
        <w:sectPr>
          <w:pgSz w:w="11906" w:h="16838"/>
          <w:pgMar w:top="1440" w:right="1080" w:bottom="1440" w:left="1080" w:header="851" w:footer="992" w:gutter="0"/>
          <w:pgNumType w:fmt="decimal"/>
          <w:cols w:space="425" w:num="1"/>
          <w:docGrid w:type="lines" w:linePitch="312" w:charSpace="0"/>
        </w:sectPr>
      </w:pPr>
      <w:bookmarkStart w:id="44" w:name="_bookmark22"/>
      <w:bookmarkEnd w:id="44"/>
      <w:r>
        <w:rPr>
          <w:rFonts w:hint="eastAsia" w:ascii="宋体" w:hAnsi="宋体" w:eastAsia="宋体" w:cs="宋体"/>
          <w:sz w:val="24"/>
          <w:szCs w:val="24"/>
        </w:rPr>
        <w:t>2.按贵州省财政厅文件黔财采〔2017〕6号：网络和信息系统建设项目必须使用国产密码。</w:t>
      </w:r>
    </w:p>
    <w:p w14:paraId="4B0BBA4D">
      <w:pPr>
        <w:pStyle w:val="6"/>
        <w:spacing w:before="1" w:line="223" w:lineRule="auto"/>
        <w:ind w:left="3322"/>
        <w:outlineLvl w:val="0"/>
        <w:rPr>
          <w:sz w:val="31"/>
          <w:szCs w:val="31"/>
        </w:rPr>
      </w:pPr>
      <w:bookmarkStart w:id="45" w:name="_Toc15972"/>
      <w:r>
        <w:rPr>
          <w:b/>
          <w:bCs/>
          <w:spacing w:val="6"/>
          <w:sz w:val="31"/>
          <w:szCs w:val="31"/>
        </w:rPr>
        <w:t>第十七章</w:t>
      </w:r>
      <w:r>
        <w:rPr>
          <w:spacing w:val="6"/>
          <w:sz w:val="31"/>
          <w:szCs w:val="31"/>
        </w:rPr>
        <w:t xml:space="preserve"> </w:t>
      </w:r>
      <w:r>
        <w:rPr>
          <w:b/>
          <w:bCs/>
          <w:spacing w:val="6"/>
          <w:sz w:val="31"/>
          <w:szCs w:val="31"/>
        </w:rPr>
        <w:t>投标文件格式</w:t>
      </w:r>
      <w:bookmarkEnd w:id="45"/>
    </w:p>
    <w:p w14:paraId="7F81E9A2">
      <w:pPr>
        <w:spacing w:line="282" w:lineRule="auto"/>
        <w:rPr>
          <w:rFonts w:ascii="Arial"/>
          <w:sz w:val="21"/>
        </w:rPr>
      </w:pPr>
    </w:p>
    <w:p w14:paraId="4AB85486">
      <w:pPr>
        <w:pStyle w:val="6"/>
        <w:spacing w:before="130" w:line="220" w:lineRule="auto"/>
        <w:ind w:left="3428"/>
        <w:rPr>
          <w:sz w:val="40"/>
          <w:szCs w:val="40"/>
        </w:rPr>
      </w:pPr>
      <w:r>
        <w:rPr>
          <w:spacing w:val="-4"/>
          <w:sz w:val="40"/>
          <w:szCs w:val="40"/>
        </w:rPr>
        <w:t>资格审查部分目录</w:t>
      </w:r>
    </w:p>
    <w:p w14:paraId="39C0718D">
      <w:pPr>
        <w:spacing w:line="332" w:lineRule="auto"/>
        <w:rPr>
          <w:rFonts w:ascii="Arial"/>
          <w:sz w:val="21"/>
        </w:rPr>
      </w:pPr>
    </w:p>
    <w:p w14:paraId="3BFA4875">
      <w:pPr>
        <w:spacing w:line="332" w:lineRule="auto"/>
        <w:rPr>
          <w:rFonts w:ascii="Arial"/>
          <w:sz w:val="21"/>
        </w:rPr>
      </w:pPr>
    </w:p>
    <w:p w14:paraId="004B0CB1">
      <w:pPr>
        <w:pStyle w:val="6"/>
        <w:spacing w:before="78" w:line="219" w:lineRule="auto"/>
        <w:ind w:left="560"/>
        <w:rPr>
          <w:sz w:val="24"/>
          <w:szCs w:val="24"/>
        </w:rPr>
      </w:pPr>
      <w:r>
        <w:rPr>
          <w:spacing w:val="-1"/>
          <w:sz w:val="24"/>
          <w:szCs w:val="24"/>
        </w:rPr>
        <w:t>（1）法定代表人身份证明或法定代表人身份证明及法定代表人授权委托书；</w:t>
      </w:r>
    </w:p>
    <w:p w14:paraId="096F62B0">
      <w:pPr>
        <w:pStyle w:val="6"/>
        <w:spacing w:before="275" w:line="219" w:lineRule="auto"/>
        <w:ind w:left="560"/>
        <w:rPr>
          <w:sz w:val="24"/>
          <w:szCs w:val="24"/>
        </w:rPr>
      </w:pPr>
      <w:r>
        <w:rPr>
          <w:spacing w:val="-2"/>
          <w:sz w:val="24"/>
          <w:szCs w:val="24"/>
        </w:rPr>
        <w:t>（2）多证合一营业执照复印件或扫描件；</w:t>
      </w:r>
    </w:p>
    <w:p w14:paraId="65E62431">
      <w:pPr>
        <w:pStyle w:val="6"/>
        <w:spacing w:before="274" w:line="218" w:lineRule="auto"/>
        <w:ind w:left="560"/>
        <w:rPr>
          <w:sz w:val="24"/>
          <w:szCs w:val="24"/>
        </w:rPr>
      </w:pPr>
      <w:r>
        <w:rPr>
          <w:spacing w:val="-2"/>
          <w:sz w:val="24"/>
          <w:szCs w:val="24"/>
        </w:rPr>
        <w:t>（3）财务状况报告相关材料；</w:t>
      </w:r>
    </w:p>
    <w:p w14:paraId="703BC85B">
      <w:pPr>
        <w:pStyle w:val="6"/>
        <w:spacing w:before="278" w:line="219" w:lineRule="auto"/>
        <w:ind w:left="560"/>
        <w:rPr>
          <w:sz w:val="24"/>
          <w:szCs w:val="24"/>
        </w:rPr>
      </w:pPr>
      <w:r>
        <w:rPr>
          <w:spacing w:val="-2"/>
          <w:sz w:val="24"/>
          <w:szCs w:val="24"/>
        </w:rPr>
        <w:t>（4）依法缴纳税收的相关材料；</w:t>
      </w:r>
    </w:p>
    <w:p w14:paraId="70BC6FB7">
      <w:pPr>
        <w:pStyle w:val="6"/>
        <w:spacing w:before="274" w:line="219" w:lineRule="auto"/>
        <w:ind w:left="560"/>
        <w:rPr>
          <w:sz w:val="24"/>
          <w:szCs w:val="24"/>
        </w:rPr>
      </w:pPr>
      <w:r>
        <w:rPr>
          <w:spacing w:val="-2"/>
          <w:sz w:val="24"/>
          <w:szCs w:val="24"/>
        </w:rPr>
        <w:t>（5）依法缴纳社会保障资金的相关材料；</w:t>
      </w:r>
    </w:p>
    <w:p w14:paraId="02295F0F">
      <w:pPr>
        <w:pStyle w:val="6"/>
        <w:spacing w:before="275" w:line="219" w:lineRule="auto"/>
        <w:ind w:left="560"/>
        <w:rPr>
          <w:sz w:val="24"/>
          <w:szCs w:val="24"/>
        </w:rPr>
      </w:pPr>
      <w:r>
        <w:rPr>
          <w:spacing w:val="-1"/>
          <w:sz w:val="24"/>
          <w:szCs w:val="24"/>
        </w:rPr>
        <w:t>（6）具备履行合同所必需的设备和专业技术能力的承诺函；</w:t>
      </w:r>
    </w:p>
    <w:p w14:paraId="76F47C85">
      <w:pPr>
        <w:pStyle w:val="6"/>
        <w:spacing w:before="276" w:line="219" w:lineRule="auto"/>
        <w:ind w:left="560"/>
        <w:rPr>
          <w:sz w:val="24"/>
          <w:szCs w:val="24"/>
        </w:rPr>
      </w:pPr>
      <w:r>
        <w:rPr>
          <w:spacing w:val="-1"/>
          <w:sz w:val="24"/>
          <w:szCs w:val="24"/>
        </w:rPr>
        <w:t>（7）参加政府采购活动前3年内在经营活动中没有重大违法记录书面声明；</w:t>
      </w:r>
    </w:p>
    <w:p w14:paraId="7A462F75">
      <w:pPr>
        <w:pStyle w:val="6"/>
        <w:spacing w:before="275" w:line="219" w:lineRule="auto"/>
        <w:ind w:left="560"/>
        <w:rPr>
          <w:sz w:val="24"/>
          <w:szCs w:val="24"/>
        </w:rPr>
      </w:pPr>
      <w:r>
        <w:rPr>
          <w:spacing w:val="-2"/>
          <w:sz w:val="24"/>
          <w:szCs w:val="24"/>
        </w:rPr>
        <w:t>（8）投标人信用记录证明材料；</w:t>
      </w:r>
    </w:p>
    <w:p w14:paraId="22A48740">
      <w:pPr>
        <w:pStyle w:val="6"/>
        <w:spacing w:before="275" w:line="219" w:lineRule="auto"/>
        <w:ind w:left="560"/>
        <w:rPr>
          <w:sz w:val="24"/>
          <w:szCs w:val="24"/>
        </w:rPr>
      </w:pPr>
      <w:r>
        <w:rPr>
          <w:spacing w:val="-3"/>
          <w:sz w:val="24"/>
          <w:szCs w:val="24"/>
        </w:rPr>
        <w:t>（9）承诺函；</w:t>
      </w:r>
    </w:p>
    <w:p w14:paraId="2B08C4E8">
      <w:pPr>
        <w:pStyle w:val="6"/>
        <w:spacing w:before="277" w:line="219" w:lineRule="auto"/>
        <w:ind w:left="560"/>
        <w:rPr>
          <w:sz w:val="24"/>
          <w:szCs w:val="24"/>
        </w:rPr>
      </w:pPr>
      <w:r>
        <w:rPr>
          <w:spacing w:val="-2"/>
          <w:sz w:val="24"/>
          <w:szCs w:val="24"/>
        </w:rPr>
        <w:t>（10）特殊资格要求；</w:t>
      </w:r>
    </w:p>
    <w:p w14:paraId="484E4589">
      <w:pPr>
        <w:pStyle w:val="6"/>
        <w:spacing w:before="275" w:line="219" w:lineRule="auto"/>
        <w:ind w:left="560"/>
        <w:rPr>
          <w:sz w:val="24"/>
          <w:szCs w:val="24"/>
        </w:rPr>
      </w:pPr>
      <w:r>
        <w:rPr>
          <w:spacing w:val="-2"/>
          <w:sz w:val="24"/>
          <w:szCs w:val="24"/>
        </w:rPr>
        <w:t>（11）法律、行政法规规定的其他条件。</w:t>
      </w:r>
    </w:p>
    <w:p w14:paraId="70FA77BE">
      <w:pPr>
        <w:spacing w:line="219" w:lineRule="auto"/>
        <w:rPr>
          <w:sz w:val="24"/>
          <w:szCs w:val="24"/>
        </w:rPr>
        <w:sectPr>
          <w:headerReference r:id="rId19" w:type="default"/>
          <w:footerReference r:id="rId20" w:type="default"/>
          <w:pgSz w:w="11910" w:h="16840"/>
          <w:pgMar w:top="1349" w:right="1083" w:bottom="1117" w:left="1080" w:header="1050" w:footer="884" w:gutter="0"/>
          <w:pgNumType w:fmt="decimal"/>
          <w:cols w:space="720" w:num="1"/>
        </w:sectPr>
      </w:pPr>
    </w:p>
    <w:p w14:paraId="29254096">
      <w:pPr>
        <w:pStyle w:val="6"/>
        <w:spacing w:before="189" w:line="225" w:lineRule="auto"/>
        <w:ind w:left="3244"/>
        <w:rPr>
          <w:sz w:val="31"/>
          <w:szCs w:val="31"/>
        </w:rPr>
      </w:pPr>
      <w:r>
        <w:rPr>
          <w:spacing w:val="8"/>
          <w:sz w:val="31"/>
          <w:szCs w:val="31"/>
        </w:rPr>
        <w:t>一、法定代表人身份证明</w:t>
      </w:r>
    </w:p>
    <w:p w14:paraId="3A567B47">
      <w:pPr>
        <w:spacing w:line="446" w:lineRule="auto"/>
        <w:rPr>
          <w:rFonts w:ascii="Arial"/>
          <w:sz w:val="21"/>
        </w:rPr>
      </w:pPr>
    </w:p>
    <w:p w14:paraId="141F6939">
      <w:pPr>
        <w:pStyle w:val="6"/>
        <w:spacing w:before="71" w:line="221" w:lineRule="auto"/>
        <w:ind w:left="604"/>
      </w:pPr>
      <w:r>
        <w:rPr>
          <w:spacing w:val="-2"/>
        </w:rPr>
        <w:t>单位名称：</w:t>
      </w:r>
      <w:r>
        <w:rPr>
          <w:spacing w:val="-2"/>
          <w:u w:val="single" w:color="auto"/>
        </w:rPr>
        <w:t xml:space="preserve">                                                                    </w:t>
      </w:r>
    </w:p>
    <w:p w14:paraId="6804D3EC">
      <w:pPr>
        <w:spacing w:line="320" w:lineRule="auto"/>
        <w:rPr>
          <w:rFonts w:ascii="Arial"/>
          <w:sz w:val="21"/>
        </w:rPr>
      </w:pPr>
    </w:p>
    <w:p w14:paraId="5BA1D1AD">
      <w:pPr>
        <w:spacing w:line="321" w:lineRule="auto"/>
        <w:rPr>
          <w:rFonts w:ascii="Arial"/>
          <w:sz w:val="21"/>
        </w:rPr>
      </w:pPr>
    </w:p>
    <w:p w14:paraId="141027A6">
      <w:pPr>
        <w:pStyle w:val="6"/>
        <w:spacing w:before="78" w:line="229" w:lineRule="auto"/>
        <w:ind w:left="603"/>
        <w:rPr>
          <w:sz w:val="24"/>
          <w:szCs w:val="24"/>
        </w:rPr>
      </w:pPr>
      <w:r>
        <w:rPr>
          <w:spacing w:val="-17"/>
          <w:sz w:val="24"/>
          <w:szCs w:val="24"/>
        </w:rPr>
        <w:t>地</w:t>
      </w:r>
      <w:r>
        <w:rPr>
          <w:spacing w:val="2"/>
          <w:sz w:val="24"/>
          <w:szCs w:val="24"/>
        </w:rPr>
        <w:t xml:space="preserve">    </w:t>
      </w:r>
      <w:r>
        <w:rPr>
          <w:spacing w:val="-17"/>
          <w:sz w:val="24"/>
          <w:szCs w:val="24"/>
        </w:rPr>
        <w:t>址</w:t>
      </w:r>
      <w:r>
        <w:rPr>
          <w:spacing w:val="-88"/>
          <w:sz w:val="24"/>
          <w:szCs w:val="24"/>
        </w:rPr>
        <w:t xml:space="preserve"> </w:t>
      </w:r>
      <w:r>
        <w:rPr>
          <w:spacing w:val="-17"/>
          <w:sz w:val="24"/>
          <w:szCs w:val="24"/>
        </w:rPr>
        <w:t>：</w:t>
      </w:r>
      <w:r>
        <w:rPr>
          <w:sz w:val="24"/>
          <w:szCs w:val="24"/>
          <w:u w:val="single" w:color="auto"/>
        </w:rPr>
        <w:t xml:space="preserve">                                                             </w:t>
      </w:r>
    </w:p>
    <w:p w14:paraId="0D26F71A">
      <w:pPr>
        <w:spacing w:line="313" w:lineRule="auto"/>
        <w:rPr>
          <w:rFonts w:ascii="Arial"/>
          <w:sz w:val="21"/>
        </w:rPr>
      </w:pPr>
    </w:p>
    <w:p w14:paraId="49D01BA4">
      <w:pPr>
        <w:spacing w:line="313" w:lineRule="auto"/>
        <w:rPr>
          <w:rFonts w:ascii="Arial"/>
          <w:sz w:val="21"/>
        </w:rPr>
      </w:pPr>
    </w:p>
    <w:p w14:paraId="705B2FB5">
      <w:pPr>
        <w:pStyle w:val="6"/>
        <w:spacing w:before="78" w:line="219" w:lineRule="auto"/>
        <w:ind w:left="603"/>
        <w:rPr>
          <w:sz w:val="24"/>
          <w:szCs w:val="24"/>
        </w:rPr>
      </w:pPr>
      <w:r>
        <w:rPr>
          <w:spacing w:val="-3"/>
          <w:sz w:val="24"/>
          <w:szCs w:val="24"/>
        </w:rPr>
        <w:t>姓    名：</w:t>
      </w:r>
      <w:r>
        <w:rPr>
          <w:spacing w:val="-3"/>
          <w:sz w:val="24"/>
          <w:szCs w:val="24"/>
          <w:u w:val="single" w:color="auto"/>
        </w:rPr>
        <w:t xml:space="preserve">            </w:t>
      </w:r>
      <w:r>
        <w:rPr>
          <w:spacing w:val="-4"/>
          <w:sz w:val="24"/>
          <w:szCs w:val="24"/>
          <w:u w:val="single" w:color="auto"/>
        </w:rPr>
        <w:t xml:space="preserve">     </w:t>
      </w:r>
      <w:r>
        <w:rPr>
          <w:spacing w:val="18"/>
          <w:sz w:val="24"/>
          <w:szCs w:val="24"/>
        </w:rPr>
        <w:t xml:space="preserve">    </w:t>
      </w:r>
      <w:r>
        <w:rPr>
          <w:spacing w:val="-4"/>
          <w:sz w:val="24"/>
          <w:szCs w:val="24"/>
        </w:rPr>
        <w:t>性别：</w:t>
      </w:r>
      <w:r>
        <w:rPr>
          <w:spacing w:val="6"/>
          <w:sz w:val="24"/>
          <w:szCs w:val="24"/>
          <w:u w:val="single" w:color="auto"/>
        </w:rPr>
        <w:t xml:space="preserve">         </w:t>
      </w:r>
      <w:r>
        <w:rPr>
          <w:spacing w:val="15"/>
          <w:sz w:val="24"/>
          <w:szCs w:val="24"/>
        </w:rPr>
        <w:t xml:space="preserve">     </w:t>
      </w:r>
      <w:r>
        <w:rPr>
          <w:spacing w:val="-4"/>
          <w:sz w:val="24"/>
          <w:szCs w:val="24"/>
        </w:rPr>
        <w:t>职务：</w:t>
      </w:r>
      <w:r>
        <w:rPr>
          <w:spacing w:val="-4"/>
          <w:sz w:val="24"/>
          <w:szCs w:val="24"/>
          <w:u w:val="single" w:color="auto"/>
        </w:rPr>
        <w:t xml:space="preserve">             </w:t>
      </w:r>
    </w:p>
    <w:p w14:paraId="57CE2F3D">
      <w:pPr>
        <w:spacing w:line="321" w:lineRule="auto"/>
        <w:rPr>
          <w:rFonts w:ascii="Arial"/>
          <w:sz w:val="21"/>
        </w:rPr>
      </w:pPr>
    </w:p>
    <w:p w14:paraId="212F39AF">
      <w:pPr>
        <w:spacing w:line="322" w:lineRule="auto"/>
        <w:rPr>
          <w:rFonts w:ascii="Arial"/>
          <w:sz w:val="21"/>
        </w:rPr>
      </w:pPr>
    </w:p>
    <w:p w14:paraId="49E73C4D">
      <w:pPr>
        <w:pStyle w:val="6"/>
        <w:spacing w:before="79" w:line="219" w:lineRule="auto"/>
        <w:ind w:left="609"/>
        <w:rPr>
          <w:sz w:val="24"/>
          <w:szCs w:val="24"/>
        </w:rPr>
      </w:pPr>
      <w:r>
        <w:rPr>
          <w:spacing w:val="-3"/>
          <w:sz w:val="24"/>
          <w:szCs w:val="24"/>
        </w:rPr>
        <w:t>身份证号码：</w:t>
      </w:r>
      <w:r>
        <w:rPr>
          <w:sz w:val="24"/>
          <w:szCs w:val="24"/>
          <w:u w:val="single" w:color="auto"/>
        </w:rPr>
        <w:t xml:space="preserve">                                                            </w:t>
      </w:r>
    </w:p>
    <w:p w14:paraId="4C5A324B">
      <w:pPr>
        <w:spacing w:line="320" w:lineRule="auto"/>
        <w:rPr>
          <w:rFonts w:ascii="Arial"/>
          <w:sz w:val="21"/>
        </w:rPr>
      </w:pPr>
    </w:p>
    <w:p w14:paraId="2D64415B">
      <w:pPr>
        <w:spacing w:line="321" w:lineRule="auto"/>
        <w:rPr>
          <w:rFonts w:ascii="Arial"/>
          <w:sz w:val="21"/>
        </w:rPr>
      </w:pPr>
    </w:p>
    <w:p w14:paraId="3072AFC0">
      <w:pPr>
        <w:pStyle w:val="6"/>
        <w:spacing w:before="78" w:line="219" w:lineRule="auto"/>
        <w:ind w:left="608"/>
        <w:rPr>
          <w:sz w:val="24"/>
          <w:szCs w:val="24"/>
        </w:rPr>
      </w:pPr>
      <w:r>
        <w:rPr>
          <w:spacing w:val="-6"/>
          <w:sz w:val="24"/>
          <w:szCs w:val="24"/>
        </w:rPr>
        <w:t>系</w:t>
      </w:r>
      <w:r>
        <w:rPr>
          <w:sz w:val="24"/>
          <w:szCs w:val="24"/>
          <w:u w:val="single" w:color="auto"/>
        </w:rPr>
        <w:t xml:space="preserve">                      </w:t>
      </w:r>
      <w:r>
        <w:rPr>
          <w:spacing w:val="-88"/>
          <w:sz w:val="24"/>
          <w:szCs w:val="24"/>
        </w:rPr>
        <w:t xml:space="preserve"> </w:t>
      </w:r>
      <w:r>
        <w:rPr>
          <w:spacing w:val="-6"/>
          <w:sz w:val="24"/>
          <w:szCs w:val="24"/>
        </w:rPr>
        <w:t>的法定代表人。</w:t>
      </w:r>
    </w:p>
    <w:p w14:paraId="04AA1AF4">
      <w:pPr>
        <w:spacing w:line="288" w:lineRule="auto"/>
        <w:rPr>
          <w:rFonts w:ascii="Arial"/>
          <w:sz w:val="21"/>
        </w:rPr>
      </w:pPr>
    </w:p>
    <w:p w14:paraId="721EB926">
      <w:pPr>
        <w:spacing w:line="288" w:lineRule="auto"/>
        <w:rPr>
          <w:rFonts w:ascii="Arial"/>
          <w:sz w:val="21"/>
        </w:rPr>
      </w:pPr>
    </w:p>
    <w:p w14:paraId="6AC9B42A">
      <w:pPr>
        <w:pStyle w:val="6"/>
        <w:spacing w:before="79" w:line="219" w:lineRule="auto"/>
        <w:ind w:left="603"/>
        <w:rPr>
          <w:sz w:val="24"/>
          <w:szCs w:val="24"/>
        </w:rPr>
      </w:pPr>
      <w:r>
        <w:rPr>
          <w:spacing w:val="-2"/>
          <w:sz w:val="24"/>
          <w:szCs w:val="24"/>
        </w:rPr>
        <w:t>特此证明。</w:t>
      </w:r>
    </w:p>
    <w:p w14:paraId="6F67FEBE">
      <w:pPr>
        <w:spacing w:line="289" w:lineRule="auto"/>
        <w:rPr>
          <w:rFonts w:ascii="Arial"/>
          <w:sz w:val="21"/>
        </w:rPr>
      </w:pPr>
    </w:p>
    <w:p w14:paraId="3F136499">
      <w:pPr>
        <w:spacing w:line="290" w:lineRule="auto"/>
        <w:rPr>
          <w:rFonts w:ascii="Arial"/>
          <w:sz w:val="21"/>
        </w:rPr>
      </w:pPr>
    </w:p>
    <w:p w14:paraId="63BB8854">
      <w:pPr>
        <w:pStyle w:val="6"/>
        <w:spacing w:before="79" w:line="219" w:lineRule="auto"/>
        <w:ind w:left="124"/>
        <w:rPr>
          <w:sz w:val="24"/>
          <w:szCs w:val="24"/>
        </w:rPr>
      </w:pPr>
      <w:r>
        <w:rPr>
          <w:spacing w:val="-1"/>
          <w:sz w:val="24"/>
          <w:szCs w:val="24"/>
        </w:rPr>
        <w:t>法定代表人身份证复印件或扫描件（正反两面</w:t>
      </w:r>
      <w:r>
        <w:rPr>
          <w:spacing w:val="4"/>
          <w:sz w:val="24"/>
          <w:szCs w:val="24"/>
        </w:rPr>
        <w:t>）：</w:t>
      </w:r>
    </w:p>
    <w:p w14:paraId="094DF0A5">
      <w:pPr>
        <w:spacing w:before="62"/>
      </w:pPr>
    </w:p>
    <w:tbl>
      <w:tblPr>
        <w:tblStyle w:val="27"/>
        <w:tblW w:w="96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8"/>
        <w:gridCol w:w="4680"/>
      </w:tblGrid>
      <w:tr w14:paraId="7E581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7" w:hRule="atLeast"/>
        </w:trPr>
        <w:tc>
          <w:tcPr>
            <w:tcW w:w="4928" w:type="dxa"/>
            <w:vAlign w:val="top"/>
          </w:tcPr>
          <w:p w14:paraId="71C549E2">
            <w:pPr>
              <w:spacing w:line="273" w:lineRule="auto"/>
              <w:rPr>
                <w:rFonts w:ascii="Arial"/>
                <w:sz w:val="21"/>
              </w:rPr>
            </w:pPr>
          </w:p>
          <w:p w14:paraId="1B500924">
            <w:pPr>
              <w:spacing w:line="274" w:lineRule="auto"/>
              <w:rPr>
                <w:rFonts w:ascii="Arial"/>
                <w:sz w:val="21"/>
              </w:rPr>
            </w:pPr>
          </w:p>
          <w:p w14:paraId="69D81B42">
            <w:pPr>
              <w:spacing w:line="274" w:lineRule="auto"/>
              <w:rPr>
                <w:rFonts w:ascii="Arial"/>
                <w:sz w:val="21"/>
              </w:rPr>
            </w:pPr>
          </w:p>
          <w:p w14:paraId="5086EBB5">
            <w:pPr>
              <w:spacing w:line="274" w:lineRule="auto"/>
              <w:rPr>
                <w:rFonts w:ascii="Arial"/>
                <w:sz w:val="21"/>
              </w:rPr>
            </w:pPr>
          </w:p>
          <w:p w14:paraId="3C337D94">
            <w:pPr>
              <w:pStyle w:val="26"/>
              <w:spacing w:before="78" w:line="219" w:lineRule="auto"/>
              <w:ind w:left="719"/>
            </w:pPr>
            <w:r>
              <w:rPr>
                <w:spacing w:val="-2"/>
              </w:rPr>
              <w:t>身份证复印件或扫描件正面</w:t>
            </w:r>
          </w:p>
        </w:tc>
        <w:tc>
          <w:tcPr>
            <w:tcW w:w="4680" w:type="dxa"/>
            <w:vAlign w:val="top"/>
          </w:tcPr>
          <w:p w14:paraId="520580DC">
            <w:pPr>
              <w:spacing w:line="273" w:lineRule="auto"/>
              <w:rPr>
                <w:rFonts w:ascii="Arial"/>
                <w:sz w:val="21"/>
              </w:rPr>
            </w:pPr>
          </w:p>
          <w:p w14:paraId="1FD2BB06">
            <w:pPr>
              <w:spacing w:line="274" w:lineRule="auto"/>
              <w:rPr>
                <w:rFonts w:ascii="Arial"/>
                <w:sz w:val="21"/>
              </w:rPr>
            </w:pPr>
          </w:p>
          <w:p w14:paraId="153AB0A9">
            <w:pPr>
              <w:spacing w:line="274" w:lineRule="auto"/>
              <w:rPr>
                <w:rFonts w:ascii="Arial"/>
                <w:sz w:val="21"/>
              </w:rPr>
            </w:pPr>
          </w:p>
          <w:p w14:paraId="086AB110">
            <w:pPr>
              <w:spacing w:line="274" w:lineRule="auto"/>
              <w:rPr>
                <w:rFonts w:ascii="Arial"/>
                <w:sz w:val="21"/>
              </w:rPr>
            </w:pPr>
          </w:p>
          <w:p w14:paraId="5AD43D22">
            <w:pPr>
              <w:pStyle w:val="26"/>
              <w:spacing w:before="78" w:line="219" w:lineRule="auto"/>
              <w:ind w:left="1199"/>
            </w:pPr>
            <w:r>
              <w:rPr>
                <w:spacing w:val="-2"/>
              </w:rPr>
              <w:t>身份证复印件或扫描件反面</w:t>
            </w:r>
          </w:p>
        </w:tc>
      </w:tr>
    </w:tbl>
    <w:p w14:paraId="233A398B">
      <w:pPr>
        <w:spacing w:line="348" w:lineRule="auto"/>
        <w:rPr>
          <w:rFonts w:ascii="Arial"/>
          <w:sz w:val="21"/>
        </w:rPr>
      </w:pPr>
    </w:p>
    <w:p w14:paraId="2782A39B">
      <w:pPr>
        <w:spacing w:line="348" w:lineRule="auto"/>
        <w:rPr>
          <w:rFonts w:ascii="Arial"/>
          <w:sz w:val="21"/>
        </w:rPr>
      </w:pPr>
    </w:p>
    <w:p w14:paraId="3D79B9C0">
      <w:pPr>
        <w:pStyle w:val="6"/>
        <w:spacing w:before="78" w:line="219" w:lineRule="auto"/>
        <w:ind w:left="3246"/>
        <w:rPr>
          <w:sz w:val="24"/>
          <w:szCs w:val="24"/>
        </w:rPr>
      </w:pPr>
      <w:r>
        <w:rPr>
          <w:spacing w:val="-1"/>
          <w:sz w:val="24"/>
          <w:szCs w:val="24"/>
        </w:rPr>
        <w:t>投标人名称（单位公章（盖企业电子章</w:t>
      </w:r>
      <w:r>
        <w:rPr>
          <w:spacing w:val="1"/>
          <w:sz w:val="24"/>
          <w:szCs w:val="24"/>
        </w:rPr>
        <w:t>））：</w:t>
      </w:r>
      <w:r>
        <w:rPr>
          <w:sz w:val="24"/>
          <w:szCs w:val="24"/>
          <w:u w:val="single" w:color="auto"/>
        </w:rPr>
        <w:t xml:space="preserve">          </w:t>
      </w:r>
    </w:p>
    <w:p w14:paraId="0DA1D218">
      <w:pPr>
        <w:spacing w:line="290" w:lineRule="auto"/>
        <w:rPr>
          <w:rFonts w:ascii="Arial"/>
          <w:sz w:val="21"/>
        </w:rPr>
      </w:pPr>
    </w:p>
    <w:p w14:paraId="7E275E55">
      <w:pPr>
        <w:pStyle w:val="6"/>
        <w:spacing w:before="79" w:line="219" w:lineRule="auto"/>
        <w:ind w:left="3244"/>
        <w:rPr>
          <w:sz w:val="24"/>
          <w:szCs w:val="24"/>
        </w:rPr>
      </w:pPr>
      <w:r>
        <w:rPr>
          <w:spacing w:val="-1"/>
          <w:sz w:val="24"/>
          <w:szCs w:val="24"/>
        </w:rPr>
        <w:t>法定代表人（签字或盖章</w:t>
      </w:r>
      <w:r>
        <w:rPr>
          <w:sz w:val="24"/>
          <w:szCs w:val="24"/>
        </w:rPr>
        <w:t>）：</w:t>
      </w:r>
      <w:r>
        <w:rPr>
          <w:sz w:val="24"/>
          <w:szCs w:val="24"/>
          <w:u w:val="single" w:color="auto"/>
        </w:rPr>
        <w:t xml:space="preserve">               </w:t>
      </w:r>
    </w:p>
    <w:p w14:paraId="33B2933E">
      <w:pPr>
        <w:spacing w:line="294" w:lineRule="auto"/>
        <w:rPr>
          <w:rFonts w:ascii="Arial"/>
          <w:sz w:val="21"/>
        </w:rPr>
      </w:pPr>
    </w:p>
    <w:p w14:paraId="5A9AE306">
      <w:pPr>
        <w:pStyle w:val="6"/>
        <w:spacing w:before="78" w:line="219" w:lineRule="auto"/>
        <w:ind w:left="3284"/>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1BA6B04F">
      <w:pPr>
        <w:spacing w:line="219" w:lineRule="auto"/>
        <w:rPr>
          <w:sz w:val="24"/>
          <w:szCs w:val="24"/>
        </w:rPr>
        <w:sectPr>
          <w:headerReference r:id="rId21" w:type="default"/>
          <w:footerReference r:id="rId22" w:type="default"/>
          <w:pgSz w:w="11910" w:h="16840"/>
          <w:pgMar w:top="1365" w:right="1083" w:bottom="1117" w:left="965" w:header="1050" w:footer="884" w:gutter="0"/>
          <w:pgNumType w:fmt="decimal"/>
          <w:cols w:space="720" w:num="1"/>
        </w:sectPr>
      </w:pPr>
    </w:p>
    <w:p w14:paraId="7F86450C">
      <w:pPr>
        <w:pStyle w:val="6"/>
        <w:spacing w:before="32" w:line="224" w:lineRule="auto"/>
        <w:ind w:left="3294"/>
        <w:rPr>
          <w:sz w:val="31"/>
          <w:szCs w:val="31"/>
        </w:rPr>
      </w:pPr>
      <w:r>
        <w:rPr>
          <w:spacing w:val="8"/>
          <w:sz w:val="31"/>
          <w:szCs w:val="31"/>
        </w:rPr>
        <w:t>法定代表人授权委托书</w:t>
      </w:r>
    </w:p>
    <w:p w14:paraId="2583C869">
      <w:pPr>
        <w:spacing w:line="369" w:lineRule="auto"/>
        <w:rPr>
          <w:rFonts w:ascii="Arial"/>
          <w:sz w:val="21"/>
        </w:rPr>
      </w:pPr>
    </w:p>
    <w:p w14:paraId="6B0DFAAC">
      <w:pPr>
        <w:pStyle w:val="6"/>
        <w:spacing w:before="78" w:line="219" w:lineRule="auto"/>
        <w:ind w:left="1828"/>
        <w:rPr>
          <w:sz w:val="24"/>
          <w:szCs w:val="24"/>
        </w:rPr>
      </w:pPr>
      <w: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195580</wp:posOffset>
                </wp:positionV>
                <wp:extent cx="2362200" cy="7620"/>
                <wp:effectExtent l="0" t="0" r="0" b="0"/>
                <wp:wrapNone/>
                <wp:docPr id="7" name="任意多边形 7"/>
                <wp:cNvGraphicFramePr/>
                <a:graphic xmlns:a="http://schemas.openxmlformats.org/drawingml/2006/main">
                  <a:graphicData uri="http://schemas.microsoft.com/office/word/2010/wordprocessingShape">
                    <wps:wsp>
                      <wps:cNvSpPr/>
                      <wps:spPr>
                        <a:xfrm>
                          <a:off x="0" y="0"/>
                          <a:ext cx="2362200" cy="7620"/>
                        </a:xfrm>
                        <a:custGeom>
                          <a:avLst/>
                          <a:gdLst/>
                          <a:ahLst/>
                          <a:cxnLst/>
                          <a:pathLst>
                            <a:path w="3720" h="12">
                              <a:moveTo>
                                <a:pt x="0" y="5"/>
                              </a:moveTo>
                              <a:lnTo>
                                <a:pt x="3720"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35pt;margin-top:15.4pt;height:0.6pt;width:186pt;z-index:251664384;mso-width-relative:page;mso-height-relative:page;" filled="f" stroked="t" coordsize="3720,12" o:gfxdata="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2lBw21AAAAAYBAAAPAAAAAAAAAAEAIAAAACIAAABkcnMvZG93bnJldi54&#10;bWxQSwECFAAUAAAACACHTuJAzgUYHDcCAACWBAAADgAAAAAAAAABACAAAAAjAQAAZHJzL2Uyb0Rv&#10;Yy54bWxQSwUGAAAAAAYABgBZAQAAzAUAAAAA&#10;" path="m0,5l3720,5e">
                <v:fill on="f" focussize="0,0"/>
                <v:stroke weight="0.6pt" color="#000000" joinstyle="bevel"/>
                <v:imagedata o:title=""/>
                <o:lock v:ext="edit" aspectratio="f"/>
              </v:shape>
            </w:pict>
          </mc:Fallback>
        </mc:AlternateContent>
      </w:r>
      <w:r>
        <w:rPr>
          <w:spacing w:val="-4"/>
          <w:sz w:val="24"/>
          <w:szCs w:val="24"/>
        </w:rPr>
        <w:t>（采购人名称</w:t>
      </w:r>
      <w:r>
        <w:rPr>
          <w:spacing w:val="1"/>
          <w:sz w:val="24"/>
          <w:szCs w:val="24"/>
        </w:rPr>
        <w:t>）：</w:t>
      </w:r>
    </w:p>
    <w:p w14:paraId="6AF155F2">
      <w:pPr>
        <w:spacing w:line="357" w:lineRule="auto"/>
        <w:rPr>
          <w:rFonts w:ascii="Arial"/>
          <w:sz w:val="21"/>
        </w:rPr>
      </w:pPr>
    </w:p>
    <w:p w14:paraId="4A71FFE5">
      <w:pPr>
        <w:pStyle w:val="6"/>
        <w:tabs>
          <w:tab w:val="left" w:pos="3695"/>
        </w:tabs>
        <w:spacing w:before="78" w:line="365" w:lineRule="auto"/>
        <w:ind w:left="7" w:right="298" w:firstLine="495"/>
        <w:rPr>
          <w:sz w:val="24"/>
          <w:szCs w:val="24"/>
        </w:rPr>
      </w:pPr>
      <w:r>
        <w:rPr>
          <w:spacing w:val="-2"/>
          <w:sz w:val="24"/>
          <w:szCs w:val="24"/>
        </w:rPr>
        <w:t>兹授权我公司姓名</w:t>
      </w:r>
      <w:r>
        <w:rPr>
          <w:spacing w:val="-3"/>
          <w:sz w:val="24"/>
          <w:szCs w:val="24"/>
        </w:rPr>
        <w:t>：</w:t>
      </w:r>
      <w:r>
        <w:rPr>
          <w:spacing w:val="10"/>
          <w:sz w:val="24"/>
          <w:szCs w:val="24"/>
          <w:u w:val="single" w:color="auto"/>
        </w:rPr>
        <w:t xml:space="preserve">        </w:t>
      </w:r>
      <w:r>
        <w:rPr>
          <w:spacing w:val="-83"/>
          <w:sz w:val="24"/>
          <w:szCs w:val="24"/>
        </w:rPr>
        <w:t xml:space="preserve"> </w:t>
      </w:r>
      <w:r>
        <w:rPr>
          <w:spacing w:val="-3"/>
          <w:sz w:val="24"/>
          <w:szCs w:val="24"/>
        </w:rPr>
        <w:t>，</w:t>
      </w:r>
      <w:r>
        <w:rPr>
          <w:spacing w:val="-2"/>
          <w:sz w:val="24"/>
          <w:szCs w:val="24"/>
        </w:rPr>
        <w:t>身份证号码：</w:t>
      </w:r>
      <w:r>
        <w:rPr>
          <w:spacing w:val="5"/>
          <w:sz w:val="24"/>
          <w:szCs w:val="24"/>
          <w:u w:val="single" w:color="auto"/>
        </w:rPr>
        <w:t xml:space="preserve">           </w:t>
      </w:r>
      <w:r>
        <w:rPr>
          <w:spacing w:val="-107"/>
          <w:sz w:val="24"/>
          <w:szCs w:val="24"/>
        </w:rPr>
        <w:t xml:space="preserve"> </w:t>
      </w:r>
      <w:r>
        <w:rPr>
          <w:spacing w:val="-2"/>
          <w:sz w:val="24"/>
          <w:szCs w:val="24"/>
        </w:rPr>
        <w:t>作为我单位合法委托代理</w:t>
      </w:r>
      <w:r>
        <w:rPr>
          <w:sz w:val="24"/>
          <w:szCs w:val="24"/>
        </w:rPr>
        <w:t xml:space="preserve"> </w:t>
      </w:r>
      <w:r>
        <w:rPr>
          <w:spacing w:val="-1"/>
          <w:sz w:val="24"/>
          <w:szCs w:val="24"/>
        </w:rPr>
        <w:t>人， 授权其代表我单位加贵方组织的</w:t>
      </w:r>
      <w:r>
        <w:rPr>
          <w:spacing w:val="-107"/>
          <w:sz w:val="24"/>
          <w:szCs w:val="24"/>
        </w:rPr>
        <w:t xml:space="preserve"> </w:t>
      </w:r>
      <w:r>
        <w:rPr>
          <w:spacing w:val="1"/>
          <w:sz w:val="24"/>
          <w:szCs w:val="24"/>
          <w:u w:val="single" w:color="auto"/>
        </w:rPr>
        <w:t xml:space="preserve">                       </w:t>
      </w:r>
      <w:r>
        <w:rPr>
          <w:spacing w:val="-104"/>
          <w:sz w:val="24"/>
          <w:szCs w:val="24"/>
        </w:rPr>
        <w:t xml:space="preserve"> </w:t>
      </w:r>
      <w:r>
        <w:rPr>
          <w:spacing w:val="-1"/>
          <w:sz w:val="24"/>
          <w:szCs w:val="24"/>
        </w:rPr>
        <w:t>项目投标（项目编号：</w:t>
      </w:r>
      <w:r>
        <w:rPr>
          <w:spacing w:val="-1"/>
          <w:sz w:val="24"/>
          <w:szCs w:val="24"/>
          <w:u w:val="single" w:color="auto"/>
        </w:rPr>
        <w:t xml:space="preserve"> </w:t>
      </w:r>
      <w:r>
        <w:rPr>
          <w:sz w:val="24"/>
          <w:szCs w:val="24"/>
        </w:rPr>
        <w:t xml:space="preserve">  </w:t>
      </w:r>
      <w:r>
        <w:rPr>
          <w:sz w:val="24"/>
          <w:szCs w:val="24"/>
          <w:u w:val="single" w:color="auto"/>
        </w:rPr>
        <w:tab/>
      </w:r>
      <w:r>
        <w:rPr>
          <w:spacing w:val="-70"/>
          <w:sz w:val="24"/>
          <w:szCs w:val="24"/>
        </w:rPr>
        <w:t xml:space="preserve"> </w:t>
      </w:r>
      <w:r>
        <w:rPr>
          <w:spacing w:val="-2"/>
          <w:sz w:val="24"/>
          <w:szCs w:val="24"/>
        </w:rPr>
        <w:t>) 活动。该委托代理人的授权范围为：代表我公司参与</w:t>
      </w:r>
      <w:r>
        <w:rPr>
          <w:sz w:val="24"/>
          <w:szCs w:val="24"/>
        </w:rPr>
        <w:t xml:space="preserve"> 贵方组织采购签署、澄清、说明、补正、递交、撤回、修改及处理本次投标活动有关</w:t>
      </w:r>
      <w:r>
        <w:rPr>
          <w:spacing w:val="-1"/>
          <w:sz w:val="24"/>
          <w:szCs w:val="24"/>
        </w:rPr>
        <w:t>的事</w:t>
      </w:r>
      <w:r>
        <w:rPr>
          <w:sz w:val="24"/>
          <w:szCs w:val="24"/>
        </w:rPr>
        <w:t xml:space="preserve"> 务。在整个过程中，该代理人的一切行为，均代表本公司，与本公司的行为具有同等</w:t>
      </w:r>
      <w:r>
        <w:rPr>
          <w:spacing w:val="-1"/>
          <w:sz w:val="24"/>
          <w:szCs w:val="24"/>
        </w:rPr>
        <w:t>法律</w:t>
      </w:r>
      <w:r>
        <w:rPr>
          <w:sz w:val="24"/>
          <w:szCs w:val="24"/>
        </w:rPr>
        <w:t xml:space="preserve"> 效力。本公司将承担该代理人行为的全部法律后果和法律责</w:t>
      </w:r>
      <w:r>
        <w:rPr>
          <w:spacing w:val="-1"/>
          <w:sz w:val="24"/>
          <w:szCs w:val="24"/>
        </w:rPr>
        <w:t>任。</w:t>
      </w:r>
    </w:p>
    <w:p w14:paraId="19538D7B">
      <w:pPr>
        <w:pStyle w:val="6"/>
        <w:spacing w:before="110" w:line="219" w:lineRule="auto"/>
        <w:ind w:left="255"/>
        <w:rPr>
          <w:sz w:val="24"/>
          <w:szCs w:val="24"/>
        </w:rPr>
      </w:pPr>
      <w:r>
        <w:rPr>
          <w:spacing w:val="-10"/>
          <w:sz w:val="24"/>
          <w:szCs w:val="24"/>
        </w:rPr>
        <w:t>授权期限：</w:t>
      </w:r>
      <w:r>
        <w:rPr>
          <w:spacing w:val="-72"/>
          <w:sz w:val="24"/>
          <w:szCs w:val="24"/>
        </w:rPr>
        <w:t xml:space="preserve"> </w:t>
      </w:r>
      <w:r>
        <w:rPr>
          <w:spacing w:val="-10"/>
          <w:sz w:val="24"/>
          <w:szCs w:val="24"/>
        </w:rPr>
        <w:t>自</w:t>
      </w:r>
      <w:r>
        <w:rPr>
          <w:spacing w:val="-10"/>
          <w:sz w:val="24"/>
          <w:szCs w:val="24"/>
          <w:u w:val="single" w:color="auto"/>
        </w:rPr>
        <w:t xml:space="preserve">     </w:t>
      </w:r>
      <w:r>
        <w:rPr>
          <w:spacing w:val="-110"/>
          <w:sz w:val="24"/>
          <w:szCs w:val="24"/>
        </w:rPr>
        <w:t xml:space="preserve"> </w:t>
      </w:r>
      <w:r>
        <w:rPr>
          <w:spacing w:val="-10"/>
          <w:sz w:val="24"/>
          <w:szCs w:val="24"/>
        </w:rPr>
        <w:t>年</w:t>
      </w:r>
      <w:r>
        <w:rPr>
          <w:sz w:val="24"/>
          <w:szCs w:val="24"/>
          <w:u w:val="single" w:color="auto"/>
        </w:rPr>
        <w:t xml:space="preserve">     </w:t>
      </w:r>
      <w:r>
        <w:rPr>
          <w:spacing w:val="-105"/>
          <w:sz w:val="24"/>
          <w:szCs w:val="24"/>
        </w:rPr>
        <w:t xml:space="preserve"> </w:t>
      </w:r>
      <w:r>
        <w:rPr>
          <w:spacing w:val="-10"/>
          <w:sz w:val="24"/>
          <w:szCs w:val="24"/>
        </w:rPr>
        <w:t>月</w:t>
      </w:r>
      <w:r>
        <w:rPr>
          <w:sz w:val="24"/>
          <w:szCs w:val="24"/>
          <w:u w:val="single" w:color="auto"/>
        </w:rPr>
        <w:t xml:space="preserve">      </w:t>
      </w:r>
      <w:r>
        <w:rPr>
          <w:spacing w:val="-69"/>
          <w:sz w:val="24"/>
          <w:szCs w:val="24"/>
        </w:rPr>
        <w:t xml:space="preserve"> </w:t>
      </w:r>
      <w:r>
        <w:rPr>
          <w:spacing w:val="-10"/>
          <w:sz w:val="24"/>
          <w:szCs w:val="24"/>
        </w:rPr>
        <w:t>日起至</w:t>
      </w:r>
      <w:r>
        <w:rPr>
          <w:sz w:val="24"/>
          <w:szCs w:val="24"/>
          <w:u w:val="single" w:color="auto"/>
        </w:rPr>
        <w:t xml:space="preserve">     </w:t>
      </w:r>
      <w:r>
        <w:rPr>
          <w:spacing w:val="-110"/>
          <w:sz w:val="24"/>
          <w:szCs w:val="24"/>
        </w:rPr>
        <w:t xml:space="preserve"> </w:t>
      </w:r>
      <w:r>
        <w:rPr>
          <w:spacing w:val="-10"/>
          <w:sz w:val="24"/>
          <w:szCs w:val="24"/>
        </w:rPr>
        <w:t>年</w:t>
      </w:r>
      <w:r>
        <w:rPr>
          <w:sz w:val="24"/>
          <w:szCs w:val="24"/>
          <w:u w:val="single" w:color="auto"/>
        </w:rPr>
        <w:t xml:space="preserve">     </w:t>
      </w:r>
      <w:r>
        <w:rPr>
          <w:spacing w:val="-105"/>
          <w:sz w:val="24"/>
          <w:szCs w:val="24"/>
        </w:rPr>
        <w:t xml:space="preserve"> </w:t>
      </w:r>
      <w:r>
        <w:rPr>
          <w:spacing w:val="-10"/>
          <w:sz w:val="24"/>
          <w:szCs w:val="24"/>
        </w:rPr>
        <w:t>月</w:t>
      </w:r>
      <w:r>
        <w:rPr>
          <w:sz w:val="24"/>
          <w:szCs w:val="24"/>
          <w:u w:val="single" w:color="auto"/>
        </w:rPr>
        <w:t xml:space="preserve">      </w:t>
      </w:r>
      <w:r>
        <w:rPr>
          <w:spacing w:val="-69"/>
          <w:sz w:val="24"/>
          <w:szCs w:val="24"/>
        </w:rPr>
        <w:t xml:space="preserve"> </w:t>
      </w:r>
      <w:r>
        <w:rPr>
          <w:spacing w:val="-10"/>
          <w:sz w:val="24"/>
          <w:szCs w:val="24"/>
        </w:rPr>
        <w:t>日止。</w:t>
      </w:r>
    </w:p>
    <w:p w14:paraId="7E00EFE8">
      <w:pPr>
        <w:pStyle w:val="6"/>
        <w:spacing w:before="185" w:line="219" w:lineRule="auto"/>
        <w:ind w:left="255"/>
        <w:rPr>
          <w:sz w:val="24"/>
          <w:szCs w:val="24"/>
        </w:rPr>
      </w:pPr>
      <w:r>
        <w:rPr>
          <w:spacing w:val="-1"/>
          <w:sz w:val="24"/>
          <w:szCs w:val="24"/>
        </w:rPr>
        <w:t>委托代理人无转委托权。</w:t>
      </w:r>
    </w:p>
    <w:p w14:paraId="3137AAE4">
      <w:pPr>
        <w:spacing w:line="248" w:lineRule="auto"/>
        <w:rPr>
          <w:rFonts w:ascii="Arial"/>
          <w:sz w:val="21"/>
        </w:rPr>
      </w:pPr>
    </w:p>
    <w:p w14:paraId="0D18C718">
      <w:pPr>
        <w:spacing w:line="248" w:lineRule="auto"/>
        <w:rPr>
          <w:rFonts w:ascii="Arial"/>
          <w:sz w:val="21"/>
        </w:rPr>
      </w:pPr>
    </w:p>
    <w:p w14:paraId="634EDE8F">
      <w:pPr>
        <w:spacing w:line="248" w:lineRule="auto"/>
        <w:rPr>
          <w:rFonts w:ascii="Arial"/>
          <w:sz w:val="21"/>
        </w:rPr>
      </w:pPr>
    </w:p>
    <w:p w14:paraId="51F24643">
      <w:pPr>
        <w:spacing w:line="249" w:lineRule="auto"/>
        <w:rPr>
          <w:rFonts w:ascii="Arial"/>
          <w:sz w:val="21"/>
        </w:rPr>
      </w:pPr>
    </w:p>
    <w:p w14:paraId="78461F97">
      <w:pPr>
        <w:pStyle w:val="6"/>
        <w:spacing w:before="78" w:line="219" w:lineRule="auto"/>
        <w:ind w:left="977"/>
        <w:rPr>
          <w:sz w:val="24"/>
          <w:szCs w:val="24"/>
        </w:rPr>
      </w:pPr>
      <w:r>
        <w:rPr>
          <w:spacing w:val="-2"/>
          <w:sz w:val="24"/>
          <w:szCs w:val="24"/>
        </w:rPr>
        <w:t>投标人（盖企业电子章</w:t>
      </w:r>
      <w:r>
        <w:rPr>
          <w:spacing w:val="4"/>
          <w:sz w:val="24"/>
          <w:szCs w:val="24"/>
        </w:rPr>
        <w:t>）：</w:t>
      </w:r>
      <w:r>
        <w:rPr>
          <w:sz w:val="24"/>
          <w:szCs w:val="24"/>
        </w:rPr>
        <w:t xml:space="preserve">                </w:t>
      </w:r>
      <w:r>
        <w:rPr>
          <w:spacing w:val="-2"/>
          <w:sz w:val="24"/>
          <w:szCs w:val="24"/>
        </w:rPr>
        <w:t>法定代表人（签字或盖章</w:t>
      </w:r>
      <w:r>
        <w:rPr>
          <w:spacing w:val="4"/>
          <w:sz w:val="24"/>
          <w:szCs w:val="24"/>
        </w:rPr>
        <w:t>）：</w:t>
      </w:r>
    </w:p>
    <w:p w14:paraId="552482EE">
      <w:pPr>
        <w:spacing w:line="363" w:lineRule="auto"/>
        <w:rPr>
          <w:rFonts w:ascii="Arial"/>
          <w:sz w:val="21"/>
        </w:rPr>
      </w:pPr>
    </w:p>
    <w:p w14:paraId="29B37E15">
      <w:pPr>
        <w:pStyle w:val="6"/>
        <w:spacing w:before="79" w:line="219" w:lineRule="auto"/>
        <w:ind w:left="1097"/>
        <w:rPr>
          <w:sz w:val="24"/>
          <w:szCs w:val="24"/>
        </w:rPr>
      </w:pPr>
      <w:r>
        <w:rPr>
          <w:spacing w:val="-17"/>
          <w:sz w:val="24"/>
          <w:szCs w:val="24"/>
        </w:rPr>
        <w:t>年</w:t>
      </w:r>
      <w:r>
        <w:rPr>
          <w:spacing w:val="5"/>
          <w:sz w:val="24"/>
          <w:szCs w:val="24"/>
        </w:rPr>
        <w:t xml:space="preserve">   </w:t>
      </w:r>
      <w:r>
        <w:rPr>
          <w:spacing w:val="-17"/>
          <w:sz w:val="24"/>
          <w:szCs w:val="24"/>
        </w:rPr>
        <w:t>月</w:t>
      </w:r>
      <w:r>
        <w:rPr>
          <w:spacing w:val="16"/>
          <w:sz w:val="24"/>
          <w:szCs w:val="24"/>
        </w:rPr>
        <w:t xml:space="preserve">   </w:t>
      </w:r>
      <w:r>
        <w:rPr>
          <w:spacing w:val="-17"/>
          <w:sz w:val="24"/>
          <w:szCs w:val="24"/>
        </w:rPr>
        <w:t>日</w:t>
      </w:r>
      <w:r>
        <w:rPr>
          <w:sz w:val="24"/>
          <w:szCs w:val="24"/>
        </w:rPr>
        <w:t xml:space="preserve">                               </w:t>
      </w:r>
      <w:r>
        <w:rPr>
          <w:spacing w:val="-17"/>
          <w:sz w:val="24"/>
          <w:szCs w:val="24"/>
        </w:rPr>
        <w:t>年</w:t>
      </w:r>
      <w:r>
        <w:rPr>
          <w:spacing w:val="9"/>
          <w:sz w:val="24"/>
          <w:szCs w:val="24"/>
        </w:rPr>
        <w:t xml:space="preserve">   </w:t>
      </w:r>
      <w:r>
        <w:rPr>
          <w:spacing w:val="-17"/>
          <w:sz w:val="24"/>
          <w:szCs w:val="24"/>
        </w:rPr>
        <w:t>月</w:t>
      </w:r>
      <w:r>
        <w:rPr>
          <w:spacing w:val="17"/>
          <w:sz w:val="24"/>
          <w:szCs w:val="24"/>
        </w:rPr>
        <w:t xml:space="preserve">   </w:t>
      </w:r>
      <w:r>
        <w:rPr>
          <w:spacing w:val="-17"/>
          <w:sz w:val="24"/>
          <w:szCs w:val="24"/>
        </w:rPr>
        <w:t>日</w:t>
      </w:r>
    </w:p>
    <w:p w14:paraId="7A9D307E">
      <w:pPr>
        <w:spacing w:line="314" w:lineRule="auto"/>
        <w:rPr>
          <w:rFonts w:ascii="Arial"/>
          <w:sz w:val="21"/>
        </w:rPr>
      </w:pPr>
    </w:p>
    <w:p w14:paraId="77242C29">
      <w:pPr>
        <w:spacing w:line="315" w:lineRule="auto"/>
        <w:rPr>
          <w:rFonts w:ascii="Arial"/>
          <w:sz w:val="21"/>
        </w:rPr>
      </w:pPr>
    </w:p>
    <w:p w14:paraId="6EA0CC85">
      <w:pPr>
        <w:pStyle w:val="6"/>
        <w:spacing w:before="78" w:line="219" w:lineRule="auto"/>
        <w:ind w:left="15"/>
        <w:rPr>
          <w:sz w:val="24"/>
          <w:szCs w:val="24"/>
        </w:rPr>
      </w:pPr>
      <w:r>
        <mc:AlternateContent>
          <mc:Choice Requires="wps">
            <w:drawing>
              <wp:anchor distT="0" distB="0" distL="114300" distR="114300" simplePos="0" relativeHeight="251663360" behindDoc="0" locked="0" layoutInCell="1" allowOverlap="1">
                <wp:simplePos x="0" y="0"/>
                <wp:positionH relativeFrom="column">
                  <wp:posOffset>3029585</wp:posOffset>
                </wp:positionH>
                <wp:positionV relativeFrom="paragraph">
                  <wp:posOffset>410845</wp:posOffset>
                </wp:positionV>
                <wp:extent cx="2841625" cy="18910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841625" cy="1891030"/>
                        </a:xfrm>
                        <a:prstGeom prst="rect">
                          <a:avLst/>
                        </a:prstGeom>
                        <a:noFill/>
                        <a:ln>
                          <a:noFill/>
                        </a:ln>
                      </wps:spPr>
                      <wps:txbx>
                        <w:txbxContent>
                          <w:p w14:paraId="029A23D7">
                            <w:pPr>
                              <w:spacing w:line="20" w:lineRule="exact"/>
                            </w:pPr>
                          </w:p>
                          <w:tbl>
                            <w:tblPr>
                              <w:tblStyle w:val="27"/>
                              <w:tblW w:w="442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425"/>
                            </w:tblGrid>
                            <w:tr w14:paraId="51DBE68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17" w:hRule="atLeast"/>
                              </w:trPr>
                              <w:tc>
                                <w:tcPr>
                                  <w:tcW w:w="4425" w:type="dxa"/>
                                  <w:vAlign w:val="top"/>
                                </w:tcPr>
                                <w:p w14:paraId="64ABD0AB">
                                  <w:pPr>
                                    <w:spacing w:line="282" w:lineRule="auto"/>
                                    <w:rPr>
                                      <w:rFonts w:ascii="Arial"/>
                                      <w:sz w:val="21"/>
                                    </w:rPr>
                                  </w:pPr>
                                </w:p>
                                <w:p w14:paraId="20FD46A4">
                                  <w:pPr>
                                    <w:spacing w:line="282" w:lineRule="auto"/>
                                    <w:rPr>
                                      <w:rFonts w:ascii="Arial"/>
                                      <w:sz w:val="21"/>
                                    </w:rPr>
                                  </w:pPr>
                                </w:p>
                                <w:p w14:paraId="3C5B9ECE">
                                  <w:pPr>
                                    <w:spacing w:line="282" w:lineRule="auto"/>
                                    <w:rPr>
                                      <w:rFonts w:ascii="Arial"/>
                                      <w:sz w:val="21"/>
                                    </w:rPr>
                                  </w:pPr>
                                </w:p>
                                <w:p w14:paraId="41BD4524">
                                  <w:pPr>
                                    <w:spacing w:line="282" w:lineRule="auto"/>
                                    <w:rPr>
                                      <w:rFonts w:ascii="Arial"/>
                                      <w:sz w:val="21"/>
                                    </w:rPr>
                                  </w:pPr>
                                </w:p>
                                <w:p w14:paraId="556C2766">
                                  <w:pPr>
                                    <w:pStyle w:val="26"/>
                                    <w:spacing w:before="78" w:line="219" w:lineRule="auto"/>
                                    <w:ind w:left="1197"/>
                                  </w:pPr>
                                  <w:r>
                                    <w:rPr>
                                      <w:spacing w:val="-2"/>
                                    </w:rPr>
                                    <w:t>身份证复印件或扫描件反面</w:t>
                                  </w:r>
                                </w:p>
                              </w:tc>
                            </w:tr>
                          </w:tbl>
                          <w:p w14:paraId="663F598E">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38.55pt;margin-top:32.35pt;height:148.9pt;width:223.75pt;z-index:251663360;mso-width-relative:page;mso-height-relative:page;" filled="f" stroked="f" coordsize="21600,21600" o:gfxdata="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wWlZrZAAAACgEAAA8AAAAAAAAAAQAgAAAAIgAAAGRycy9kb3ducmV2LnhtbFBL&#10;AQIUABQAAAAIAIdO4kCEcbOXvAEAAHMDAAAOAAAAAAAAAAEAIAAAACgBAABkcnMvZTJvRG9jLnht&#10;bFBLBQYAAAAABgAGAFkBAABWBQAAAAA=&#10;">
                <v:fill on="f" focussize="0,0"/>
                <v:stroke on="f"/>
                <v:imagedata o:title=""/>
                <o:lock v:ext="edit" aspectratio="f"/>
                <v:textbox inset="0mm,0mm,0mm,0mm">
                  <w:txbxContent>
                    <w:p w14:paraId="029A23D7">
                      <w:pPr>
                        <w:spacing w:line="20" w:lineRule="exact"/>
                      </w:pPr>
                    </w:p>
                    <w:tbl>
                      <w:tblPr>
                        <w:tblStyle w:val="27"/>
                        <w:tblW w:w="442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425"/>
                      </w:tblGrid>
                      <w:tr w14:paraId="51DBE68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17" w:hRule="atLeast"/>
                        </w:trPr>
                        <w:tc>
                          <w:tcPr>
                            <w:tcW w:w="4425" w:type="dxa"/>
                            <w:vAlign w:val="top"/>
                          </w:tcPr>
                          <w:p w14:paraId="64ABD0AB">
                            <w:pPr>
                              <w:spacing w:line="282" w:lineRule="auto"/>
                              <w:rPr>
                                <w:rFonts w:ascii="Arial"/>
                                <w:sz w:val="21"/>
                              </w:rPr>
                            </w:pPr>
                          </w:p>
                          <w:p w14:paraId="20FD46A4">
                            <w:pPr>
                              <w:spacing w:line="282" w:lineRule="auto"/>
                              <w:rPr>
                                <w:rFonts w:ascii="Arial"/>
                                <w:sz w:val="21"/>
                              </w:rPr>
                            </w:pPr>
                          </w:p>
                          <w:p w14:paraId="3C5B9ECE">
                            <w:pPr>
                              <w:spacing w:line="282" w:lineRule="auto"/>
                              <w:rPr>
                                <w:rFonts w:ascii="Arial"/>
                                <w:sz w:val="21"/>
                              </w:rPr>
                            </w:pPr>
                          </w:p>
                          <w:p w14:paraId="41BD4524">
                            <w:pPr>
                              <w:spacing w:line="282" w:lineRule="auto"/>
                              <w:rPr>
                                <w:rFonts w:ascii="Arial"/>
                                <w:sz w:val="21"/>
                              </w:rPr>
                            </w:pPr>
                          </w:p>
                          <w:p w14:paraId="556C2766">
                            <w:pPr>
                              <w:pStyle w:val="26"/>
                              <w:spacing w:before="78" w:line="219" w:lineRule="auto"/>
                              <w:ind w:left="1197"/>
                            </w:pPr>
                            <w:r>
                              <w:rPr>
                                <w:spacing w:val="-2"/>
                              </w:rPr>
                              <w:t>身份证复印件或扫描件反面</w:t>
                            </w:r>
                          </w:p>
                        </w:tc>
                      </w:tr>
                    </w:tbl>
                    <w:p w14:paraId="663F598E">
                      <w:pPr>
                        <w:rPr>
                          <w:rFonts w:ascii="Arial"/>
                          <w:sz w:val="21"/>
                        </w:rPr>
                      </w:pPr>
                    </w:p>
                  </w:txbxContent>
                </v:textbox>
              </v:shape>
            </w:pict>
          </mc:Fallback>
        </mc:AlternateContent>
      </w:r>
      <w:r>
        <w:rPr>
          <w:spacing w:val="-1"/>
          <w:sz w:val="24"/>
          <w:szCs w:val="24"/>
        </w:rPr>
        <w:t>授权委托代理人身份证复印件或扫描件（正反两面</w:t>
      </w:r>
      <w:r>
        <w:rPr>
          <w:spacing w:val="6"/>
          <w:sz w:val="24"/>
          <w:szCs w:val="24"/>
        </w:rPr>
        <w:t>）：</w:t>
      </w:r>
    </w:p>
    <w:p w14:paraId="76B6B329">
      <w:pPr>
        <w:spacing w:before="60"/>
      </w:pPr>
    </w:p>
    <w:tbl>
      <w:tblPr>
        <w:tblStyle w:val="27"/>
        <w:tblW w:w="455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550"/>
      </w:tblGrid>
      <w:tr w14:paraId="4EEF8C1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05" w:hRule="atLeast"/>
        </w:trPr>
        <w:tc>
          <w:tcPr>
            <w:tcW w:w="4550" w:type="dxa"/>
            <w:vAlign w:val="top"/>
          </w:tcPr>
          <w:p w14:paraId="728493F5">
            <w:pPr>
              <w:spacing w:line="275" w:lineRule="auto"/>
              <w:rPr>
                <w:rFonts w:ascii="Arial"/>
                <w:sz w:val="21"/>
              </w:rPr>
            </w:pPr>
          </w:p>
          <w:p w14:paraId="3438C992">
            <w:pPr>
              <w:spacing w:line="275" w:lineRule="auto"/>
              <w:rPr>
                <w:rFonts w:ascii="Arial"/>
                <w:sz w:val="21"/>
              </w:rPr>
            </w:pPr>
          </w:p>
          <w:p w14:paraId="7CD0E50F">
            <w:pPr>
              <w:spacing w:line="276" w:lineRule="auto"/>
              <w:rPr>
                <w:rFonts w:ascii="Arial"/>
                <w:sz w:val="21"/>
              </w:rPr>
            </w:pPr>
          </w:p>
          <w:p w14:paraId="3D8A6FB1">
            <w:pPr>
              <w:spacing w:line="276" w:lineRule="auto"/>
              <w:rPr>
                <w:rFonts w:ascii="Arial"/>
                <w:sz w:val="21"/>
              </w:rPr>
            </w:pPr>
          </w:p>
          <w:p w14:paraId="01F8834E">
            <w:pPr>
              <w:pStyle w:val="26"/>
              <w:spacing w:before="78" w:line="219" w:lineRule="auto"/>
              <w:ind w:left="721"/>
            </w:pPr>
            <w:r>
              <w:rPr>
                <w:spacing w:val="-2"/>
              </w:rPr>
              <w:t>身份证复印件或扫描件正面</w:t>
            </w:r>
          </w:p>
        </w:tc>
      </w:tr>
    </w:tbl>
    <w:p w14:paraId="4C919AFD">
      <w:pPr>
        <w:rPr>
          <w:rFonts w:ascii="Arial"/>
          <w:sz w:val="21"/>
        </w:rPr>
      </w:pPr>
    </w:p>
    <w:p w14:paraId="2EDDE21D">
      <w:pPr>
        <w:rPr>
          <w:rFonts w:ascii="Arial" w:hAnsi="Arial" w:eastAsia="Arial" w:cs="Arial"/>
          <w:sz w:val="21"/>
          <w:szCs w:val="21"/>
        </w:rPr>
        <w:sectPr>
          <w:headerReference r:id="rId23" w:type="default"/>
          <w:footerReference r:id="rId24" w:type="default"/>
          <w:pgSz w:w="11910" w:h="16840"/>
          <w:pgMar w:top="1365" w:right="1083" w:bottom="1117" w:left="1072" w:header="1050" w:footer="884" w:gutter="0"/>
          <w:pgNumType w:fmt="decimal"/>
          <w:cols w:space="720" w:num="1"/>
        </w:sectPr>
      </w:pPr>
    </w:p>
    <w:p w14:paraId="2E223BDA">
      <w:pPr>
        <w:pStyle w:val="6"/>
        <w:spacing w:before="36" w:line="225" w:lineRule="auto"/>
        <w:ind w:left="2259"/>
        <w:rPr>
          <w:sz w:val="31"/>
          <w:szCs w:val="31"/>
        </w:rPr>
      </w:pPr>
      <w:r>
        <w:rPr>
          <w:spacing w:val="8"/>
          <w:sz w:val="31"/>
          <w:szCs w:val="31"/>
        </w:rPr>
        <w:t>二、多证合一营业执照复印件或扫描件</w:t>
      </w:r>
    </w:p>
    <w:p w14:paraId="67275810">
      <w:pPr>
        <w:spacing w:line="225" w:lineRule="auto"/>
        <w:rPr>
          <w:sz w:val="31"/>
          <w:szCs w:val="31"/>
        </w:rPr>
        <w:sectPr>
          <w:headerReference r:id="rId25" w:type="default"/>
          <w:footerReference r:id="rId26" w:type="default"/>
          <w:pgSz w:w="11910" w:h="16840"/>
          <w:pgMar w:top="1365" w:right="1083" w:bottom="1117" w:left="1080" w:header="1050" w:footer="884" w:gutter="0"/>
          <w:pgNumType w:fmt="decimal"/>
          <w:cols w:space="720" w:num="1"/>
        </w:sectPr>
      </w:pPr>
    </w:p>
    <w:p w14:paraId="6F9C6097">
      <w:pPr>
        <w:pStyle w:val="6"/>
        <w:spacing w:before="37" w:line="223" w:lineRule="auto"/>
        <w:ind w:left="2966"/>
        <w:rPr>
          <w:sz w:val="31"/>
          <w:szCs w:val="31"/>
        </w:rPr>
      </w:pPr>
      <w:r>
        <w:rPr>
          <w:spacing w:val="8"/>
          <w:sz w:val="31"/>
          <w:szCs w:val="31"/>
        </w:rPr>
        <w:t>三、财务状况报告相关材料</w:t>
      </w:r>
    </w:p>
    <w:p w14:paraId="668F7673">
      <w:pPr>
        <w:spacing w:line="223" w:lineRule="auto"/>
        <w:rPr>
          <w:sz w:val="31"/>
          <w:szCs w:val="31"/>
        </w:rPr>
        <w:sectPr>
          <w:footerReference r:id="rId27" w:type="default"/>
          <w:pgSz w:w="11910" w:h="16840"/>
          <w:pgMar w:top="1365" w:right="1083" w:bottom="1117" w:left="1080" w:header="1050" w:footer="884" w:gutter="0"/>
          <w:pgNumType w:fmt="decimal"/>
          <w:cols w:space="720" w:num="1"/>
        </w:sectPr>
      </w:pPr>
    </w:p>
    <w:p w14:paraId="3B95FA6B">
      <w:pPr>
        <w:pStyle w:val="6"/>
        <w:spacing w:before="41" w:line="224" w:lineRule="auto"/>
        <w:ind w:left="2838"/>
        <w:rPr>
          <w:sz w:val="31"/>
          <w:szCs w:val="31"/>
        </w:rPr>
      </w:pPr>
      <w:r>
        <w:rPr>
          <w:spacing w:val="6"/>
          <w:sz w:val="31"/>
          <w:szCs w:val="31"/>
        </w:rPr>
        <w:t>四、依法缴纳税收的相关材料</w:t>
      </w:r>
    </w:p>
    <w:p w14:paraId="1169E1E0">
      <w:pPr>
        <w:spacing w:line="224" w:lineRule="auto"/>
        <w:rPr>
          <w:sz w:val="31"/>
          <w:szCs w:val="31"/>
        </w:rPr>
        <w:sectPr>
          <w:footerReference r:id="rId28" w:type="default"/>
          <w:pgSz w:w="11910" w:h="16840"/>
          <w:pgMar w:top="1365" w:right="1083" w:bottom="1117" w:left="1080" w:header="1050" w:footer="884" w:gutter="0"/>
          <w:pgNumType w:fmt="decimal"/>
          <w:cols w:space="720" w:num="1"/>
        </w:sectPr>
      </w:pPr>
    </w:p>
    <w:p w14:paraId="0E6A312D">
      <w:pPr>
        <w:pStyle w:val="6"/>
        <w:spacing w:before="41" w:line="224" w:lineRule="auto"/>
        <w:ind w:left="2011"/>
        <w:rPr>
          <w:sz w:val="31"/>
          <w:szCs w:val="31"/>
        </w:rPr>
      </w:pPr>
      <w:r>
        <w:rPr>
          <w:spacing w:val="9"/>
          <w:sz w:val="31"/>
          <w:szCs w:val="31"/>
        </w:rPr>
        <w:t>五、依法缴纳社会保障资金证明相关材料</w:t>
      </w:r>
    </w:p>
    <w:p w14:paraId="0A2AE70C">
      <w:pPr>
        <w:spacing w:line="224" w:lineRule="auto"/>
        <w:rPr>
          <w:sz w:val="31"/>
          <w:szCs w:val="31"/>
        </w:rPr>
        <w:sectPr>
          <w:footerReference r:id="rId29" w:type="default"/>
          <w:pgSz w:w="11910" w:h="16840"/>
          <w:pgMar w:top="1365" w:right="1083" w:bottom="1117" w:left="1080" w:header="1050" w:footer="884" w:gutter="0"/>
          <w:pgNumType w:fmt="decimal"/>
          <w:cols w:space="720" w:num="1"/>
        </w:sectPr>
      </w:pPr>
    </w:p>
    <w:p w14:paraId="1FDD8D4C">
      <w:pPr>
        <w:pStyle w:val="6"/>
        <w:spacing w:before="41" w:line="225" w:lineRule="auto"/>
        <w:ind w:left="840"/>
        <w:rPr>
          <w:sz w:val="31"/>
          <w:szCs w:val="31"/>
        </w:rPr>
      </w:pPr>
      <w:r>
        <w:rPr>
          <w:spacing w:val="9"/>
          <w:sz w:val="31"/>
          <w:szCs w:val="31"/>
        </w:rPr>
        <w:t>六、履行合同所必需的设备和专业技术能力的承诺函及配备情况表</w:t>
      </w:r>
    </w:p>
    <w:p w14:paraId="20A843B8">
      <w:pPr>
        <w:spacing w:line="252" w:lineRule="auto"/>
        <w:rPr>
          <w:rFonts w:ascii="Arial"/>
          <w:sz w:val="21"/>
        </w:rPr>
      </w:pPr>
    </w:p>
    <w:p w14:paraId="351C3EC6">
      <w:pPr>
        <w:spacing w:line="253" w:lineRule="auto"/>
        <w:rPr>
          <w:rFonts w:ascii="Arial"/>
          <w:sz w:val="21"/>
        </w:rPr>
      </w:pPr>
    </w:p>
    <w:p w14:paraId="15E17578">
      <w:pPr>
        <w:spacing w:line="253" w:lineRule="auto"/>
        <w:rPr>
          <w:rFonts w:ascii="Arial"/>
          <w:sz w:val="21"/>
        </w:rPr>
      </w:pPr>
    </w:p>
    <w:p w14:paraId="082FC431">
      <w:pPr>
        <w:pStyle w:val="6"/>
        <w:spacing w:before="98" w:line="219" w:lineRule="auto"/>
        <w:ind w:left="2332"/>
        <w:outlineLvl w:val="1"/>
        <w:rPr>
          <w:sz w:val="30"/>
          <w:szCs w:val="30"/>
        </w:rPr>
      </w:pPr>
      <w:r>
        <w:rPr>
          <w:spacing w:val="-1"/>
          <w:sz w:val="30"/>
          <w:szCs w:val="30"/>
        </w:rPr>
        <w:t>履行合同所必需的设备和专业技术能力的承诺函</w:t>
      </w:r>
    </w:p>
    <w:p w14:paraId="49B29753">
      <w:pPr>
        <w:spacing w:line="420" w:lineRule="auto"/>
        <w:rPr>
          <w:rFonts w:ascii="Arial"/>
          <w:sz w:val="21"/>
        </w:rPr>
      </w:pPr>
    </w:p>
    <w:p w14:paraId="21146E47">
      <w:pPr>
        <w:pStyle w:val="6"/>
        <w:tabs>
          <w:tab w:val="left" w:pos="2526"/>
        </w:tabs>
        <w:spacing w:before="78" w:line="219" w:lineRule="auto"/>
        <w:ind w:left="590"/>
        <w:rPr>
          <w:sz w:val="24"/>
          <w:szCs w:val="24"/>
        </w:rPr>
      </w:pPr>
      <w:r>
        <w:rPr>
          <w:sz w:val="24"/>
          <w:szCs w:val="24"/>
          <w:u w:val="single" w:color="auto"/>
        </w:rPr>
        <w:tab/>
      </w:r>
      <w:r>
        <w:rPr>
          <w:spacing w:val="-23"/>
          <w:sz w:val="24"/>
          <w:szCs w:val="24"/>
          <w:u w:val="single" w:color="auto"/>
        </w:rPr>
        <w:t>（采购人名称</w:t>
      </w:r>
      <w:r>
        <w:rPr>
          <w:spacing w:val="15"/>
          <w:sz w:val="24"/>
          <w:szCs w:val="24"/>
          <w:u w:val="single" w:color="auto"/>
        </w:rPr>
        <w:t>）：</w:t>
      </w:r>
    </w:p>
    <w:p w14:paraId="0FA6C2F5">
      <w:pPr>
        <w:spacing w:line="323" w:lineRule="auto"/>
        <w:rPr>
          <w:rFonts w:ascii="Arial"/>
          <w:sz w:val="21"/>
        </w:rPr>
      </w:pPr>
    </w:p>
    <w:p w14:paraId="2712D2C9">
      <w:pPr>
        <w:pStyle w:val="6"/>
        <w:spacing w:before="78" w:line="364" w:lineRule="auto"/>
        <w:ind w:left="623" w:right="264" w:firstLine="578"/>
        <w:rPr>
          <w:sz w:val="24"/>
          <w:szCs w:val="24"/>
        </w:rPr>
      </w:pPr>
      <w:r>
        <w:rPr>
          <w:spacing w:val="1"/>
          <w:sz w:val="24"/>
          <w:szCs w:val="24"/>
        </w:rPr>
        <w:t>我单位参加贵单位组织的</w:t>
      </w:r>
      <w:r>
        <w:rPr>
          <w:spacing w:val="1"/>
          <w:sz w:val="24"/>
          <w:szCs w:val="24"/>
          <w:u w:val="single" w:color="auto"/>
        </w:rPr>
        <w:t xml:space="preserve">                         </w:t>
      </w:r>
      <w:r>
        <w:rPr>
          <w:spacing w:val="-112"/>
          <w:sz w:val="24"/>
          <w:szCs w:val="24"/>
        </w:rPr>
        <w:t xml:space="preserve"> </w:t>
      </w:r>
      <w:r>
        <w:rPr>
          <w:spacing w:val="1"/>
          <w:sz w:val="24"/>
          <w:szCs w:val="24"/>
        </w:rPr>
        <w:t>采购项</w:t>
      </w:r>
      <w:r>
        <w:rPr>
          <w:sz w:val="24"/>
          <w:szCs w:val="24"/>
        </w:rPr>
        <w:t xml:space="preserve">目，根据中华人民共和  </w:t>
      </w:r>
      <w:r>
        <w:rPr>
          <w:spacing w:val="-2"/>
          <w:sz w:val="24"/>
          <w:szCs w:val="24"/>
        </w:rPr>
        <w:t>国政府采购法第二十二条规定，我单位履行合同所必需的</w:t>
      </w:r>
      <w:r>
        <w:rPr>
          <w:spacing w:val="-3"/>
          <w:sz w:val="24"/>
          <w:szCs w:val="24"/>
        </w:rPr>
        <w:t>设备和专业技术能力的承诺如下：</w:t>
      </w:r>
    </w:p>
    <w:p w14:paraId="3EAFF7FA">
      <w:pPr>
        <w:pStyle w:val="6"/>
        <w:spacing w:line="219" w:lineRule="auto"/>
        <w:ind w:left="737"/>
        <w:rPr>
          <w:sz w:val="24"/>
          <w:szCs w:val="24"/>
        </w:rPr>
      </w:pPr>
      <w:r>
        <w:rPr>
          <w:spacing w:val="-1"/>
          <w:sz w:val="24"/>
          <w:szCs w:val="24"/>
        </w:rPr>
        <w:t>1、我单位具有履行合同所必需的设备和专业技</w:t>
      </w:r>
      <w:r>
        <w:rPr>
          <w:spacing w:val="-2"/>
          <w:sz w:val="24"/>
          <w:szCs w:val="24"/>
        </w:rPr>
        <w:t>术能力；</w:t>
      </w:r>
    </w:p>
    <w:p w14:paraId="32BAB0A7">
      <w:pPr>
        <w:pStyle w:val="6"/>
        <w:spacing w:before="184" w:line="315" w:lineRule="auto"/>
        <w:ind w:right="504" w:firstLine="722"/>
        <w:rPr>
          <w:sz w:val="24"/>
          <w:szCs w:val="24"/>
        </w:rPr>
      </w:pPr>
      <w:r>
        <w:rPr>
          <w:spacing w:val="1"/>
          <w:sz w:val="24"/>
          <w:szCs w:val="24"/>
        </w:rPr>
        <w:t>2、若我单位中标，在</w:t>
      </w:r>
      <w:r>
        <w:rPr>
          <w:spacing w:val="1"/>
          <w:sz w:val="24"/>
          <w:szCs w:val="24"/>
          <w:u w:val="single" w:color="auto"/>
        </w:rPr>
        <w:t xml:space="preserve">                           </w:t>
      </w:r>
      <w:r>
        <w:rPr>
          <w:spacing w:val="-112"/>
          <w:sz w:val="24"/>
          <w:szCs w:val="24"/>
        </w:rPr>
        <w:t xml:space="preserve"> </w:t>
      </w:r>
      <w:r>
        <w:rPr>
          <w:spacing w:val="1"/>
          <w:sz w:val="24"/>
          <w:szCs w:val="24"/>
        </w:rPr>
        <w:t>采</w:t>
      </w:r>
      <w:r>
        <w:rPr>
          <w:sz w:val="24"/>
          <w:szCs w:val="24"/>
        </w:rPr>
        <w:t>购项目实施及服务过程中，我单 位承诺完全按照投标文件中的履行合同所必需的设备和专业技术能力</w:t>
      </w:r>
      <w:r>
        <w:rPr>
          <w:spacing w:val="-1"/>
          <w:sz w:val="24"/>
          <w:szCs w:val="24"/>
        </w:rPr>
        <w:t>的配备情况配置人员及设</w:t>
      </w:r>
      <w:r>
        <w:rPr>
          <w:sz w:val="24"/>
          <w:szCs w:val="24"/>
        </w:rPr>
        <w:t xml:space="preserve"> 备，同时根据项目实施情况及采购人的要求增补相关人员及设</w:t>
      </w:r>
      <w:r>
        <w:rPr>
          <w:spacing w:val="-1"/>
          <w:sz w:val="24"/>
          <w:szCs w:val="24"/>
        </w:rPr>
        <w:t>备以保障项目顺利实施。</w:t>
      </w:r>
    </w:p>
    <w:p w14:paraId="5479A6AF">
      <w:pPr>
        <w:spacing w:line="425" w:lineRule="auto"/>
        <w:rPr>
          <w:rFonts w:ascii="Arial"/>
          <w:sz w:val="21"/>
        </w:rPr>
      </w:pPr>
    </w:p>
    <w:p w14:paraId="46FC626E">
      <w:pPr>
        <w:pStyle w:val="6"/>
        <w:spacing w:before="78" w:line="219" w:lineRule="auto"/>
        <w:ind w:left="599"/>
        <w:rPr>
          <w:sz w:val="24"/>
          <w:szCs w:val="24"/>
        </w:rPr>
      </w:pPr>
      <w:r>
        <w:rPr>
          <w:spacing w:val="-2"/>
          <w:sz w:val="24"/>
          <w:szCs w:val="24"/>
        </w:rPr>
        <w:t>特此承诺！</w:t>
      </w:r>
    </w:p>
    <w:p w14:paraId="001C4D43">
      <w:pPr>
        <w:spacing w:line="285" w:lineRule="auto"/>
        <w:rPr>
          <w:rFonts w:ascii="Arial"/>
          <w:sz w:val="21"/>
        </w:rPr>
      </w:pPr>
    </w:p>
    <w:p w14:paraId="7E32B2AE">
      <w:pPr>
        <w:spacing w:line="286" w:lineRule="auto"/>
        <w:rPr>
          <w:rFonts w:ascii="Arial"/>
          <w:sz w:val="21"/>
        </w:rPr>
      </w:pPr>
    </w:p>
    <w:p w14:paraId="24F0C303">
      <w:pPr>
        <w:spacing w:line="286" w:lineRule="auto"/>
        <w:rPr>
          <w:rFonts w:ascii="Arial"/>
          <w:sz w:val="21"/>
        </w:rPr>
      </w:pPr>
    </w:p>
    <w:p w14:paraId="0E1D3EDB">
      <w:pPr>
        <w:spacing w:line="286" w:lineRule="auto"/>
        <w:rPr>
          <w:rFonts w:ascii="Arial"/>
          <w:sz w:val="21"/>
        </w:rPr>
      </w:pPr>
    </w:p>
    <w:p w14:paraId="1D1D05D0">
      <w:pPr>
        <w:pStyle w:val="6"/>
        <w:spacing w:before="79" w:line="219" w:lineRule="auto"/>
        <w:ind w:left="3242"/>
        <w:rPr>
          <w:sz w:val="24"/>
          <w:szCs w:val="24"/>
        </w:rPr>
      </w:pPr>
      <w:r>
        <w:rPr>
          <w:spacing w:val="-1"/>
          <w:sz w:val="24"/>
          <w:szCs w:val="24"/>
        </w:rPr>
        <w:t>投标人名称（单位公章（盖企业电子章</w:t>
      </w:r>
      <w:r>
        <w:rPr>
          <w:spacing w:val="1"/>
          <w:sz w:val="24"/>
          <w:szCs w:val="24"/>
        </w:rPr>
        <w:t>））：</w:t>
      </w:r>
      <w:r>
        <w:rPr>
          <w:sz w:val="24"/>
          <w:szCs w:val="24"/>
          <w:u w:val="single" w:color="auto"/>
        </w:rPr>
        <w:t xml:space="preserve">          </w:t>
      </w:r>
    </w:p>
    <w:p w14:paraId="2544330F">
      <w:pPr>
        <w:spacing w:line="295" w:lineRule="auto"/>
        <w:rPr>
          <w:rFonts w:ascii="Arial"/>
          <w:sz w:val="21"/>
        </w:rPr>
      </w:pPr>
    </w:p>
    <w:p w14:paraId="1B0BF7AF">
      <w:pPr>
        <w:pStyle w:val="6"/>
        <w:spacing w:before="78" w:line="219" w:lineRule="auto"/>
        <w:ind w:left="3240"/>
        <w:rPr>
          <w:sz w:val="24"/>
          <w:szCs w:val="24"/>
        </w:rPr>
      </w:pPr>
      <w:r>
        <w:rPr>
          <w:spacing w:val="-1"/>
          <w:sz w:val="24"/>
          <w:szCs w:val="24"/>
        </w:rPr>
        <w:t>法定代表人或法定代表人授权委托代理人（签字或盖章</w:t>
      </w:r>
      <w:r>
        <w:rPr>
          <w:spacing w:val="6"/>
          <w:sz w:val="24"/>
          <w:szCs w:val="24"/>
        </w:rPr>
        <w:t>）：</w:t>
      </w:r>
      <w:r>
        <w:rPr>
          <w:sz w:val="24"/>
          <w:szCs w:val="24"/>
          <w:u w:val="single" w:color="auto"/>
        </w:rPr>
        <w:t xml:space="preserve">        </w:t>
      </w:r>
    </w:p>
    <w:p w14:paraId="44613907">
      <w:pPr>
        <w:spacing w:line="291" w:lineRule="auto"/>
        <w:rPr>
          <w:rFonts w:ascii="Arial"/>
          <w:sz w:val="21"/>
        </w:rPr>
      </w:pPr>
    </w:p>
    <w:p w14:paraId="6DEECDF7">
      <w:pPr>
        <w:pStyle w:val="6"/>
        <w:spacing w:before="79" w:line="219" w:lineRule="auto"/>
        <w:ind w:left="3283"/>
        <w:rPr>
          <w:sz w:val="24"/>
          <w:szCs w:val="24"/>
        </w:rPr>
      </w:pPr>
      <w:r>
        <w:rPr>
          <w:spacing w:val="-13"/>
          <w:sz w:val="24"/>
          <w:szCs w:val="24"/>
        </w:rPr>
        <w:t>日期：</w:t>
      </w:r>
      <w:r>
        <w:rPr>
          <w:spacing w:val="10"/>
          <w:sz w:val="24"/>
          <w:szCs w:val="24"/>
          <w:u w:val="single" w:color="auto"/>
        </w:rPr>
        <w:t xml:space="preserve">           </w:t>
      </w:r>
      <w:r>
        <w:rPr>
          <w:spacing w:val="-102"/>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784BADB9">
      <w:pPr>
        <w:spacing w:line="219" w:lineRule="auto"/>
        <w:rPr>
          <w:sz w:val="24"/>
          <w:szCs w:val="24"/>
        </w:rPr>
        <w:sectPr>
          <w:headerReference r:id="rId30" w:type="default"/>
          <w:footerReference r:id="rId31" w:type="default"/>
          <w:pgSz w:w="11910" w:h="16840"/>
          <w:pgMar w:top="1365" w:right="1025" w:bottom="1117" w:left="489" w:header="1050" w:footer="884" w:gutter="0"/>
          <w:pgNumType w:fmt="decimal"/>
          <w:cols w:space="720" w:num="1"/>
        </w:sectPr>
      </w:pPr>
    </w:p>
    <w:p w14:paraId="45A8E39F">
      <w:pPr>
        <w:pStyle w:val="6"/>
        <w:spacing w:before="36" w:line="225" w:lineRule="auto"/>
        <w:ind w:left="1318"/>
        <w:rPr>
          <w:sz w:val="31"/>
          <w:szCs w:val="31"/>
        </w:rPr>
      </w:pPr>
      <w:r>
        <w:rPr>
          <w:spacing w:val="9"/>
          <w:sz w:val="31"/>
          <w:szCs w:val="31"/>
        </w:rPr>
        <w:t>履行合同所必需的设备和专业技术能力的配备情况表</w:t>
      </w:r>
    </w:p>
    <w:p w14:paraId="23DDD4A3">
      <w:pPr>
        <w:pStyle w:val="6"/>
        <w:spacing w:before="96" w:line="219" w:lineRule="auto"/>
        <w:ind w:left="3673"/>
        <w:rPr>
          <w:sz w:val="24"/>
          <w:szCs w:val="24"/>
        </w:rPr>
      </w:pPr>
      <w:r>
        <w:rPr>
          <w:spacing w:val="-2"/>
          <w:sz w:val="24"/>
          <w:szCs w:val="24"/>
        </w:rPr>
        <w:t>主要专业技术人员配备表</w:t>
      </w:r>
    </w:p>
    <w:tbl>
      <w:tblPr>
        <w:tblStyle w:val="27"/>
        <w:tblW w:w="98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519"/>
        <w:gridCol w:w="2540"/>
        <w:gridCol w:w="2159"/>
        <w:gridCol w:w="2883"/>
      </w:tblGrid>
      <w:tr w14:paraId="4A197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31" w:type="dxa"/>
            <w:vAlign w:val="top"/>
          </w:tcPr>
          <w:p w14:paraId="599E0B76">
            <w:pPr>
              <w:pStyle w:val="26"/>
              <w:spacing w:before="92" w:line="221" w:lineRule="auto"/>
              <w:ind w:left="135"/>
            </w:pPr>
            <w:r>
              <w:rPr>
                <w:spacing w:val="-5"/>
              </w:rPr>
              <w:t>序号</w:t>
            </w:r>
          </w:p>
        </w:tc>
        <w:tc>
          <w:tcPr>
            <w:tcW w:w="1519" w:type="dxa"/>
            <w:vAlign w:val="top"/>
          </w:tcPr>
          <w:p w14:paraId="2A77DE0E">
            <w:pPr>
              <w:pStyle w:val="26"/>
              <w:spacing w:before="93" w:line="219" w:lineRule="auto"/>
              <w:ind w:left="530"/>
            </w:pPr>
            <w:r>
              <w:rPr>
                <w:spacing w:val="-5"/>
              </w:rPr>
              <w:t>姓名</w:t>
            </w:r>
          </w:p>
        </w:tc>
        <w:tc>
          <w:tcPr>
            <w:tcW w:w="2540" w:type="dxa"/>
            <w:vAlign w:val="top"/>
          </w:tcPr>
          <w:p w14:paraId="2F2233D5">
            <w:pPr>
              <w:pStyle w:val="26"/>
              <w:spacing w:before="92" w:line="221" w:lineRule="auto"/>
              <w:ind w:left="1044"/>
            </w:pPr>
            <w:r>
              <w:rPr>
                <w:spacing w:val="-8"/>
              </w:rPr>
              <w:t>学历</w:t>
            </w:r>
          </w:p>
        </w:tc>
        <w:tc>
          <w:tcPr>
            <w:tcW w:w="2159" w:type="dxa"/>
            <w:vAlign w:val="top"/>
          </w:tcPr>
          <w:p w14:paraId="0F14DD58">
            <w:pPr>
              <w:pStyle w:val="26"/>
              <w:spacing w:before="56" w:line="219" w:lineRule="auto"/>
              <w:ind w:left="251"/>
            </w:pPr>
            <w:r>
              <w:rPr>
                <w:spacing w:val="-2"/>
              </w:rPr>
              <w:t>拟在本合同任职</w:t>
            </w:r>
          </w:p>
        </w:tc>
        <w:tc>
          <w:tcPr>
            <w:tcW w:w="2883" w:type="dxa"/>
            <w:vAlign w:val="top"/>
          </w:tcPr>
          <w:p w14:paraId="20A03958">
            <w:pPr>
              <w:pStyle w:val="26"/>
              <w:spacing w:before="92" w:line="221" w:lineRule="auto"/>
              <w:ind w:left="1215"/>
            </w:pPr>
            <w:r>
              <w:rPr>
                <w:spacing w:val="-7"/>
              </w:rPr>
              <w:t>备注</w:t>
            </w:r>
          </w:p>
        </w:tc>
      </w:tr>
      <w:tr w14:paraId="474BA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1" w:type="dxa"/>
            <w:vAlign w:val="top"/>
          </w:tcPr>
          <w:p w14:paraId="642EECAB">
            <w:pPr>
              <w:pStyle w:val="26"/>
              <w:spacing w:before="120" w:line="241" w:lineRule="auto"/>
              <w:ind w:left="333"/>
            </w:pPr>
            <w:r>
              <w:t>1</w:t>
            </w:r>
          </w:p>
        </w:tc>
        <w:tc>
          <w:tcPr>
            <w:tcW w:w="1519" w:type="dxa"/>
            <w:vAlign w:val="top"/>
          </w:tcPr>
          <w:p w14:paraId="60A05FD8">
            <w:pPr>
              <w:rPr>
                <w:rFonts w:ascii="Arial"/>
                <w:sz w:val="21"/>
              </w:rPr>
            </w:pPr>
          </w:p>
        </w:tc>
        <w:tc>
          <w:tcPr>
            <w:tcW w:w="2540" w:type="dxa"/>
            <w:vAlign w:val="top"/>
          </w:tcPr>
          <w:p w14:paraId="1AB3CE5F">
            <w:pPr>
              <w:rPr>
                <w:rFonts w:ascii="Arial"/>
                <w:sz w:val="21"/>
              </w:rPr>
            </w:pPr>
          </w:p>
        </w:tc>
        <w:tc>
          <w:tcPr>
            <w:tcW w:w="2159" w:type="dxa"/>
            <w:vAlign w:val="top"/>
          </w:tcPr>
          <w:p w14:paraId="2D05115D">
            <w:pPr>
              <w:pStyle w:val="26"/>
              <w:spacing w:before="160" w:line="219" w:lineRule="auto"/>
              <w:ind w:left="641"/>
              <w:rPr>
                <w:sz w:val="18"/>
                <w:szCs w:val="18"/>
              </w:rPr>
            </w:pPr>
            <w:r>
              <w:rPr>
                <w:spacing w:val="-2"/>
                <w:sz w:val="18"/>
                <w:szCs w:val="18"/>
              </w:rPr>
              <w:t>项目负责人</w:t>
            </w:r>
          </w:p>
        </w:tc>
        <w:tc>
          <w:tcPr>
            <w:tcW w:w="2883" w:type="dxa"/>
            <w:vAlign w:val="top"/>
          </w:tcPr>
          <w:p w14:paraId="4C159BFF">
            <w:pPr>
              <w:rPr>
                <w:rFonts w:ascii="Arial"/>
                <w:sz w:val="21"/>
              </w:rPr>
            </w:pPr>
          </w:p>
        </w:tc>
      </w:tr>
      <w:tr w14:paraId="54CB9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1" w:type="dxa"/>
            <w:vAlign w:val="top"/>
          </w:tcPr>
          <w:p w14:paraId="3F24A50A">
            <w:pPr>
              <w:pStyle w:val="26"/>
              <w:spacing w:before="121" w:line="241" w:lineRule="auto"/>
              <w:ind w:left="319"/>
            </w:pPr>
            <w:r>
              <w:t>2</w:t>
            </w:r>
          </w:p>
        </w:tc>
        <w:tc>
          <w:tcPr>
            <w:tcW w:w="1519" w:type="dxa"/>
            <w:vAlign w:val="top"/>
          </w:tcPr>
          <w:p w14:paraId="07107A28">
            <w:pPr>
              <w:rPr>
                <w:rFonts w:ascii="Arial"/>
                <w:sz w:val="21"/>
              </w:rPr>
            </w:pPr>
          </w:p>
        </w:tc>
        <w:tc>
          <w:tcPr>
            <w:tcW w:w="2540" w:type="dxa"/>
            <w:vAlign w:val="top"/>
          </w:tcPr>
          <w:p w14:paraId="21784643">
            <w:pPr>
              <w:rPr>
                <w:rFonts w:ascii="Arial"/>
                <w:sz w:val="21"/>
              </w:rPr>
            </w:pPr>
          </w:p>
        </w:tc>
        <w:tc>
          <w:tcPr>
            <w:tcW w:w="2159" w:type="dxa"/>
            <w:vAlign w:val="top"/>
          </w:tcPr>
          <w:p w14:paraId="300CC22D">
            <w:pPr>
              <w:rPr>
                <w:rFonts w:ascii="Arial"/>
                <w:sz w:val="21"/>
              </w:rPr>
            </w:pPr>
          </w:p>
        </w:tc>
        <w:tc>
          <w:tcPr>
            <w:tcW w:w="2883" w:type="dxa"/>
            <w:vAlign w:val="top"/>
          </w:tcPr>
          <w:p w14:paraId="1303BAB5">
            <w:pPr>
              <w:rPr>
                <w:rFonts w:ascii="Arial"/>
                <w:sz w:val="21"/>
              </w:rPr>
            </w:pPr>
          </w:p>
        </w:tc>
      </w:tr>
      <w:tr w14:paraId="4AE54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1" w:type="dxa"/>
            <w:vAlign w:val="top"/>
          </w:tcPr>
          <w:p w14:paraId="70875EF1">
            <w:pPr>
              <w:pStyle w:val="26"/>
              <w:spacing w:before="120"/>
              <w:ind w:left="320"/>
            </w:pPr>
            <w:r>
              <w:t>3</w:t>
            </w:r>
          </w:p>
        </w:tc>
        <w:tc>
          <w:tcPr>
            <w:tcW w:w="1519" w:type="dxa"/>
            <w:vAlign w:val="top"/>
          </w:tcPr>
          <w:p w14:paraId="4ED980EE">
            <w:pPr>
              <w:rPr>
                <w:rFonts w:ascii="Arial"/>
                <w:sz w:val="21"/>
              </w:rPr>
            </w:pPr>
          </w:p>
        </w:tc>
        <w:tc>
          <w:tcPr>
            <w:tcW w:w="2540" w:type="dxa"/>
            <w:vAlign w:val="top"/>
          </w:tcPr>
          <w:p w14:paraId="57196CD9">
            <w:pPr>
              <w:rPr>
                <w:rFonts w:ascii="Arial"/>
                <w:sz w:val="21"/>
              </w:rPr>
            </w:pPr>
          </w:p>
        </w:tc>
        <w:tc>
          <w:tcPr>
            <w:tcW w:w="2159" w:type="dxa"/>
            <w:vAlign w:val="top"/>
          </w:tcPr>
          <w:p w14:paraId="5BF4A65A">
            <w:pPr>
              <w:rPr>
                <w:rFonts w:ascii="Arial"/>
                <w:sz w:val="21"/>
              </w:rPr>
            </w:pPr>
          </w:p>
        </w:tc>
        <w:tc>
          <w:tcPr>
            <w:tcW w:w="2883" w:type="dxa"/>
            <w:vAlign w:val="top"/>
          </w:tcPr>
          <w:p w14:paraId="5AEAAD0B">
            <w:pPr>
              <w:rPr>
                <w:rFonts w:ascii="Arial"/>
                <w:sz w:val="21"/>
              </w:rPr>
            </w:pPr>
          </w:p>
        </w:tc>
      </w:tr>
      <w:tr w14:paraId="316B5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1" w:type="dxa"/>
            <w:vAlign w:val="top"/>
          </w:tcPr>
          <w:p w14:paraId="34ECDEB9">
            <w:pPr>
              <w:pStyle w:val="26"/>
              <w:spacing w:before="123" w:line="241" w:lineRule="auto"/>
              <w:ind w:left="315"/>
            </w:pPr>
            <w:r>
              <w:t>4</w:t>
            </w:r>
          </w:p>
        </w:tc>
        <w:tc>
          <w:tcPr>
            <w:tcW w:w="1519" w:type="dxa"/>
            <w:vAlign w:val="top"/>
          </w:tcPr>
          <w:p w14:paraId="20929FF2">
            <w:pPr>
              <w:rPr>
                <w:rFonts w:ascii="Arial"/>
                <w:sz w:val="21"/>
              </w:rPr>
            </w:pPr>
          </w:p>
        </w:tc>
        <w:tc>
          <w:tcPr>
            <w:tcW w:w="2540" w:type="dxa"/>
            <w:vAlign w:val="top"/>
          </w:tcPr>
          <w:p w14:paraId="50ED108F">
            <w:pPr>
              <w:rPr>
                <w:rFonts w:ascii="Arial"/>
                <w:sz w:val="21"/>
              </w:rPr>
            </w:pPr>
          </w:p>
        </w:tc>
        <w:tc>
          <w:tcPr>
            <w:tcW w:w="2159" w:type="dxa"/>
            <w:vAlign w:val="top"/>
          </w:tcPr>
          <w:p w14:paraId="22D56C1F">
            <w:pPr>
              <w:rPr>
                <w:rFonts w:ascii="Arial"/>
                <w:sz w:val="21"/>
              </w:rPr>
            </w:pPr>
          </w:p>
        </w:tc>
        <w:tc>
          <w:tcPr>
            <w:tcW w:w="2883" w:type="dxa"/>
            <w:vAlign w:val="top"/>
          </w:tcPr>
          <w:p w14:paraId="16CFE59D">
            <w:pPr>
              <w:rPr>
                <w:rFonts w:ascii="Arial"/>
                <w:sz w:val="21"/>
              </w:rPr>
            </w:pPr>
          </w:p>
        </w:tc>
      </w:tr>
      <w:tr w14:paraId="35D11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31" w:type="dxa"/>
            <w:vAlign w:val="top"/>
          </w:tcPr>
          <w:p w14:paraId="056BFF9D">
            <w:pPr>
              <w:pStyle w:val="26"/>
              <w:spacing w:before="123"/>
              <w:ind w:left="320"/>
            </w:pPr>
            <w:r>
              <w:t>5</w:t>
            </w:r>
          </w:p>
        </w:tc>
        <w:tc>
          <w:tcPr>
            <w:tcW w:w="1519" w:type="dxa"/>
            <w:vAlign w:val="top"/>
          </w:tcPr>
          <w:p w14:paraId="3E328C9B">
            <w:pPr>
              <w:rPr>
                <w:rFonts w:ascii="Arial"/>
                <w:sz w:val="21"/>
              </w:rPr>
            </w:pPr>
          </w:p>
        </w:tc>
        <w:tc>
          <w:tcPr>
            <w:tcW w:w="2540" w:type="dxa"/>
            <w:vAlign w:val="top"/>
          </w:tcPr>
          <w:p w14:paraId="176BAB4E">
            <w:pPr>
              <w:rPr>
                <w:rFonts w:ascii="Arial"/>
                <w:sz w:val="21"/>
              </w:rPr>
            </w:pPr>
          </w:p>
        </w:tc>
        <w:tc>
          <w:tcPr>
            <w:tcW w:w="2159" w:type="dxa"/>
            <w:vAlign w:val="top"/>
          </w:tcPr>
          <w:p w14:paraId="27C15F39">
            <w:pPr>
              <w:rPr>
                <w:rFonts w:ascii="Arial"/>
                <w:sz w:val="21"/>
              </w:rPr>
            </w:pPr>
          </w:p>
        </w:tc>
        <w:tc>
          <w:tcPr>
            <w:tcW w:w="2883" w:type="dxa"/>
            <w:vAlign w:val="top"/>
          </w:tcPr>
          <w:p w14:paraId="12FE78CE">
            <w:pPr>
              <w:rPr>
                <w:rFonts w:ascii="Arial"/>
                <w:sz w:val="21"/>
              </w:rPr>
            </w:pPr>
          </w:p>
        </w:tc>
      </w:tr>
      <w:tr w14:paraId="67016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1" w:type="dxa"/>
            <w:vAlign w:val="top"/>
          </w:tcPr>
          <w:p w14:paraId="05A9F682">
            <w:pPr>
              <w:pStyle w:val="26"/>
              <w:spacing w:before="68" w:line="268" w:lineRule="exact"/>
              <w:ind w:left="326"/>
              <w:rPr>
                <w:sz w:val="20"/>
                <w:szCs w:val="20"/>
              </w:rPr>
            </w:pPr>
            <w:r>
              <w:rPr>
                <w:position w:val="1"/>
                <w:sz w:val="20"/>
                <w:szCs w:val="20"/>
              </w:rPr>
              <w:t>6</w:t>
            </w:r>
          </w:p>
        </w:tc>
        <w:tc>
          <w:tcPr>
            <w:tcW w:w="1519" w:type="dxa"/>
            <w:vAlign w:val="top"/>
          </w:tcPr>
          <w:p w14:paraId="3E78C85B">
            <w:pPr>
              <w:rPr>
                <w:rFonts w:ascii="Arial"/>
                <w:sz w:val="21"/>
              </w:rPr>
            </w:pPr>
          </w:p>
        </w:tc>
        <w:tc>
          <w:tcPr>
            <w:tcW w:w="2540" w:type="dxa"/>
            <w:vAlign w:val="top"/>
          </w:tcPr>
          <w:p w14:paraId="44C61AD7">
            <w:pPr>
              <w:rPr>
                <w:rFonts w:ascii="Arial"/>
                <w:sz w:val="21"/>
              </w:rPr>
            </w:pPr>
          </w:p>
        </w:tc>
        <w:tc>
          <w:tcPr>
            <w:tcW w:w="2159" w:type="dxa"/>
            <w:vAlign w:val="top"/>
          </w:tcPr>
          <w:p w14:paraId="605AC674">
            <w:pPr>
              <w:rPr>
                <w:rFonts w:ascii="Arial"/>
                <w:sz w:val="21"/>
              </w:rPr>
            </w:pPr>
          </w:p>
        </w:tc>
        <w:tc>
          <w:tcPr>
            <w:tcW w:w="2883" w:type="dxa"/>
            <w:vAlign w:val="top"/>
          </w:tcPr>
          <w:p w14:paraId="66564D31">
            <w:pPr>
              <w:rPr>
                <w:rFonts w:ascii="Arial"/>
                <w:sz w:val="21"/>
              </w:rPr>
            </w:pPr>
          </w:p>
        </w:tc>
      </w:tr>
      <w:tr w14:paraId="62436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1" w:type="dxa"/>
            <w:vAlign w:val="top"/>
          </w:tcPr>
          <w:p w14:paraId="4663C2AE">
            <w:pPr>
              <w:rPr>
                <w:rFonts w:ascii="Arial"/>
                <w:sz w:val="21"/>
              </w:rPr>
            </w:pPr>
          </w:p>
        </w:tc>
        <w:tc>
          <w:tcPr>
            <w:tcW w:w="1519" w:type="dxa"/>
            <w:vAlign w:val="top"/>
          </w:tcPr>
          <w:p w14:paraId="038ADA5F">
            <w:pPr>
              <w:pStyle w:val="26"/>
              <w:spacing w:before="180" w:line="378" w:lineRule="exact"/>
              <w:ind w:left="185"/>
            </w:pPr>
            <w:r>
              <w:rPr>
                <w:spacing w:val="-5"/>
                <w:position w:val="3"/>
              </w:rPr>
              <w:t>……………</w:t>
            </w:r>
          </w:p>
        </w:tc>
        <w:tc>
          <w:tcPr>
            <w:tcW w:w="2540" w:type="dxa"/>
            <w:vAlign w:val="top"/>
          </w:tcPr>
          <w:p w14:paraId="4FF074B5">
            <w:pPr>
              <w:pStyle w:val="26"/>
              <w:spacing w:before="180" w:line="378" w:lineRule="exact"/>
              <w:ind w:left="934"/>
            </w:pPr>
            <w:r>
              <w:rPr>
                <w:spacing w:val="-9"/>
                <w:position w:val="3"/>
              </w:rPr>
              <w:t>………</w:t>
            </w:r>
          </w:p>
        </w:tc>
        <w:tc>
          <w:tcPr>
            <w:tcW w:w="2159" w:type="dxa"/>
            <w:vAlign w:val="top"/>
          </w:tcPr>
          <w:p w14:paraId="14D5CB0D">
            <w:pPr>
              <w:pStyle w:val="26"/>
              <w:spacing w:before="58" w:line="378" w:lineRule="exact"/>
              <w:ind w:left="626"/>
            </w:pPr>
            <w:r>
              <w:rPr>
                <w:spacing w:val="-7"/>
                <w:position w:val="3"/>
              </w:rPr>
              <w:t>…………</w:t>
            </w:r>
          </w:p>
        </w:tc>
        <w:tc>
          <w:tcPr>
            <w:tcW w:w="2883" w:type="dxa"/>
            <w:vAlign w:val="top"/>
          </w:tcPr>
          <w:p w14:paraId="53DE53E0">
            <w:pPr>
              <w:pStyle w:val="26"/>
              <w:spacing w:before="180" w:line="378" w:lineRule="exact"/>
              <w:ind w:left="987"/>
            </w:pPr>
            <w:r>
              <w:rPr>
                <w:spacing w:val="-7"/>
                <w:position w:val="3"/>
              </w:rPr>
              <w:t>…………</w:t>
            </w:r>
          </w:p>
        </w:tc>
      </w:tr>
    </w:tbl>
    <w:p w14:paraId="382EC354">
      <w:pPr>
        <w:pStyle w:val="6"/>
        <w:spacing w:before="117" w:line="220" w:lineRule="auto"/>
        <w:ind w:left="3435"/>
        <w:rPr>
          <w:sz w:val="24"/>
          <w:szCs w:val="24"/>
        </w:rPr>
      </w:pPr>
      <w:r>
        <w:rPr>
          <w:spacing w:val="-2"/>
          <w:sz w:val="24"/>
          <w:szCs w:val="24"/>
        </w:rPr>
        <w:t>履行合同所必需的主要设备表</w:t>
      </w:r>
    </w:p>
    <w:p w14:paraId="7F3AC971">
      <w:pPr>
        <w:spacing w:before="166"/>
      </w:pPr>
    </w:p>
    <w:tbl>
      <w:tblPr>
        <w:tblStyle w:val="27"/>
        <w:tblW w:w="98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518"/>
        <w:gridCol w:w="2069"/>
        <w:gridCol w:w="2414"/>
        <w:gridCol w:w="2089"/>
      </w:tblGrid>
      <w:tr w14:paraId="50BB4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742" w:type="dxa"/>
            <w:vAlign w:val="top"/>
          </w:tcPr>
          <w:p w14:paraId="37E03A28">
            <w:pPr>
              <w:pStyle w:val="26"/>
              <w:spacing w:before="300" w:line="221" w:lineRule="auto"/>
              <w:ind w:left="142"/>
            </w:pPr>
            <w:r>
              <w:rPr>
                <w:spacing w:val="-5"/>
              </w:rPr>
              <w:t>序号</w:t>
            </w:r>
          </w:p>
        </w:tc>
        <w:tc>
          <w:tcPr>
            <w:tcW w:w="2518" w:type="dxa"/>
            <w:vAlign w:val="top"/>
          </w:tcPr>
          <w:p w14:paraId="566CFB60">
            <w:pPr>
              <w:pStyle w:val="26"/>
              <w:spacing w:before="300" w:line="221" w:lineRule="auto"/>
              <w:ind w:left="792"/>
            </w:pPr>
            <w:r>
              <w:rPr>
                <w:spacing w:val="-4"/>
              </w:rPr>
              <w:t>设备名称</w:t>
            </w:r>
          </w:p>
        </w:tc>
        <w:tc>
          <w:tcPr>
            <w:tcW w:w="2069" w:type="dxa"/>
            <w:vAlign w:val="top"/>
          </w:tcPr>
          <w:p w14:paraId="36810695">
            <w:pPr>
              <w:pStyle w:val="26"/>
              <w:spacing w:before="300" w:line="220" w:lineRule="auto"/>
              <w:ind w:left="567"/>
            </w:pPr>
            <w:r>
              <w:rPr>
                <w:spacing w:val="-3"/>
              </w:rPr>
              <w:t>计量单位</w:t>
            </w:r>
          </w:p>
        </w:tc>
        <w:tc>
          <w:tcPr>
            <w:tcW w:w="2414" w:type="dxa"/>
            <w:vAlign w:val="top"/>
          </w:tcPr>
          <w:p w14:paraId="4549357F">
            <w:pPr>
              <w:pStyle w:val="26"/>
              <w:spacing w:before="301" w:line="219" w:lineRule="auto"/>
              <w:ind w:left="981"/>
            </w:pPr>
            <w:r>
              <w:rPr>
                <w:spacing w:val="-6"/>
              </w:rPr>
              <w:t>数量</w:t>
            </w:r>
          </w:p>
        </w:tc>
        <w:tc>
          <w:tcPr>
            <w:tcW w:w="2089" w:type="dxa"/>
            <w:vAlign w:val="top"/>
          </w:tcPr>
          <w:p w14:paraId="4142D753">
            <w:pPr>
              <w:pStyle w:val="26"/>
              <w:spacing w:before="300" w:line="221" w:lineRule="auto"/>
              <w:ind w:left="817"/>
            </w:pPr>
            <w:r>
              <w:rPr>
                <w:spacing w:val="-7"/>
              </w:rPr>
              <w:t>备注</w:t>
            </w:r>
          </w:p>
        </w:tc>
      </w:tr>
      <w:tr w14:paraId="59EC9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42" w:type="dxa"/>
            <w:vAlign w:val="top"/>
          </w:tcPr>
          <w:p w14:paraId="2D30DDA6">
            <w:pPr>
              <w:pStyle w:val="26"/>
              <w:spacing w:before="91" w:line="230" w:lineRule="auto"/>
              <w:ind w:left="341"/>
            </w:pPr>
            <w:r>
              <w:t>1</w:t>
            </w:r>
          </w:p>
        </w:tc>
        <w:tc>
          <w:tcPr>
            <w:tcW w:w="2518" w:type="dxa"/>
            <w:vAlign w:val="top"/>
          </w:tcPr>
          <w:p w14:paraId="7EF5E360">
            <w:pPr>
              <w:rPr>
                <w:rFonts w:ascii="Arial"/>
                <w:sz w:val="21"/>
              </w:rPr>
            </w:pPr>
          </w:p>
        </w:tc>
        <w:tc>
          <w:tcPr>
            <w:tcW w:w="2069" w:type="dxa"/>
            <w:vAlign w:val="top"/>
          </w:tcPr>
          <w:p w14:paraId="579ADC26">
            <w:pPr>
              <w:rPr>
                <w:rFonts w:ascii="Arial"/>
                <w:sz w:val="21"/>
              </w:rPr>
            </w:pPr>
          </w:p>
        </w:tc>
        <w:tc>
          <w:tcPr>
            <w:tcW w:w="2414" w:type="dxa"/>
            <w:vAlign w:val="top"/>
          </w:tcPr>
          <w:p w14:paraId="1D2903FD">
            <w:pPr>
              <w:rPr>
                <w:rFonts w:ascii="Arial"/>
                <w:sz w:val="21"/>
              </w:rPr>
            </w:pPr>
          </w:p>
        </w:tc>
        <w:tc>
          <w:tcPr>
            <w:tcW w:w="2089" w:type="dxa"/>
            <w:vAlign w:val="top"/>
          </w:tcPr>
          <w:p w14:paraId="0B091E52">
            <w:pPr>
              <w:rPr>
                <w:rFonts w:ascii="Arial"/>
                <w:sz w:val="21"/>
              </w:rPr>
            </w:pPr>
          </w:p>
        </w:tc>
      </w:tr>
      <w:tr w14:paraId="767F8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42" w:type="dxa"/>
            <w:vAlign w:val="top"/>
          </w:tcPr>
          <w:p w14:paraId="2967A924">
            <w:pPr>
              <w:pStyle w:val="26"/>
              <w:spacing w:before="91" w:line="230" w:lineRule="auto"/>
              <w:ind w:left="326"/>
            </w:pPr>
            <w:r>
              <w:t>2</w:t>
            </w:r>
          </w:p>
        </w:tc>
        <w:tc>
          <w:tcPr>
            <w:tcW w:w="2518" w:type="dxa"/>
            <w:vAlign w:val="top"/>
          </w:tcPr>
          <w:p w14:paraId="75D244FF">
            <w:pPr>
              <w:rPr>
                <w:rFonts w:ascii="Arial"/>
                <w:sz w:val="21"/>
              </w:rPr>
            </w:pPr>
          </w:p>
        </w:tc>
        <w:tc>
          <w:tcPr>
            <w:tcW w:w="2069" w:type="dxa"/>
            <w:vAlign w:val="top"/>
          </w:tcPr>
          <w:p w14:paraId="36366BD9">
            <w:pPr>
              <w:rPr>
                <w:rFonts w:ascii="Arial"/>
                <w:sz w:val="21"/>
              </w:rPr>
            </w:pPr>
          </w:p>
        </w:tc>
        <w:tc>
          <w:tcPr>
            <w:tcW w:w="2414" w:type="dxa"/>
            <w:vAlign w:val="top"/>
          </w:tcPr>
          <w:p w14:paraId="0C0828A3">
            <w:pPr>
              <w:rPr>
                <w:rFonts w:ascii="Arial"/>
                <w:sz w:val="21"/>
              </w:rPr>
            </w:pPr>
          </w:p>
        </w:tc>
        <w:tc>
          <w:tcPr>
            <w:tcW w:w="2089" w:type="dxa"/>
            <w:vAlign w:val="top"/>
          </w:tcPr>
          <w:p w14:paraId="69F1B87B">
            <w:pPr>
              <w:rPr>
                <w:rFonts w:ascii="Arial"/>
                <w:sz w:val="21"/>
              </w:rPr>
            </w:pPr>
          </w:p>
        </w:tc>
      </w:tr>
      <w:tr w14:paraId="4E6C8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42" w:type="dxa"/>
            <w:vAlign w:val="top"/>
          </w:tcPr>
          <w:p w14:paraId="084C0E30">
            <w:pPr>
              <w:pStyle w:val="26"/>
              <w:spacing w:before="94" w:line="228" w:lineRule="auto"/>
              <w:ind w:left="328"/>
            </w:pPr>
            <w:r>
              <w:t>3</w:t>
            </w:r>
          </w:p>
        </w:tc>
        <w:tc>
          <w:tcPr>
            <w:tcW w:w="2518" w:type="dxa"/>
            <w:vAlign w:val="top"/>
          </w:tcPr>
          <w:p w14:paraId="4271D32F">
            <w:pPr>
              <w:rPr>
                <w:rFonts w:ascii="Arial"/>
                <w:sz w:val="21"/>
              </w:rPr>
            </w:pPr>
          </w:p>
        </w:tc>
        <w:tc>
          <w:tcPr>
            <w:tcW w:w="2069" w:type="dxa"/>
            <w:vAlign w:val="top"/>
          </w:tcPr>
          <w:p w14:paraId="564023A1">
            <w:pPr>
              <w:rPr>
                <w:rFonts w:ascii="Arial"/>
                <w:sz w:val="21"/>
              </w:rPr>
            </w:pPr>
          </w:p>
        </w:tc>
        <w:tc>
          <w:tcPr>
            <w:tcW w:w="2414" w:type="dxa"/>
            <w:vAlign w:val="top"/>
          </w:tcPr>
          <w:p w14:paraId="2EB05F9C">
            <w:pPr>
              <w:rPr>
                <w:rFonts w:ascii="Arial"/>
                <w:sz w:val="21"/>
              </w:rPr>
            </w:pPr>
          </w:p>
        </w:tc>
        <w:tc>
          <w:tcPr>
            <w:tcW w:w="2089" w:type="dxa"/>
            <w:vAlign w:val="top"/>
          </w:tcPr>
          <w:p w14:paraId="2F7FEA25">
            <w:pPr>
              <w:rPr>
                <w:rFonts w:ascii="Arial"/>
                <w:sz w:val="21"/>
              </w:rPr>
            </w:pPr>
          </w:p>
        </w:tc>
      </w:tr>
      <w:tr w14:paraId="048FE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42" w:type="dxa"/>
            <w:vAlign w:val="top"/>
          </w:tcPr>
          <w:p w14:paraId="772557AC">
            <w:pPr>
              <w:rPr>
                <w:rFonts w:ascii="Arial"/>
                <w:sz w:val="21"/>
              </w:rPr>
            </w:pPr>
          </w:p>
        </w:tc>
        <w:tc>
          <w:tcPr>
            <w:tcW w:w="2518" w:type="dxa"/>
            <w:vAlign w:val="top"/>
          </w:tcPr>
          <w:p w14:paraId="6C5D92E1">
            <w:pPr>
              <w:pStyle w:val="26"/>
              <w:spacing w:before="94" w:line="232" w:lineRule="auto"/>
              <w:ind w:left="683"/>
            </w:pPr>
            <w:r>
              <w:rPr>
                <w:spacing w:val="-5"/>
              </w:rPr>
              <w:t>……………</w:t>
            </w:r>
          </w:p>
        </w:tc>
        <w:tc>
          <w:tcPr>
            <w:tcW w:w="2069" w:type="dxa"/>
            <w:vAlign w:val="top"/>
          </w:tcPr>
          <w:p w14:paraId="3DEB191A">
            <w:pPr>
              <w:pStyle w:val="26"/>
              <w:spacing w:before="94" w:line="232" w:lineRule="auto"/>
              <w:ind w:left="702"/>
            </w:pPr>
            <w:r>
              <w:rPr>
                <w:spacing w:val="-9"/>
              </w:rPr>
              <w:t>………</w:t>
            </w:r>
          </w:p>
        </w:tc>
        <w:tc>
          <w:tcPr>
            <w:tcW w:w="2414" w:type="dxa"/>
            <w:vAlign w:val="top"/>
          </w:tcPr>
          <w:p w14:paraId="38D4FAA1">
            <w:pPr>
              <w:pStyle w:val="26"/>
              <w:spacing w:before="94" w:line="232" w:lineRule="auto"/>
              <w:ind w:left="755"/>
            </w:pPr>
            <w:r>
              <w:rPr>
                <w:spacing w:val="-7"/>
              </w:rPr>
              <w:t>…………</w:t>
            </w:r>
          </w:p>
        </w:tc>
        <w:tc>
          <w:tcPr>
            <w:tcW w:w="2089" w:type="dxa"/>
            <w:vAlign w:val="top"/>
          </w:tcPr>
          <w:p w14:paraId="1B6DB506">
            <w:pPr>
              <w:pStyle w:val="26"/>
              <w:spacing w:before="94" w:line="232" w:lineRule="auto"/>
              <w:ind w:left="589"/>
            </w:pPr>
            <w:r>
              <w:rPr>
                <w:spacing w:val="-7"/>
              </w:rPr>
              <w:t>…………</w:t>
            </w:r>
          </w:p>
        </w:tc>
      </w:tr>
    </w:tbl>
    <w:p w14:paraId="39E72A15">
      <w:pPr>
        <w:spacing w:line="261" w:lineRule="auto"/>
        <w:rPr>
          <w:rFonts w:ascii="Arial"/>
          <w:sz w:val="21"/>
        </w:rPr>
      </w:pPr>
    </w:p>
    <w:p w14:paraId="7A70B164">
      <w:pPr>
        <w:spacing w:line="261" w:lineRule="auto"/>
        <w:rPr>
          <w:rFonts w:ascii="Arial"/>
          <w:sz w:val="21"/>
        </w:rPr>
      </w:pPr>
    </w:p>
    <w:p w14:paraId="764A6D43">
      <w:pPr>
        <w:pStyle w:val="6"/>
        <w:spacing w:before="78" w:line="219" w:lineRule="auto"/>
        <w:ind w:left="118"/>
        <w:rPr>
          <w:sz w:val="24"/>
          <w:szCs w:val="24"/>
        </w:rPr>
      </w:pPr>
      <w:r>
        <w:rPr>
          <w:spacing w:val="-1"/>
          <w:sz w:val="24"/>
          <w:szCs w:val="24"/>
        </w:rPr>
        <w:t>本表投标人可自行扩展。</w:t>
      </w:r>
    </w:p>
    <w:p w14:paraId="3F229AC5">
      <w:pPr>
        <w:spacing w:line="247" w:lineRule="auto"/>
        <w:rPr>
          <w:rFonts w:ascii="Arial"/>
          <w:sz w:val="21"/>
        </w:rPr>
      </w:pPr>
    </w:p>
    <w:p w14:paraId="29068F69">
      <w:pPr>
        <w:spacing w:line="248" w:lineRule="auto"/>
        <w:rPr>
          <w:rFonts w:ascii="Arial"/>
          <w:sz w:val="21"/>
        </w:rPr>
      </w:pPr>
    </w:p>
    <w:p w14:paraId="13603AC2">
      <w:pPr>
        <w:spacing w:line="248" w:lineRule="auto"/>
        <w:rPr>
          <w:rFonts w:ascii="Arial"/>
          <w:sz w:val="21"/>
        </w:rPr>
      </w:pPr>
    </w:p>
    <w:p w14:paraId="0D71F159">
      <w:pPr>
        <w:pStyle w:val="6"/>
        <w:spacing w:before="79" w:line="219" w:lineRule="auto"/>
        <w:ind w:left="2280"/>
        <w:rPr>
          <w:sz w:val="24"/>
          <w:szCs w:val="24"/>
        </w:rPr>
      </w:pPr>
      <w:r>
        <w:rPr>
          <w:spacing w:val="-1"/>
          <w:sz w:val="24"/>
          <w:szCs w:val="24"/>
        </w:rPr>
        <w:t>投标人名称（单位公章（盖企业电子章</w:t>
      </w:r>
      <w:r>
        <w:rPr>
          <w:spacing w:val="1"/>
          <w:sz w:val="24"/>
          <w:szCs w:val="24"/>
        </w:rPr>
        <w:t>））：</w:t>
      </w:r>
      <w:r>
        <w:rPr>
          <w:sz w:val="24"/>
          <w:szCs w:val="24"/>
          <w:u w:val="single" w:color="auto"/>
        </w:rPr>
        <w:t xml:space="preserve">          </w:t>
      </w:r>
    </w:p>
    <w:p w14:paraId="43C3D146">
      <w:pPr>
        <w:spacing w:line="290" w:lineRule="auto"/>
        <w:rPr>
          <w:rFonts w:ascii="Arial"/>
          <w:sz w:val="21"/>
        </w:rPr>
      </w:pPr>
    </w:p>
    <w:p w14:paraId="7FAC361B">
      <w:pPr>
        <w:pStyle w:val="6"/>
        <w:spacing w:before="79" w:line="219" w:lineRule="auto"/>
        <w:ind w:left="2278"/>
        <w:rPr>
          <w:sz w:val="24"/>
          <w:szCs w:val="24"/>
        </w:rPr>
      </w:pPr>
      <w:r>
        <w:rPr>
          <w:spacing w:val="-1"/>
          <w:sz w:val="24"/>
          <w:szCs w:val="24"/>
        </w:rPr>
        <w:t>法定代表人或法定代表人授权委托代理人（签字或盖章</w:t>
      </w:r>
      <w:r>
        <w:rPr>
          <w:spacing w:val="6"/>
          <w:sz w:val="24"/>
          <w:szCs w:val="24"/>
        </w:rPr>
        <w:t>）：</w:t>
      </w:r>
      <w:r>
        <w:rPr>
          <w:sz w:val="24"/>
          <w:szCs w:val="24"/>
          <w:u w:val="single" w:color="auto"/>
        </w:rPr>
        <w:t xml:space="preserve">          </w:t>
      </w:r>
    </w:p>
    <w:p w14:paraId="565A69F6">
      <w:pPr>
        <w:spacing w:line="294" w:lineRule="auto"/>
        <w:rPr>
          <w:rFonts w:ascii="Arial"/>
          <w:sz w:val="21"/>
        </w:rPr>
      </w:pPr>
    </w:p>
    <w:p w14:paraId="2FB66E62">
      <w:pPr>
        <w:pStyle w:val="6"/>
        <w:spacing w:before="78" w:line="219" w:lineRule="auto"/>
        <w:ind w:left="2318"/>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200C2047">
      <w:pPr>
        <w:spacing w:line="219" w:lineRule="auto"/>
        <w:rPr>
          <w:sz w:val="24"/>
          <w:szCs w:val="24"/>
        </w:rPr>
        <w:sectPr>
          <w:headerReference r:id="rId32" w:type="default"/>
          <w:footerReference r:id="rId33" w:type="default"/>
          <w:pgSz w:w="11910" w:h="16840"/>
          <w:pgMar w:top="1365" w:right="1083" w:bottom="1117" w:left="972" w:header="1050" w:footer="884" w:gutter="0"/>
          <w:pgNumType w:fmt="decimal"/>
          <w:cols w:space="720" w:num="1"/>
        </w:sectPr>
      </w:pPr>
    </w:p>
    <w:p w14:paraId="27C32DD7">
      <w:pPr>
        <w:pStyle w:val="6"/>
        <w:spacing w:line="218" w:lineRule="auto"/>
        <w:jc w:val="right"/>
        <w:rPr>
          <w:sz w:val="30"/>
          <w:szCs w:val="30"/>
        </w:rPr>
      </w:pPr>
      <w:r>
        <w:rPr>
          <w:sz w:val="30"/>
          <w:szCs w:val="30"/>
        </w:rPr>
        <w:t>七、参加政府采购活动前 3 年内在经营活动中没</w:t>
      </w:r>
      <w:r>
        <w:rPr>
          <w:spacing w:val="-1"/>
          <w:sz w:val="30"/>
          <w:szCs w:val="30"/>
        </w:rPr>
        <w:t>有重大违法记录书面声明</w:t>
      </w:r>
    </w:p>
    <w:p w14:paraId="2614EE04">
      <w:pPr>
        <w:spacing w:line="423" w:lineRule="auto"/>
        <w:rPr>
          <w:rFonts w:ascii="Arial"/>
          <w:sz w:val="21"/>
        </w:rPr>
      </w:pPr>
    </w:p>
    <w:p w14:paraId="1AB879FF">
      <w:pPr>
        <w:pStyle w:val="6"/>
        <w:tabs>
          <w:tab w:val="left" w:pos="1935"/>
        </w:tabs>
        <w:spacing w:before="78" w:line="219" w:lineRule="auto"/>
        <w:rPr>
          <w:sz w:val="24"/>
          <w:szCs w:val="24"/>
        </w:rPr>
      </w:pPr>
      <w:r>
        <w:rPr>
          <w:sz w:val="24"/>
          <w:szCs w:val="24"/>
          <w:u w:val="single" w:color="auto"/>
        </w:rPr>
        <w:tab/>
      </w:r>
      <w:r>
        <w:rPr>
          <w:spacing w:val="-23"/>
          <w:sz w:val="24"/>
          <w:szCs w:val="24"/>
          <w:u w:val="single" w:color="auto"/>
        </w:rPr>
        <w:t>（采购人名称</w:t>
      </w:r>
      <w:r>
        <w:rPr>
          <w:spacing w:val="16"/>
          <w:sz w:val="24"/>
          <w:szCs w:val="24"/>
          <w:u w:val="single" w:color="auto"/>
        </w:rPr>
        <w:t>）：</w:t>
      </w:r>
    </w:p>
    <w:p w14:paraId="09DE84AE">
      <w:pPr>
        <w:spacing w:line="324" w:lineRule="auto"/>
        <w:rPr>
          <w:rFonts w:ascii="Arial"/>
          <w:sz w:val="21"/>
        </w:rPr>
      </w:pPr>
    </w:p>
    <w:p w14:paraId="614CD1D9">
      <w:pPr>
        <w:pStyle w:val="6"/>
        <w:spacing w:before="78" w:line="219" w:lineRule="auto"/>
        <w:ind w:left="731"/>
        <w:rPr>
          <w:sz w:val="24"/>
          <w:szCs w:val="24"/>
        </w:rPr>
      </w:pPr>
      <w:r>
        <w:rPr>
          <w:spacing w:val="1"/>
          <w:sz w:val="24"/>
          <w:szCs w:val="24"/>
        </w:rPr>
        <w:t>我单位参加贵方组织的</w:t>
      </w:r>
      <w:r>
        <w:rPr>
          <w:spacing w:val="11"/>
          <w:sz w:val="24"/>
          <w:szCs w:val="24"/>
          <w:u w:val="single" w:color="auto"/>
        </w:rPr>
        <w:t xml:space="preserve">           </w:t>
      </w:r>
      <w:r>
        <w:rPr>
          <w:spacing w:val="1"/>
          <w:sz w:val="24"/>
          <w:szCs w:val="24"/>
          <w:u w:val="single" w:color="auto"/>
        </w:rPr>
        <w:t>（品目</w:t>
      </w:r>
      <w:r>
        <w:rPr>
          <w:spacing w:val="-12"/>
          <w:sz w:val="24"/>
          <w:szCs w:val="24"/>
          <w:u w:val="single" w:color="auto"/>
        </w:rPr>
        <w:t>：</w:t>
      </w:r>
      <w:r>
        <w:rPr>
          <w:spacing w:val="6"/>
          <w:sz w:val="24"/>
          <w:szCs w:val="24"/>
          <w:u w:val="single" w:color="auto"/>
        </w:rPr>
        <w:t xml:space="preserve">      </w:t>
      </w:r>
      <w:r>
        <w:rPr>
          <w:spacing w:val="-12"/>
          <w:sz w:val="24"/>
          <w:szCs w:val="24"/>
          <w:u w:val="single" w:color="auto"/>
        </w:rPr>
        <w:t>）</w:t>
      </w:r>
      <w:r>
        <w:rPr>
          <w:spacing w:val="1"/>
          <w:sz w:val="24"/>
          <w:szCs w:val="24"/>
        </w:rPr>
        <w:t>项目采购</w:t>
      </w:r>
      <w:r>
        <w:rPr>
          <w:spacing w:val="-12"/>
          <w:sz w:val="24"/>
          <w:szCs w:val="24"/>
        </w:rPr>
        <w:t>，（</w:t>
      </w:r>
      <w:r>
        <w:rPr>
          <w:spacing w:val="1"/>
          <w:sz w:val="24"/>
          <w:szCs w:val="24"/>
        </w:rPr>
        <w:t>项目编号</w:t>
      </w:r>
      <w:r>
        <w:rPr>
          <w:spacing w:val="-12"/>
          <w:sz w:val="24"/>
          <w:szCs w:val="24"/>
        </w:rPr>
        <w:t>：</w:t>
      </w:r>
      <w:r>
        <w:rPr>
          <w:sz w:val="24"/>
          <w:szCs w:val="24"/>
          <w:u w:val="single" w:color="auto"/>
        </w:rPr>
        <w:t xml:space="preserve">   </w:t>
      </w:r>
      <w:r>
        <w:rPr>
          <w:spacing w:val="-12"/>
          <w:sz w:val="24"/>
          <w:szCs w:val="24"/>
        </w:rPr>
        <w:t>）</w:t>
      </w:r>
    </w:p>
    <w:p w14:paraId="4BB8F342">
      <w:pPr>
        <w:spacing w:line="269" w:lineRule="auto"/>
        <w:rPr>
          <w:rFonts w:ascii="Arial"/>
          <w:sz w:val="21"/>
        </w:rPr>
      </w:pPr>
    </w:p>
    <w:p w14:paraId="333543EA">
      <w:pPr>
        <w:pStyle w:val="6"/>
        <w:spacing w:before="78" w:line="486" w:lineRule="auto"/>
        <w:ind w:left="10" w:right="117" w:firstLine="1"/>
        <w:rPr>
          <w:sz w:val="24"/>
          <w:szCs w:val="24"/>
        </w:rPr>
      </w:pPr>
      <w:r>
        <w:rPr>
          <w:spacing w:val="1"/>
          <w:sz w:val="24"/>
          <w:szCs w:val="24"/>
        </w:rPr>
        <w:t>投标活动，在此郑重声明：我单位在参加本项</w:t>
      </w:r>
      <w:r>
        <w:rPr>
          <w:sz w:val="24"/>
          <w:szCs w:val="24"/>
        </w:rPr>
        <w:t>目政府采购活动前 3 年内在经营活动中未因违 法经营受到刑事处罚或者停产停业、吊销许可证或者执照、</w:t>
      </w:r>
      <w:r>
        <w:rPr>
          <w:spacing w:val="-1"/>
          <w:sz w:val="24"/>
          <w:szCs w:val="24"/>
        </w:rPr>
        <w:t>较大数额罚款等行政处罚。</w:t>
      </w:r>
    </w:p>
    <w:p w14:paraId="16448112">
      <w:pPr>
        <w:spacing w:line="256" w:lineRule="auto"/>
        <w:rPr>
          <w:rFonts w:ascii="Arial"/>
          <w:sz w:val="21"/>
        </w:rPr>
      </w:pPr>
    </w:p>
    <w:p w14:paraId="4848CEE6">
      <w:pPr>
        <w:spacing w:line="256" w:lineRule="auto"/>
        <w:rPr>
          <w:rFonts w:ascii="Arial"/>
          <w:sz w:val="21"/>
        </w:rPr>
      </w:pPr>
    </w:p>
    <w:p w14:paraId="43694E83">
      <w:pPr>
        <w:spacing w:line="256" w:lineRule="auto"/>
        <w:rPr>
          <w:rFonts w:ascii="Arial"/>
          <w:sz w:val="21"/>
        </w:rPr>
      </w:pPr>
    </w:p>
    <w:p w14:paraId="1FDCC0CD">
      <w:pPr>
        <w:spacing w:line="257" w:lineRule="auto"/>
        <w:rPr>
          <w:rFonts w:ascii="Arial"/>
          <w:sz w:val="21"/>
        </w:rPr>
      </w:pPr>
    </w:p>
    <w:p w14:paraId="1E2FE2DC">
      <w:pPr>
        <w:spacing w:line="257" w:lineRule="auto"/>
        <w:rPr>
          <w:rFonts w:ascii="Arial"/>
          <w:sz w:val="21"/>
        </w:rPr>
      </w:pPr>
    </w:p>
    <w:p w14:paraId="446DE6C6">
      <w:pPr>
        <w:spacing w:line="257" w:lineRule="auto"/>
        <w:rPr>
          <w:rFonts w:ascii="Arial"/>
          <w:sz w:val="21"/>
        </w:rPr>
      </w:pPr>
    </w:p>
    <w:p w14:paraId="47C2E9FD">
      <w:pPr>
        <w:spacing w:line="257" w:lineRule="auto"/>
        <w:rPr>
          <w:rFonts w:ascii="Arial"/>
          <w:sz w:val="21"/>
        </w:rPr>
      </w:pPr>
    </w:p>
    <w:p w14:paraId="0869DF28">
      <w:pPr>
        <w:spacing w:line="257" w:lineRule="auto"/>
        <w:rPr>
          <w:rFonts w:ascii="Arial"/>
          <w:sz w:val="21"/>
        </w:rPr>
      </w:pPr>
    </w:p>
    <w:p w14:paraId="6FDB20F5">
      <w:pPr>
        <w:spacing w:line="257" w:lineRule="auto"/>
        <w:rPr>
          <w:rFonts w:ascii="Arial"/>
          <w:sz w:val="21"/>
        </w:rPr>
      </w:pPr>
    </w:p>
    <w:p w14:paraId="35B2EB6D">
      <w:pPr>
        <w:spacing w:line="257" w:lineRule="auto"/>
        <w:rPr>
          <w:rFonts w:ascii="Arial"/>
          <w:sz w:val="21"/>
        </w:rPr>
      </w:pPr>
    </w:p>
    <w:p w14:paraId="3016422E">
      <w:pPr>
        <w:spacing w:line="257" w:lineRule="auto"/>
        <w:rPr>
          <w:rFonts w:ascii="Arial"/>
          <w:sz w:val="21"/>
        </w:rPr>
      </w:pPr>
    </w:p>
    <w:p w14:paraId="004E8417">
      <w:pPr>
        <w:pStyle w:val="6"/>
        <w:spacing w:before="78" w:line="219" w:lineRule="auto"/>
        <w:ind w:left="1692"/>
        <w:rPr>
          <w:sz w:val="24"/>
          <w:szCs w:val="24"/>
        </w:rPr>
      </w:pPr>
      <w:r>
        <w:rPr>
          <w:spacing w:val="-1"/>
          <w:sz w:val="24"/>
          <w:szCs w:val="24"/>
        </w:rPr>
        <w:t>投标人名称（单位公章（盖企业电子章</w:t>
      </w:r>
      <w:r>
        <w:rPr>
          <w:spacing w:val="1"/>
          <w:sz w:val="24"/>
          <w:szCs w:val="24"/>
        </w:rPr>
        <w:t>））：</w:t>
      </w:r>
      <w:r>
        <w:rPr>
          <w:sz w:val="24"/>
          <w:szCs w:val="24"/>
          <w:u w:val="single" w:color="auto"/>
        </w:rPr>
        <w:t xml:space="preserve">          </w:t>
      </w:r>
    </w:p>
    <w:p w14:paraId="38FEF056">
      <w:pPr>
        <w:spacing w:line="290" w:lineRule="auto"/>
        <w:rPr>
          <w:rFonts w:ascii="Arial"/>
          <w:sz w:val="21"/>
        </w:rPr>
      </w:pPr>
    </w:p>
    <w:p w14:paraId="66ECF2DD">
      <w:pPr>
        <w:pStyle w:val="6"/>
        <w:spacing w:before="79" w:line="219" w:lineRule="auto"/>
        <w:ind w:left="1690"/>
        <w:rPr>
          <w:sz w:val="24"/>
          <w:szCs w:val="24"/>
        </w:rPr>
      </w:pPr>
      <w:r>
        <w:rPr>
          <w:spacing w:val="-1"/>
          <w:sz w:val="24"/>
          <w:szCs w:val="24"/>
        </w:rPr>
        <w:t>法定代表人或法定代表人授权委托代理人（签字或盖章</w:t>
      </w:r>
      <w:r>
        <w:rPr>
          <w:spacing w:val="6"/>
          <w:sz w:val="24"/>
          <w:szCs w:val="24"/>
        </w:rPr>
        <w:t>）：</w:t>
      </w:r>
      <w:r>
        <w:rPr>
          <w:sz w:val="24"/>
          <w:szCs w:val="24"/>
          <w:u w:val="single" w:color="auto"/>
        </w:rPr>
        <w:t xml:space="preserve">          </w:t>
      </w:r>
    </w:p>
    <w:p w14:paraId="208919DE">
      <w:pPr>
        <w:spacing w:line="294" w:lineRule="auto"/>
        <w:rPr>
          <w:rFonts w:ascii="Arial"/>
          <w:sz w:val="21"/>
        </w:rPr>
      </w:pPr>
    </w:p>
    <w:p w14:paraId="5D4DDC6F">
      <w:pPr>
        <w:pStyle w:val="6"/>
        <w:spacing w:before="78" w:line="219" w:lineRule="auto"/>
        <w:ind w:left="1730"/>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2D39036F">
      <w:pPr>
        <w:spacing w:line="219" w:lineRule="auto"/>
        <w:rPr>
          <w:sz w:val="24"/>
          <w:szCs w:val="24"/>
        </w:rPr>
        <w:sectPr>
          <w:headerReference r:id="rId34" w:type="default"/>
          <w:footerReference r:id="rId35" w:type="default"/>
          <w:pgSz w:w="11910" w:h="16840"/>
          <w:pgMar w:top="1344" w:right="958" w:bottom="1117" w:left="1080" w:header="1050" w:footer="884" w:gutter="0"/>
          <w:pgNumType w:fmt="decimal"/>
          <w:cols w:space="720" w:num="1"/>
        </w:sectPr>
      </w:pPr>
    </w:p>
    <w:p w14:paraId="10C0F7DA">
      <w:pPr>
        <w:spacing w:line="317" w:lineRule="auto"/>
        <w:rPr>
          <w:rFonts w:ascii="Arial"/>
          <w:sz w:val="21"/>
        </w:rPr>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p w14:paraId="6F1CCCAE">
      <w:pPr>
        <w:pStyle w:val="6"/>
        <w:spacing w:before="1" w:line="223" w:lineRule="auto"/>
        <w:ind w:left="2691"/>
        <w:rPr>
          <w:sz w:val="31"/>
          <w:szCs w:val="31"/>
        </w:rPr>
      </w:pPr>
      <w:r>
        <w:drawing>
          <wp:anchor distT="0" distB="0" distL="0" distR="0" simplePos="0" relativeHeight="251665408" behindDoc="1" locked="0" layoutInCell="1" allowOverlap="1">
            <wp:simplePos x="0" y="0"/>
            <wp:positionH relativeFrom="column">
              <wp:posOffset>0</wp:posOffset>
            </wp:positionH>
            <wp:positionV relativeFrom="paragraph">
              <wp:posOffset>-2540</wp:posOffset>
            </wp:positionV>
            <wp:extent cx="6189345" cy="8890"/>
            <wp:effectExtent l="0" t="0" r="0" b="0"/>
            <wp:wrapNone/>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68"/>
                    <a:stretch>
                      <a:fillRect/>
                    </a:stretch>
                  </pic:blipFill>
                  <pic:spPr>
                    <a:xfrm>
                      <a:off x="0" y="0"/>
                      <a:ext cx="6189344" cy="9143"/>
                    </a:xfrm>
                    <a:prstGeom prst="rect">
                      <a:avLst/>
                    </a:prstGeom>
                  </pic:spPr>
                </pic:pic>
              </a:graphicData>
            </a:graphic>
          </wp:anchor>
        </w:drawing>
      </w:r>
      <w:r>
        <w:rPr>
          <w:spacing w:val="8"/>
          <w:sz w:val="31"/>
          <w:szCs w:val="31"/>
        </w:rPr>
        <w:t>八、投标人信用记录证明材料</w:t>
      </w:r>
    </w:p>
    <w:p w14:paraId="7915F4FF">
      <w:pPr>
        <w:spacing w:line="223" w:lineRule="auto"/>
        <w:rPr>
          <w:sz w:val="31"/>
          <w:szCs w:val="31"/>
        </w:rPr>
        <w:sectPr>
          <w:headerReference r:id="rId36" w:type="default"/>
          <w:footerReference r:id="rId37" w:type="default"/>
          <w:pgSz w:w="11910" w:h="16840"/>
          <w:pgMar w:top="400" w:right="1083" w:bottom="1117" w:left="1080" w:header="0" w:footer="884" w:gutter="0"/>
          <w:pgNumType w:fmt="decimal"/>
          <w:cols w:space="720" w:num="1"/>
        </w:sectPr>
      </w:pPr>
    </w:p>
    <w:p w14:paraId="2D1CCFB0">
      <w:pPr>
        <w:pStyle w:val="6"/>
        <w:spacing w:before="150" w:line="225" w:lineRule="auto"/>
        <w:ind w:left="4217"/>
        <w:rPr>
          <w:sz w:val="31"/>
          <w:szCs w:val="31"/>
        </w:rPr>
      </w:pPr>
      <w:r>
        <w:drawing>
          <wp:anchor distT="0" distB="0" distL="0" distR="0" simplePos="0" relativeHeight="251666432" behindDoc="0" locked="0" layoutInCell="0" allowOverlap="1">
            <wp:simplePos x="0" y="0"/>
            <wp:positionH relativeFrom="page">
              <wp:posOffset>685800</wp:posOffset>
            </wp:positionH>
            <wp:positionV relativeFrom="page">
              <wp:posOffset>686435</wp:posOffset>
            </wp:positionV>
            <wp:extent cx="6334760" cy="7620"/>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69"/>
                    <a:stretch>
                      <a:fillRect/>
                    </a:stretch>
                  </pic:blipFill>
                  <pic:spPr>
                    <a:xfrm>
                      <a:off x="0" y="0"/>
                      <a:ext cx="6334759" cy="7620"/>
                    </a:xfrm>
                    <a:prstGeom prst="rect">
                      <a:avLst/>
                    </a:prstGeom>
                  </pic:spPr>
                </pic:pic>
              </a:graphicData>
            </a:graphic>
          </wp:anchor>
        </w:drawing>
      </w:r>
      <w:r>
        <w:rPr>
          <w:spacing w:val="5"/>
          <w:sz w:val="31"/>
          <w:szCs w:val="31"/>
        </w:rPr>
        <w:t>九、承诺函</w:t>
      </w:r>
    </w:p>
    <w:p w14:paraId="591C3385">
      <w:pPr>
        <w:spacing w:line="270" w:lineRule="auto"/>
        <w:rPr>
          <w:rFonts w:ascii="Arial"/>
          <w:sz w:val="21"/>
        </w:rPr>
      </w:pPr>
    </w:p>
    <w:p w14:paraId="77551396">
      <w:pPr>
        <w:pStyle w:val="6"/>
        <w:spacing w:before="101" w:line="225" w:lineRule="auto"/>
        <w:ind w:left="4450"/>
        <w:rPr>
          <w:sz w:val="31"/>
          <w:szCs w:val="31"/>
        </w:rPr>
      </w:pPr>
      <w:r>
        <w:rPr>
          <w:spacing w:val="5"/>
          <w:sz w:val="31"/>
          <w:szCs w:val="31"/>
        </w:rPr>
        <w:t>承诺函1</w:t>
      </w:r>
    </w:p>
    <w:p w14:paraId="75B70880">
      <w:pPr>
        <w:spacing w:line="279" w:lineRule="auto"/>
        <w:rPr>
          <w:rFonts w:ascii="Arial"/>
          <w:sz w:val="21"/>
        </w:rPr>
      </w:pPr>
    </w:p>
    <w:p w14:paraId="59D5694C">
      <w:pPr>
        <w:pStyle w:val="6"/>
        <w:spacing w:before="78" w:line="219" w:lineRule="auto"/>
        <w:ind w:left="431"/>
        <w:rPr>
          <w:sz w:val="24"/>
          <w:szCs w:val="24"/>
        </w:rPr>
      </w:pPr>
      <w:r>
        <w:rPr>
          <w:sz w:val="24"/>
          <w:szCs w:val="24"/>
        </w:rPr>
        <w:t>我方作为本次采购项目的投标人，根据公开招标</w:t>
      </w:r>
      <w:r>
        <w:rPr>
          <w:spacing w:val="-1"/>
          <w:sz w:val="24"/>
          <w:szCs w:val="24"/>
        </w:rPr>
        <w:t>文件要求，现郑重承诺如下：</w:t>
      </w:r>
    </w:p>
    <w:p w14:paraId="2D426F5A">
      <w:pPr>
        <w:pStyle w:val="6"/>
        <w:spacing w:before="312" w:line="219" w:lineRule="auto"/>
        <w:ind w:left="433"/>
        <w:rPr>
          <w:sz w:val="24"/>
          <w:szCs w:val="24"/>
        </w:rPr>
      </w:pPr>
      <w:r>
        <w:rPr>
          <w:spacing w:val="-2"/>
          <w:sz w:val="24"/>
          <w:szCs w:val="24"/>
        </w:rPr>
        <w:t>一、具备以下条件：</w:t>
      </w:r>
    </w:p>
    <w:p w14:paraId="08C686BA">
      <w:pPr>
        <w:pStyle w:val="6"/>
        <w:spacing w:before="149" w:line="219" w:lineRule="auto"/>
        <w:ind w:left="441"/>
        <w:rPr>
          <w:sz w:val="24"/>
          <w:szCs w:val="24"/>
        </w:rPr>
      </w:pPr>
      <w:r>
        <w:rPr>
          <w:sz w:val="18"/>
          <w:szCs w:val="18"/>
        </w:rPr>
        <w:t>1.</w:t>
      </w:r>
      <w:r>
        <w:rPr>
          <w:sz w:val="24"/>
          <w:szCs w:val="24"/>
        </w:rPr>
        <w:t>在中国境内登记注册的法人或其他组织；</w:t>
      </w:r>
    </w:p>
    <w:p w14:paraId="6751F2A7">
      <w:pPr>
        <w:pStyle w:val="6"/>
        <w:spacing w:before="142" w:line="219" w:lineRule="auto"/>
        <w:ind w:left="429"/>
        <w:rPr>
          <w:sz w:val="24"/>
          <w:szCs w:val="24"/>
        </w:rPr>
      </w:pPr>
      <w:r>
        <w:rPr>
          <w:spacing w:val="-1"/>
          <w:sz w:val="18"/>
          <w:szCs w:val="18"/>
        </w:rPr>
        <w:t>2.</w:t>
      </w:r>
      <w:r>
        <w:rPr>
          <w:spacing w:val="-48"/>
          <w:sz w:val="18"/>
          <w:szCs w:val="18"/>
        </w:rPr>
        <w:t xml:space="preserve"> </w:t>
      </w:r>
      <w:r>
        <w:rPr>
          <w:spacing w:val="-1"/>
          <w:sz w:val="24"/>
          <w:szCs w:val="24"/>
        </w:rPr>
        <w:t>具有良好的商业信誉和健全的财务会计制度；</w:t>
      </w:r>
    </w:p>
    <w:p w14:paraId="60F3938C">
      <w:pPr>
        <w:pStyle w:val="6"/>
        <w:spacing w:before="158" w:line="219" w:lineRule="auto"/>
        <w:ind w:left="430"/>
        <w:rPr>
          <w:sz w:val="24"/>
          <w:szCs w:val="24"/>
        </w:rPr>
      </w:pPr>
      <w:r>
        <w:rPr>
          <w:spacing w:val="-1"/>
          <w:sz w:val="18"/>
          <w:szCs w:val="18"/>
        </w:rPr>
        <w:t>3.</w:t>
      </w:r>
      <w:r>
        <w:rPr>
          <w:spacing w:val="-49"/>
          <w:sz w:val="18"/>
          <w:szCs w:val="18"/>
        </w:rPr>
        <w:t xml:space="preserve"> </w:t>
      </w:r>
      <w:r>
        <w:rPr>
          <w:spacing w:val="-1"/>
          <w:sz w:val="24"/>
          <w:szCs w:val="24"/>
        </w:rPr>
        <w:t>具有履行合同所必需的设备和专业技术能力；</w:t>
      </w:r>
    </w:p>
    <w:p w14:paraId="1F4ACB29">
      <w:pPr>
        <w:pStyle w:val="6"/>
        <w:spacing w:before="156" w:line="219" w:lineRule="auto"/>
        <w:ind w:left="426"/>
        <w:rPr>
          <w:sz w:val="24"/>
          <w:szCs w:val="24"/>
        </w:rPr>
      </w:pPr>
      <w:r>
        <w:rPr>
          <w:spacing w:val="-1"/>
          <w:sz w:val="18"/>
          <w:szCs w:val="18"/>
        </w:rPr>
        <w:t>4.</w:t>
      </w:r>
      <w:r>
        <w:rPr>
          <w:spacing w:val="-44"/>
          <w:sz w:val="18"/>
          <w:szCs w:val="18"/>
        </w:rPr>
        <w:t xml:space="preserve"> </w:t>
      </w:r>
      <w:r>
        <w:rPr>
          <w:spacing w:val="-1"/>
          <w:sz w:val="24"/>
          <w:szCs w:val="24"/>
        </w:rPr>
        <w:t>具有依法缴纳税收和社会保障资金的良好记录；</w:t>
      </w:r>
    </w:p>
    <w:p w14:paraId="4A3F15C0">
      <w:pPr>
        <w:pStyle w:val="6"/>
        <w:spacing w:before="156" w:line="288" w:lineRule="auto"/>
        <w:ind w:left="8" w:right="704" w:firstLine="422"/>
        <w:rPr>
          <w:sz w:val="24"/>
          <w:szCs w:val="24"/>
        </w:rPr>
      </w:pPr>
      <w:r>
        <w:rPr>
          <w:spacing w:val="1"/>
          <w:sz w:val="18"/>
          <w:szCs w:val="18"/>
        </w:rPr>
        <w:t>5.</w:t>
      </w:r>
      <w:r>
        <w:rPr>
          <w:spacing w:val="1"/>
          <w:sz w:val="24"/>
          <w:szCs w:val="24"/>
        </w:rPr>
        <w:t>参加本次政府采购活动前三年内，在经</w:t>
      </w:r>
      <w:r>
        <w:rPr>
          <w:sz w:val="24"/>
          <w:szCs w:val="24"/>
        </w:rPr>
        <w:t xml:space="preserve">营活动中没有重大违法记录，且我方、法定 </w:t>
      </w:r>
      <w:r>
        <w:rPr>
          <w:spacing w:val="-1"/>
          <w:sz w:val="24"/>
          <w:szCs w:val="24"/>
        </w:rPr>
        <w:t>代表人（负责人）不具有行贿犯罪记录；</w:t>
      </w:r>
    </w:p>
    <w:p w14:paraId="354E488B">
      <w:pPr>
        <w:pStyle w:val="6"/>
        <w:spacing w:before="149" w:line="219" w:lineRule="auto"/>
        <w:ind w:left="428"/>
        <w:rPr>
          <w:sz w:val="24"/>
          <w:szCs w:val="24"/>
        </w:rPr>
      </w:pPr>
      <w:r>
        <w:rPr>
          <w:spacing w:val="-1"/>
          <w:sz w:val="18"/>
          <w:szCs w:val="18"/>
        </w:rPr>
        <w:t>6.</w:t>
      </w:r>
      <w:r>
        <w:rPr>
          <w:spacing w:val="-44"/>
          <w:sz w:val="18"/>
          <w:szCs w:val="18"/>
        </w:rPr>
        <w:t xml:space="preserve"> </w:t>
      </w:r>
      <w:r>
        <w:rPr>
          <w:spacing w:val="-1"/>
          <w:sz w:val="24"/>
          <w:szCs w:val="24"/>
        </w:rPr>
        <w:t>本项目的特殊要求和法律、行政法规规定的其他条件</w:t>
      </w:r>
    </w:p>
    <w:p w14:paraId="3210B935">
      <w:pPr>
        <w:pStyle w:val="6"/>
        <w:spacing w:before="143" w:line="310" w:lineRule="auto"/>
        <w:ind w:left="11" w:right="515" w:firstLine="421"/>
        <w:rPr>
          <w:sz w:val="24"/>
          <w:szCs w:val="24"/>
        </w:rPr>
      </w:pPr>
      <w:r>
        <w:rPr>
          <w:spacing w:val="4"/>
          <w:sz w:val="24"/>
          <w:szCs w:val="24"/>
        </w:rPr>
        <w:t>二、完全接受和满足本项目公开招标文件中规定的实质性要求，如对公开招标文</w:t>
      </w:r>
      <w:r>
        <w:rPr>
          <w:spacing w:val="3"/>
          <w:sz w:val="24"/>
          <w:szCs w:val="24"/>
        </w:rPr>
        <w:t>件有</w:t>
      </w:r>
      <w:r>
        <w:rPr>
          <w:sz w:val="24"/>
          <w:szCs w:val="24"/>
        </w:rPr>
        <w:t xml:space="preserve"> </w:t>
      </w:r>
      <w:r>
        <w:rPr>
          <w:spacing w:val="2"/>
          <w:sz w:val="24"/>
          <w:szCs w:val="24"/>
        </w:rPr>
        <w:t>异议，已经在投标截止时间届满前依法进行维权，不存在对公开招标文件有异议的同时又</w:t>
      </w:r>
      <w:r>
        <w:rPr>
          <w:spacing w:val="10"/>
          <w:sz w:val="24"/>
          <w:szCs w:val="24"/>
        </w:rPr>
        <w:t xml:space="preserve"> </w:t>
      </w:r>
      <w:r>
        <w:rPr>
          <w:spacing w:val="-1"/>
          <w:sz w:val="24"/>
          <w:szCs w:val="24"/>
        </w:rPr>
        <w:t>参加投标以求侥幸中标或者为实现其他非法目的的行为。</w:t>
      </w:r>
    </w:p>
    <w:p w14:paraId="7AD4B9A7">
      <w:pPr>
        <w:pStyle w:val="6"/>
        <w:spacing w:before="180" w:line="287" w:lineRule="auto"/>
        <w:ind w:left="15" w:right="715" w:firstLine="414"/>
        <w:rPr>
          <w:sz w:val="24"/>
          <w:szCs w:val="24"/>
        </w:rPr>
      </w:pPr>
      <w:r>
        <w:rPr>
          <w:spacing w:val="-1"/>
          <w:sz w:val="24"/>
          <w:szCs w:val="24"/>
        </w:rPr>
        <w:t>三、参加本次公开招标采购活动，不存在与单位负责</w:t>
      </w:r>
      <w:r>
        <w:rPr>
          <w:spacing w:val="-2"/>
          <w:sz w:val="24"/>
          <w:szCs w:val="24"/>
        </w:rPr>
        <w:t>人为同一人或者存在直接控股、</w:t>
      </w:r>
      <w:r>
        <w:rPr>
          <w:sz w:val="24"/>
          <w:szCs w:val="24"/>
        </w:rPr>
        <w:t xml:space="preserve"> </w:t>
      </w:r>
      <w:r>
        <w:rPr>
          <w:spacing w:val="-1"/>
          <w:sz w:val="24"/>
          <w:szCs w:val="24"/>
        </w:rPr>
        <w:t>管理关系的其他投标人参与同一合同项下的政府采购活动的行为。</w:t>
      </w:r>
    </w:p>
    <w:p w14:paraId="5B862668">
      <w:pPr>
        <w:pStyle w:val="6"/>
        <w:spacing w:before="178" w:line="288" w:lineRule="auto"/>
        <w:ind w:left="32" w:right="494" w:firstLine="419"/>
        <w:rPr>
          <w:sz w:val="24"/>
          <w:szCs w:val="24"/>
        </w:rPr>
      </w:pPr>
      <w:r>
        <w:rPr>
          <w:spacing w:val="-2"/>
          <w:sz w:val="24"/>
          <w:szCs w:val="24"/>
        </w:rPr>
        <w:t>四、参加本次公开招标采购活动，不存在和其他投</w:t>
      </w:r>
      <w:r>
        <w:rPr>
          <w:spacing w:val="-3"/>
          <w:sz w:val="24"/>
          <w:szCs w:val="24"/>
        </w:rPr>
        <w:t>标人在同一合同项下的采购项目中，</w:t>
      </w:r>
      <w:r>
        <w:rPr>
          <w:sz w:val="24"/>
          <w:szCs w:val="24"/>
        </w:rPr>
        <w:t xml:space="preserve"> </w:t>
      </w:r>
      <w:r>
        <w:rPr>
          <w:spacing w:val="-1"/>
          <w:sz w:val="24"/>
          <w:szCs w:val="24"/>
        </w:rPr>
        <w:t>同时委托同一个自然人、同一家庭的人员、同一单位的人员作为代理人的行为。</w:t>
      </w:r>
    </w:p>
    <w:p w14:paraId="01023686">
      <w:pPr>
        <w:pStyle w:val="6"/>
        <w:spacing w:before="178" w:line="287" w:lineRule="auto"/>
        <w:ind w:left="12" w:right="676" w:firstLine="420"/>
        <w:rPr>
          <w:sz w:val="24"/>
          <w:szCs w:val="24"/>
        </w:rPr>
      </w:pPr>
      <w:r>
        <w:rPr>
          <w:sz w:val="24"/>
          <w:szCs w:val="24"/>
        </w:rPr>
        <w:t>五、投标文件中提供的能够给予我方带来优惠的任</w:t>
      </w:r>
      <w:r>
        <w:rPr>
          <w:spacing w:val="-1"/>
          <w:sz w:val="24"/>
          <w:szCs w:val="24"/>
        </w:rPr>
        <w:t>何材料资料和技术、服务、商务等</w:t>
      </w:r>
      <w:r>
        <w:rPr>
          <w:sz w:val="24"/>
          <w:szCs w:val="24"/>
        </w:rPr>
        <w:t xml:space="preserve"> </w:t>
      </w:r>
      <w:r>
        <w:rPr>
          <w:spacing w:val="-1"/>
          <w:sz w:val="24"/>
          <w:szCs w:val="24"/>
        </w:rPr>
        <w:t>投标承诺情况都是真实的、有效的、合法的。</w:t>
      </w:r>
    </w:p>
    <w:p w14:paraId="0866DB48">
      <w:pPr>
        <w:pStyle w:val="6"/>
        <w:spacing w:before="176" w:line="358" w:lineRule="auto"/>
        <w:ind w:left="10" w:right="676" w:firstLine="420"/>
        <w:rPr>
          <w:sz w:val="24"/>
          <w:szCs w:val="24"/>
        </w:rPr>
      </w:pPr>
      <w:r>
        <w:rPr>
          <w:sz w:val="24"/>
          <w:szCs w:val="24"/>
        </w:rPr>
        <w:t>我方对上述承诺的内容事项真实性负责。如经查实上述</w:t>
      </w:r>
      <w:r>
        <w:rPr>
          <w:spacing w:val="-1"/>
          <w:sz w:val="24"/>
          <w:szCs w:val="24"/>
        </w:rPr>
        <w:t>承诺的内容事项存在虚假，我</w:t>
      </w:r>
      <w:r>
        <w:rPr>
          <w:sz w:val="24"/>
          <w:szCs w:val="24"/>
        </w:rPr>
        <w:t xml:space="preserve"> </w:t>
      </w:r>
      <w:r>
        <w:rPr>
          <w:spacing w:val="-1"/>
          <w:sz w:val="24"/>
          <w:szCs w:val="24"/>
        </w:rPr>
        <w:t>方愿意接受以提供虚假材料谋取中标追究法律责任。</w:t>
      </w:r>
    </w:p>
    <w:p w14:paraId="57F7C10C">
      <w:pPr>
        <w:spacing w:line="271" w:lineRule="auto"/>
        <w:rPr>
          <w:rFonts w:ascii="Arial"/>
          <w:sz w:val="21"/>
        </w:rPr>
      </w:pPr>
    </w:p>
    <w:p w14:paraId="24F690A4">
      <w:pPr>
        <w:spacing w:line="271" w:lineRule="auto"/>
        <w:rPr>
          <w:rFonts w:ascii="Arial"/>
          <w:sz w:val="21"/>
        </w:rPr>
      </w:pPr>
    </w:p>
    <w:p w14:paraId="313D324B">
      <w:pPr>
        <w:pStyle w:val="6"/>
        <w:spacing w:before="78" w:line="219" w:lineRule="auto"/>
        <w:ind w:left="1692"/>
        <w:rPr>
          <w:sz w:val="24"/>
          <w:szCs w:val="24"/>
        </w:rPr>
      </w:pPr>
      <w:r>
        <w:rPr>
          <w:spacing w:val="-1"/>
          <w:sz w:val="24"/>
          <w:szCs w:val="24"/>
        </w:rPr>
        <w:t>投标人名称（单位公章（盖企业电子章</w:t>
      </w:r>
      <w:r>
        <w:rPr>
          <w:spacing w:val="1"/>
          <w:sz w:val="24"/>
          <w:szCs w:val="24"/>
        </w:rPr>
        <w:t>））：</w:t>
      </w:r>
      <w:r>
        <w:rPr>
          <w:sz w:val="24"/>
          <w:szCs w:val="24"/>
          <w:u w:val="single" w:color="auto"/>
        </w:rPr>
        <w:t xml:space="preserve">          </w:t>
      </w:r>
    </w:p>
    <w:p w14:paraId="0FA0C566">
      <w:pPr>
        <w:spacing w:line="343" w:lineRule="auto"/>
        <w:rPr>
          <w:rFonts w:ascii="Arial"/>
          <w:sz w:val="21"/>
        </w:rPr>
      </w:pPr>
    </w:p>
    <w:p w14:paraId="1AF336BC">
      <w:pPr>
        <w:pStyle w:val="6"/>
        <w:spacing w:before="78" w:line="219" w:lineRule="auto"/>
        <w:ind w:left="1690"/>
        <w:rPr>
          <w:sz w:val="24"/>
          <w:szCs w:val="24"/>
        </w:rPr>
      </w:pPr>
      <w:r>
        <w:rPr>
          <w:spacing w:val="-1"/>
          <w:sz w:val="24"/>
          <w:szCs w:val="24"/>
        </w:rPr>
        <w:t>法定代表人或法定代表人授权委托代理人（签字或盖章</w:t>
      </w:r>
      <w:r>
        <w:rPr>
          <w:spacing w:val="6"/>
          <w:sz w:val="24"/>
          <w:szCs w:val="24"/>
        </w:rPr>
        <w:t>）：</w:t>
      </w:r>
      <w:r>
        <w:rPr>
          <w:sz w:val="24"/>
          <w:szCs w:val="24"/>
          <w:u w:val="single" w:color="auto"/>
        </w:rPr>
        <w:t xml:space="preserve">          </w:t>
      </w:r>
    </w:p>
    <w:p w14:paraId="6B943945">
      <w:pPr>
        <w:spacing w:line="332" w:lineRule="auto"/>
        <w:rPr>
          <w:rFonts w:ascii="Arial"/>
          <w:sz w:val="21"/>
        </w:rPr>
      </w:pPr>
    </w:p>
    <w:p w14:paraId="76F9CF80">
      <w:pPr>
        <w:pStyle w:val="6"/>
        <w:spacing w:before="79" w:line="219" w:lineRule="auto"/>
        <w:ind w:left="1730"/>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7C6BED21">
      <w:pPr>
        <w:spacing w:line="219" w:lineRule="auto"/>
        <w:rPr>
          <w:sz w:val="24"/>
          <w:szCs w:val="24"/>
        </w:rPr>
        <w:sectPr>
          <w:headerReference r:id="rId38" w:type="default"/>
          <w:footerReference r:id="rId39" w:type="default"/>
          <w:pgSz w:w="11910" w:h="16840"/>
          <w:pgMar w:top="1109" w:right="854" w:bottom="1117" w:left="1080" w:header="832" w:footer="884" w:gutter="0"/>
          <w:pgNumType w:fmt="decimal"/>
          <w:cols w:space="720" w:num="1"/>
        </w:sectPr>
      </w:pPr>
    </w:p>
    <w:p w14:paraId="46CCE2CB">
      <w:pPr>
        <w:spacing w:line="268" w:lineRule="auto"/>
        <w:rPr>
          <w:rFonts w:ascii="Arial"/>
          <w:sz w:val="21"/>
        </w:rPr>
      </w:pPr>
      <w:r>
        <w:drawing>
          <wp:anchor distT="0" distB="0" distL="0" distR="0" simplePos="0" relativeHeight="251667456" behindDoc="0" locked="0" layoutInCell="0" allowOverlap="1">
            <wp:simplePos x="0" y="0"/>
            <wp:positionH relativeFrom="page">
              <wp:posOffset>685800</wp:posOffset>
            </wp:positionH>
            <wp:positionV relativeFrom="page">
              <wp:posOffset>686435</wp:posOffset>
            </wp:positionV>
            <wp:extent cx="6334760" cy="7620"/>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69"/>
                    <a:stretch>
                      <a:fillRect/>
                    </a:stretch>
                  </pic:blipFill>
                  <pic:spPr>
                    <a:xfrm>
                      <a:off x="0" y="0"/>
                      <a:ext cx="6334759" cy="7620"/>
                    </a:xfrm>
                    <a:prstGeom prst="rect">
                      <a:avLst/>
                    </a:prstGeom>
                  </pic:spPr>
                </pic:pic>
              </a:graphicData>
            </a:graphic>
          </wp:anchor>
        </w:drawing>
      </w:r>
    </w:p>
    <w:p w14:paraId="27B3EF84">
      <w:pPr>
        <w:spacing w:line="268" w:lineRule="auto"/>
        <w:rPr>
          <w:rFonts w:ascii="Arial"/>
          <w:sz w:val="21"/>
        </w:rPr>
      </w:pPr>
    </w:p>
    <w:p w14:paraId="08217DBB">
      <w:pPr>
        <w:pStyle w:val="6"/>
        <w:spacing w:before="101" w:line="225" w:lineRule="auto"/>
        <w:ind w:left="4450"/>
        <w:rPr>
          <w:sz w:val="31"/>
          <w:szCs w:val="31"/>
        </w:rPr>
      </w:pPr>
      <w:r>
        <w:rPr>
          <w:spacing w:val="5"/>
          <w:sz w:val="31"/>
          <w:szCs w:val="31"/>
        </w:rPr>
        <w:t>承诺函2</w:t>
      </w:r>
    </w:p>
    <w:p w14:paraId="5FCB7973">
      <w:pPr>
        <w:pStyle w:val="6"/>
        <w:spacing w:before="233" w:line="219" w:lineRule="auto"/>
        <w:ind w:left="551"/>
        <w:rPr>
          <w:sz w:val="24"/>
          <w:szCs w:val="24"/>
        </w:rPr>
      </w:pPr>
      <w:r>
        <w:rPr>
          <w:spacing w:val="-2"/>
          <w:sz w:val="24"/>
          <w:szCs w:val="24"/>
        </w:rPr>
        <w:t>六盘水市</w:t>
      </w:r>
      <w:r>
        <w:rPr>
          <w:rFonts w:hint="eastAsia"/>
          <w:spacing w:val="-2"/>
          <w:sz w:val="24"/>
          <w:szCs w:val="24"/>
          <w:lang w:eastAsia="zh-CN"/>
        </w:rPr>
        <w:t>第三</w:t>
      </w:r>
      <w:r>
        <w:rPr>
          <w:spacing w:val="-2"/>
          <w:sz w:val="24"/>
          <w:szCs w:val="24"/>
        </w:rPr>
        <w:t>人民医院：</w:t>
      </w:r>
    </w:p>
    <w:p w14:paraId="3C4E4755">
      <w:pPr>
        <w:pStyle w:val="6"/>
        <w:spacing w:before="274" w:line="432" w:lineRule="auto"/>
        <w:ind w:left="68" w:right="42" w:firstLine="482"/>
        <w:jc w:val="both"/>
        <w:rPr>
          <w:sz w:val="24"/>
          <w:szCs w:val="24"/>
        </w:rPr>
      </w:pPr>
      <w:r>
        <w:rPr>
          <w:spacing w:val="1"/>
          <w:sz w:val="24"/>
          <w:szCs w:val="24"/>
        </w:rPr>
        <w:t>我公司承诺，若我公司中标，采购人在收货或验</w:t>
      </w:r>
      <w:r>
        <w:rPr>
          <w:sz w:val="24"/>
          <w:szCs w:val="24"/>
        </w:rPr>
        <w:t xml:space="preserve">货等环节发现我公司产品无法满足招标文 </w:t>
      </w:r>
      <w:r>
        <w:rPr>
          <w:spacing w:val="1"/>
          <w:sz w:val="24"/>
          <w:szCs w:val="24"/>
        </w:rPr>
        <w:t>件要求及投标文件响应内容时，采购人可视为虚假应标</w:t>
      </w:r>
      <w:r>
        <w:rPr>
          <w:sz w:val="24"/>
          <w:szCs w:val="24"/>
        </w:rPr>
        <w:t xml:space="preserve">，并将此情况向财政部门反映，禁止我 </w:t>
      </w:r>
      <w:r>
        <w:rPr>
          <w:spacing w:val="-1"/>
          <w:sz w:val="24"/>
          <w:szCs w:val="24"/>
        </w:rPr>
        <w:t>公司一至三年内在全国范围内参加政府采购活动等处罚。</w:t>
      </w:r>
    </w:p>
    <w:p w14:paraId="312FAB00">
      <w:pPr>
        <w:spacing w:line="473" w:lineRule="auto"/>
        <w:rPr>
          <w:rFonts w:ascii="Arial"/>
          <w:sz w:val="21"/>
        </w:rPr>
      </w:pPr>
    </w:p>
    <w:p w14:paraId="077C2295">
      <w:pPr>
        <w:pStyle w:val="6"/>
        <w:spacing w:before="78" w:line="219" w:lineRule="auto"/>
        <w:ind w:left="549"/>
        <w:rPr>
          <w:sz w:val="24"/>
          <w:szCs w:val="24"/>
        </w:rPr>
      </w:pPr>
      <w:r>
        <w:rPr>
          <w:spacing w:val="-2"/>
          <w:sz w:val="24"/>
          <w:szCs w:val="24"/>
        </w:rPr>
        <w:t>特此承诺！</w:t>
      </w:r>
    </w:p>
    <w:p w14:paraId="0473F689">
      <w:pPr>
        <w:spacing w:line="261" w:lineRule="auto"/>
        <w:rPr>
          <w:rFonts w:ascii="Arial"/>
          <w:sz w:val="21"/>
        </w:rPr>
      </w:pPr>
    </w:p>
    <w:p w14:paraId="5E2FDCA1">
      <w:pPr>
        <w:spacing w:line="261" w:lineRule="auto"/>
        <w:rPr>
          <w:rFonts w:ascii="Arial"/>
          <w:sz w:val="21"/>
        </w:rPr>
      </w:pPr>
    </w:p>
    <w:p w14:paraId="4441707A">
      <w:pPr>
        <w:spacing w:line="262" w:lineRule="auto"/>
        <w:rPr>
          <w:rFonts w:ascii="Arial"/>
          <w:sz w:val="21"/>
        </w:rPr>
      </w:pPr>
    </w:p>
    <w:p w14:paraId="65D19A4A">
      <w:pPr>
        <w:spacing w:line="262" w:lineRule="auto"/>
        <w:rPr>
          <w:rFonts w:ascii="Arial"/>
          <w:sz w:val="21"/>
        </w:rPr>
      </w:pPr>
    </w:p>
    <w:p w14:paraId="3601A888">
      <w:pPr>
        <w:spacing w:line="262" w:lineRule="auto"/>
        <w:rPr>
          <w:rFonts w:ascii="Arial"/>
          <w:sz w:val="21"/>
        </w:rPr>
      </w:pPr>
    </w:p>
    <w:p w14:paraId="02617967">
      <w:pPr>
        <w:pStyle w:val="6"/>
        <w:spacing w:before="78" w:line="219" w:lineRule="auto"/>
        <w:ind w:left="5112"/>
        <w:rPr>
          <w:sz w:val="24"/>
          <w:szCs w:val="24"/>
        </w:rPr>
      </w:pPr>
      <w:r>
        <w:rPr>
          <w:spacing w:val="-2"/>
          <w:sz w:val="24"/>
          <w:szCs w:val="24"/>
        </w:rPr>
        <w:t>投标人名称（盖企业电子章</w:t>
      </w:r>
      <w:r>
        <w:rPr>
          <w:spacing w:val="5"/>
          <w:sz w:val="24"/>
          <w:szCs w:val="24"/>
        </w:rPr>
        <w:t>）：</w:t>
      </w:r>
      <w:r>
        <w:rPr>
          <w:sz w:val="24"/>
          <w:szCs w:val="24"/>
          <w:u w:val="single" w:color="auto"/>
        </w:rPr>
        <w:t xml:space="preserve">            </w:t>
      </w:r>
    </w:p>
    <w:p w14:paraId="336C1CE6">
      <w:pPr>
        <w:pStyle w:val="6"/>
        <w:spacing w:before="277" w:line="220" w:lineRule="auto"/>
        <w:ind w:left="6110"/>
        <w:rPr>
          <w:sz w:val="24"/>
          <w:szCs w:val="24"/>
        </w:rPr>
      </w:pPr>
      <w:r>
        <w:rPr>
          <w:spacing w:val="-31"/>
          <w:sz w:val="24"/>
          <w:szCs w:val="24"/>
        </w:rPr>
        <w:t>日</w:t>
      </w:r>
      <w:r>
        <w:rPr>
          <w:spacing w:val="1"/>
          <w:sz w:val="24"/>
          <w:szCs w:val="24"/>
        </w:rPr>
        <w:t xml:space="preserve">       </w:t>
      </w:r>
      <w:r>
        <w:rPr>
          <w:spacing w:val="-31"/>
          <w:sz w:val="24"/>
          <w:szCs w:val="24"/>
        </w:rPr>
        <w:t>期</w:t>
      </w:r>
      <w:r>
        <w:rPr>
          <w:spacing w:val="-86"/>
          <w:sz w:val="24"/>
          <w:szCs w:val="24"/>
        </w:rPr>
        <w:t xml:space="preserve"> </w:t>
      </w:r>
      <w:r>
        <w:rPr>
          <w:spacing w:val="-31"/>
          <w:sz w:val="24"/>
          <w:szCs w:val="24"/>
        </w:rPr>
        <w:t>：</w:t>
      </w:r>
      <w:r>
        <w:rPr>
          <w:sz w:val="24"/>
          <w:szCs w:val="24"/>
          <w:u w:val="single" w:color="auto"/>
        </w:rPr>
        <w:t xml:space="preserve">                 </w:t>
      </w:r>
    </w:p>
    <w:p w14:paraId="6366113E">
      <w:pPr>
        <w:spacing w:line="220" w:lineRule="auto"/>
        <w:rPr>
          <w:sz w:val="24"/>
          <w:szCs w:val="24"/>
        </w:rPr>
        <w:sectPr>
          <w:footerReference r:id="rId40" w:type="default"/>
          <w:pgSz w:w="11910" w:h="16840"/>
          <w:pgMar w:top="1109" w:right="854" w:bottom="1117" w:left="1080" w:header="832" w:footer="884" w:gutter="0"/>
          <w:pgNumType w:fmt="decimal"/>
          <w:cols w:space="720" w:num="1"/>
        </w:sectPr>
      </w:pPr>
    </w:p>
    <w:p w14:paraId="2BE1CB6A">
      <w:pPr>
        <w:spacing w:line="289" w:lineRule="auto"/>
        <w:rPr>
          <w:rFonts w:ascii="Arial"/>
          <w:sz w:val="21"/>
        </w:rPr>
      </w:pPr>
      <w:r>
        <w:drawing>
          <wp:anchor distT="0" distB="0" distL="0" distR="0" simplePos="0" relativeHeight="251668480" behindDoc="0" locked="0" layoutInCell="0" allowOverlap="1">
            <wp:simplePos x="0" y="0"/>
            <wp:positionH relativeFrom="page">
              <wp:posOffset>685800</wp:posOffset>
            </wp:positionH>
            <wp:positionV relativeFrom="page">
              <wp:posOffset>686435</wp:posOffset>
            </wp:positionV>
            <wp:extent cx="6334760" cy="7620"/>
            <wp:effectExtent l="0" t="0" r="0" b="0"/>
            <wp:wrapNone/>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69"/>
                    <a:stretch>
                      <a:fillRect/>
                    </a:stretch>
                  </pic:blipFill>
                  <pic:spPr>
                    <a:xfrm>
                      <a:off x="0" y="0"/>
                      <a:ext cx="6334759" cy="7620"/>
                    </a:xfrm>
                    <a:prstGeom prst="rect">
                      <a:avLst/>
                    </a:prstGeom>
                  </pic:spPr>
                </pic:pic>
              </a:graphicData>
            </a:graphic>
          </wp:anchor>
        </w:drawing>
      </w:r>
    </w:p>
    <w:p w14:paraId="44AAE7F4">
      <w:pPr>
        <w:spacing w:line="289" w:lineRule="auto"/>
        <w:rPr>
          <w:rFonts w:ascii="Arial"/>
          <w:sz w:val="21"/>
        </w:rPr>
      </w:pPr>
    </w:p>
    <w:p w14:paraId="4580DA6D">
      <w:pPr>
        <w:spacing w:line="289" w:lineRule="auto"/>
        <w:rPr>
          <w:rFonts w:ascii="Arial"/>
          <w:sz w:val="21"/>
        </w:rPr>
      </w:pPr>
    </w:p>
    <w:p w14:paraId="1A48877F">
      <w:pPr>
        <w:spacing w:line="289" w:lineRule="auto"/>
        <w:rPr>
          <w:rFonts w:ascii="Arial"/>
          <w:sz w:val="21"/>
        </w:rPr>
      </w:pPr>
    </w:p>
    <w:p w14:paraId="424D4687">
      <w:pPr>
        <w:pStyle w:val="6"/>
        <w:spacing w:before="101" w:line="225" w:lineRule="auto"/>
        <w:ind w:left="3731"/>
        <w:rPr>
          <w:sz w:val="31"/>
          <w:szCs w:val="31"/>
        </w:rPr>
      </w:pPr>
      <w:r>
        <w:rPr>
          <w:spacing w:val="8"/>
          <w:sz w:val="31"/>
          <w:szCs w:val="31"/>
        </w:rPr>
        <w:t>十、特殊资格要求</w:t>
      </w:r>
    </w:p>
    <w:p w14:paraId="5DA91BDA">
      <w:pPr>
        <w:spacing w:line="225" w:lineRule="auto"/>
        <w:rPr>
          <w:sz w:val="31"/>
          <w:szCs w:val="31"/>
        </w:rPr>
        <w:sectPr>
          <w:footerReference r:id="rId41" w:type="default"/>
          <w:pgSz w:w="11910" w:h="16840"/>
          <w:pgMar w:top="1109" w:right="854" w:bottom="1117" w:left="1080" w:header="832" w:footer="884" w:gutter="0"/>
          <w:pgNumType w:fmt="decimal"/>
          <w:cols w:space="720" w:num="1"/>
        </w:sectPr>
      </w:pPr>
    </w:p>
    <w:p w14:paraId="00776E26">
      <w:pPr>
        <w:spacing w:line="347" w:lineRule="auto"/>
        <w:rPr>
          <w:rFonts w:ascii="Arial"/>
          <w:sz w:val="21"/>
        </w:rPr>
      </w:pPr>
    </w:p>
    <w:p w14:paraId="36FF5CCD">
      <w:pPr>
        <w:pStyle w:val="6"/>
        <w:spacing w:before="130" w:line="220" w:lineRule="auto"/>
        <w:ind w:left="3614"/>
        <w:outlineLvl w:val="1"/>
        <w:rPr>
          <w:sz w:val="40"/>
          <w:szCs w:val="40"/>
        </w:rPr>
      </w:pPr>
      <w:r>
        <w:rPr>
          <w:spacing w:val="-3"/>
          <w:sz w:val="40"/>
          <w:szCs w:val="40"/>
        </w:rPr>
        <w:t>技术及商务文件</w:t>
      </w:r>
    </w:p>
    <w:p w14:paraId="54493C8B">
      <w:pPr>
        <w:spacing w:line="365" w:lineRule="auto"/>
        <w:rPr>
          <w:rFonts w:ascii="Arial"/>
          <w:sz w:val="21"/>
        </w:rPr>
      </w:pPr>
    </w:p>
    <w:p w14:paraId="54AC8091">
      <w:pPr>
        <w:pStyle w:val="6"/>
        <w:spacing w:before="130" w:line="222" w:lineRule="auto"/>
        <w:ind w:left="4244"/>
        <w:outlineLvl w:val="0"/>
        <w:rPr>
          <w:sz w:val="40"/>
          <w:szCs w:val="40"/>
        </w:rPr>
      </w:pPr>
      <w:bookmarkStart w:id="46" w:name="_Toc16828"/>
      <w:r>
        <w:rPr>
          <w:spacing w:val="-29"/>
          <w:sz w:val="40"/>
          <w:szCs w:val="40"/>
        </w:rPr>
        <w:t>目     录</w:t>
      </w:r>
      <w:bookmarkEnd w:id="46"/>
    </w:p>
    <w:p w14:paraId="24A5D3D0">
      <w:pPr>
        <w:spacing w:line="333" w:lineRule="auto"/>
        <w:rPr>
          <w:rFonts w:ascii="Arial"/>
          <w:sz w:val="21"/>
        </w:rPr>
      </w:pPr>
    </w:p>
    <w:p w14:paraId="34B7A74C">
      <w:pPr>
        <w:spacing w:line="334" w:lineRule="auto"/>
        <w:rPr>
          <w:rFonts w:ascii="Arial"/>
          <w:sz w:val="21"/>
        </w:rPr>
      </w:pPr>
    </w:p>
    <w:p w14:paraId="3945DB32">
      <w:pPr>
        <w:pStyle w:val="6"/>
        <w:spacing w:before="78" w:line="220" w:lineRule="auto"/>
        <w:ind w:left="20"/>
        <w:rPr>
          <w:sz w:val="24"/>
          <w:szCs w:val="24"/>
        </w:rPr>
      </w:pPr>
      <w:r>
        <w:rPr>
          <w:spacing w:val="-3"/>
          <w:sz w:val="24"/>
          <w:szCs w:val="24"/>
        </w:rPr>
        <w:t>（1）投标函；</w:t>
      </w:r>
    </w:p>
    <w:p w14:paraId="1255F858">
      <w:pPr>
        <w:pStyle w:val="6"/>
        <w:spacing w:before="275" w:line="218" w:lineRule="auto"/>
        <w:ind w:left="20"/>
        <w:rPr>
          <w:sz w:val="24"/>
          <w:szCs w:val="24"/>
        </w:rPr>
      </w:pPr>
      <w:r>
        <w:rPr>
          <w:spacing w:val="-3"/>
          <w:sz w:val="24"/>
          <w:szCs w:val="24"/>
        </w:rPr>
        <w:t>（2）分项报价表；</w:t>
      </w:r>
    </w:p>
    <w:p w14:paraId="64C71521">
      <w:pPr>
        <w:pStyle w:val="6"/>
        <w:spacing w:before="276" w:line="219" w:lineRule="auto"/>
        <w:ind w:left="20"/>
        <w:rPr>
          <w:sz w:val="24"/>
          <w:szCs w:val="24"/>
        </w:rPr>
      </w:pPr>
      <w:r>
        <w:rPr>
          <w:spacing w:val="-2"/>
          <w:sz w:val="24"/>
          <w:szCs w:val="24"/>
        </w:rPr>
        <w:t>（3）技术参数偏离表；</w:t>
      </w:r>
    </w:p>
    <w:p w14:paraId="1946B665">
      <w:pPr>
        <w:pStyle w:val="6"/>
        <w:spacing w:before="274" w:line="219" w:lineRule="auto"/>
        <w:ind w:left="20"/>
        <w:rPr>
          <w:sz w:val="24"/>
          <w:szCs w:val="24"/>
        </w:rPr>
      </w:pPr>
      <w:r>
        <w:rPr>
          <w:spacing w:val="-3"/>
          <w:sz w:val="24"/>
          <w:szCs w:val="24"/>
        </w:rPr>
        <w:t>（4）技术因素；</w:t>
      </w:r>
    </w:p>
    <w:p w14:paraId="0DB87EF6">
      <w:pPr>
        <w:pStyle w:val="6"/>
        <w:spacing w:before="277" w:line="219" w:lineRule="auto"/>
        <w:ind w:left="20"/>
        <w:rPr>
          <w:sz w:val="24"/>
          <w:szCs w:val="24"/>
        </w:rPr>
      </w:pPr>
      <w:r>
        <w:rPr>
          <w:spacing w:val="-2"/>
          <w:sz w:val="24"/>
          <w:szCs w:val="24"/>
        </w:rPr>
        <w:t>（5）商务条款偏离表；</w:t>
      </w:r>
    </w:p>
    <w:p w14:paraId="0A3D9C0E">
      <w:pPr>
        <w:pStyle w:val="6"/>
        <w:spacing w:before="274" w:line="219" w:lineRule="auto"/>
        <w:ind w:left="20"/>
        <w:rPr>
          <w:sz w:val="24"/>
          <w:szCs w:val="24"/>
        </w:rPr>
      </w:pPr>
      <w:r>
        <w:rPr>
          <w:spacing w:val="-2"/>
          <w:sz w:val="24"/>
          <w:szCs w:val="24"/>
        </w:rPr>
        <w:t>（6）</w:t>
      </w:r>
      <w:r>
        <w:rPr>
          <w:rFonts w:hint="eastAsia"/>
          <w:spacing w:val="-2"/>
          <w:sz w:val="24"/>
          <w:szCs w:val="24"/>
        </w:rPr>
        <w:t>项目服务方案</w:t>
      </w:r>
      <w:r>
        <w:rPr>
          <w:spacing w:val="-2"/>
          <w:sz w:val="24"/>
          <w:szCs w:val="24"/>
        </w:rPr>
        <w:t>；</w:t>
      </w:r>
    </w:p>
    <w:p w14:paraId="6764E848">
      <w:pPr>
        <w:pStyle w:val="6"/>
        <w:spacing w:before="275" w:line="219" w:lineRule="auto"/>
        <w:ind w:left="20"/>
        <w:rPr>
          <w:spacing w:val="-3"/>
          <w:sz w:val="24"/>
          <w:szCs w:val="24"/>
        </w:rPr>
      </w:pPr>
      <w:r>
        <w:rPr>
          <w:spacing w:val="-3"/>
          <w:sz w:val="24"/>
          <w:szCs w:val="24"/>
        </w:rPr>
        <w:t>（6）</w:t>
      </w:r>
      <w:r>
        <w:rPr>
          <w:rFonts w:hint="eastAsia"/>
          <w:spacing w:val="-3"/>
          <w:sz w:val="24"/>
          <w:szCs w:val="24"/>
        </w:rPr>
        <w:t>业绩</w:t>
      </w:r>
      <w:r>
        <w:rPr>
          <w:spacing w:val="-3"/>
          <w:sz w:val="24"/>
          <w:szCs w:val="24"/>
        </w:rPr>
        <w:t>；</w:t>
      </w:r>
    </w:p>
    <w:p w14:paraId="73E0903C">
      <w:pPr>
        <w:pStyle w:val="6"/>
        <w:spacing w:before="275" w:line="219" w:lineRule="auto"/>
        <w:ind w:left="20"/>
        <w:rPr>
          <w:rFonts w:hint="eastAsia"/>
          <w:spacing w:val="-3"/>
          <w:sz w:val="24"/>
          <w:szCs w:val="24"/>
          <w:lang w:val="en-US" w:eastAsia="zh-CN"/>
        </w:rPr>
      </w:pPr>
      <w:r>
        <w:rPr>
          <w:rFonts w:hint="eastAsia"/>
          <w:spacing w:val="-3"/>
          <w:sz w:val="24"/>
          <w:szCs w:val="24"/>
          <w:lang w:val="en-US" w:eastAsia="zh-CN"/>
        </w:rPr>
        <w:t>（7）售后服务承诺</w:t>
      </w:r>
    </w:p>
    <w:p w14:paraId="7161896E">
      <w:pPr>
        <w:pStyle w:val="6"/>
        <w:spacing w:before="275" w:line="219" w:lineRule="auto"/>
        <w:ind w:left="20"/>
        <w:rPr>
          <w:rFonts w:hint="default"/>
          <w:spacing w:val="-3"/>
          <w:sz w:val="24"/>
          <w:szCs w:val="24"/>
          <w:lang w:val="en-US" w:eastAsia="zh-CN"/>
        </w:rPr>
      </w:pPr>
      <w:r>
        <w:rPr>
          <w:rFonts w:hint="eastAsia"/>
          <w:spacing w:val="-3"/>
          <w:sz w:val="24"/>
          <w:szCs w:val="24"/>
          <w:lang w:val="en-US" w:eastAsia="zh-CN"/>
        </w:rPr>
        <w:t>（8）售后服务响应</w:t>
      </w:r>
    </w:p>
    <w:p w14:paraId="0F5072ED">
      <w:pPr>
        <w:pStyle w:val="6"/>
        <w:spacing w:before="274" w:line="219" w:lineRule="auto"/>
        <w:ind w:left="20"/>
        <w:rPr>
          <w:sz w:val="24"/>
          <w:szCs w:val="24"/>
        </w:rPr>
      </w:pPr>
      <w:r>
        <w:rPr>
          <w:spacing w:val="-2"/>
          <w:sz w:val="24"/>
          <w:szCs w:val="24"/>
        </w:rPr>
        <w:t>（</w:t>
      </w:r>
      <w:r>
        <w:rPr>
          <w:rFonts w:hint="eastAsia"/>
          <w:spacing w:val="-2"/>
          <w:sz w:val="24"/>
          <w:szCs w:val="24"/>
          <w:lang w:val="en-US" w:eastAsia="zh-CN"/>
        </w:rPr>
        <w:t>9</w:t>
      </w:r>
      <w:r>
        <w:rPr>
          <w:spacing w:val="-2"/>
          <w:sz w:val="24"/>
          <w:szCs w:val="24"/>
        </w:rPr>
        <w:t>）招标文件规定需要材料或证明；</w:t>
      </w:r>
    </w:p>
    <w:p w14:paraId="0CF9932A">
      <w:pPr>
        <w:pStyle w:val="6"/>
        <w:spacing w:before="277" w:line="219" w:lineRule="auto"/>
        <w:ind w:left="20"/>
        <w:rPr>
          <w:sz w:val="24"/>
          <w:szCs w:val="24"/>
        </w:rPr>
      </w:pPr>
      <w:r>
        <w:rPr>
          <w:spacing w:val="-1"/>
          <w:sz w:val="24"/>
          <w:szCs w:val="24"/>
        </w:rPr>
        <w:t>（</w:t>
      </w:r>
      <w:r>
        <w:rPr>
          <w:rFonts w:hint="eastAsia"/>
          <w:spacing w:val="-1"/>
          <w:sz w:val="24"/>
          <w:szCs w:val="24"/>
          <w:lang w:val="en-US" w:eastAsia="zh-CN"/>
        </w:rPr>
        <w:t>10</w:t>
      </w:r>
      <w:r>
        <w:rPr>
          <w:spacing w:val="-1"/>
          <w:sz w:val="24"/>
          <w:szCs w:val="24"/>
        </w:rPr>
        <w:t>）投标人认为需要提供其他资料或证明；</w:t>
      </w:r>
    </w:p>
    <w:p w14:paraId="1E7307B2">
      <w:pPr>
        <w:pStyle w:val="6"/>
        <w:spacing w:before="274" w:line="219" w:lineRule="auto"/>
        <w:ind w:left="20"/>
        <w:rPr>
          <w:sz w:val="24"/>
          <w:szCs w:val="24"/>
        </w:rPr>
      </w:pPr>
      <w:r>
        <w:rPr>
          <w:spacing w:val="-2"/>
          <w:sz w:val="24"/>
          <w:szCs w:val="24"/>
        </w:rPr>
        <w:t>（</w:t>
      </w:r>
      <w:r>
        <w:rPr>
          <w:rFonts w:hint="eastAsia"/>
          <w:spacing w:val="-2"/>
          <w:sz w:val="24"/>
          <w:szCs w:val="24"/>
          <w:lang w:val="en-US" w:eastAsia="zh-CN"/>
        </w:rPr>
        <w:t>11</w:t>
      </w:r>
      <w:r>
        <w:rPr>
          <w:spacing w:val="-2"/>
          <w:sz w:val="24"/>
          <w:szCs w:val="24"/>
        </w:rPr>
        <w:t>）中标服务费承诺书。</w:t>
      </w:r>
    </w:p>
    <w:p w14:paraId="69526428">
      <w:pPr>
        <w:spacing w:line="219" w:lineRule="auto"/>
        <w:rPr>
          <w:sz w:val="24"/>
          <w:szCs w:val="24"/>
        </w:rPr>
        <w:sectPr>
          <w:headerReference r:id="rId42" w:type="default"/>
          <w:footerReference r:id="rId43" w:type="default"/>
          <w:pgSz w:w="11910" w:h="16840"/>
          <w:pgMar w:top="1142" w:right="854" w:bottom="1117" w:left="1080" w:header="832" w:footer="884" w:gutter="0"/>
          <w:pgNumType w:fmt="decimal"/>
          <w:cols w:space="720" w:num="1"/>
        </w:sectPr>
      </w:pPr>
    </w:p>
    <w:p w14:paraId="12B2AB66">
      <w:pPr>
        <w:spacing w:line="354" w:lineRule="auto"/>
        <w:rPr>
          <w:rFonts w:ascii="Arial"/>
          <w:sz w:val="21"/>
        </w:rPr>
      </w:pPr>
    </w:p>
    <w:p w14:paraId="169573BF">
      <w:pPr>
        <w:pStyle w:val="6"/>
        <w:spacing w:before="100" w:line="225" w:lineRule="auto"/>
        <w:ind w:left="3898"/>
        <w:outlineLvl w:val="0"/>
        <w:rPr>
          <w:sz w:val="31"/>
          <w:szCs w:val="31"/>
        </w:rPr>
      </w:pPr>
      <w:bookmarkStart w:id="47" w:name="_Toc25449"/>
      <w:r>
        <w:rPr>
          <w:spacing w:val="6"/>
          <w:sz w:val="31"/>
          <w:szCs w:val="31"/>
        </w:rPr>
        <w:t>一、投标函</w:t>
      </w:r>
      <w:bookmarkEnd w:id="47"/>
    </w:p>
    <w:p w14:paraId="59C5AC29">
      <w:pPr>
        <w:pStyle w:val="6"/>
        <w:tabs>
          <w:tab w:val="left" w:pos="131"/>
        </w:tabs>
        <w:spacing w:before="238" w:line="219" w:lineRule="auto"/>
        <w:rPr>
          <w:sz w:val="24"/>
          <w:szCs w:val="24"/>
        </w:rPr>
      </w:pPr>
      <w:r>
        <w:rPr>
          <w:sz w:val="24"/>
          <w:szCs w:val="24"/>
          <w:u w:val="single" w:color="auto"/>
        </w:rPr>
        <w:tab/>
      </w:r>
      <w:r>
        <w:rPr>
          <w:rFonts w:hint="eastAsia"/>
          <w:spacing w:val="-1"/>
          <w:sz w:val="24"/>
          <w:szCs w:val="24"/>
          <w:u w:val="single" w:color="auto"/>
          <w:lang w:eastAsia="zh-CN"/>
        </w:rPr>
        <w:t>六盘水市第三人民医院</w:t>
      </w:r>
      <w:r>
        <w:rPr>
          <w:spacing w:val="-1"/>
          <w:sz w:val="24"/>
          <w:szCs w:val="24"/>
          <w:u w:val="single" w:color="auto"/>
        </w:rPr>
        <w:t xml:space="preserve"> （采购人名称</w:t>
      </w:r>
      <w:r>
        <w:rPr>
          <w:spacing w:val="15"/>
          <w:sz w:val="24"/>
          <w:szCs w:val="24"/>
          <w:u w:val="single" w:color="auto"/>
        </w:rPr>
        <w:t>）：</w:t>
      </w:r>
    </w:p>
    <w:p w14:paraId="50CC3449">
      <w:pPr>
        <w:pStyle w:val="6"/>
        <w:tabs>
          <w:tab w:val="left" w:pos="9460"/>
        </w:tabs>
        <w:spacing w:before="157" w:line="349" w:lineRule="auto"/>
        <w:ind w:left="8" w:right="515" w:firstLine="420"/>
        <w:jc w:val="both"/>
        <w:rPr>
          <w:sz w:val="24"/>
          <w:szCs w:val="24"/>
        </w:rPr>
      </w:pPr>
      <w:r>
        <w:rPr>
          <w:spacing w:val="1"/>
          <w:sz w:val="24"/>
          <w:szCs w:val="24"/>
        </w:rPr>
        <w:t>根据贵方为</w:t>
      </w:r>
      <w:r>
        <w:rPr>
          <w:spacing w:val="1"/>
          <w:sz w:val="24"/>
          <w:szCs w:val="24"/>
          <w:u w:val="single" w:color="auto"/>
        </w:rPr>
        <w:t xml:space="preserve"> </w:t>
      </w:r>
      <w:r>
        <w:rPr>
          <w:rFonts w:hint="eastAsia"/>
          <w:spacing w:val="1"/>
          <w:sz w:val="24"/>
          <w:szCs w:val="24"/>
          <w:u w:val="single" w:color="auto"/>
          <w:lang w:val="en-US" w:eastAsia="zh-CN"/>
        </w:rPr>
        <w:t xml:space="preserve">         （项目名称）</w:t>
      </w:r>
      <w:r>
        <w:rPr>
          <w:sz w:val="24"/>
          <w:szCs w:val="24"/>
        </w:rPr>
        <w:t xml:space="preserve">项目 </w:t>
      </w:r>
      <w:r>
        <w:rPr>
          <w:spacing w:val="4"/>
          <w:sz w:val="24"/>
          <w:szCs w:val="24"/>
        </w:rPr>
        <w:t>采购货物、服务的采购邀请（项目编号</w:t>
      </w:r>
      <w:r>
        <w:rPr>
          <w:rFonts w:hint="eastAsia"/>
          <w:sz w:val="24"/>
          <w:szCs w:val="24"/>
          <w:u w:val="single" w:color="auto"/>
          <w:lang w:val="en-US" w:eastAsia="zh-CN"/>
        </w:rPr>
        <w:t xml:space="preserve"> </w:t>
      </w:r>
      <w:r>
        <w:rPr>
          <w:spacing w:val="-5"/>
          <w:sz w:val="24"/>
          <w:szCs w:val="24"/>
        </w:rPr>
        <w:t>）</w:t>
      </w:r>
      <w:r>
        <w:rPr>
          <w:spacing w:val="-72"/>
          <w:sz w:val="24"/>
          <w:szCs w:val="24"/>
        </w:rPr>
        <w:t xml:space="preserve"> </w:t>
      </w:r>
      <w:r>
        <w:rPr>
          <w:spacing w:val="-5"/>
          <w:sz w:val="24"/>
          <w:szCs w:val="24"/>
        </w:rPr>
        <w:t>，</w:t>
      </w:r>
      <w:r>
        <w:rPr>
          <w:spacing w:val="4"/>
          <w:sz w:val="24"/>
          <w:szCs w:val="24"/>
        </w:rPr>
        <w:t>签字</w:t>
      </w:r>
      <w:r>
        <w:rPr>
          <w:spacing w:val="3"/>
          <w:sz w:val="24"/>
          <w:szCs w:val="24"/>
        </w:rPr>
        <w:t>代表</w:t>
      </w:r>
      <w:r>
        <w:rPr>
          <w:spacing w:val="-110"/>
          <w:sz w:val="24"/>
          <w:szCs w:val="24"/>
        </w:rPr>
        <w:t xml:space="preserve"> </w:t>
      </w:r>
      <w:r>
        <w:rPr>
          <w:spacing w:val="3"/>
          <w:sz w:val="24"/>
          <w:szCs w:val="24"/>
          <w:u w:val="single" w:color="auto"/>
        </w:rPr>
        <w:t xml:space="preserve">    （全名、职务）</w:t>
      </w:r>
      <w:r>
        <w:rPr>
          <w:sz w:val="24"/>
          <w:szCs w:val="24"/>
          <w:u w:val="single" w:color="auto"/>
        </w:rPr>
        <w:tab/>
      </w:r>
      <w:r>
        <w:rPr>
          <w:sz w:val="24"/>
          <w:szCs w:val="24"/>
        </w:rPr>
        <w:t xml:space="preserve"> 经正式授权并代表投标人</w:t>
      </w:r>
      <w:r>
        <w:rPr>
          <w:sz w:val="24"/>
          <w:szCs w:val="24"/>
          <w:u w:val="single" w:color="auto"/>
        </w:rPr>
        <w:t xml:space="preserve">     （投标人名称、</w:t>
      </w:r>
      <w:r>
        <w:rPr>
          <w:spacing w:val="-1"/>
          <w:sz w:val="24"/>
          <w:szCs w:val="24"/>
          <w:u w:val="single" w:color="auto"/>
        </w:rPr>
        <w:t>地址）</w:t>
      </w:r>
      <w:r>
        <w:rPr>
          <w:spacing w:val="-1"/>
          <w:sz w:val="24"/>
          <w:szCs w:val="24"/>
        </w:rPr>
        <w:t>提交投标文件；</w:t>
      </w:r>
    </w:p>
    <w:p w14:paraId="427D2243">
      <w:pPr>
        <w:pStyle w:val="6"/>
        <w:spacing w:line="218" w:lineRule="auto"/>
        <w:ind w:left="8"/>
        <w:rPr>
          <w:sz w:val="24"/>
          <w:szCs w:val="24"/>
        </w:rPr>
      </w:pPr>
      <w:r>
        <w:rPr>
          <w:spacing w:val="-1"/>
          <w:sz w:val="24"/>
          <w:szCs w:val="24"/>
        </w:rPr>
        <w:t>据此函，签字代表宣布同意如下：</w:t>
      </w:r>
    </w:p>
    <w:p w14:paraId="05B04EF5">
      <w:pPr>
        <w:pStyle w:val="6"/>
        <w:spacing w:before="139" w:line="310" w:lineRule="auto"/>
        <w:ind w:left="10" w:right="615" w:firstLine="16"/>
        <w:rPr>
          <w:sz w:val="24"/>
          <w:szCs w:val="24"/>
        </w:rPr>
      </w:pPr>
      <w:r>
        <w:rPr>
          <w:spacing w:val="-1"/>
          <w:sz w:val="24"/>
          <w:szCs w:val="24"/>
        </w:rPr>
        <w:t>1、愿按照招标文件中的投标人须知、合同条款、技术条件、交货期等要求提供所需采购</w:t>
      </w:r>
      <w:r>
        <w:rPr>
          <w:spacing w:val="5"/>
          <w:sz w:val="24"/>
          <w:szCs w:val="24"/>
        </w:rPr>
        <w:t xml:space="preserve">  </w:t>
      </w:r>
      <w:r>
        <w:rPr>
          <w:sz w:val="24"/>
          <w:szCs w:val="24"/>
        </w:rPr>
        <w:t>货物、服务。总价报价为</w:t>
      </w:r>
      <w:r>
        <w:rPr>
          <w:spacing w:val="-22"/>
          <w:sz w:val="24"/>
          <w:szCs w:val="24"/>
        </w:rPr>
        <w:t>：（</w:t>
      </w:r>
      <w:r>
        <w:rPr>
          <w:sz w:val="24"/>
          <w:szCs w:val="24"/>
        </w:rPr>
        <w:t>小写）</w:t>
      </w:r>
      <w:r>
        <w:rPr>
          <w:sz w:val="24"/>
          <w:szCs w:val="24"/>
          <w:u w:val="single" w:color="auto"/>
        </w:rPr>
        <w:t xml:space="preserve">      </w:t>
      </w:r>
      <w:r>
        <w:rPr>
          <w:spacing w:val="-107"/>
          <w:sz w:val="24"/>
          <w:szCs w:val="24"/>
        </w:rPr>
        <w:t xml:space="preserve"> </w:t>
      </w:r>
      <w:r>
        <w:rPr>
          <w:sz w:val="24"/>
          <w:szCs w:val="24"/>
        </w:rPr>
        <w:t>人民币</w:t>
      </w:r>
      <w:r>
        <w:rPr>
          <w:spacing w:val="-22"/>
          <w:sz w:val="24"/>
          <w:szCs w:val="24"/>
        </w:rPr>
        <w:t>，（</w:t>
      </w:r>
      <w:r>
        <w:rPr>
          <w:sz w:val="24"/>
          <w:szCs w:val="24"/>
        </w:rPr>
        <w:t>大写）</w:t>
      </w:r>
      <w:r>
        <w:rPr>
          <w:sz w:val="24"/>
          <w:szCs w:val="24"/>
          <w:u w:val="single" w:color="auto"/>
        </w:rPr>
        <w:t xml:space="preserve">       </w:t>
      </w:r>
      <w:r>
        <w:rPr>
          <w:spacing w:val="-109"/>
          <w:sz w:val="24"/>
          <w:szCs w:val="24"/>
        </w:rPr>
        <w:t xml:space="preserve"> </w:t>
      </w:r>
      <w:r>
        <w:rPr>
          <w:sz w:val="24"/>
          <w:szCs w:val="24"/>
        </w:rPr>
        <w:t>人民币。</w:t>
      </w:r>
      <w:r>
        <w:rPr>
          <w:spacing w:val="-68"/>
          <w:sz w:val="24"/>
          <w:szCs w:val="24"/>
        </w:rPr>
        <w:t xml:space="preserve"> </w:t>
      </w:r>
      <w:r>
        <w:rPr>
          <w:sz w:val="24"/>
          <w:szCs w:val="24"/>
        </w:rPr>
        <w:t xml:space="preserve">(本项目报 </w:t>
      </w:r>
      <w:r>
        <w:rPr>
          <w:spacing w:val="-1"/>
          <w:sz w:val="24"/>
          <w:szCs w:val="24"/>
        </w:rPr>
        <w:t>价需要载明单价报价及总价报价）</w:t>
      </w:r>
    </w:p>
    <w:p w14:paraId="5BA43728">
      <w:pPr>
        <w:pStyle w:val="6"/>
        <w:spacing w:before="155" w:line="219" w:lineRule="auto"/>
        <w:ind w:left="12"/>
        <w:rPr>
          <w:sz w:val="24"/>
          <w:szCs w:val="24"/>
        </w:rPr>
      </w:pPr>
      <w:r>
        <w:rPr>
          <w:spacing w:val="-1"/>
          <w:sz w:val="24"/>
          <w:szCs w:val="24"/>
        </w:rPr>
        <w:t>2、为投标文件的一部分，我单位愿提供招标文件中规定的保证金。</w:t>
      </w:r>
    </w:p>
    <w:p w14:paraId="2FD4981C">
      <w:pPr>
        <w:pStyle w:val="6"/>
        <w:spacing w:before="32" w:line="260" w:lineRule="auto"/>
        <w:ind w:left="10" w:right="736" w:firstLine="3"/>
        <w:rPr>
          <w:sz w:val="24"/>
          <w:szCs w:val="24"/>
        </w:rPr>
      </w:pPr>
      <w:r>
        <w:rPr>
          <w:sz w:val="24"/>
          <w:szCs w:val="24"/>
        </w:rPr>
        <w:t>3、我单位承诺遵守《政府采购法》的有关规定，并</w:t>
      </w:r>
      <w:r>
        <w:rPr>
          <w:spacing w:val="-1"/>
          <w:sz w:val="24"/>
          <w:szCs w:val="24"/>
        </w:rPr>
        <w:t>已经具备《政府采购法》和招标文件</w:t>
      </w:r>
      <w:r>
        <w:rPr>
          <w:sz w:val="24"/>
          <w:szCs w:val="24"/>
        </w:rPr>
        <w:t xml:space="preserve"> </w:t>
      </w:r>
      <w:r>
        <w:rPr>
          <w:spacing w:val="-1"/>
          <w:sz w:val="24"/>
          <w:szCs w:val="24"/>
        </w:rPr>
        <w:t>规定的参加政府采购活动的投标人应当具备的条件。</w:t>
      </w:r>
    </w:p>
    <w:p w14:paraId="76B8CC00">
      <w:pPr>
        <w:pStyle w:val="6"/>
        <w:spacing w:before="106" w:line="261" w:lineRule="auto"/>
        <w:ind w:left="9" w:right="736" w:hanging="1"/>
        <w:rPr>
          <w:sz w:val="24"/>
          <w:szCs w:val="24"/>
        </w:rPr>
      </w:pPr>
      <w:r>
        <w:rPr>
          <w:sz w:val="24"/>
          <w:szCs w:val="24"/>
        </w:rPr>
        <w:t>4、我单位已详细审核全部招标文件，包括招标文件修改文件（如</w:t>
      </w:r>
      <w:r>
        <w:rPr>
          <w:spacing w:val="-1"/>
          <w:sz w:val="24"/>
          <w:szCs w:val="24"/>
        </w:rPr>
        <w:t>有的话）、参考资料及</w:t>
      </w:r>
      <w:r>
        <w:rPr>
          <w:sz w:val="24"/>
          <w:szCs w:val="24"/>
        </w:rPr>
        <w:t xml:space="preserve"> 有关附件，确认无误。我单位承诺接受招标文件中</w:t>
      </w:r>
      <w:r>
        <w:rPr>
          <w:spacing w:val="-1"/>
          <w:sz w:val="24"/>
          <w:szCs w:val="24"/>
        </w:rPr>
        <w:t>的全部条款且无任何异议。</w:t>
      </w:r>
    </w:p>
    <w:p w14:paraId="56D4EB05">
      <w:pPr>
        <w:pStyle w:val="6"/>
        <w:spacing w:before="83" w:line="219" w:lineRule="auto"/>
        <w:ind w:left="14"/>
        <w:rPr>
          <w:sz w:val="24"/>
          <w:szCs w:val="24"/>
        </w:rPr>
      </w:pPr>
      <w:r>
        <w:rPr>
          <w:spacing w:val="-1"/>
          <w:sz w:val="24"/>
          <w:szCs w:val="24"/>
        </w:rPr>
        <w:t>5、我单位保证投标文件提供的数据和材料是真实、准确的。</w:t>
      </w:r>
    </w:p>
    <w:p w14:paraId="5C33C7F3">
      <w:pPr>
        <w:pStyle w:val="6"/>
        <w:spacing w:before="82" w:line="261" w:lineRule="auto"/>
        <w:ind w:left="11" w:right="794"/>
        <w:rPr>
          <w:sz w:val="24"/>
          <w:szCs w:val="24"/>
        </w:rPr>
      </w:pPr>
      <w:r>
        <w:rPr>
          <w:spacing w:val="-2"/>
          <w:sz w:val="24"/>
          <w:szCs w:val="24"/>
        </w:rPr>
        <w:t>6、我单位愿意向贵方提供任何与本项采购有关的数据、情况和技术资料。若贵方需要，</w:t>
      </w:r>
      <w:r>
        <w:rPr>
          <w:spacing w:val="7"/>
          <w:sz w:val="24"/>
          <w:szCs w:val="24"/>
        </w:rPr>
        <w:t xml:space="preserve"> </w:t>
      </w:r>
      <w:r>
        <w:rPr>
          <w:sz w:val="24"/>
          <w:szCs w:val="24"/>
        </w:rPr>
        <w:t>我单位愿意提供我单位作出的投标有关的一切数</w:t>
      </w:r>
      <w:r>
        <w:rPr>
          <w:spacing w:val="-1"/>
          <w:sz w:val="24"/>
          <w:szCs w:val="24"/>
        </w:rPr>
        <w:t>据或资料或承诺的证明材料。</w:t>
      </w:r>
    </w:p>
    <w:p w14:paraId="114CD523">
      <w:pPr>
        <w:pStyle w:val="6"/>
        <w:spacing w:before="83" w:line="219" w:lineRule="auto"/>
        <w:ind w:left="15"/>
        <w:rPr>
          <w:sz w:val="24"/>
          <w:szCs w:val="24"/>
        </w:rPr>
      </w:pPr>
      <w:r>
        <w:rPr>
          <w:spacing w:val="-1"/>
          <w:sz w:val="24"/>
          <w:szCs w:val="24"/>
        </w:rPr>
        <w:t>7、如果我单位中标，我单位将按招标文件的规定履行合同责任和义务。</w:t>
      </w:r>
    </w:p>
    <w:p w14:paraId="4A119BF4">
      <w:pPr>
        <w:pStyle w:val="6"/>
        <w:spacing w:before="79" w:line="261" w:lineRule="auto"/>
        <w:ind w:left="10" w:right="735"/>
        <w:rPr>
          <w:sz w:val="24"/>
          <w:szCs w:val="24"/>
        </w:rPr>
      </w:pPr>
      <w:r>
        <w:rPr>
          <w:spacing w:val="-2"/>
          <w:sz w:val="24"/>
          <w:szCs w:val="24"/>
        </w:rPr>
        <w:t xml:space="preserve">8、我单位同意在本项目招标文件中规定的递交投标文件截止时间起 </w:t>
      </w:r>
      <w:r>
        <w:rPr>
          <w:spacing w:val="-2"/>
          <w:sz w:val="24"/>
          <w:szCs w:val="24"/>
          <w:u w:val="single" w:color="auto"/>
        </w:rPr>
        <w:t>90</w:t>
      </w:r>
      <w:r>
        <w:rPr>
          <w:spacing w:val="68"/>
          <w:sz w:val="24"/>
          <w:szCs w:val="24"/>
        </w:rPr>
        <w:t xml:space="preserve"> </w:t>
      </w:r>
      <w:r>
        <w:rPr>
          <w:spacing w:val="-2"/>
          <w:sz w:val="24"/>
          <w:szCs w:val="24"/>
        </w:rPr>
        <w:t>日内（投标文件</w:t>
      </w:r>
      <w:r>
        <w:rPr>
          <w:sz w:val="24"/>
          <w:szCs w:val="24"/>
        </w:rPr>
        <w:t xml:space="preserve"> 有效期）遵守本投标文件中的承诺且在此期</w:t>
      </w:r>
      <w:r>
        <w:rPr>
          <w:spacing w:val="-1"/>
          <w:sz w:val="24"/>
          <w:szCs w:val="24"/>
        </w:rPr>
        <w:t>限期满之前均具有约束力。</w:t>
      </w:r>
    </w:p>
    <w:p w14:paraId="3A4B425B">
      <w:pPr>
        <w:pStyle w:val="6"/>
        <w:spacing w:before="81" w:line="213" w:lineRule="auto"/>
        <w:ind w:left="10" w:right="736"/>
        <w:rPr>
          <w:sz w:val="24"/>
          <w:szCs w:val="24"/>
        </w:rPr>
      </w:pPr>
      <w:r>
        <w:rPr>
          <w:sz w:val="24"/>
          <w:szCs w:val="24"/>
        </w:rPr>
        <w:t>9、如果在规定递交投标文件截止时间后，我单位在投标文件</w:t>
      </w:r>
      <w:r>
        <w:rPr>
          <w:spacing w:val="-1"/>
          <w:sz w:val="24"/>
          <w:szCs w:val="24"/>
        </w:rPr>
        <w:t>有效期内撤回投标文件，其</w:t>
      </w:r>
      <w:r>
        <w:rPr>
          <w:sz w:val="24"/>
          <w:szCs w:val="24"/>
        </w:rPr>
        <w:t xml:space="preserve"> </w:t>
      </w:r>
      <w:r>
        <w:rPr>
          <w:spacing w:val="-2"/>
          <w:sz w:val="24"/>
          <w:szCs w:val="24"/>
        </w:rPr>
        <w:t>保证金将被没收。</w:t>
      </w:r>
    </w:p>
    <w:p w14:paraId="2F9C7797">
      <w:pPr>
        <w:pStyle w:val="6"/>
        <w:spacing w:before="80" w:line="262" w:lineRule="auto"/>
        <w:ind w:left="9" w:right="616" w:firstLine="17"/>
        <w:rPr>
          <w:sz w:val="24"/>
          <w:szCs w:val="24"/>
        </w:rPr>
      </w:pPr>
      <w:r>
        <w:rPr>
          <w:spacing w:val="-1"/>
          <w:sz w:val="24"/>
          <w:szCs w:val="24"/>
        </w:rPr>
        <w:t>10、我单位承诺在投标过程中，若出现《中华人民共和国政府采购法》第七十七条规定之</w:t>
      </w:r>
      <w:r>
        <w:rPr>
          <w:spacing w:val="11"/>
          <w:sz w:val="24"/>
          <w:szCs w:val="24"/>
        </w:rPr>
        <w:t xml:space="preserve"> </w:t>
      </w:r>
      <w:r>
        <w:rPr>
          <w:spacing w:val="-1"/>
          <w:sz w:val="24"/>
          <w:szCs w:val="24"/>
        </w:rPr>
        <w:t>违法情形，我单位同意接受条款规定作出的处罚。</w:t>
      </w:r>
    </w:p>
    <w:p w14:paraId="1F69C9A7">
      <w:pPr>
        <w:pStyle w:val="6"/>
        <w:spacing w:before="201" w:line="219" w:lineRule="auto"/>
        <w:ind w:left="27"/>
        <w:rPr>
          <w:sz w:val="24"/>
          <w:szCs w:val="24"/>
        </w:rPr>
      </w:pPr>
      <w:r>
        <w:rPr>
          <w:spacing w:val="-2"/>
          <w:sz w:val="24"/>
          <w:szCs w:val="24"/>
        </w:rPr>
        <w:t>11、与本次投标有关的一切正式往来通讯请寄：</w:t>
      </w:r>
    </w:p>
    <w:p w14:paraId="67C3EAB9">
      <w:pPr>
        <w:spacing w:line="265" w:lineRule="auto"/>
        <w:rPr>
          <w:rFonts w:ascii="Arial"/>
          <w:sz w:val="21"/>
        </w:rPr>
      </w:pPr>
    </w:p>
    <w:p w14:paraId="3FE7EC9E">
      <w:pPr>
        <w:pStyle w:val="6"/>
        <w:spacing w:before="79" w:line="221" w:lineRule="auto"/>
        <w:ind w:left="9"/>
        <w:rPr>
          <w:sz w:val="24"/>
          <w:szCs w:val="24"/>
        </w:rPr>
      </w:pPr>
      <w:r>
        <w:rPr>
          <w:spacing w:val="-8"/>
          <w:sz w:val="24"/>
          <w:szCs w:val="24"/>
        </w:rPr>
        <w:t>地址：</w:t>
      </w:r>
      <w:r>
        <w:rPr>
          <w:spacing w:val="3"/>
          <w:sz w:val="24"/>
          <w:szCs w:val="24"/>
          <w:u w:val="single" w:color="auto"/>
        </w:rPr>
        <w:t xml:space="preserve">                          </w:t>
      </w:r>
      <w:r>
        <w:rPr>
          <w:spacing w:val="-73"/>
          <w:sz w:val="24"/>
          <w:szCs w:val="24"/>
        </w:rPr>
        <w:t xml:space="preserve"> </w:t>
      </w:r>
      <w:r>
        <w:rPr>
          <w:spacing w:val="-8"/>
          <w:sz w:val="24"/>
          <w:szCs w:val="24"/>
        </w:rPr>
        <w:t>电话：</w:t>
      </w:r>
      <w:r>
        <w:rPr>
          <w:sz w:val="24"/>
          <w:szCs w:val="24"/>
          <w:u w:val="single" w:color="auto"/>
        </w:rPr>
        <w:t xml:space="preserve">                        </w:t>
      </w:r>
    </w:p>
    <w:p w14:paraId="17B2A394">
      <w:pPr>
        <w:spacing w:line="323" w:lineRule="auto"/>
        <w:rPr>
          <w:rFonts w:ascii="Arial"/>
          <w:sz w:val="21"/>
        </w:rPr>
      </w:pPr>
    </w:p>
    <w:p w14:paraId="66383132">
      <w:pPr>
        <w:spacing w:line="324" w:lineRule="auto"/>
        <w:rPr>
          <w:rFonts w:ascii="Arial"/>
          <w:sz w:val="21"/>
        </w:rPr>
      </w:pPr>
    </w:p>
    <w:p w14:paraId="0B34381E">
      <w:pPr>
        <w:pStyle w:val="6"/>
        <w:spacing w:before="78" w:line="219" w:lineRule="auto"/>
        <w:ind w:left="1332"/>
        <w:rPr>
          <w:sz w:val="24"/>
          <w:szCs w:val="24"/>
        </w:rPr>
      </w:pPr>
      <w:r>
        <w:rPr>
          <w:spacing w:val="-1"/>
          <w:sz w:val="24"/>
          <w:szCs w:val="24"/>
        </w:rPr>
        <w:t>投标人名称（单位公章（盖企业电子章</w:t>
      </w:r>
      <w:r>
        <w:rPr>
          <w:spacing w:val="1"/>
          <w:sz w:val="24"/>
          <w:szCs w:val="24"/>
        </w:rPr>
        <w:t>））：</w:t>
      </w:r>
      <w:r>
        <w:rPr>
          <w:sz w:val="24"/>
          <w:szCs w:val="24"/>
          <w:u w:val="single" w:color="auto"/>
        </w:rPr>
        <w:t xml:space="preserve">             </w:t>
      </w:r>
    </w:p>
    <w:p w14:paraId="65B95139">
      <w:pPr>
        <w:spacing w:line="333" w:lineRule="auto"/>
        <w:rPr>
          <w:rFonts w:ascii="Arial"/>
          <w:sz w:val="21"/>
        </w:rPr>
      </w:pPr>
    </w:p>
    <w:p w14:paraId="79A589A0">
      <w:pPr>
        <w:pStyle w:val="6"/>
        <w:spacing w:before="79" w:line="219" w:lineRule="auto"/>
        <w:ind w:left="1330"/>
        <w:rPr>
          <w:sz w:val="24"/>
          <w:szCs w:val="24"/>
        </w:rPr>
      </w:pPr>
      <w:r>
        <w:rPr>
          <w:spacing w:val="-1"/>
          <w:sz w:val="24"/>
          <w:szCs w:val="24"/>
        </w:rPr>
        <w:t>法定代表人或法定代表人授权委托代理人（签字或盖章</w:t>
      </w:r>
      <w:r>
        <w:rPr>
          <w:spacing w:val="6"/>
          <w:sz w:val="24"/>
          <w:szCs w:val="24"/>
        </w:rPr>
        <w:t>）：</w:t>
      </w:r>
      <w:r>
        <w:rPr>
          <w:sz w:val="24"/>
          <w:szCs w:val="24"/>
          <w:u w:val="single" w:color="auto"/>
        </w:rPr>
        <w:t xml:space="preserve">             </w:t>
      </w:r>
    </w:p>
    <w:p w14:paraId="7826B5A6">
      <w:pPr>
        <w:spacing w:line="332" w:lineRule="auto"/>
        <w:rPr>
          <w:rFonts w:ascii="Arial"/>
          <w:sz w:val="21"/>
        </w:rPr>
      </w:pPr>
    </w:p>
    <w:p w14:paraId="58820097">
      <w:pPr>
        <w:pStyle w:val="6"/>
        <w:spacing w:before="78" w:line="219" w:lineRule="auto"/>
        <w:ind w:left="1370"/>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3DBEB0E5">
      <w:pPr>
        <w:spacing w:line="219" w:lineRule="auto"/>
        <w:rPr>
          <w:sz w:val="24"/>
          <w:szCs w:val="24"/>
        </w:rPr>
        <w:sectPr>
          <w:footerReference r:id="rId44" w:type="default"/>
          <w:pgSz w:w="11910" w:h="16840"/>
          <w:pgMar w:top="1142" w:right="854" w:bottom="1117" w:left="1080" w:header="832" w:footer="884" w:gutter="0"/>
          <w:pgNumType w:fmt="decimal"/>
          <w:cols w:space="720" w:num="1"/>
        </w:sectPr>
      </w:pPr>
    </w:p>
    <w:p w14:paraId="174A61B0">
      <w:pPr>
        <w:spacing w:line="391" w:lineRule="auto"/>
        <w:rPr>
          <w:rFonts w:ascii="Arial"/>
          <w:sz w:val="21"/>
        </w:rPr>
      </w:pPr>
    </w:p>
    <w:p w14:paraId="04A3C8EE">
      <w:pPr>
        <w:pStyle w:val="6"/>
        <w:spacing w:before="114" w:line="223" w:lineRule="auto"/>
        <w:ind w:left="4050"/>
        <w:rPr>
          <w:sz w:val="35"/>
          <w:szCs w:val="35"/>
        </w:rPr>
      </w:pPr>
      <w:r>
        <w:rPr>
          <w:spacing w:val="7"/>
          <w:sz w:val="35"/>
          <w:szCs w:val="35"/>
        </w:rPr>
        <w:t>二、分项报价表</w:t>
      </w:r>
    </w:p>
    <w:p w14:paraId="67C33610">
      <w:pPr>
        <w:spacing w:line="310" w:lineRule="auto"/>
        <w:rPr>
          <w:rFonts w:ascii="Arial"/>
          <w:sz w:val="21"/>
        </w:rPr>
      </w:pPr>
    </w:p>
    <w:p w14:paraId="216D589B">
      <w:pPr>
        <w:pStyle w:val="6"/>
        <w:spacing w:before="78" w:line="220" w:lineRule="auto"/>
        <w:ind w:left="187"/>
        <w:rPr>
          <w:sz w:val="24"/>
          <w:szCs w:val="24"/>
        </w:rPr>
      </w:pPr>
      <w:r>
        <w:rPr>
          <w:spacing w:val="-3"/>
          <w:sz w:val="24"/>
          <w:szCs w:val="24"/>
        </w:rPr>
        <w:t>项目名称：</w:t>
      </w:r>
      <w:r>
        <w:rPr>
          <w:sz w:val="24"/>
          <w:szCs w:val="24"/>
          <w:u w:val="single" w:color="auto"/>
        </w:rPr>
        <w:t xml:space="preserve">                       </w:t>
      </w:r>
    </w:p>
    <w:p w14:paraId="6C5C12CB">
      <w:pPr>
        <w:spacing w:line="258" w:lineRule="auto"/>
        <w:rPr>
          <w:rFonts w:ascii="Arial"/>
          <w:sz w:val="21"/>
        </w:rPr>
      </w:pPr>
    </w:p>
    <w:p w14:paraId="2175DD8C">
      <w:pPr>
        <w:pStyle w:val="6"/>
        <w:spacing w:before="78" w:line="219" w:lineRule="auto"/>
        <w:ind w:left="187"/>
        <w:rPr>
          <w:sz w:val="24"/>
          <w:szCs w:val="24"/>
        </w:rPr>
      </w:pPr>
      <w:r>
        <w:rPr>
          <w:spacing w:val="-3"/>
          <w:sz w:val="24"/>
          <w:szCs w:val="24"/>
        </w:rPr>
        <w:t>项目编号：</w:t>
      </w:r>
      <w:r>
        <w:rPr>
          <w:sz w:val="24"/>
          <w:szCs w:val="24"/>
          <w:u w:val="single" w:color="auto"/>
        </w:rPr>
        <w:t xml:space="preserve">                       </w:t>
      </w:r>
    </w:p>
    <w:p w14:paraId="0750B18C">
      <w:pPr>
        <w:pStyle w:val="6"/>
        <w:spacing w:before="190" w:line="212" w:lineRule="auto"/>
        <w:ind w:left="78"/>
        <w:rPr>
          <w:sz w:val="24"/>
          <w:szCs w:val="24"/>
        </w:rPr>
      </w:pPr>
      <w:r>
        <w:rPr>
          <w:spacing w:val="-2"/>
          <w:sz w:val="24"/>
          <w:szCs w:val="24"/>
        </w:rPr>
        <w:t>货币单位：人民币</w:t>
      </w:r>
    </w:p>
    <w:tbl>
      <w:tblPr>
        <w:tblStyle w:val="27"/>
        <w:tblW w:w="1030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0"/>
        <w:gridCol w:w="940"/>
        <w:gridCol w:w="315"/>
        <w:gridCol w:w="1104"/>
        <w:gridCol w:w="1268"/>
        <w:gridCol w:w="1622"/>
        <w:gridCol w:w="1513"/>
        <w:gridCol w:w="1288"/>
        <w:gridCol w:w="626"/>
        <w:gridCol w:w="751"/>
      </w:tblGrid>
      <w:tr w14:paraId="24411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80" w:type="dxa"/>
            <w:vMerge w:val="restart"/>
            <w:tcBorders>
              <w:top w:val="single" w:color="000000" w:sz="2" w:space="0"/>
              <w:left w:val="single" w:color="000000" w:sz="2" w:space="0"/>
              <w:bottom w:val="nil"/>
              <w:right w:val="single" w:color="000000" w:sz="2" w:space="0"/>
            </w:tcBorders>
            <w:vAlign w:val="top"/>
          </w:tcPr>
          <w:p w14:paraId="2C477400">
            <w:pPr>
              <w:spacing w:line="284" w:lineRule="auto"/>
              <w:rPr>
                <w:rFonts w:ascii="Arial"/>
                <w:sz w:val="21"/>
              </w:rPr>
            </w:pPr>
          </w:p>
          <w:p w14:paraId="4BB12FFC">
            <w:pPr>
              <w:pStyle w:val="26"/>
              <w:spacing w:before="78" w:line="221" w:lineRule="auto"/>
              <w:ind w:left="242"/>
            </w:pPr>
            <w:r>
              <w:rPr>
                <w:spacing w:val="-5"/>
              </w:rPr>
              <w:t>序号</w:t>
            </w:r>
          </w:p>
        </w:tc>
        <w:tc>
          <w:tcPr>
            <w:tcW w:w="1255" w:type="dxa"/>
            <w:gridSpan w:val="2"/>
            <w:vMerge w:val="restart"/>
            <w:tcBorders>
              <w:top w:val="single" w:color="000000" w:sz="2" w:space="0"/>
              <w:left w:val="single" w:color="000000" w:sz="2" w:space="0"/>
              <w:bottom w:val="nil"/>
            </w:tcBorders>
            <w:vAlign w:val="top"/>
          </w:tcPr>
          <w:p w14:paraId="479FEC87">
            <w:pPr>
              <w:spacing w:line="285" w:lineRule="auto"/>
              <w:rPr>
                <w:rFonts w:ascii="Arial"/>
                <w:sz w:val="21"/>
              </w:rPr>
            </w:pPr>
          </w:p>
          <w:p w14:paraId="17EEDA61">
            <w:pPr>
              <w:pStyle w:val="26"/>
              <w:spacing w:before="78" w:line="219" w:lineRule="auto"/>
              <w:ind w:left="198"/>
            </w:pPr>
            <w:r>
              <w:rPr>
                <w:spacing w:val="-3"/>
              </w:rPr>
              <w:t>产品名称</w:t>
            </w:r>
          </w:p>
        </w:tc>
        <w:tc>
          <w:tcPr>
            <w:tcW w:w="1104" w:type="dxa"/>
            <w:vMerge w:val="restart"/>
            <w:tcBorders>
              <w:top w:val="single" w:color="000000" w:sz="2" w:space="0"/>
              <w:bottom w:val="nil"/>
            </w:tcBorders>
            <w:vAlign w:val="top"/>
          </w:tcPr>
          <w:p w14:paraId="25D579DA">
            <w:pPr>
              <w:spacing w:line="277" w:lineRule="auto"/>
              <w:rPr>
                <w:rFonts w:ascii="Arial"/>
                <w:sz w:val="21"/>
              </w:rPr>
            </w:pPr>
          </w:p>
          <w:p w14:paraId="231AFCC7">
            <w:pPr>
              <w:pStyle w:val="26"/>
              <w:spacing w:before="78" w:line="219" w:lineRule="auto"/>
              <w:ind w:left="333"/>
            </w:pPr>
            <w:r>
              <w:rPr>
                <w:spacing w:val="-15"/>
              </w:rPr>
              <w:t>品牌</w:t>
            </w:r>
          </w:p>
        </w:tc>
        <w:tc>
          <w:tcPr>
            <w:tcW w:w="1268" w:type="dxa"/>
            <w:vMerge w:val="restart"/>
            <w:tcBorders>
              <w:top w:val="single" w:color="000000" w:sz="2" w:space="0"/>
              <w:bottom w:val="nil"/>
              <w:right w:val="single" w:color="000000" w:sz="2" w:space="0"/>
            </w:tcBorders>
            <w:vAlign w:val="top"/>
          </w:tcPr>
          <w:p w14:paraId="3C340EE5">
            <w:pPr>
              <w:spacing w:line="285" w:lineRule="auto"/>
              <w:rPr>
                <w:rFonts w:ascii="Arial"/>
                <w:sz w:val="21"/>
              </w:rPr>
            </w:pPr>
          </w:p>
          <w:p w14:paraId="5438443D">
            <w:pPr>
              <w:pStyle w:val="26"/>
              <w:spacing w:before="78" w:line="219" w:lineRule="auto"/>
              <w:ind w:left="223"/>
            </w:pPr>
            <w:r>
              <w:rPr>
                <w:spacing w:val="-3"/>
              </w:rPr>
              <w:t>规格型号</w:t>
            </w:r>
          </w:p>
        </w:tc>
        <w:tc>
          <w:tcPr>
            <w:tcW w:w="1622" w:type="dxa"/>
            <w:vMerge w:val="restart"/>
            <w:tcBorders>
              <w:top w:val="single" w:color="000000" w:sz="2" w:space="0"/>
              <w:left w:val="single" w:color="000000" w:sz="2" w:space="0"/>
              <w:bottom w:val="nil"/>
            </w:tcBorders>
            <w:vAlign w:val="top"/>
          </w:tcPr>
          <w:p w14:paraId="069221CD">
            <w:pPr>
              <w:pStyle w:val="26"/>
              <w:spacing w:before="215" w:line="307" w:lineRule="auto"/>
              <w:ind w:left="225" w:right="317" w:hanging="113"/>
            </w:pPr>
            <w:r>
              <w:rPr>
                <w:spacing w:val="-4"/>
              </w:rPr>
              <w:t>原产地及制</w:t>
            </w:r>
            <w:r>
              <w:rPr>
                <w:spacing w:val="3"/>
              </w:rPr>
              <w:t xml:space="preserve"> </w:t>
            </w:r>
            <w:r>
              <w:rPr>
                <w:spacing w:val="-3"/>
              </w:rPr>
              <w:t>造商名称</w:t>
            </w:r>
          </w:p>
        </w:tc>
        <w:tc>
          <w:tcPr>
            <w:tcW w:w="1513" w:type="dxa"/>
            <w:vMerge w:val="restart"/>
            <w:tcBorders>
              <w:top w:val="single" w:color="000000" w:sz="2" w:space="0"/>
              <w:bottom w:val="nil"/>
            </w:tcBorders>
            <w:vAlign w:val="top"/>
          </w:tcPr>
          <w:p w14:paraId="27F2DC92">
            <w:pPr>
              <w:spacing w:line="285" w:lineRule="auto"/>
              <w:rPr>
                <w:rFonts w:ascii="Arial"/>
                <w:sz w:val="21"/>
              </w:rPr>
            </w:pPr>
          </w:p>
          <w:p w14:paraId="611DF665">
            <w:pPr>
              <w:pStyle w:val="26"/>
              <w:spacing w:before="78" w:line="219" w:lineRule="auto"/>
              <w:ind w:left="194"/>
            </w:pPr>
            <w:r>
              <w:rPr>
                <w:spacing w:val="-3"/>
              </w:rPr>
              <w:t>技术规格及</w:t>
            </w:r>
          </w:p>
          <w:p w14:paraId="63BAB59D">
            <w:pPr>
              <w:pStyle w:val="26"/>
              <w:spacing w:before="27" w:line="219" w:lineRule="auto"/>
              <w:ind w:left="555"/>
            </w:pPr>
            <w:r>
              <w:rPr>
                <w:spacing w:val="-6"/>
              </w:rPr>
              <w:t>参数</w:t>
            </w:r>
          </w:p>
        </w:tc>
        <w:tc>
          <w:tcPr>
            <w:tcW w:w="1288" w:type="dxa"/>
            <w:vMerge w:val="restart"/>
            <w:tcBorders>
              <w:top w:val="single" w:color="000000" w:sz="2" w:space="0"/>
              <w:bottom w:val="nil"/>
            </w:tcBorders>
            <w:vAlign w:val="top"/>
          </w:tcPr>
          <w:p w14:paraId="250523EC">
            <w:pPr>
              <w:spacing w:line="285" w:lineRule="auto"/>
              <w:rPr>
                <w:rFonts w:ascii="Arial"/>
                <w:sz w:val="21"/>
              </w:rPr>
            </w:pPr>
          </w:p>
          <w:p w14:paraId="1CF45D55">
            <w:pPr>
              <w:pStyle w:val="26"/>
              <w:spacing w:before="78" w:line="219" w:lineRule="auto"/>
              <w:jc w:val="right"/>
            </w:pPr>
            <w:r>
              <w:rPr>
                <w:spacing w:val="-3"/>
              </w:rPr>
              <w:t>数量及单位</w:t>
            </w:r>
          </w:p>
        </w:tc>
        <w:tc>
          <w:tcPr>
            <w:tcW w:w="1377" w:type="dxa"/>
            <w:gridSpan w:val="2"/>
            <w:tcBorders>
              <w:top w:val="single" w:color="000000" w:sz="2" w:space="0"/>
              <w:bottom w:val="single" w:color="000000" w:sz="2" w:space="0"/>
              <w:right w:val="single" w:color="000000" w:sz="2" w:space="0"/>
            </w:tcBorders>
            <w:vAlign w:val="top"/>
          </w:tcPr>
          <w:p w14:paraId="0FD6E45C">
            <w:pPr>
              <w:pStyle w:val="26"/>
              <w:spacing w:before="45" w:line="218" w:lineRule="auto"/>
              <w:ind w:left="335"/>
            </w:pPr>
            <w:r>
              <w:rPr>
                <w:spacing w:val="-4"/>
              </w:rPr>
              <w:t>投标报价</w:t>
            </w:r>
          </w:p>
        </w:tc>
      </w:tr>
      <w:tr w14:paraId="32E3B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880" w:type="dxa"/>
            <w:vMerge w:val="continue"/>
            <w:tcBorders>
              <w:top w:val="nil"/>
              <w:left w:val="single" w:color="000000" w:sz="2" w:space="0"/>
              <w:bottom w:val="single" w:color="000000" w:sz="2" w:space="0"/>
              <w:right w:val="single" w:color="000000" w:sz="2" w:space="0"/>
            </w:tcBorders>
            <w:vAlign w:val="top"/>
          </w:tcPr>
          <w:p w14:paraId="61CE77AE">
            <w:pPr>
              <w:rPr>
                <w:rFonts w:ascii="Arial"/>
                <w:sz w:val="21"/>
              </w:rPr>
            </w:pPr>
          </w:p>
        </w:tc>
        <w:tc>
          <w:tcPr>
            <w:tcW w:w="1255" w:type="dxa"/>
            <w:gridSpan w:val="2"/>
            <w:vMerge w:val="continue"/>
            <w:tcBorders>
              <w:top w:val="nil"/>
              <w:left w:val="single" w:color="000000" w:sz="2" w:space="0"/>
              <w:bottom w:val="single" w:color="000000" w:sz="2" w:space="0"/>
            </w:tcBorders>
            <w:vAlign w:val="top"/>
          </w:tcPr>
          <w:p w14:paraId="48581FA2">
            <w:pPr>
              <w:rPr>
                <w:rFonts w:ascii="Arial"/>
                <w:sz w:val="21"/>
              </w:rPr>
            </w:pPr>
          </w:p>
        </w:tc>
        <w:tc>
          <w:tcPr>
            <w:tcW w:w="1104" w:type="dxa"/>
            <w:vMerge w:val="continue"/>
            <w:tcBorders>
              <w:top w:val="nil"/>
              <w:bottom w:val="single" w:color="000000" w:sz="2" w:space="0"/>
            </w:tcBorders>
            <w:vAlign w:val="top"/>
          </w:tcPr>
          <w:p w14:paraId="3B3DC391">
            <w:pPr>
              <w:rPr>
                <w:rFonts w:ascii="Arial"/>
                <w:sz w:val="21"/>
              </w:rPr>
            </w:pPr>
          </w:p>
        </w:tc>
        <w:tc>
          <w:tcPr>
            <w:tcW w:w="1268" w:type="dxa"/>
            <w:vMerge w:val="continue"/>
            <w:tcBorders>
              <w:top w:val="nil"/>
              <w:bottom w:val="single" w:color="000000" w:sz="2" w:space="0"/>
              <w:right w:val="single" w:color="000000" w:sz="2" w:space="0"/>
            </w:tcBorders>
            <w:vAlign w:val="top"/>
          </w:tcPr>
          <w:p w14:paraId="4A55D824">
            <w:pPr>
              <w:rPr>
                <w:rFonts w:ascii="Arial"/>
                <w:sz w:val="21"/>
              </w:rPr>
            </w:pPr>
          </w:p>
        </w:tc>
        <w:tc>
          <w:tcPr>
            <w:tcW w:w="1622" w:type="dxa"/>
            <w:vMerge w:val="continue"/>
            <w:tcBorders>
              <w:top w:val="nil"/>
              <w:left w:val="single" w:color="000000" w:sz="2" w:space="0"/>
              <w:bottom w:val="single" w:color="000000" w:sz="2" w:space="0"/>
            </w:tcBorders>
            <w:vAlign w:val="top"/>
          </w:tcPr>
          <w:p w14:paraId="187AF5FB">
            <w:pPr>
              <w:rPr>
                <w:rFonts w:ascii="Arial"/>
                <w:sz w:val="21"/>
              </w:rPr>
            </w:pPr>
          </w:p>
        </w:tc>
        <w:tc>
          <w:tcPr>
            <w:tcW w:w="1513" w:type="dxa"/>
            <w:vMerge w:val="continue"/>
            <w:tcBorders>
              <w:top w:val="nil"/>
              <w:bottom w:val="single" w:color="000000" w:sz="2" w:space="0"/>
            </w:tcBorders>
            <w:vAlign w:val="top"/>
          </w:tcPr>
          <w:p w14:paraId="70D451EC">
            <w:pPr>
              <w:rPr>
                <w:rFonts w:ascii="Arial"/>
                <w:sz w:val="21"/>
              </w:rPr>
            </w:pPr>
          </w:p>
        </w:tc>
        <w:tc>
          <w:tcPr>
            <w:tcW w:w="1288" w:type="dxa"/>
            <w:vMerge w:val="continue"/>
            <w:tcBorders>
              <w:top w:val="nil"/>
              <w:bottom w:val="single" w:color="000000" w:sz="2" w:space="0"/>
            </w:tcBorders>
            <w:vAlign w:val="top"/>
          </w:tcPr>
          <w:p w14:paraId="06B787C6">
            <w:pPr>
              <w:rPr>
                <w:rFonts w:ascii="Arial"/>
                <w:sz w:val="21"/>
              </w:rPr>
            </w:pPr>
          </w:p>
        </w:tc>
        <w:tc>
          <w:tcPr>
            <w:tcW w:w="626" w:type="dxa"/>
            <w:tcBorders>
              <w:top w:val="single" w:color="000000" w:sz="2" w:space="0"/>
              <w:bottom w:val="single" w:color="000000" w:sz="2" w:space="0"/>
            </w:tcBorders>
            <w:vAlign w:val="top"/>
          </w:tcPr>
          <w:p w14:paraId="3F071655">
            <w:pPr>
              <w:pStyle w:val="26"/>
              <w:spacing w:before="209" w:line="218" w:lineRule="auto"/>
              <w:ind w:right="4"/>
              <w:jc w:val="right"/>
            </w:pPr>
            <w:r>
              <w:rPr>
                <w:spacing w:val="-6"/>
              </w:rPr>
              <w:t>单价</w:t>
            </w:r>
          </w:p>
        </w:tc>
        <w:tc>
          <w:tcPr>
            <w:tcW w:w="751" w:type="dxa"/>
            <w:tcBorders>
              <w:top w:val="single" w:color="000000" w:sz="2" w:space="0"/>
              <w:bottom w:val="single" w:color="000000" w:sz="2" w:space="0"/>
              <w:right w:val="single" w:color="000000" w:sz="2" w:space="0"/>
            </w:tcBorders>
            <w:vAlign w:val="top"/>
          </w:tcPr>
          <w:p w14:paraId="369F00F0">
            <w:pPr>
              <w:pStyle w:val="26"/>
              <w:spacing w:before="209" w:line="218" w:lineRule="auto"/>
              <w:ind w:left="209"/>
            </w:pPr>
            <w:r>
              <w:rPr>
                <w:spacing w:val="-8"/>
              </w:rPr>
              <w:t>总价</w:t>
            </w:r>
          </w:p>
        </w:tc>
      </w:tr>
      <w:tr w14:paraId="10E70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80" w:type="dxa"/>
            <w:tcBorders>
              <w:top w:val="single" w:color="000000" w:sz="2" w:space="0"/>
              <w:left w:val="single" w:color="000000" w:sz="2" w:space="0"/>
              <w:right w:val="single" w:color="000000" w:sz="2" w:space="0"/>
            </w:tcBorders>
            <w:vAlign w:val="top"/>
          </w:tcPr>
          <w:p w14:paraId="574E834C">
            <w:pPr>
              <w:pStyle w:val="26"/>
              <w:spacing w:before="105" w:line="241" w:lineRule="auto"/>
              <w:ind w:left="405"/>
            </w:pPr>
            <w:r>
              <w:t>1</w:t>
            </w:r>
          </w:p>
        </w:tc>
        <w:tc>
          <w:tcPr>
            <w:tcW w:w="1255" w:type="dxa"/>
            <w:gridSpan w:val="2"/>
            <w:tcBorders>
              <w:top w:val="single" w:color="000000" w:sz="2" w:space="0"/>
              <w:left w:val="single" w:color="000000" w:sz="2" w:space="0"/>
            </w:tcBorders>
            <w:vAlign w:val="top"/>
          </w:tcPr>
          <w:p w14:paraId="11C09390">
            <w:pPr>
              <w:rPr>
                <w:rFonts w:ascii="Arial"/>
                <w:sz w:val="21"/>
              </w:rPr>
            </w:pPr>
          </w:p>
        </w:tc>
        <w:tc>
          <w:tcPr>
            <w:tcW w:w="1104" w:type="dxa"/>
            <w:tcBorders>
              <w:top w:val="single" w:color="000000" w:sz="2" w:space="0"/>
            </w:tcBorders>
            <w:vAlign w:val="top"/>
          </w:tcPr>
          <w:p w14:paraId="0CE1CBF7">
            <w:pPr>
              <w:rPr>
                <w:rFonts w:ascii="Arial"/>
                <w:sz w:val="21"/>
              </w:rPr>
            </w:pPr>
          </w:p>
        </w:tc>
        <w:tc>
          <w:tcPr>
            <w:tcW w:w="1268" w:type="dxa"/>
            <w:tcBorders>
              <w:top w:val="single" w:color="000000" w:sz="2" w:space="0"/>
              <w:right w:val="single" w:color="000000" w:sz="2" w:space="0"/>
            </w:tcBorders>
            <w:vAlign w:val="top"/>
          </w:tcPr>
          <w:p w14:paraId="0D208DF3">
            <w:pPr>
              <w:rPr>
                <w:rFonts w:ascii="Arial"/>
                <w:sz w:val="21"/>
              </w:rPr>
            </w:pPr>
          </w:p>
        </w:tc>
        <w:tc>
          <w:tcPr>
            <w:tcW w:w="1622" w:type="dxa"/>
            <w:tcBorders>
              <w:top w:val="single" w:color="000000" w:sz="2" w:space="0"/>
              <w:left w:val="single" w:color="000000" w:sz="2" w:space="0"/>
            </w:tcBorders>
            <w:vAlign w:val="top"/>
          </w:tcPr>
          <w:p w14:paraId="6D553C43">
            <w:pPr>
              <w:rPr>
                <w:rFonts w:ascii="Arial"/>
                <w:sz w:val="21"/>
              </w:rPr>
            </w:pPr>
          </w:p>
        </w:tc>
        <w:tc>
          <w:tcPr>
            <w:tcW w:w="1513" w:type="dxa"/>
            <w:tcBorders>
              <w:top w:val="single" w:color="000000" w:sz="2" w:space="0"/>
            </w:tcBorders>
            <w:vAlign w:val="top"/>
          </w:tcPr>
          <w:p w14:paraId="48E6B58D">
            <w:pPr>
              <w:rPr>
                <w:rFonts w:ascii="Arial"/>
                <w:sz w:val="21"/>
              </w:rPr>
            </w:pPr>
          </w:p>
        </w:tc>
        <w:tc>
          <w:tcPr>
            <w:tcW w:w="1288" w:type="dxa"/>
            <w:tcBorders>
              <w:top w:val="single" w:color="000000" w:sz="2" w:space="0"/>
            </w:tcBorders>
            <w:vAlign w:val="top"/>
          </w:tcPr>
          <w:p w14:paraId="21ED9D95">
            <w:pPr>
              <w:rPr>
                <w:rFonts w:ascii="Arial"/>
                <w:sz w:val="21"/>
              </w:rPr>
            </w:pPr>
          </w:p>
        </w:tc>
        <w:tc>
          <w:tcPr>
            <w:tcW w:w="626" w:type="dxa"/>
            <w:tcBorders>
              <w:top w:val="single" w:color="000000" w:sz="2" w:space="0"/>
            </w:tcBorders>
            <w:vAlign w:val="top"/>
          </w:tcPr>
          <w:p w14:paraId="1B5790FB">
            <w:pPr>
              <w:rPr>
                <w:rFonts w:ascii="Arial"/>
                <w:sz w:val="21"/>
              </w:rPr>
            </w:pPr>
          </w:p>
        </w:tc>
        <w:tc>
          <w:tcPr>
            <w:tcW w:w="751" w:type="dxa"/>
            <w:tcBorders>
              <w:top w:val="single" w:color="000000" w:sz="2" w:space="0"/>
              <w:bottom w:val="single" w:color="000000" w:sz="2" w:space="0"/>
              <w:right w:val="single" w:color="000000" w:sz="2" w:space="0"/>
            </w:tcBorders>
            <w:vAlign w:val="top"/>
          </w:tcPr>
          <w:p w14:paraId="06CAB3CA">
            <w:pPr>
              <w:rPr>
                <w:rFonts w:ascii="Arial"/>
                <w:sz w:val="21"/>
              </w:rPr>
            </w:pPr>
          </w:p>
        </w:tc>
      </w:tr>
      <w:tr w14:paraId="17DDA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80" w:type="dxa"/>
            <w:tcBorders>
              <w:left w:val="single" w:color="000000" w:sz="2" w:space="0"/>
              <w:right w:val="single" w:color="000000" w:sz="2" w:space="0"/>
            </w:tcBorders>
            <w:vAlign w:val="top"/>
          </w:tcPr>
          <w:p w14:paraId="68F2362E">
            <w:pPr>
              <w:pStyle w:val="26"/>
              <w:spacing w:before="105" w:line="241" w:lineRule="auto"/>
              <w:ind w:left="390"/>
            </w:pPr>
            <w:r>
              <w:t>2</w:t>
            </w:r>
          </w:p>
        </w:tc>
        <w:tc>
          <w:tcPr>
            <w:tcW w:w="1255" w:type="dxa"/>
            <w:gridSpan w:val="2"/>
            <w:tcBorders>
              <w:left w:val="single" w:color="000000" w:sz="2" w:space="0"/>
            </w:tcBorders>
            <w:vAlign w:val="top"/>
          </w:tcPr>
          <w:p w14:paraId="527C7495">
            <w:pPr>
              <w:rPr>
                <w:rFonts w:ascii="Arial"/>
                <w:sz w:val="21"/>
              </w:rPr>
            </w:pPr>
          </w:p>
        </w:tc>
        <w:tc>
          <w:tcPr>
            <w:tcW w:w="1104" w:type="dxa"/>
            <w:vAlign w:val="top"/>
          </w:tcPr>
          <w:p w14:paraId="70EE0692">
            <w:pPr>
              <w:rPr>
                <w:rFonts w:ascii="Arial"/>
                <w:sz w:val="21"/>
              </w:rPr>
            </w:pPr>
          </w:p>
        </w:tc>
        <w:tc>
          <w:tcPr>
            <w:tcW w:w="1268" w:type="dxa"/>
            <w:tcBorders>
              <w:right w:val="single" w:color="000000" w:sz="2" w:space="0"/>
            </w:tcBorders>
            <w:vAlign w:val="top"/>
          </w:tcPr>
          <w:p w14:paraId="762DBFCD">
            <w:pPr>
              <w:rPr>
                <w:rFonts w:ascii="Arial"/>
                <w:sz w:val="21"/>
              </w:rPr>
            </w:pPr>
          </w:p>
        </w:tc>
        <w:tc>
          <w:tcPr>
            <w:tcW w:w="1622" w:type="dxa"/>
            <w:tcBorders>
              <w:left w:val="single" w:color="000000" w:sz="2" w:space="0"/>
            </w:tcBorders>
            <w:vAlign w:val="top"/>
          </w:tcPr>
          <w:p w14:paraId="5A327D71">
            <w:pPr>
              <w:rPr>
                <w:rFonts w:ascii="Arial"/>
                <w:sz w:val="21"/>
              </w:rPr>
            </w:pPr>
          </w:p>
        </w:tc>
        <w:tc>
          <w:tcPr>
            <w:tcW w:w="1513" w:type="dxa"/>
            <w:vAlign w:val="top"/>
          </w:tcPr>
          <w:p w14:paraId="24F5C98A">
            <w:pPr>
              <w:rPr>
                <w:rFonts w:ascii="Arial"/>
                <w:sz w:val="21"/>
              </w:rPr>
            </w:pPr>
          </w:p>
        </w:tc>
        <w:tc>
          <w:tcPr>
            <w:tcW w:w="1288" w:type="dxa"/>
            <w:vAlign w:val="top"/>
          </w:tcPr>
          <w:p w14:paraId="36D465C2">
            <w:pPr>
              <w:rPr>
                <w:rFonts w:ascii="Arial"/>
                <w:sz w:val="21"/>
              </w:rPr>
            </w:pPr>
          </w:p>
        </w:tc>
        <w:tc>
          <w:tcPr>
            <w:tcW w:w="626" w:type="dxa"/>
            <w:vAlign w:val="top"/>
          </w:tcPr>
          <w:p w14:paraId="4CB38E28">
            <w:pPr>
              <w:rPr>
                <w:rFonts w:ascii="Arial"/>
                <w:sz w:val="21"/>
              </w:rPr>
            </w:pPr>
          </w:p>
        </w:tc>
        <w:tc>
          <w:tcPr>
            <w:tcW w:w="751" w:type="dxa"/>
            <w:tcBorders>
              <w:top w:val="single" w:color="000000" w:sz="2" w:space="0"/>
              <w:bottom w:val="single" w:color="000000" w:sz="2" w:space="0"/>
              <w:right w:val="single" w:color="000000" w:sz="2" w:space="0"/>
            </w:tcBorders>
            <w:vAlign w:val="top"/>
          </w:tcPr>
          <w:p w14:paraId="04A4FEE4">
            <w:pPr>
              <w:rPr>
                <w:rFonts w:ascii="Arial"/>
                <w:sz w:val="21"/>
              </w:rPr>
            </w:pPr>
          </w:p>
        </w:tc>
      </w:tr>
      <w:tr w14:paraId="50EAA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80" w:type="dxa"/>
            <w:tcBorders>
              <w:left w:val="single" w:color="000000" w:sz="2" w:space="0"/>
              <w:right w:val="single" w:color="000000" w:sz="2" w:space="0"/>
            </w:tcBorders>
            <w:vAlign w:val="top"/>
          </w:tcPr>
          <w:p w14:paraId="652E0663">
            <w:pPr>
              <w:pStyle w:val="26"/>
              <w:spacing w:before="104"/>
              <w:ind w:left="392"/>
            </w:pPr>
            <w:r>
              <w:t>3</w:t>
            </w:r>
          </w:p>
        </w:tc>
        <w:tc>
          <w:tcPr>
            <w:tcW w:w="1255" w:type="dxa"/>
            <w:gridSpan w:val="2"/>
            <w:tcBorders>
              <w:left w:val="single" w:color="000000" w:sz="2" w:space="0"/>
            </w:tcBorders>
            <w:vAlign w:val="top"/>
          </w:tcPr>
          <w:p w14:paraId="0C9483C1">
            <w:pPr>
              <w:rPr>
                <w:rFonts w:ascii="Arial"/>
                <w:sz w:val="21"/>
              </w:rPr>
            </w:pPr>
          </w:p>
        </w:tc>
        <w:tc>
          <w:tcPr>
            <w:tcW w:w="1104" w:type="dxa"/>
            <w:vAlign w:val="top"/>
          </w:tcPr>
          <w:p w14:paraId="7C44A950">
            <w:pPr>
              <w:rPr>
                <w:rFonts w:ascii="Arial"/>
                <w:sz w:val="21"/>
              </w:rPr>
            </w:pPr>
          </w:p>
        </w:tc>
        <w:tc>
          <w:tcPr>
            <w:tcW w:w="1268" w:type="dxa"/>
            <w:tcBorders>
              <w:right w:val="single" w:color="000000" w:sz="2" w:space="0"/>
            </w:tcBorders>
            <w:vAlign w:val="top"/>
          </w:tcPr>
          <w:p w14:paraId="41A71EB6">
            <w:pPr>
              <w:rPr>
                <w:rFonts w:ascii="Arial"/>
                <w:sz w:val="21"/>
              </w:rPr>
            </w:pPr>
          </w:p>
        </w:tc>
        <w:tc>
          <w:tcPr>
            <w:tcW w:w="1622" w:type="dxa"/>
            <w:tcBorders>
              <w:left w:val="single" w:color="000000" w:sz="2" w:space="0"/>
            </w:tcBorders>
            <w:vAlign w:val="top"/>
          </w:tcPr>
          <w:p w14:paraId="42F0C4AE">
            <w:pPr>
              <w:rPr>
                <w:rFonts w:ascii="Arial"/>
                <w:sz w:val="21"/>
              </w:rPr>
            </w:pPr>
          </w:p>
        </w:tc>
        <w:tc>
          <w:tcPr>
            <w:tcW w:w="1513" w:type="dxa"/>
            <w:vAlign w:val="top"/>
          </w:tcPr>
          <w:p w14:paraId="2BBB80DB">
            <w:pPr>
              <w:rPr>
                <w:rFonts w:ascii="Arial"/>
                <w:sz w:val="21"/>
              </w:rPr>
            </w:pPr>
          </w:p>
        </w:tc>
        <w:tc>
          <w:tcPr>
            <w:tcW w:w="1288" w:type="dxa"/>
            <w:vAlign w:val="top"/>
          </w:tcPr>
          <w:p w14:paraId="63D06519">
            <w:pPr>
              <w:rPr>
                <w:rFonts w:ascii="Arial"/>
                <w:sz w:val="21"/>
              </w:rPr>
            </w:pPr>
          </w:p>
        </w:tc>
        <w:tc>
          <w:tcPr>
            <w:tcW w:w="626" w:type="dxa"/>
            <w:vAlign w:val="top"/>
          </w:tcPr>
          <w:p w14:paraId="3241053A">
            <w:pPr>
              <w:rPr>
                <w:rFonts w:ascii="Arial"/>
                <w:sz w:val="21"/>
              </w:rPr>
            </w:pPr>
          </w:p>
        </w:tc>
        <w:tc>
          <w:tcPr>
            <w:tcW w:w="751" w:type="dxa"/>
            <w:tcBorders>
              <w:top w:val="single" w:color="000000" w:sz="2" w:space="0"/>
              <w:bottom w:val="single" w:color="000000" w:sz="2" w:space="0"/>
              <w:right w:val="single" w:color="000000" w:sz="2" w:space="0"/>
            </w:tcBorders>
            <w:vAlign w:val="top"/>
          </w:tcPr>
          <w:p w14:paraId="4E29A3A4">
            <w:pPr>
              <w:rPr>
                <w:rFonts w:ascii="Arial"/>
                <w:sz w:val="21"/>
              </w:rPr>
            </w:pPr>
          </w:p>
        </w:tc>
      </w:tr>
      <w:tr w14:paraId="20F91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80" w:type="dxa"/>
            <w:tcBorders>
              <w:left w:val="single" w:color="000000" w:sz="2" w:space="0"/>
              <w:right w:val="single" w:color="000000" w:sz="2" w:space="0"/>
            </w:tcBorders>
            <w:vAlign w:val="top"/>
          </w:tcPr>
          <w:p w14:paraId="327EE3E8">
            <w:pPr>
              <w:pStyle w:val="26"/>
              <w:spacing w:before="106" w:line="363" w:lineRule="exact"/>
              <w:ind w:left="342"/>
            </w:pPr>
            <w:r>
              <w:rPr>
                <w:position w:val="2"/>
              </w:rPr>
              <w:t>…</w:t>
            </w:r>
          </w:p>
        </w:tc>
        <w:tc>
          <w:tcPr>
            <w:tcW w:w="1255" w:type="dxa"/>
            <w:gridSpan w:val="2"/>
            <w:tcBorders>
              <w:left w:val="single" w:color="000000" w:sz="2" w:space="0"/>
            </w:tcBorders>
            <w:vAlign w:val="top"/>
          </w:tcPr>
          <w:p w14:paraId="5B5B83B6">
            <w:pPr>
              <w:rPr>
                <w:rFonts w:ascii="Arial"/>
                <w:sz w:val="21"/>
              </w:rPr>
            </w:pPr>
          </w:p>
        </w:tc>
        <w:tc>
          <w:tcPr>
            <w:tcW w:w="1104" w:type="dxa"/>
            <w:vAlign w:val="top"/>
          </w:tcPr>
          <w:p w14:paraId="652DA206">
            <w:pPr>
              <w:rPr>
                <w:rFonts w:ascii="Arial"/>
                <w:sz w:val="21"/>
              </w:rPr>
            </w:pPr>
          </w:p>
        </w:tc>
        <w:tc>
          <w:tcPr>
            <w:tcW w:w="1268" w:type="dxa"/>
            <w:tcBorders>
              <w:right w:val="single" w:color="000000" w:sz="2" w:space="0"/>
            </w:tcBorders>
            <w:vAlign w:val="top"/>
          </w:tcPr>
          <w:p w14:paraId="4434ECFF">
            <w:pPr>
              <w:rPr>
                <w:rFonts w:ascii="Arial"/>
                <w:sz w:val="21"/>
              </w:rPr>
            </w:pPr>
          </w:p>
        </w:tc>
        <w:tc>
          <w:tcPr>
            <w:tcW w:w="1622" w:type="dxa"/>
            <w:tcBorders>
              <w:left w:val="single" w:color="000000" w:sz="2" w:space="0"/>
            </w:tcBorders>
            <w:vAlign w:val="top"/>
          </w:tcPr>
          <w:p w14:paraId="56E5D6DD">
            <w:pPr>
              <w:rPr>
                <w:rFonts w:ascii="Arial"/>
                <w:sz w:val="21"/>
              </w:rPr>
            </w:pPr>
          </w:p>
        </w:tc>
        <w:tc>
          <w:tcPr>
            <w:tcW w:w="1513" w:type="dxa"/>
            <w:vAlign w:val="top"/>
          </w:tcPr>
          <w:p w14:paraId="2F605E40">
            <w:pPr>
              <w:rPr>
                <w:rFonts w:ascii="Arial"/>
                <w:sz w:val="21"/>
              </w:rPr>
            </w:pPr>
          </w:p>
        </w:tc>
        <w:tc>
          <w:tcPr>
            <w:tcW w:w="1288" w:type="dxa"/>
            <w:vAlign w:val="top"/>
          </w:tcPr>
          <w:p w14:paraId="40DE233F">
            <w:pPr>
              <w:rPr>
                <w:rFonts w:ascii="Arial"/>
                <w:sz w:val="21"/>
              </w:rPr>
            </w:pPr>
          </w:p>
        </w:tc>
        <w:tc>
          <w:tcPr>
            <w:tcW w:w="626" w:type="dxa"/>
            <w:vAlign w:val="top"/>
          </w:tcPr>
          <w:p w14:paraId="0AECBA8B">
            <w:pPr>
              <w:rPr>
                <w:rFonts w:ascii="Arial"/>
                <w:sz w:val="21"/>
              </w:rPr>
            </w:pPr>
          </w:p>
        </w:tc>
        <w:tc>
          <w:tcPr>
            <w:tcW w:w="751" w:type="dxa"/>
            <w:tcBorders>
              <w:top w:val="single" w:color="000000" w:sz="2" w:space="0"/>
              <w:right w:val="single" w:color="000000" w:sz="2" w:space="0"/>
            </w:tcBorders>
            <w:vAlign w:val="top"/>
          </w:tcPr>
          <w:p w14:paraId="7F6156D9">
            <w:pPr>
              <w:rPr>
                <w:rFonts w:ascii="Arial"/>
                <w:sz w:val="21"/>
              </w:rPr>
            </w:pPr>
          </w:p>
        </w:tc>
      </w:tr>
      <w:tr w14:paraId="108F3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135" w:type="dxa"/>
            <w:gridSpan w:val="3"/>
            <w:tcBorders>
              <w:left w:val="single" w:color="000000" w:sz="2" w:space="0"/>
            </w:tcBorders>
            <w:vAlign w:val="top"/>
          </w:tcPr>
          <w:p w14:paraId="69127553">
            <w:pPr>
              <w:pStyle w:val="26"/>
              <w:spacing w:before="51" w:line="223" w:lineRule="auto"/>
              <w:ind w:left="34" w:right="182"/>
            </w:pPr>
            <w:r>
              <w:rPr>
                <w:spacing w:val="-2"/>
              </w:rPr>
              <w:t>其他费用（说明具</w:t>
            </w:r>
            <w:r>
              <w:rPr>
                <w:spacing w:val="4"/>
              </w:rPr>
              <w:t xml:space="preserve"> </w:t>
            </w:r>
            <w:r>
              <w:rPr>
                <w:spacing w:val="-4"/>
              </w:rPr>
              <w:t>体内容</w:t>
            </w:r>
            <w:r>
              <w:t>）：</w:t>
            </w:r>
          </w:p>
        </w:tc>
        <w:tc>
          <w:tcPr>
            <w:tcW w:w="1104" w:type="dxa"/>
            <w:vAlign w:val="top"/>
          </w:tcPr>
          <w:p w14:paraId="6959B2E2">
            <w:pPr>
              <w:rPr>
                <w:rFonts w:ascii="Arial"/>
                <w:sz w:val="21"/>
              </w:rPr>
            </w:pPr>
          </w:p>
        </w:tc>
        <w:tc>
          <w:tcPr>
            <w:tcW w:w="7068" w:type="dxa"/>
            <w:gridSpan w:val="6"/>
            <w:tcBorders>
              <w:right w:val="single" w:color="000000" w:sz="2" w:space="0"/>
            </w:tcBorders>
            <w:vAlign w:val="top"/>
          </w:tcPr>
          <w:p w14:paraId="035E1574">
            <w:pPr>
              <w:rPr>
                <w:rFonts w:ascii="Arial"/>
                <w:sz w:val="21"/>
              </w:rPr>
            </w:pPr>
          </w:p>
        </w:tc>
      </w:tr>
      <w:tr w14:paraId="4FED7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820" w:type="dxa"/>
            <w:gridSpan w:val="2"/>
            <w:tcBorders>
              <w:left w:val="single" w:color="000000" w:sz="2" w:space="0"/>
              <w:right w:val="single" w:color="000000" w:sz="2" w:space="0"/>
            </w:tcBorders>
            <w:vAlign w:val="top"/>
          </w:tcPr>
          <w:p w14:paraId="10E4F31B">
            <w:pPr>
              <w:rPr>
                <w:rFonts w:ascii="Arial"/>
                <w:sz w:val="21"/>
              </w:rPr>
            </w:pPr>
          </w:p>
        </w:tc>
        <w:tc>
          <w:tcPr>
            <w:tcW w:w="8487" w:type="dxa"/>
            <w:gridSpan w:val="8"/>
            <w:tcBorders>
              <w:left w:val="single" w:color="000000" w:sz="2" w:space="0"/>
              <w:right w:val="single" w:color="000000" w:sz="2" w:space="0"/>
            </w:tcBorders>
            <w:vAlign w:val="top"/>
          </w:tcPr>
          <w:p w14:paraId="37A6678C">
            <w:pPr>
              <w:pStyle w:val="26"/>
              <w:spacing w:before="108" w:line="218" w:lineRule="auto"/>
              <w:ind w:left="35"/>
            </w:pPr>
            <w:r>
              <w:rPr>
                <w:spacing w:val="-1"/>
              </w:rPr>
              <w:t>单价报价：小写：</w:t>
            </w:r>
            <w:r>
              <w:rPr>
                <w:spacing w:val="-1"/>
                <w:u w:val="single" w:color="auto"/>
              </w:rPr>
              <w:t xml:space="preserve">        </w:t>
            </w:r>
            <w:r>
              <w:rPr>
                <w:spacing w:val="-101"/>
              </w:rPr>
              <w:t xml:space="preserve"> </w:t>
            </w:r>
            <w:r>
              <w:rPr>
                <w:spacing w:val="-1"/>
              </w:rPr>
              <w:t>元人民币整/套，大写：</w:t>
            </w:r>
            <w:r>
              <w:rPr>
                <w:spacing w:val="-1"/>
                <w:u w:val="single" w:color="auto"/>
              </w:rPr>
              <w:t xml:space="preserve">         </w:t>
            </w:r>
            <w:r>
              <w:rPr>
                <w:spacing w:val="-109"/>
              </w:rPr>
              <w:t xml:space="preserve"> </w:t>
            </w:r>
            <w:r>
              <w:rPr>
                <w:spacing w:val="-1"/>
              </w:rPr>
              <w:t>元人民币整/套</w:t>
            </w:r>
          </w:p>
        </w:tc>
      </w:tr>
      <w:tr w14:paraId="3048A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820" w:type="dxa"/>
            <w:gridSpan w:val="2"/>
            <w:tcBorders>
              <w:left w:val="single" w:color="000000" w:sz="2" w:space="0"/>
              <w:bottom w:val="single" w:color="000000" w:sz="2" w:space="0"/>
              <w:right w:val="single" w:color="000000" w:sz="2" w:space="0"/>
            </w:tcBorders>
            <w:vAlign w:val="top"/>
          </w:tcPr>
          <w:p w14:paraId="0E0764D6">
            <w:pPr>
              <w:rPr>
                <w:rFonts w:ascii="Arial"/>
                <w:sz w:val="21"/>
              </w:rPr>
            </w:pPr>
          </w:p>
        </w:tc>
        <w:tc>
          <w:tcPr>
            <w:tcW w:w="8487" w:type="dxa"/>
            <w:gridSpan w:val="8"/>
            <w:tcBorders>
              <w:left w:val="single" w:color="000000" w:sz="2" w:space="0"/>
              <w:bottom w:val="single" w:color="000000" w:sz="2" w:space="0"/>
              <w:right w:val="single" w:color="000000" w:sz="2" w:space="0"/>
            </w:tcBorders>
            <w:vAlign w:val="top"/>
          </w:tcPr>
          <w:p w14:paraId="56852489">
            <w:pPr>
              <w:pStyle w:val="26"/>
              <w:spacing w:before="107" w:line="218" w:lineRule="auto"/>
              <w:ind w:left="40"/>
            </w:pPr>
            <w:r>
              <w:rPr>
                <w:spacing w:val="-1"/>
              </w:rPr>
              <w:t>总价报价：小写：</w:t>
            </w:r>
            <w:r>
              <w:rPr>
                <w:spacing w:val="-1"/>
                <w:u w:val="single" w:color="auto"/>
              </w:rPr>
              <w:t xml:space="preserve">        </w:t>
            </w:r>
            <w:r>
              <w:rPr>
                <w:spacing w:val="-109"/>
              </w:rPr>
              <w:t xml:space="preserve"> </w:t>
            </w:r>
            <w:r>
              <w:rPr>
                <w:spacing w:val="-1"/>
              </w:rPr>
              <w:t>元人民币整，大写：</w:t>
            </w:r>
            <w:r>
              <w:rPr>
                <w:spacing w:val="-1"/>
                <w:u w:val="single" w:color="auto"/>
              </w:rPr>
              <w:t xml:space="preserve">         </w:t>
            </w:r>
            <w:r>
              <w:rPr>
                <w:spacing w:val="-109"/>
              </w:rPr>
              <w:t xml:space="preserve"> </w:t>
            </w:r>
            <w:r>
              <w:rPr>
                <w:spacing w:val="-1"/>
              </w:rPr>
              <w:t>元人民币整</w:t>
            </w:r>
          </w:p>
        </w:tc>
      </w:tr>
    </w:tbl>
    <w:p w14:paraId="7549625B">
      <w:pPr>
        <w:spacing w:line="333" w:lineRule="auto"/>
        <w:rPr>
          <w:rFonts w:ascii="Arial"/>
          <w:sz w:val="21"/>
        </w:rPr>
      </w:pPr>
    </w:p>
    <w:p w14:paraId="280CCABF">
      <w:pPr>
        <w:spacing w:line="333" w:lineRule="auto"/>
        <w:rPr>
          <w:rFonts w:ascii="Arial"/>
          <w:sz w:val="21"/>
        </w:rPr>
      </w:pPr>
    </w:p>
    <w:p w14:paraId="30E3CF84">
      <w:pPr>
        <w:pStyle w:val="6"/>
        <w:spacing w:before="78" w:line="218" w:lineRule="auto"/>
        <w:ind w:left="587"/>
        <w:rPr>
          <w:sz w:val="24"/>
          <w:szCs w:val="24"/>
        </w:rPr>
      </w:pPr>
      <w:r>
        <w:rPr>
          <w:spacing w:val="-1"/>
          <w:sz w:val="24"/>
          <w:szCs w:val="24"/>
        </w:rPr>
        <w:t>说明： 1、单价应包括必不可少的部件、标准备件等费用。</w:t>
      </w:r>
    </w:p>
    <w:p w14:paraId="0BC8D65B">
      <w:pPr>
        <w:pStyle w:val="6"/>
        <w:spacing w:before="101" w:line="218" w:lineRule="auto"/>
        <w:ind w:left="1304"/>
        <w:rPr>
          <w:sz w:val="24"/>
          <w:szCs w:val="24"/>
        </w:rPr>
      </w:pPr>
      <w:r>
        <w:rPr>
          <w:spacing w:val="-1"/>
          <w:sz w:val="24"/>
          <w:szCs w:val="24"/>
        </w:rPr>
        <w:t>2、如果单价与总价不符时，以单价为准，并修正总价。</w:t>
      </w:r>
    </w:p>
    <w:p w14:paraId="6B891DE1">
      <w:pPr>
        <w:pStyle w:val="6"/>
        <w:spacing w:before="100" w:line="219" w:lineRule="auto"/>
        <w:ind w:left="1306"/>
        <w:rPr>
          <w:spacing w:val="-2"/>
          <w:sz w:val="24"/>
          <w:szCs w:val="24"/>
        </w:rPr>
      </w:pPr>
      <w:r>
        <w:rPr>
          <w:spacing w:val="-2"/>
          <w:sz w:val="24"/>
          <w:szCs w:val="24"/>
        </w:rPr>
        <w:t>3、本表投标人可自行扩展。</w:t>
      </w:r>
    </w:p>
    <w:p w14:paraId="7CEED41D">
      <w:pPr>
        <w:spacing w:line="281" w:lineRule="auto"/>
        <w:rPr>
          <w:rFonts w:ascii="Arial"/>
          <w:sz w:val="21"/>
        </w:rPr>
      </w:pPr>
    </w:p>
    <w:p w14:paraId="68D042F3">
      <w:pPr>
        <w:spacing w:line="281" w:lineRule="auto"/>
        <w:rPr>
          <w:rFonts w:ascii="Arial"/>
          <w:sz w:val="21"/>
        </w:rPr>
      </w:pPr>
    </w:p>
    <w:p w14:paraId="344526A9">
      <w:pPr>
        <w:spacing w:line="281" w:lineRule="auto"/>
        <w:rPr>
          <w:rFonts w:ascii="Arial"/>
          <w:sz w:val="21"/>
        </w:rPr>
      </w:pPr>
    </w:p>
    <w:p w14:paraId="225CFD9C">
      <w:pPr>
        <w:spacing w:line="282" w:lineRule="auto"/>
        <w:rPr>
          <w:rFonts w:ascii="Arial"/>
          <w:sz w:val="21"/>
        </w:rPr>
      </w:pPr>
    </w:p>
    <w:p w14:paraId="72ADC190">
      <w:pPr>
        <w:pStyle w:val="6"/>
        <w:spacing w:before="79" w:line="219" w:lineRule="auto"/>
        <w:ind w:left="3556"/>
        <w:rPr>
          <w:sz w:val="24"/>
          <w:szCs w:val="24"/>
        </w:rPr>
      </w:pPr>
      <w:r>
        <w:rPr>
          <w:spacing w:val="-1"/>
          <w:sz w:val="24"/>
          <w:szCs w:val="24"/>
        </w:rPr>
        <w:t>投标人名称（单位公章（盖企业电子章</w:t>
      </w:r>
      <w:r>
        <w:rPr>
          <w:spacing w:val="1"/>
          <w:sz w:val="24"/>
          <w:szCs w:val="24"/>
        </w:rPr>
        <w:t>）：</w:t>
      </w:r>
      <w:r>
        <w:rPr>
          <w:sz w:val="24"/>
          <w:szCs w:val="24"/>
          <w:u w:val="single" w:color="auto"/>
        </w:rPr>
        <w:t xml:space="preserve">            </w:t>
      </w:r>
    </w:p>
    <w:p w14:paraId="1D6B4FF4">
      <w:pPr>
        <w:spacing w:line="343" w:lineRule="auto"/>
        <w:rPr>
          <w:rFonts w:ascii="Arial"/>
          <w:sz w:val="21"/>
        </w:rPr>
      </w:pPr>
    </w:p>
    <w:p w14:paraId="45389EBE">
      <w:pPr>
        <w:pStyle w:val="6"/>
        <w:spacing w:before="78" w:line="219" w:lineRule="auto"/>
        <w:ind w:left="3554"/>
        <w:rPr>
          <w:sz w:val="24"/>
          <w:szCs w:val="24"/>
        </w:rPr>
      </w:pPr>
      <w:r>
        <w:rPr>
          <w:spacing w:val="-1"/>
          <w:sz w:val="24"/>
          <w:szCs w:val="24"/>
        </w:rPr>
        <w:t>法定代表人或法定代表人授权委托代理人（签字或盖章</w:t>
      </w:r>
      <w:r>
        <w:rPr>
          <w:spacing w:val="6"/>
          <w:sz w:val="24"/>
          <w:szCs w:val="24"/>
        </w:rPr>
        <w:t>）：</w:t>
      </w:r>
      <w:r>
        <w:rPr>
          <w:sz w:val="24"/>
          <w:szCs w:val="24"/>
          <w:u w:val="single" w:color="auto"/>
        </w:rPr>
        <w:t xml:space="preserve">     </w:t>
      </w:r>
    </w:p>
    <w:p w14:paraId="49123DD4">
      <w:pPr>
        <w:spacing w:line="329" w:lineRule="auto"/>
        <w:rPr>
          <w:rFonts w:ascii="Arial"/>
          <w:sz w:val="21"/>
        </w:rPr>
      </w:pPr>
    </w:p>
    <w:p w14:paraId="7D20D7D0">
      <w:pPr>
        <w:pStyle w:val="6"/>
        <w:spacing w:before="79" w:line="219" w:lineRule="auto"/>
        <w:ind w:left="3594"/>
        <w:rPr>
          <w:sz w:val="24"/>
          <w:szCs w:val="24"/>
        </w:rPr>
      </w:pPr>
      <w:r>
        <w:rPr>
          <w:spacing w:val="-13"/>
          <w:sz w:val="24"/>
          <w:szCs w:val="24"/>
        </w:rPr>
        <w:t>日期：</w:t>
      </w:r>
      <w:r>
        <w:rPr>
          <w:spacing w:val="10"/>
          <w:sz w:val="24"/>
          <w:szCs w:val="24"/>
          <w:u w:val="single" w:color="auto"/>
        </w:rPr>
        <w:t xml:space="preserve">           </w:t>
      </w:r>
      <w:r>
        <w:rPr>
          <w:spacing w:val="-99"/>
          <w:sz w:val="24"/>
          <w:szCs w:val="24"/>
        </w:rPr>
        <w:t xml:space="preserve"> </w:t>
      </w:r>
      <w:r>
        <w:rPr>
          <w:spacing w:val="-13"/>
          <w:sz w:val="24"/>
          <w:szCs w:val="24"/>
        </w:rPr>
        <w:t>年</w:t>
      </w:r>
      <w:r>
        <w:rPr>
          <w:spacing w:val="17"/>
          <w:sz w:val="24"/>
          <w:szCs w:val="24"/>
          <w:u w:val="single" w:color="auto"/>
        </w:rPr>
        <w:t xml:space="preserve">       </w:t>
      </w:r>
      <w:r>
        <w:rPr>
          <w:spacing w:val="-104"/>
          <w:sz w:val="24"/>
          <w:szCs w:val="24"/>
        </w:rPr>
        <w:t xml:space="preserve"> </w:t>
      </w:r>
      <w:r>
        <w:rPr>
          <w:spacing w:val="-13"/>
          <w:sz w:val="24"/>
          <w:szCs w:val="24"/>
        </w:rPr>
        <w:t>月</w:t>
      </w:r>
      <w:r>
        <w:rPr>
          <w:spacing w:val="17"/>
          <w:sz w:val="24"/>
          <w:szCs w:val="24"/>
          <w:u w:val="single" w:color="auto"/>
        </w:rPr>
        <w:t xml:space="preserve">       </w:t>
      </w:r>
      <w:r>
        <w:rPr>
          <w:spacing w:val="-69"/>
          <w:sz w:val="24"/>
          <w:szCs w:val="24"/>
        </w:rPr>
        <w:t xml:space="preserve"> </w:t>
      </w:r>
      <w:r>
        <w:rPr>
          <w:spacing w:val="-13"/>
          <w:sz w:val="24"/>
          <w:szCs w:val="24"/>
        </w:rPr>
        <w:t>日</w:t>
      </w:r>
    </w:p>
    <w:p w14:paraId="644548A0">
      <w:pPr>
        <w:spacing w:line="219" w:lineRule="auto"/>
        <w:rPr>
          <w:sz w:val="24"/>
          <w:szCs w:val="24"/>
        </w:rPr>
        <w:sectPr>
          <w:headerReference r:id="rId45" w:type="default"/>
          <w:footerReference r:id="rId46" w:type="default"/>
          <w:pgSz w:w="11910" w:h="16840"/>
          <w:pgMar w:top="1142" w:right="811" w:bottom="1117" w:left="785" w:header="832" w:footer="884" w:gutter="0"/>
          <w:pgNumType w:fmt="decimal"/>
          <w:cols w:space="720" w:num="1"/>
        </w:sectPr>
      </w:pPr>
    </w:p>
    <w:p w14:paraId="7DD01CE9">
      <w:pPr>
        <w:pStyle w:val="6"/>
        <w:spacing w:before="300" w:line="219" w:lineRule="auto"/>
        <w:ind w:left="3720"/>
        <w:rPr>
          <w:sz w:val="30"/>
          <w:szCs w:val="30"/>
        </w:rPr>
      </w:pPr>
      <w:r>
        <w:rPr>
          <w:spacing w:val="-2"/>
          <w:sz w:val="30"/>
          <w:szCs w:val="30"/>
        </w:rPr>
        <w:t>三、技术参数偏离表</w:t>
      </w:r>
    </w:p>
    <w:p w14:paraId="77BEBE85">
      <w:pPr>
        <w:pStyle w:val="6"/>
        <w:spacing w:before="98" w:line="219" w:lineRule="auto"/>
        <w:rPr>
          <w:sz w:val="24"/>
          <w:szCs w:val="24"/>
        </w:rPr>
      </w:pPr>
      <w:r>
        <w:rPr>
          <w:spacing w:val="-3"/>
          <w:sz w:val="24"/>
          <w:szCs w:val="24"/>
        </w:rPr>
        <w:t>项目名称：</w:t>
      </w:r>
      <w:r>
        <w:rPr>
          <w:sz w:val="24"/>
          <w:szCs w:val="24"/>
          <w:u w:val="single" w:color="auto"/>
        </w:rPr>
        <w:t xml:space="preserve">              </w:t>
      </w:r>
    </w:p>
    <w:p w14:paraId="1D381C0A">
      <w:pPr>
        <w:pStyle w:val="6"/>
        <w:spacing w:before="188" w:line="219" w:lineRule="auto"/>
        <w:rPr>
          <w:sz w:val="24"/>
          <w:szCs w:val="24"/>
        </w:rPr>
      </w:pPr>
      <w:r>
        <w:rPr>
          <w:spacing w:val="-3"/>
          <w:sz w:val="24"/>
          <w:szCs w:val="24"/>
        </w:rPr>
        <w:t>项目编号：</w:t>
      </w:r>
      <w:r>
        <w:rPr>
          <w:sz w:val="24"/>
          <w:szCs w:val="24"/>
          <w:u w:val="single" w:color="auto"/>
        </w:rPr>
        <w:t xml:space="preserve">                  </w:t>
      </w:r>
    </w:p>
    <w:p w14:paraId="1939A214">
      <w:pPr>
        <w:spacing w:before="68"/>
      </w:pPr>
    </w:p>
    <w:tbl>
      <w:tblPr>
        <w:tblStyle w:val="27"/>
        <w:tblW w:w="10175"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1"/>
        <w:gridCol w:w="3686"/>
        <w:gridCol w:w="2636"/>
        <w:gridCol w:w="1024"/>
        <w:gridCol w:w="1748"/>
      </w:tblGrid>
      <w:tr w14:paraId="5B561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081" w:type="dxa"/>
            <w:vAlign w:val="top"/>
          </w:tcPr>
          <w:p w14:paraId="224456B7">
            <w:pPr>
              <w:spacing w:line="277" w:lineRule="auto"/>
              <w:rPr>
                <w:rFonts w:ascii="Arial"/>
                <w:sz w:val="21"/>
              </w:rPr>
            </w:pPr>
          </w:p>
          <w:p w14:paraId="08A1366E">
            <w:pPr>
              <w:pStyle w:val="26"/>
              <w:spacing w:before="78" w:line="221" w:lineRule="auto"/>
              <w:ind w:left="341"/>
            </w:pPr>
            <w:r>
              <w:rPr>
                <w:spacing w:val="-5"/>
              </w:rPr>
              <w:t>序号</w:t>
            </w:r>
          </w:p>
        </w:tc>
        <w:tc>
          <w:tcPr>
            <w:tcW w:w="3686" w:type="dxa"/>
            <w:vAlign w:val="top"/>
          </w:tcPr>
          <w:p w14:paraId="4F8BD5BA">
            <w:pPr>
              <w:spacing w:line="283" w:lineRule="auto"/>
              <w:rPr>
                <w:rFonts w:ascii="Arial"/>
                <w:sz w:val="21"/>
              </w:rPr>
            </w:pPr>
          </w:p>
          <w:p w14:paraId="2D80A063">
            <w:pPr>
              <w:pStyle w:val="26"/>
              <w:spacing w:before="78" w:line="219" w:lineRule="auto"/>
              <w:ind w:left="706"/>
            </w:pPr>
            <w:r>
              <w:rPr>
                <w:spacing w:val="-2"/>
              </w:rPr>
              <w:t>公开招标文件中技术参数</w:t>
            </w:r>
          </w:p>
        </w:tc>
        <w:tc>
          <w:tcPr>
            <w:tcW w:w="2636" w:type="dxa"/>
            <w:vAlign w:val="top"/>
          </w:tcPr>
          <w:p w14:paraId="6F277027">
            <w:pPr>
              <w:spacing w:line="283" w:lineRule="auto"/>
              <w:rPr>
                <w:rFonts w:ascii="Arial"/>
                <w:sz w:val="21"/>
              </w:rPr>
            </w:pPr>
          </w:p>
          <w:p w14:paraId="26DCBB9B">
            <w:pPr>
              <w:pStyle w:val="26"/>
              <w:spacing w:before="78" w:line="219" w:lineRule="auto"/>
              <w:ind w:left="123"/>
            </w:pPr>
            <w:r>
              <w:rPr>
                <w:spacing w:val="-2"/>
              </w:rPr>
              <w:t>投标文件中的技术参数</w:t>
            </w:r>
          </w:p>
        </w:tc>
        <w:tc>
          <w:tcPr>
            <w:tcW w:w="1024" w:type="dxa"/>
            <w:vAlign w:val="top"/>
          </w:tcPr>
          <w:p w14:paraId="3302D22E">
            <w:pPr>
              <w:spacing w:line="278" w:lineRule="auto"/>
              <w:rPr>
                <w:rFonts w:ascii="Arial"/>
                <w:sz w:val="21"/>
              </w:rPr>
            </w:pPr>
          </w:p>
          <w:p w14:paraId="7E468A3C">
            <w:pPr>
              <w:pStyle w:val="26"/>
              <w:spacing w:before="78" w:line="219" w:lineRule="auto"/>
              <w:ind w:left="314"/>
            </w:pPr>
            <w:r>
              <w:rPr>
                <w:spacing w:val="-5"/>
              </w:rPr>
              <w:t>偏离</w:t>
            </w:r>
          </w:p>
        </w:tc>
        <w:tc>
          <w:tcPr>
            <w:tcW w:w="1748" w:type="dxa"/>
            <w:textDirection w:val="tbRlV"/>
            <w:vAlign w:val="top"/>
          </w:tcPr>
          <w:p w14:paraId="1C088414">
            <w:pPr>
              <w:spacing w:line="324" w:lineRule="auto"/>
              <w:rPr>
                <w:rFonts w:ascii="Arial"/>
                <w:sz w:val="21"/>
              </w:rPr>
            </w:pPr>
          </w:p>
          <w:p w14:paraId="04C4FB38">
            <w:pPr>
              <w:spacing w:line="324" w:lineRule="auto"/>
              <w:rPr>
                <w:rFonts w:ascii="Arial"/>
                <w:sz w:val="21"/>
              </w:rPr>
            </w:pPr>
          </w:p>
          <w:p w14:paraId="55C32C38">
            <w:pPr>
              <w:pStyle w:val="26"/>
              <w:spacing w:before="80" w:line="209" w:lineRule="auto"/>
              <w:ind w:right="38"/>
              <w:jc w:val="right"/>
            </w:pPr>
            <w:r>
              <w:rPr>
                <w:spacing w:val="35"/>
              </w:rPr>
              <w:t>备注</w:t>
            </w:r>
          </w:p>
        </w:tc>
      </w:tr>
      <w:tr w14:paraId="6988F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081" w:type="dxa"/>
            <w:vAlign w:val="top"/>
          </w:tcPr>
          <w:p w14:paraId="73E951F3">
            <w:pPr>
              <w:rPr>
                <w:rFonts w:ascii="Arial"/>
                <w:sz w:val="21"/>
              </w:rPr>
            </w:pPr>
          </w:p>
        </w:tc>
        <w:tc>
          <w:tcPr>
            <w:tcW w:w="3686" w:type="dxa"/>
            <w:vAlign w:val="top"/>
          </w:tcPr>
          <w:p w14:paraId="41357C36">
            <w:pPr>
              <w:rPr>
                <w:rFonts w:ascii="Arial"/>
                <w:sz w:val="21"/>
              </w:rPr>
            </w:pPr>
          </w:p>
        </w:tc>
        <w:tc>
          <w:tcPr>
            <w:tcW w:w="2636" w:type="dxa"/>
            <w:vAlign w:val="top"/>
          </w:tcPr>
          <w:p w14:paraId="4327D03C">
            <w:pPr>
              <w:rPr>
                <w:rFonts w:ascii="Arial"/>
                <w:sz w:val="21"/>
              </w:rPr>
            </w:pPr>
          </w:p>
        </w:tc>
        <w:tc>
          <w:tcPr>
            <w:tcW w:w="1024" w:type="dxa"/>
            <w:vAlign w:val="top"/>
          </w:tcPr>
          <w:p w14:paraId="015C7C1C">
            <w:pPr>
              <w:rPr>
                <w:rFonts w:ascii="Arial"/>
                <w:sz w:val="21"/>
              </w:rPr>
            </w:pPr>
          </w:p>
        </w:tc>
        <w:tc>
          <w:tcPr>
            <w:tcW w:w="1748" w:type="dxa"/>
            <w:vAlign w:val="top"/>
          </w:tcPr>
          <w:p w14:paraId="5B8FFE26">
            <w:pPr>
              <w:rPr>
                <w:rFonts w:ascii="Arial"/>
                <w:sz w:val="21"/>
              </w:rPr>
            </w:pPr>
          </w:p>
        </w:tc>
      </w:tr>
      <w:tr w14:paraId="10433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1" w:type="dxa"/>
            <w:vAlign w:val="top"/>
          </w:tcPr>
          <w:p w14:paraId="1B2CF481">
            <w:pPr>
              <w:rPr>
                <w:rFonts w:ascii="Arial"/>
                <w:sz w:val="21"/>
              </w:rPr>
            </w:pPr>
          </w:p>
        </w:tc>
        <w:tc>
          <w:tcPr>
            <w:tcW w:w="3686" w:type="dxa"/>
            <w:vAlign w:val="top"/>
          </w:tcPr>
          <w:p w14:paraId="58AB1A4A">
            <w:pPr>
              <w:rPr>
                <w:rFonts w:ascii="Arial"/>
                <w:sz w:val="21"/>
              </w:rPr>
            </w:pPr>
          </w:p>
        </w:tc>
        <w:tc>
          <w:tcPr>
            <w:tcW w:w="2636" w:type="dxa"/>
            <w:vAlign w:val="top"/>
          </w:tcPr>
          <w:p w14:paraId="249E2D05">
            <w:pPr>
              <w:rPr>
                <w:rFonts w:ascii="Arial"/>
                <w:sz w:val="21"/>
              </w:rPr>
            </w:pPr>
          </w:p>
        </w:tc>
        <w:tc>
          <w:tcPr>
            <w:tcW w:w="1024" w:type="dxa"/>
            <w:vAlign w:val="top"/>
          </w:tcPr>
          <w:p w14:paraId="649E5AFA">
            <w:pPr>
              <w:rPr>
                <w:rFonts w:ascii="Arial"/>
                <w:sz w:val="21"/>
              </w:rPr>
            </w:pPr>
          </w:p>
        </w:tc>
        <w:tc>
          <w:tcPr>
            <w:tcW w:w="1748" w:type="dxa"/>
            <w:vAlign w:val="top"/>
          </w:tcPr>
          <w:p w14:paraId="16852254">
            <w:pPr>
              <w:rPr>
                <w:rFonts w:ascii="Arial"/>
                <w:sz w:val="21"/>
              </w:rPr>
            </w:pPr>
          </w:p>
        </w:tc>
      </w:tr>
      <w:tr w14:paraId="02BFC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1" w:type="dxa"/>
            <w:vAlign w:val="top"/>
          </w:tcPr>
          <w:p w14:paraId="0EE0FA03">
            <w:pPr>
              <w:rPr>
                <w:rFonts w:ascii="Arial"/>
                <w:sz w:val="21"/>
              </w:rPr>
            </w:pPr>
          </w:p>
        </w:tc>
        <w:tc>
          <w:tcPr>
            <w:tcW w:w="3686" w:type="dxa"/>
            <w:vAlign w:val="top"/>
          </w:tcPr>
          <w:p w14:paraId="0F58BC3B">
            <w:pPr>
              <w:rPr>
                <w:rFonts w:ascii="Arial"/>
                <w:sz w:val="21"/>
              </w:rPr>
            </w:pPr>
          </w:p>
        </w:tc>
        <w:tc>
          <w:tcPr>
            <w:tcW w:w="2636" w:type="dxa"/>
            <w:vAlign w:val="top"/>
          </w:tcPr>
          <w:p w14:paraId="31843306">
            <w:pPr>
              <w:rPr>
                <w:rFonts w:ascii="Arial"/>
                <w:sz w:val="21"/>
              </w:rPr>
            </w:pPr>
          </w:p>
        </w:tc>
        <w:tc>
          <w:tcPr>
            <w:tcW w:w="1024" w:type="dxa"/>
            <w:vAlign w:val="top"/>
          </w:tcPr>
          <w:p w14:paraId="7C34A88D">
            <w:pPr>
              <w:rPr>
                <w:rFonts w:ascii="Arial"/>
                <w:sz w:val="21"/>
              </w:rPr>
            </w:pPr>
          </w:p>
        </w:tc>
        <w:tc>
          <w:tcPr>
            <w:tcW w:w="1748" w:type="dxa"/>
            <w:vAlign w:val="top"/>
          </w:tcPr>
          <w:p w14:paraId="2A4ECB46">
            <w:pPr>
              <w:rPr>
                <w:rFonts w:ascii="Arial"/>
                <w:sz w:val="21"/>
              </w:rPr>
            </w:pPr>
          </w:p>
        </w:tc>
      </w:tr>
      <w:tr w14:paraId="11F33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081" w:type="dxa"/>
            <w:vAlign w:val="top"/>
          </w:tcPr>
          <w:p w14:paraId="1AC6EE5F">
            <w:pPr>
              <w:rPr>
                <w:rFonts w:ascii="Arial"/>
                <w:sz w:val="21"/>
              </w:rPr>
            </w:pPr>
          </w:p>
        </w:tc>
        <w:tc>
          <w:tcPr>
            <w:tcW w:w="3686" w:type="dxa"/>
            <w:vAlign w:val="top"/>
          </w:tcPr>
          <w:p w14:paraId="1BC750A0">
            <w:pPr>
              <w:spacing w:line="298" w:lineRule="auto"/>
              <w:rPr>
                <w:rFonts w:ascii="Arial"/>
                <w:sz w:val="21"/>
              </w:rPr>
            </w:pPr>
          </w:p>
          <w:p w14:paraId="429D7434">
            <w:pPr>
              <w:pStyle w:val="26"/>
              <w:spacing w:before="78" w:line="99" w:lineRule="exact"/>
              <w:ind w:left="124"/>
            </w:pPr>
            <w:r>
              <w:rPr>
                <w:position w:val="1"/>
              </w:rPr>
              <w:t>.....................</w:t>
            </w:r>
          </w:p>
        </w:tc>
        <w:tc>
          <w:tcPr>
            <w:tcW w:w="2636" w:type="dxa"/>
            <w:vAlign w:val="top"/>
          </w:tcPr>
          <w:p w14:paraId="13AC98D6">
            <w:pPr>
              <w:rPr>
                <w:rFonts w:ascii="Arial"/>
                <w:sz w:val="21"/>
              </w:rPr>
            </w:pPr>
          </w:p>
        </w:tc>
        <w:tc>
          <w:tcPr>
            <w:tcW w:w="1024" w:type="dxa"/>
            <w:vAlign w:val="top"/>
          </w:tcPr>
          <w:p w14:paraId="3465917D">
            <w:pPr>
              <w:rPr>
                <w:rFonts w:ascii="Arial"/>
                <w:sz w:val="21"/>
              </w:rPr>
            </w:pPr>
          </w:p>
        </w:tc>
        <w:tc>
          <w:tcPr>
            <w:tcW w:w="1748" w:type="dxa"/>
            <w:vAlign w:val="top"/>
          </w:tcPr>
          <w:p w14:paraId="069516B5">
            <w:pPr>
              <w:rPr>
                <w:rFonts w:ascii="Arial"/>
                <w:sz w:val="21"/>
              </w:rPr>
            </w:pPr>
          </w:p>
        </w:tc>
      </w:tr>
    </w:tbl>
    <w:p w14:paraId="2983C6B9">
      <w:pPr>
        <w:spacing w:line="422" w:lineRule="auto"/>
        <w:rPr>
          <w:rFonts w:ascii="Arial"/>
          <w:sz w:val="21"/>
        </w:rPr>
      </w:pPr>
    </w:p>
    <w:p w14:paraId="43049F4A">
      <w:pPr>
        <w:pStyle w:val="6"/>
        <w:spacing w:before="78" w:line="219" w:lineRule="auto"/>
        <w:ind w:left="116"/>
        <w:rPr>
          <w:sz w:val="24"/>
          <w:szCs w:val="24"/>
        </w:rPr>
      </w:pPr>
      <w:r>
        <w:rPr>
          <w:spacing w:val="-2"/>
          <w:sz w:val="24"/>
          <w:szCs w:val="24"/>
        </w:rPr>
        <w:t>注意事项：</w:t>
      </w:r>
    </w:p>
    <w:p w14:paraId="75640C25">
      <w:pPr>
        <w:pStyle w:val="6"/>
        <w:spacing w:before="184" w:line="216" w:lineRule="auto"/>
        <w:ind w:left="133"/>
        <w:rPr>
          <w:sz w:val="24"/>
          <w:szCs w:val="24"/>
        </w:rPr>
      </w:pPr>
      <w:r>
        <w:rPr>
          <w:spacing w:val="-2"/>
          <w:sz w:val="24"/>
          <w:szCs w:val="24"/>
        </w:rPr>
        <w:t>1、 本表须逐一将招标文件“技术参数</w:t>
      </w:r>
      <w:r>
        <w:rPr>
          <w:spacing w:val="-85"/>
          <w:sz w:val="24"/>
          <w:szCs w:val="24"/>
        </w:rPr>
        <w:t xml:space="preserve"> </w:t>
      </w:r>
      <w:r>
        <w:rPr>
          <w:spacing w:val="-2"/>
          <w:sz w:val="24"/>
          <w:szCs w:val="24"/>
        </w:rPr>
        <w:t>”与投标参数如实填入上表中。</w:t>
      </w:r>
    </w:p>
    <w:p w14:paraId="6FCB707E">
      <w:pPr>
        <w:spacing w:line="268" w:lineRule="auto"/>
        <w:rPr>
          <w:rFonts w:ascii="Arial"/>
          <w:sz w:val="21"/>
        </w:rPr>
      </w:pPr>
    </w:p>
    <w:p w14:paraId="56F85E28">
      <w:pPr>
        <w:pStyle w:val="6"/>
        <w:spacing w:before="78" w:line="317" w:lineRule="auto"/>
        <w:ind w:left="119"/>
        <w:rPr>
          <w:sz w:val="24"/>
          <w:szCs w:val="24"/>
        </w:rPr>
      </w:pPr>
      <w:r>
        <w:rPr>
          <w:spacing w:val="-4"/>
          <w:sz w:val="24"/>
          <w:szCs w:val="24"/>
        </w:rPr>
        <w:t>2、偏离一栏应按“不能满足</w:t>
      </w:r>
      <w:r>
        <w:rPr>
          <w:spacing w:val="-84"/>
          <w:sz w:val="24"/>
          <w:szCs w:val="24"/>
        </w:rPr>
        <w:t xml:space="preserve"> </w:t>
      </w:r>
      <w:r>
        <w:rPr>
          <w:spacing w:val="-4"/>
          <w:sz w:val="24"/>
          <w:szCs w:val="24"/>
        </w:rPr>
        <w:t>”、“完全满足</w:t>
      </w:r>
      <w:r>
        <w:rPr>
          <w:spacing w:val="-88"/>
          <w:sz w:val="24"/>
          <w:szCs w:val="24"/>
        </w:rPr>
        <w:t xml:space="preserve"> </w:t>
      </w:r>
      <w:r>
        <w:rPr>
          <w:spacing w:val="-4"/>
          <w:sz w:val="24"/>
          <w:szCs w:val="24"/>
        </w:rPr>
        <w:t>”或“等于或优于</w:t>
      </w:r>
      <w:r>
        <w:rPr>
          <w:spacing w:val="-88"/>
          <w:sz w:val="24"/>
          <w:szCs w:val="24"/>
        </w:rPr>
        <w:t xml:space="preserve"> </w:t>
      </w:r>
      <w:r>
        <w:rPr>
          <w:spacing w:val="-4"/>
          <w:sz w:val="24"/>
          <w:szCs w:val="24"/>
        </w:rPr>
        <w:t>”本招标文件技术参数三种情况，</w:t>
      </w:r>
      <w:r>
        <w:rPr>
          <w:sz w:val="24"/>
          <w:szCs w:val="24"/>
        </w:rPr>
        <w:t xml:space="preserve"> </w:t>
      </w:r>
      <w:r>
        <w:rPr>
          <w:spacing w:val="-4"/>
          <w:sz w:val="24"/>
          <w:szCs w:val="24"/>
        </w:rPr>
        <w:t>分别填写“负偏离</w:t>
      </w:r>
      <w:r>
        <w:rPr>
          <w:spacing w:val="-77"/>
          <w:sz w:val="24"/>
          <w:szCs w:val="24"/>
        </w:rPr>
        <w:t xml:space="preserve"> </w:t>
      </w:r>
      <w:r>
        <w:rPr>
          <w:spacing w:val="-4"/>
          <w:sz w:val="24"/>
          <w:szCs w:val="24"/>
        </w:rPr>
        <w:t>”、“无偏离</w:t>
      </w:r>
      <w:r>
        <w:rPr>
          <w:spacing w:val="-88"/>
          <w:sz w:val="24"/>
          <w:szCs w:val="24"/>
        </w:rPr>
        <w:t xml:space="preserve"> </w:t>
      </w:r>
      <w:r>
        <w:rPr>
          <w:spacing w:val="-4"/>
          <w:sz w:val="24"/>
          <w:szCs w:val="24"/>
        </w:rPr>
        <w:t>”、“正偏离</w:t>
      </w:r>
      <w:r>
        <w:rPr>
          <w:spacing w:val="-88"/>
          <w:sz w:val="24"/>
          <w:szCs w:val="24"/>
        </w:rPr>
        <w:t xml:space="preserve"> </w:t>
      </w:r>
      <w:r>
        <w:rPr>
          <w:spacing w:val="-4"/>
          <w:sz w:val="24"/>
          <w:szCs w:val="24"/>
        </w:rPr>
        <w:t>”。</w:t>
      </w:r>
    </w:p>
    <w:p w14:paraId="62F3926D">
      <w:pPr>
        <w:pStyle w:val="6"/>
        <w:spacing w:before="233" w:line="216" w:lineRule="auto"/>
        <w:ind w:left="120"/>
        <w:rPr>
          <w:sz w:val="24"/>
          <w:szCs w:val="24"/>
        </w:rPr>
      </w:pPr>
      <w:r>
        <w:rPr>
          <w:spacing w:val="-1"/>
          <w:sz w:val="24"/>
          <w:szCs w:val="24"/>
        </w:rPr>
        <w:t>3、技术参数按照本招标文件第七章技术要求填写。</w:t>
      </w:r>
    </w:p>
    <w:p w14:paraId="707A4D53">
      <w:pPr>
        <w:spacing w:line="252" w:lineRule="auto"/>
        <w:rPr>
          <w:rFonts w:ascii="Arial"/>
          <w:sz w:val="21"/>
        </w:rPr>
      </w:pPr>
    </w:p>
    <w:p w14:paraId="3F81867C">
      <w:pPr>
        <w:pStyle w:val="6"/>
        <w:numPr>
          <w:ilvl w:val="0"/>
          <w:numId w:val="4"/>
        </w:numPr>
        <w:spacing w:before="79" w:line="219" w:lineRule="auto"/>
        <w:ind w:left="115"/>
        <w:rPr>
          <w:spacing w:val="-1"/>
          <w:sz w:val="24"/>
          <w:szCs w:val="24"/>
        </w:rPr>
      </w:pPr>
      <w:r>
        <w:rPr>
          <w:spacing w:val="-1"/>
          <w:sz w:val="24"/>
          <w:szCs w:val="24"/>
        </w:rPr>
        <w:t>本表投标人可自行扩展。</w:t>
      </w:r>
    </w:p>
    <w:p w14:paraId="7DBDE0C1">
      <w:pPr>
        <w:pStyle w:val="6"/>
        <w:numPr>
          <w:ilvl w:val="0"/>
          <w:numId w:val="4"/>
        </w:numPr>
        <w:spacing w:before="79" w:line="219" w:lineRule="auto"/>
        <w:ind w:left="115"/>
        <w:rPr>
          <w:spacing w:val="-1"/>
          <w:sz w:val="24"/>
          <w:szCs w:val="24"/>
        </w:rPr>
      </w:pPr>
      <w:r>
        <w:rPr>
          <w:rFonts w:hint="eastAsia"/>
          <w:spacing w:val="-1"/>
          <w:sz w:val="24"/>
          <w:szCs w:val="24"/>
          <w:lang w:eastAsia="zh-CN"/>
        </w:rPr>
        <w:t>投标人应按照实际供货的技术参数进行填写，不可完全复制粘贴。</w:t>
      </w:r>
    </w:p>
    <w:p w14:paraId="0F95FC32">
      <w:pPr>
        <w:spacing w:line="279" w:lineRule="auto"/>
        <w:rPr>
          <w:rFonts w:ascii="Arial"/>
          <w:sz w:val="21"/>
        </w:rPr>
      </w:pPr>
    </w:p>
    <w:p w14:paraId="59578308">
      <w:pPr>
        <w:spacing w:line="280" w:lineRule="auto"/>
        <w:rPr>
          <w:rFonts w:ascii="Arial"/>
          <w:sz w:val="21"/>
        </w:rPr>
      </w:pPr>
    </w:p>
    <w:p w14:paraId="2241AA73">
      <w:pPr>
        <w:spacing w:line="280" w:lineRule="auto"/>
        <w:rPr>
          <w:rFonts w:ascii="Arial"/>
          <w:sz w:val="21"/>
        </w:rPr>
      </w:pPr>
    </w:p>
    <w:p w14:paraId="5E60A6DB">
      <w:pPr>
        <w:pStyle w:val="6"/>
        <w:spacing w:before="79" w:line="219" w:lineRule="auto"/>
        <w:ind w:left="2999"/>
        <w:rPr>
          <w:sz w:val="24"/>
          <w:szCs w:val="24"/>
        </w:rPr>
      </w:pPr>
      <w:r>
        <w:rPr>
          <w:spacing w:val="-2"/>
          <w:sz w:val="24"/>
          <w:szCs w:val="24"/>
        </w:rPr>
        <w:t>投标人名称（单位公章</w:t>
      </w:r>
      <w:r>
        <w:rPr>
          <w:spacing w:val="3"/>
          <w:sz w:val="24"/>
          <w:szCs w:val="24"/>
        </w:rPr>
        <w:t>）：</w:t>
      </w:r>
      <w:r>
        <w:rPr>
          <w:sz w:val="24"/>
          <w:szCs w:val="24"/>
          <w:u w:val="single" w:color="auto"/>
        </w:rPr>
        <w:t xml:space="preserve">                          </w:t>
      </w:r>
    </w:p>
    <w:p w14:paraId="429AC38D">
      <w:pPr>
        <w:spacing w:line="331" w:lineRule="auto"/>
        <w:rPr>
          <w:rFonts w:ascii="Arial"/>
          <w:sz w:val="21"/>
        </w:rPr>
      </w:pPr>
    </w:p>
    <w:p w14:paraId="0FC91599">
      <w:pPr>
        <w:pStyle w:val="6"/>
        <w:spacing w:before="78" w:line="216" w:lineRule="auto"/>
        <w:ind w:left="2997"/>
        <w:rPr>
          <w:sz w:val="24"/>
          <w:szCs w:val="24"/>
        </w:rPr>
      </w:pPr>
      <w:r>
        <w:rPr>
          <w:spacing w:val="-1"/>
          <w:sz w:val="24"/>
          <w:szCs w:val="24"/>
        </w:rPr>
        <w:t>法定代表人或法定代表人授权委托代理人（签字或盖章</w:t>
      </w:r>
      <w:r>
        <w:rPr>
          <w:spacing w:val="6"/>
          <w:sz w:val="24"/>
          <w:szCs w:val="24"/>
        </w:rPr>
        <w:t>）：</w:t>
      </w:r>
      <w:r>
        <w:rPr>
          <w:sz w:val="24"/>
          <w:szCs w:val="24"/>
          <w:u w:val="single" w:color="auto"/>
        </w:rPr>
        <w:t xml:space="preserve">        </w:t>
      </w:r>
    </w:p>
    <w:p w14:paraId="5A33DA53">
      <w:pPr>
        <w:spacing w:line="335" w:lineRule="auto"/>
        <w:rPr>
          <w:rFonts w:ascii="Arial"/>
          <w:sz w:val="21"/>
        </w:rPr>
      </w:pPr>
    </w:p>
    <w:p w14:paraId="0B22A99E">
      <w:pPr>
        <w:pStyle w:val="6"/>
        <w:spacing w:before="79" w:line="219" w:lineRule="auto"/>
        <w:ind w:left="3037"/>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7CA7584A">
      <w:pPr>
        <w:spacing w:line="219" w:lineRule="auto"/>
        <w:rPr>
          <w:sz w:val="24"/>
          <w:szCs w:val="24"/>
        </w:rPr>
        <w:sectPr>
          <w:headerReference r:id="rId47" w:type="default"/>
          <w:footerReference r:id="rId48" w:type="default"/>
          <w:pgSz w:w="11910" w:h="16840"/>
          <w:pgMar w:top="1142" w:right="688" w:bottom="1117" w:left="973" w:header="832" w:footer="884" w:gutter="0"/>
          <w:pgNumType w:fmt="decimal"/>
          <w:cols w:space="720" w:num="1"/>
        </w:sectPr>
      </w:pPr>
    </w:p>
    <w:p w14:paraId="1FFF03F1">
      <w:pPr>
        <w:spacing w:line="252" w:lineRule="auto"/>
        <w:rPr>
          <w:rFonts w:ascii="Arial"/>
          <w:sz w:val="21"/>
        </w:rPr>
      </w:pPr>
    </w:p>
    <w:p w14:paraId="4266CBB7">
      <w:pPr>
        <w:pStyle w:val="6"/>
        <w:spacing w:before="101" w:line="225" w:lineRule="auto"/>
        <w:ind w:left="4074"/>
        <w:rPr>
          <w:sz w:val="31"/>
          <w:szCs w:val="31"/>
        </w:rPr>
      </w:pPr>
      <w:r>
        <w:rPr>
          <w:spacing w:val="2"/>
          <w:sz w:val="31"/>
          <w:szCs w:val="31"/>
        </w:rPr>
        <w:t>四、技术因素</w:t>
      </w:r>
    </w:p>
    <w:p w14:paraId="080223E8">
      <w:pPr>
        <w:pStyle w:val="6"/>
        <w:spacing w:before="95" w:line="224" w:lineRule="auto"/>
        <w:ind w:left="4055"/>
        <w:rPr>
          <w:sz w:val="31"/>
          <w:szCs w:val="31"/>
        </w:rPr>
      </w:pPr>
      <w:r>
        <w:rPr>
          <w:spacing w:val="3"/>
          <w:sz w:val="31"/>
          <w:szCs w:val="31"/>
        </w:rPr>
        <w:t>（格式自拟）</w:t>
      </w:r>
    </w:p>
    <w:p w14:paraId="6A90C4C2">
      <w:pPr>
        <w:spacing w:line="224" w:lineRule="auto"/>
        <w:rPr>
          <w:sz w:val="31"/>
          <w:szCs w:val="31"/>
        </w:rPr>
        <w:sectPr>
          <w:headerReference r:id="rId49" w:type="default"/>
          <w:footerReference r:id="rId50" w:type="default"/>
          <w:pgSz w:w="11910" w:h="16840"/>
          <w:pgMar w:top="1142" w:right="854" w:bottom="1117" w:left="1080" w:header="832" w:footer="884" w:gutter="0"/>
          <w:pgNumType w:fmt="decimal"/>
          <w:cols w:space="720" w:num="1"/>
        </w:sectPr>
      </w:pPr>
    </w:p>
    <w:p w14:paraId="27BA68CF">
      <w:pPr>
        <w:pStyle w:val="6"/>
        <w:spacing w:before="1" w:line="224" w:lineRule="auto"/>
        <w:ind w:left="3674"/>
        <w:rPr>
          <w:sz w:val="31"/>
          <w:szCs w:val="31"/>
        </w:rPr>
      </w:pPr>
      <w:r>
        <w:rPr>
          <w:spacing w:val="8"/>
          <w:sz w:val="31"/>
          <w:szCs w:val="31"/>
        </w:rPr>
        <w:t>五、商务条款偏离表</w:t>
      </w:r>
    </w:p>
    <w:p w14:paraId="30E25903">
      <w:pPr>
        <w:pStyle w:val="6"/>
        <w:spacing w:before="101" w:line="220" w:lineRule="auto"/>
        <w:ind w:left="1"/>
        <w:rPr>
          <w:sz w:val="24"/>
          <w:szCs w:val="24"/>
        </w:rPr>
      </w:pPr>
      <w:r>
        <w:rPr>
          <w:spacing w:val="-3"/>
          <w:sz w:val="24"/>
          <w:szCs w:val="24"/>
        </w:rPr>
        <w:t>项目名称：</w:t>
      </w:r>
      <w:r>
        <w:rPr>
          <w:sz w:val="24"/>
          <w:szCs w:val="24"/>
          <w:u w:val="single" w:color="auto"/>
        </w:rPr>
        <w:t xml:space="preserve">             </w:t>
      </w:r>
    </w:p>
    <w:p w14:paraId="6C8506F6">
      <w:pPr>
        <w:pStyle w:val="6"/>
        <w:spacing w:before="187" w:line="219" w:lineRule="auto"/>
        <w:ind w:left="1"/>
        <w:rPr>
          <w:sz w:val="24"/>
          <w:szCs w:val="24"/>
        </w:rPr>
      </w:pPr>
      <w:r>
        <w:rPr>
          <w:spacing w:val="-3"/>
          <w:sz w:val="24"/>
          <w:szCs w:val="24"/>
        </w:rPr>
        <w:t>项目编号：</w:t>
      </w:r>
      <w:r>
        <w:rPr>
          <w:sz w:val="24"/>
          <w:szCs w:val="24"/>
          <w:u w:val="single" w:color="auto"/>
        </w:rPr>
        <w:t xml:space="preserve">                  </w:t>
      </w:r>
    </w:p>
    <w:p w14:paraId="5B34ADE5">
      <w:pPr>
        <w:spacing w:before="67"/>
      </w:pPr>
    </w:p>
    <w:tbl>
      <w:tblPr>
        <w:tblStyle w:val="27"/>
        <w:tblW w:w="10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3382"/>
        <w:gridCol w:w="3634"/>
        <w:gridCol w:w="981"/>
        <w:gridCol w:w="1315"/>
      </w:tblGrid>
      <w:tr w14:paraId="7C4E6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70" w:type="dxa"/>
            <w:vAlign w:val="top"/>
          </w:tcPr>
          <w:p w14:paraId="63B6234B">
            <w:pPr>
              <w:pStyle w:val="26"/>
              <w:spacing w:before="257" w:line="209" w:lineRule="auto"/>
              <w:ind w:left="212"/>
            </w:pPr>
            <w:r>
              <w:rPr>
                <w:spacing w:val="-5"/>
              </w:rPr>
              <w:t>序号</w:t>
            </w:r>
          </w:p>
        </w:tc>
        <w:tc>
          <w:tcPr>
            <w:tcW w:w="3382" w:type="dxa"/>
            <w:vAlign w:val="top"/>
          </w:tcPr>
          <w:p w14:paraId="0B1589CA">
            <w:pPr>
              <w:pStyle w:val="26"/>
              <w:spacing w:before="257" w:line="209" w:lineRule="auto"/>
              <w:ind w:left="294"/>
            </w:pPr>
            <w:r>
              <w:rPr>
                <w:spacing w:val="-2"/>
              </w:rPr>
              <w:t>公开招标文件中商务条款</w:t>
            </w:r>
          </w:p>
        </w:tc>
        <w:tc>
          <w:tcPr>
            <w:tcW w:w="3634" w:type="dxa"/>
            <w:vAlign w:val="top"/>
          </w:tcPr>
          <w:p w14:paraId="285BE614">
            <w:pPr>
              <w:pStyle w:val="26"/>
              <w:spacing w:before="257" w:line="209" w:lineRule="auto"/>
              <w:ind w:left="503"/>
            </w:pPr>
            <w:r>
              <w:rPr>
                <w:spacing w:val="-2"/>
              </w:rPr>
              <w:t>投标文件中的商务条款</w:t>
            </w:r>
          </w:p>
        </w:tc>
        <w:tc>
          <w:tcPr>
            <w:tcW w:w="981" w:type="dxa"/>
            <w:vAlign w:val="top"/>
          </w:tcPr>
          <w:p w14:paraId="250763DC">
            <w:pPr>
              <w:pStyle w:val="26"/>
              <w:spacing w:before="257" w:line="209" w:lineRule="auto"/>
              <w:ind w:left="216"/>
            </w:pPr>
            <w:r>
              <w:rPr>
                <w:spacing w:val="-5"/>
              </w:rPr>
              <w:t>偏离</w:t>
            </w:r>
          </w:p>
        </w:tc>
        <w:tc>
          <w:tcPr>
            <w:tcW w:w="1315" w:type="dxa"/>
            <w:vAlign w:val="top"/>
          </w:tcPr>
          <w:p w14:paraId="746FCA5C">
            <w:pPr>
              <w:pStyle w:val="26"/>
              <w:spacing w:before="257" w:line="209" w:lineRule="auto"/>
              <w:ind w:left="308"/>
            </w:pPr>
            <w:r>
              <w:rPr>
                <w:spacing w:val="-7"/>
              </w:rPr>
              <w:t>备</w:t>
            </w:r>
            <w:r>
              <w:rPr>
                <w:spacing w:val="10"/>
              </w:rPr>
              <w:t xml:space="preserve"> </w:t>
            </w:r>
            <w:r>
              <w:rPr>
                <w:spacing w:val="-7"/>
              </w:rPr>
              <w:t>注</w:t>
            </w:r>
          </w:p>
        </w:tc>
      </w:tr>
      <w:tr w14:paraId="12E63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70" w:type="dxa"/>
            <w:vAlign w:val="top"/>
          </w:tcPr>
          <w:p w14:paraId="0A4068A1">
            <w:pPr>
              <w:rPr>
                <w:rFonts w:ascii="Arial"/>
                <w:sz w:val="21"/>
              </w:rPr>
            </w:pPr>
          </w:p>
        </w:tc>
        <w:tc>
          <w:tcPr>
            <w:tcW w:w="3382" w:type="dxa"/>
            <w:vAlign w:val="top"/>
          </w:tcPr>
          <w:p w14:paraId="0D09CE56">
            <w:pPr>
              <w:rPr>
                <w:rFonts w:ascii="Arial"/>
                <w:sz w:val="21"/>
              </w:rPr>
            </w:pPr>
          </w:p>
        </w:tc>
        <w:tc>
          <w:tcPr>
            <w:tcW w:w="3634" w:type="dxa"/>
            <w:vAlign w:val="top"/>
          </w:tcPr>
          <w:p w14:paraId="170DE518">
            <w:pPr>
              <w:rPr>
                <w:rFonts w:ascii="Arial"/>
                <w:sz w:val="21"/>
              </w:rPr>
            </w:pPr>
          </w:p>
        </w:tc>
        <w:tc>
          <w:tcPr>
            <w:tcW w:w="981" w:type="dxa"/>
            <w:vAlign w:val="top"/>
          </w:tcPr>
          <w:p w14:paraId="24ECB8CA">
            <w:pPr>
              <w:rPr>
                <w:rFonts w:ascii="Arial"/>
                <w:sz w:val="21"/>
              </w:rPr>
            </w:pPr>
          </w:p>
        </w:tc>
        <w:tc>
          <w:tcPr>
            <w:tcW w:w="1315" w:type="dxa"/>
            <w:vAlign w:val="top"/>
          </w:tcPr>
          <w:p w14:paraId="226CE226">
            <w:pPr>
              <w:rPr>
                <w:rFonts w:ascii="Arial"/>
                <w:sz w:val="21"/>
              </w:rPr>
            </w:pPr>
          </w:p>
        </w:tc>
      </w:tr>
      <w:tr w14:paraId="57CE6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70" w:type="dxa"/>
            <w:vAlign w:val="top"/>
          </w:tcPr>
          <w:p w14:paraId="5A6060D6">
            <w:pPr>
              <w:rPr>
                <w:rFonts w:ascii="Arial"/>
                <w:sz w:val="21"/>
              </w:rPr>
            </w:pPr>
          </w:p>
        </w:tc>
        <w:tc>
          <w:tcPr>
            <w:tcW w:w="3382" w:type="dxa"/>
            <w:vAlign w:val="top"/>
          </w:tcPr>
          <w:p w14:paraId="3538082B">
            <w:pPr>
              <w:rPr>
                <w:rFonts w:ascii="Arial"/>
                <w:sz w:val="21"/>
              </w:rPr>
            </w:pPr>
          </w:p>
        </w:tc>
        <w:tc>
          <w:tcPr>
            <w:tcW w:w="3634" w:type="dxa"/>
            <w:vAlign w:val="top"/>
          </w:tcPr>
          <w:p w14:paraId="544E1F8B">
            <w:pPr>
              <w:rPr>
                <w:rFonts w:ascii="Arial"/>
                <w:sz w:val="21"/>
              </w:rPr>
            </w:pPr>
          </w:p>
        </w:tc>
        <w:tc>
          <w:tcPr>
            <w:tcW w:w="981" w:type="dxa"/>
            <w:vAlign w:val="top"/>
          </w:tcPr>
          <w:p w14:paraId="197AC4EE">
            <w:pPr>
              <w:rPr>
                <w:rFonts w:ascii="Arial"/>
                <w:sz w:val="21"/>
              </w:rPr>
            </w:pPr>
          </w:p>
        </w:tc>
        <w:tc>
          <w:tcPr>
            <w:tcW w:w="1315" w:type="dxa"/>
            <w:vAlign w:val="top"/>
          </w:tcPr>
          <w:p w14:paraId="1202919C">
            <w:pPr>
              <w:rPr>
                <w:rFonts w:ascii="Arial"/>
                <w:sz w:val="21"/>
              </w:rPr>
            </w:pPr>
          </w:p>
        </w:tc>
      </w:tr>
      <w:tr w14:paraId="5F95E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70" w:type="dxa"/>
            <w:vAlign w:val="top"/>
          </w:tcPr>
          <w:p w14:paraId="18A7FD0C">
            <w:pPr>
              <w:rPr>
                <w:rFonts w:ascii="Arial"/>
                <w:sz w:val="21"/>
              </w:rPr>
            </w:pPr>
          </w:p>
        </w:tc>
        <w:tc>
          <w:tcPr>
            <w:tcW w:w="3382" w:type="dxa"/>
            <w:vAlign w:val="top"/>
          </w:tcPr>
          <w:p w14:paraId="69BE729C">
            <w:pPr>
              <w:rPr>
                <w:rFonts w:ascii="Arial"/>
                <w:sz w:val="21"/>
              </w:rPr>
            </w:pPr>
          </w:p>
        </w:tc>
        <w:tc>
          <w:tcPr>
            <w:tcW w:w="3634" w:type="dxa"/>
            <w:vAlign w:val="top"/>
          </w:tcPr>
          <w:p w14:paraId="2258A24E">
            <w:pPr>
              <w:rPr>
                <w:rFonts w:ascii="Arial"/>
                <w:sz w:val="21"/>
              </w:rPr>
            </w:pPr>
          </w:p>
        </w:tc>
        <w:tc>
          <w:tcPr>
            <w:tcW w:w="981" w:type="dxa"/>
            <w:vAlign w:val="top"/>
          </w:tcPr>
          <w:p w14:paraId="47F70305">
            <w:pPr>
              <w:rPr>
                <w:rFonts w:ascii="Arial"/>
                <w:sz w:val="21"/>
              </w:rPr>
            </w:pPr>
          </w:p>
        </w:tc>
        <w:tc>
          <w:tcPr>
            <w:tcW w:w="1315" w:type="dxa"/>
            <w:vAlign w:val="top"/>
          </w:tcPr>
          <w:p w14:paraId="4905A148">
            <w:pPr>
              <w:rPr>
                <w:rFonts w:ascii="Arial"/>
                <w:sz w:val="21"/>
              </w:rPr>
            </w:pPr>
          </w:p>
        </w:tc>
      </w:tr>
      <w:tr w14:paraId="27EB4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70" w:type="dxa"/>
            <w:vAlign w:val="top"/>
          </w:tcPr>
          <w:p w14:paraId="256C55B2">
            <w:pPr>
              <w:rPr>
                <w:rFonts w:ascii="Arial"/>
                <w:sz w:val="21"/>
              </w:rPr>
            </w:pPr>
          </w:p>
        </w:tc>
        <w:tc>
          <w:tcPr>
            <w:tcW w:w="3382" w:type="dxa"/>
            <w:vAlign w:val="top"/>
          </w:tcPr>
          <w:p w14:paraId="2784155C">
            <w:pPr>
              <w:spacing w:line="343" w:lineRule="auto"/>
              <w:rPr>
                <w:rFonts w:ascii="Arial"/>
                <w:sz w:val="21"/>
              </w:rPr>
            </w:pPr>
          </w:p>
          <w:p w14:paraId="0F2C327A">
            <w:pPr>
              <w:pStyle w:val="26"/>
              <w:spacing w:before="101" w:line="126" w:lineRule="exact"/>
              <w:ind w:left="130"/>
              <w:rPr>
                <w:sz w:val="31"/>
                <w:szCs w:val="31"/>
              </w:rPr>
            </w:pPr>
            <w:r>
              <w:rPr>
                <w:spacing w:val="4"/>
                <w:position w:val="2"/>
                <w:sz w:val="31"/>
                <w:szCs w:val="31"/>
              </w:rPr>
              <w:t>...............</w:t>
            </w:r>
          </w:p>
        </w:tc>
        <w:tc>
          <w:tcPr>
            <w:tcW w:w="3634" w:type="dxa"/>
            <w:vAlign w:val="top"/>
          </w:tcPr>
          <w:p w14:paraId="7F87EA6A">
            <w:pPr>
              <w:rPr>
                <w:rFonts w:ascii="Arial"/>
                <w:sz w:val="21"/>
              </w:rPr>
            </w:pPr>
          </w:p>
        </w:tc>
        <w:tc>
          <w:tcPr>
            <w:tcW w:w="981" w:type="dxa"/>
            <w:vAlign w:val="top"/>
          </w:tcPr>
          <w:p w14:paraId="31A35438">
            <w:pPr>
              <w:rPr>
                <w:rFonts w:ascii="Arial"/>
                <w:sz w:val="21"/>
              </w:rPr>
            </w:pPr>
          </w:p>
        </w:tc>
        <w:tc>
          <w:tcPr>
            <w:tcW w:w="1315" w:type="dxa"/>
            <w:vAlign w:val="top"/>
          </w:tcPr>
          <w:p w14:paraId="10C52EF1">
            <w:pPr>
              <w:rPr>
                <w:rFonts w:ascii="Arial"/>
                <w:sz w:val="21"/>
              </w:rPr>
            </w:pPr>
          </w:p>
        </w:tc>
      </w:tr>
    </w:tbl>
    <w:p w14:paraId="51187967">
      <w:pPr>
        <w:spacing w:line="259" w:lineRule="auto"/>
        <w:rPr>
          <w:rFonts w:ascii="Arial"/>
          <w:sz w:val="21"/>
        </w:rPr>
      </w:pPr>
    </w:p>
    <w:p w14:paraId="20AE6C38">
      <w:pPr>
        <w:spacing w:line="260" w:lineRule="auto"/>
        <w:rPr>
          <w:rFonts w:ascii="Arial"/>
          <w:sz w:val="21"/>
        </w:rPr>
      </w:pPr>
    </w:p>
    <w:p w14:paraId="03EAB4CC">
      <w:pPr>
        <w:pStyle w:val="6"/>
        <w:spacing w:before="78" w:line="220" w:lineRule="auto"/>
        <w:ind w:left="117"/>
        <w:rPr>
          <w:sz w:val="24"/>
          <w:szCs w:val="24"/>
        </w:rPr>
      </w:pPr>
      <w:r>
        <w:rPr>
          <w:spacing w:val="-2"/>
          <w:sz w:val="24"/>
          <w:szCs w:val="24"/>
        </w:rPr>
        <w:t>注意事项：</w:t>
      </w:r>
    </w:p>
    <w:p w14:paraId="286EF6C1">
      <w:pPr>
        <w:pStyle w:val="6"/>
        <w:spacing w:before="145" w:line="219" w:lineRule="auto"/>
        <w:ind w:left="130"/>
        <w:rPr>
          <w:sz w:val="24"/>
          <w:szCs w:val="24"/>
        </w:rPr>
      </w:pPr>
      <w:r>
        <w:rPr>
          <w:spacing w:val="-1"/>
          <w:sz w:val="20"/>
          <w:szCs w:val="20"/>
        </w:rPr>
        <w:t xml:space="preserve">1. </w:t>
      </w:r>
      <w:r>
        <w:rPr>
          <w:spacing w:val="-1"/>
          <w:sz w:val="24"/>
          <w:szCs w:val="24"/>
        </w:rPr>
        <w:t>本表须逐一将招标文件第七章中“商务条款</w:t>
      </w:r>
      <w:r>
        <w:rPr>
          <w:spacing w:val="-88"/>
          <w:sz w:val="24"/>
          <w:szCs w:val="24"/>
        </w:rPr>
        <w:t xml:space="preserve"> </w:t>
      </w:r>
      <w:r>
        <w:rPr>
          <w:spacing w:val="-1"/>
          <w:sz w:val="24"/>
          <w:szCs w:val="24"/>
        </w:rPr>
        <w:t>”与响应承诺如实</w:t>
      </w:r>
      <w:r>
        <w:rPr>
          <w:spacing w:val="-2"/>
          <w:sz w:val="24"/>
          <w:szCs w:val="24"/>
        </w:rPr>
        <w:t>填入上表中。</w:t>
      </w:r>
    </w:p>
    <w:p w14:paraId="261DF513">
      <w:pPr>
        <w:pStyle w:val="6"/>
        <w:spacing w:before="148" w:line="283" w:lineRule="auto"/>
        <w:ind w:left="119" w:right="187" w:hanging="1"/>
        <w:rPr>
          <w:sz w:val="24"/>
          <w:szCs w:val="24"/>
        </w:rPr>
      </w:pPr>
      <w:r>
        <w:rPr>
          <w:spacing w:val="-4"/>
          <w:sz w:val="20"/>
          <w:szCs w:val="20"/>
        </w:rPr>
        <w:t>2.</w:t>
      </w:r>
      <w:r>
        <w:rPr>
          <w:spacing w:val="-4"/>
          <w:sz w:val="24"/>
          <w:szCs w:val="24"/>
        </w:rPr>
        <w:t>偏离一栏应按“不能满足</w:t>
      </w:r>
      <w:r>
        <w:rPr>
          <w:spacing w:val="-71"/>
          <w:sz w:val="24"/>
          <w:szCs w:val="24"/>
        </w:rPr>
        <w:t xml:space="preserve"> </w:t>
      </w:r>
      <w:r>
        <w:rPr>
          <w:spacing w:val="-4"/>
          <w:sz w:val="24"/>
          <w:szCs w:val="24"/>
        </w:rPr>
        <w:t>”、“完全满足</w:t>
      </w:r>
      <w:r>
        <w:rPr>
          <w:spacing w:val="-88"/>
          <w:sz w:val="24"/>
          <w:szCs w:val="24"/>
        </w:rPr>
        <w:t xml:space="preserve"> </w:t>
      </w:r>
      <w:r>
        <w:rPr>
          <w:spacing w:val="-4"/>
          <w:sz w:val="24"/>
          <w:szCs w:val="24"/>
        </w:rPr>
        <w:t>”或“等于或优于</w:t>
      </w:r>
      <w:r>
        <w:rPr>
          <w:spacing w:val="-88"/>
          <w:sz w:val="24"/>
          <w:szCs w:val="24"/>
        </w:rPr>
        <w:t xml:space="preserve"> </w:t>
      </w:r>
      <w:r>
        <w:rPr>
          <w:spacing w:val="-4"/>
          <w:sz w:val="24"/>
          <w:szCs w:val="24"/>
        </w:rPr>
        <w:t>”本招标文件商务条款三种情况，</w:t>
      </w:r>
      <w:r>
        <w:rPr>
          <w:sz w:val="24"/>
          <w:szCs w:val="24"/>
        </w:rPr>
        <w:t xml:space="preserve"> </w:t>
      </w:r>
      <w:r>
        <w:rPr>
          <w:spacing w:val="-4"/>
          <w:sz w:val="24"/>
          <w:szCs w:val="24"/>
        </w:rPr>
        <w:t>分别填写“负偏离</w:t>
      </w:r>
      <w:r>
        <w:rPr>
          <w:spacing w:val="-77"/>
          <w:sz w:val="24"/>
          <w:szCs w:val="24"/>
        </w:rPr>
        <w:t xml:space="preserve"> </w:t>
      </w:r>
      <w:r>
        <w:rPr>
          <w:spacing w:val="-4"/>
          <w:sz w:val="24"/>
          <w:szCs w:val="24"/>
        </w:rPr>
        <w:t>”、“无偏离</w:t>
      </w:r>
      <w:r>
        <w:rPr>
          <w:spacing w:val="-88"/>
          <w:sz w:val="24"/>
          <w:szCs w:val="24"/>
        </w:rPr>
        <w:t xml:space="preserve"> </w:t>
      </w:r>
      <w:r>
        <w:rPr>
          <w:spacing w:val="-4"/>
          <w:sz w:val="24"/>
          <w:szCs w:val="24"/>
        </w:rPr>
        <w:t>”、“正偏离</w:t>
      </w:r>
      <w:r>
        <w:rPr>
          <w:spacing w:val="-88"/>
          <w:sz w:val="24"/>
          <w:szCs w:val="24"/>
        </w:rPr>
        <w:t xml:space="preserve"> </w:t>
      </w:r>
      <w:r>
        <w:rPr>
          <w:spacing w:val="-4"/>
          <w:sz w:val="24"/>
          <w:szCs w:val="24"/>
        </w:rPr>
        <w:t>”。</w:t>
      </w:r>
    </w:p>
    <w:p w14:paraId="564252D2">
      <w:pPr>
        <w:pStyle w:val="6"/>
        <w:spacing w:before="206" w:line="219" w:lineRule="auto"/>
        <w:ind w:left="121"/>
        <w:rPr>
          <w:sz w:val="24"/>
          <w:szCs w:val="24"/>
        </w:rPr>
      </w:pPr>
      <w:r>
        <w:rPr>
          <w:spacing w:val="-1"/>
          <w:sz w:val="24"/>
          <w:szCs w:val="24"/>
        </w:rPr>
        <w:t>3、商务条款按照本招标文件第七章商务条款填写。</w:t>
      </w:r>
    </w:p>
    <w:p w14:paraId="77F88E9D">
      <w:pPr>
        <w:pStyle w:val="6"/>
        <w:spacing w:before="145" w:line="219" w:lineRule="auto"/>
        <w:ind w:left="116"/>
        <w:rPr>
          <w:sz w:val="24"/>
          <w:szCs w:val="24"/>
        </w:rPr>
      </w:pPr>
      <w:r>
        <w:rPr>
          <w:sz w:val="24"/>
          <w:szCs w:val="24"/>
        </w:rPr>
        <w:t>4、本表投标人可自行扩展。招标文件第七</w:t>
      </w:r>
      <w:r>
        <w:rPr>
          <w:spacing w:val="-1"/>
          <w:sz w:val="24"/>
          <w:szCs w:val="24"/>
        </w:rPr>
        <w:t>章商务条款要求填写。</w:t>
      </w:r>
    </w:p>
    <w:p w14:paraId="505837CE">
      <w:pPr>
        <w:spacing w:line="292" w:lineRule="auto"/>
        <w:rPr>
          <w:rFonts w:ascii="Arial"/>
          <w:sz w:val="21"/>
        </w:rPr>
      </w:pPr>
    </w:p>
    <w:p w14:paraId="2174955A">
      <w:pPr>
        <w:spacing w:line="292" w:lineRule="auto"/>
        <w:rPr>
          <w:rFonts w:ascii="Arial"/>
          <w:sz w:val="21"/>
        </w:rPr>
      </w:pPr>
    </w:p>
    <w:p w14:paraId="01B96633">
      <w:pPr>
        <w:spacing w:line="292" w:lineRule="auto"/>
        <w:rPr>
          <w:rFonts w:ascii="Arial"/>
          <w:sz w:val="21"/>
        </w:rPr>
      </w:pPr>
    </w:p>
    <w:p w14:paraId="4CA646E1">
      <w:pPr>
        <w:spacing w:line="292" w:lineRule="auto"/>
        <w:rPr>
          <w:rFonts w:ascii="Arial"/>
          <w:sz w:val="21"/>
        </w:rPr>
      </w:pPr>
    </w:p>
    <w:p w14:paraId="5009069C">
      <w:pPr>
        <w:pStyle w:val="6"/>
        <w:spacing w:before="78" w:line="219" w:lineRule="auto"/>
        <w:ind w:left="3000"/>
        <w:rPr>
          <w:sz w:val="24"/>
          <w:szCs w:val="24"/>
        </w:rPr>
      </w:pPr>
      <w:r>
        <w:rPr>
          <w:spacing w:val="-2"/>
          <w:sz w:val="24"/>
          <w:szCs w:val="24"/>
        </w:rPr>
        <w:t>投标人名称（单位公章</w:t>
      </w:r>
      <w:r>
        <w:rPr>
          <w:spacing w:val="3"/>
          <w:sz w:val="24"/>
          <w:szCs w:val="24"/>
        </w:rPr>
        <w:t>）：</w:t>
      </w:r>
      <w:r>
        <w:rPr>
          <w:sz w:val="24"/>
          <w:szCs w:val="24"/>
          <w:u w:val="single" w:color="auto"/>
        </w:rPr>
        <w:t xml:space="preserve">                          </w:t>
      </w:r>
    </w:p>
    <w:p w14:paraId="7D5702AB">
      <w:pPr>
        <w:spacing w:line="340" w:lineRule="auto"/>
        <w:rPr>
          <w:rFonts w:ascii="Arial"/>
          <w:sz w:val="21"/>
        </w:rPr>
      </w:pPr>
    </w:p>
    <w:p w14:paraId="4A998315">
      <w:pPr>
        <w:pStyle w:val="6"/>
        <w:spacing w:before="79" w:line="219" w:lineRule="auto"/>
        <w:ind w:left="2998"/>
        <w:rPr>
          <w:sz w:val="24"/>
          <w:szCs w:val="24"/>
        </w:rPr>
      </w:pPr>
      <w:r>
        <w:rPr>
          <w:spacing w:val="-1"/>
          <w:sz w:val="24"/>
          <w:szCs w:val="24"/>
        </w:rPr>
        <w:t>法定代表人或法定代表人授权委托代理人（签字或盖章</w:t>
      </w:r>
      <w:r>
        <w:rPr>
          <w:spacing w:val="6"/>
          <w:sz w:val="24"/>
          <w:szCs w:val="24"/>
        </w:rPr>
        <w:t>）：</w:t>
      </w:r>
      <w:r>
        <w:rPr>
          <w:sz w:val="24"/>
          <w:szCs w:val="24"/>
          <w:u w:val="single" w:color="auto"/>
        </w:rPr>
        <w:t xml:space="preserve">        </w:t>
      </w:r>
    </w:p>
    <w:p w14:paraId="58A6550B">
      <w:pPr>
        <w:spacing w:line="334" w:lineRule="auto"/>
        <w:rPr>
          <w:rFonts w:ascii="Arial"/>
          <w:sz w:val="21"/>
        </w:rPr>
      </w:pPr>
    </w:p>
    <w:p w14:paraId="54990301">
      <w:pPr>
        <w:pStyle w:val="6"/>
        <w:spacing w:before="79" w:line="219" w:lineRule="auto"/>
        <w:ind w:left="3038"/>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4654A9CE">
      <w:pPr>
        <w:spacing w:line="219" w:lineRule="auto"/>
        <w:rPr>
          <w:sz w:val="24"/>
          <w:szCs w:val="24"/>
        </w:rPr>
        <w:sectPr>
          <w:headerReference r:id="rId51" w:type="default"/>
          <w:footerReference r:id="rId52" w:type="default"/>
          <w:pgSz w:w="11910" w:h="16840"/>
          <w:pgMar w:top="1128" w:right="650" w:bottom="1117" w:left="972" w:header="832" w:footer="884" w:gutter="0"/>
          <w:pgNumType w:fmt="decimal"/>
          <w:cols w:space="720" w:num="1"/>
        </w:sectPr>
      </w:pPr>
    </w:p>
    <w:p w14:paraId="6C13323D">
      <w:pPr>
        <w:pStyle w:val="6"/>
        <w:spacing w:before="40" w:line="225" w:lineRule="auto"/>
        <w:ind w:left="2923"/>
        <w:rPr>
          <w:sz w:val="31"/>
          <w:szCs w:val="31"/>
        </w:rPr>
      </w:pPr>
      <w:r>
        <w:rPr>
          <w:spacing w:val="8"/>
          <w:sz w:val="31"/>
          <w:szCs w:val="31"/>
        </w:rPr>
        <w:t>六、</w:t>
      </w:r>
      <w:r>
        <w:rPr>
          <w:rFonts w:hint="eastAsia"/>
          <w:spacing w:val="8"/>
          <w:sz w:val="31"/>
          <w:szCs w:val="31"/>
        </w:rPr>
        <w:t>项目</w:t>
      </w:r>
      <w:r>
        <w:rPr>
          <w:rFonts w:hint="eastAsia"/>
          <w:spacing w:val="8"/>
          <w:sz w:val="31"/>
          <w:szCs w:val="31"/>
          <w:lang w:eastAsia="zh-CN"/>
        </w:rPr>
        <w:t>供货</w:t>
      </w:r>
      <w:r>
        <w:rPr>
          <w:rFonts w:hint="eastAsia"/>
          <w:spacing w:val="8"/>
          <w:sz w:val="31"/>
          <w:szCs w:val="31"/>
        </w:rPr>
        <w:t>方案</w:t>
      </w:r>
    </w:p>
    <w:p w14:paraId="00F805C5">
      <w:pPr>
        <w:pStyle w:val="6"/>
        <w:spacing w:before="249" w:line="224" w:lineRule="auto"/>
        <w:ind w:left="4055"/>
        <w:rPr>
          <w:sz w:val="31"/>
          <w:szCs w:val="31"/>
        </w:rPr>
      </w:pPr>
      <w:r>
        <w:rPr>
          <w:spacing w:val="3"/>
          <w:sz w:val="31"/>
          <w:szCs w:val="31"/>
        </w:rPr>
        <w:t>（格式自拟）</w:t>
      </w:r>
    </w:p>
    <w:p w14:paraId="6A9186C1">
      <w:pPr>
        <w:spacing w:line="224" w:lineRule="auto"/>
        <w:rPr>
          <w:sz w:val="31"/>
          <w:szCs w:val="31"/>
        </w:rPr>
        <w:sectPr>
          <w:headerReference r:id="rId53" w:type="default"/>
          <w:footerReference r:id="rId54" w:type="default"/>
          <w:pgSz w:w="11910" w:h="16840"/>
          <w:pgMar w:top="1142" w:right="854" w:bottom="1117" w:left="1080" w:header="832" w:footer="884" w:gutter="0"/>
          <w:pgNumType w:fmt="decimal"/>
          <w:cols w:space="720" w:num="1"/>
        </w:sectPr>
      </w:pPr>
    </w:p>
    <w:p w14:paraId="755F192E">
      <w:pPr>
        <w:pStyle w:val="6"/>
        <w:spacing w:before="1" w:line="224" w:lineRule="auto"/>
        <w:ind w:left="4040"/>
        <w:rPr>
          <w:rFonts w:hint="eastAsia" w:eastAsia="宋体"/>
          <w:sz w:val="31"/>
          <w:szCs w:val="31"/>
          <w:lang w:eastAsia="zh-CN"/>
        </w:rPr>
      </w:pPr>
      <w:r>
        <w:rPr>
          <w:spacing w:val="8"/>
          <w:sz w:val="31"/>
          <w:szCs w:val="31"/>
        </w:rPr>
        <w:t>七、</w:t>
      </w:r>
      <w:r>
        <w:rPr>
          <w:rFonts w:hint="eastAsia"/>
          <w:spacing w:val="8"/>
          <w:sz w:val="31"/>
          <w:szCs w:val="31"/>
          <w:lang w:eastAsia="zh-CN"/>
        </w:rPr>
        <w:t>业绩</w:t>
      </w:r>
    </w:p>
    <w:p w14:paraId="408EC749">
      <w:pPr>
        <w:pStyle w:val="6"/>
        <w:spacing w:before="249" w:line="224" w:lineRule="auto"/>
        <w:ind w:left="4055"/>
        <w:rPr>
          <w:sz w:val="31"/>
          <w:szCs w:val="31"/>
        </w:rPr>
      </w:pPr>
      <w:r>
        <w:rPr>
          <w:spacing w:val="3"/>
          <w:sz w:val="31"/>
          <w:szCs w:val="31"/>
        </w:rPr>
        <w:t>（格式自拟）</w:t>
      </w:r>
    </w:p>
    <w:p w14:paraId="6AF7FE2E">
      <w:pPr>
        <w:spacing w:line="224" w:lineRule="auto"/>
        <w:rPr>
          <w:sz w:val="31"/>
          <w:szCs w:val="31"/>
        </w:rPr>
        <w:sectPr>
          <w:headerReference r:id="rId55" w:type="default"/>
          <w:footerReference r:id="rId56" w:type="default"/>
          <w:pgSz w:w="11910" w:h="16840"/>
          <w:pgMar w:top="1128" w:right="854" w:bottom="1117" w:left="1080" w:header="832" w:footer="884" w:gutter="0"/>
          <w:pgNumType w:fmt="decimal"/>
          <w:cols w:space="720" w:num="1"/>
        </w:sectPr>
      </w:pPr>
    </w:p>
    <w:p w14:paraId="51F8A48B">
      <w:pPr>
        <w:pStyle w:val="2"/>
        <w:jc w:val="center"/>
        <w:rPr>
          <w:rFonts w:hint="eastAsia" w:eastAsia="宋体"/>
          <w:lang w:eastAsia="zh-CN"/>
        </w:rPr>
        <w:sectPr>
          <w:pgSz w:w="11910" w:h="16840"/>
          <w:pgMar w:top="1128" w:right="854" w:bottom="1117" w:left="1080" w:header="832" w:footer="884" w:gutter="0"/>
          <w:pgNumType w:fmt="decimal"/>
          <w:cols w:space="720" w:num="1"/>
        </w:sectPr>
      </w:pPr>
      <w:r>
        <w:rPr>
          <w:rFonts w:hint="eastAsia"/>
          <w:lang w:eastAsia="zh-CN"/>
        </w:rPr>
        <w:t>八、售后服务承诺函</w:t>
      </w:r>
    </w:p>
    <w:p w14:paraId="47BDFD87">
      <w:pPr>
        <w:pStyle w:val="2"/>
        <w:jc w:val="center"/>
        <w:rPr>
          <w:rFonts w:hint="eastAsia" w:eastAsia="宋体"/>
          <w:lang w:eastAsia="zh-CN"/>
        </w:rPr>
        <w:sectPr>
          <w:pgSz w:w="11910" w:h="16840"/>
          <w:pgMar w:top="1128" w:right="854" w:bottom="1117" w:left="1080" w:header="832" w:footer="884" w:gutter="0"/>
          <w:pgNumType w:fmt="decimal"/>
          <w:cols w:space="720" w:num="1"/>
        </w:sectPr>
      </w:pPr>
      <w:r>
        <w:rPr>
          <w:rFonts w:hint="eastAsia"/>
          <w:lang w:eastAsia="zh-CN"/>
        </w:rPr>
        <w:t>九、售后服务响应</w:t>
      </w:r>
    </w:p>
    <w:p w14:paraId="76A94E67">
      <w:pPr>
        <w:spacing w:line="298" w:lineRule="auto"/>
        <w:rPr>
          <w:rFonts w:ascii="Arial"/>
          <w:sz w:val="21"/>
        </w:rPr>
      </w:pPr>
    </w:p>
    <w:p w14:paraId="7BD4DB7C">
      <w:pPr>
        <w:pStyle w:val="6"/>
        <w:spacing w:before="302" w:line="225" w:lineRule="auto"/>
        <w:ind w:left="2413"/>
        <w:rPr>
          <w:sz w:val="31"/>
          <w:szCs w:val="31"/>
        </w:rPr>
      </w:pPr>
      <w:r>
        <w:rPr>
          <w:spacing w:val="8"/>
          <w:sz w:val="31"/>
          <w:szCs w:val="31"/>
        </w:rPr>
        <w:t>十、招标文件规定需要资料或证明</w:t>
      </w:r>
    </w:p>
    <w:p w14:paraId="5CF274BE">
      <w:pPr>
        <w:spacing w:line="225" w:lineRule="auto"/>
        <w:rPr>
          <w:sz w:val="31"/>
          <w:szCs w:val="31"/>
        </w:rPr>
      </w:pPr>
    </w:p>
    <w:p w14:paraId="3A0AFE89">
      <w:pPr>
        <w:spacing w:line="293" w:lineRule="auto"/>
        <w:jc w:val="center"/>
        <w:rPr>
          <w:rFonts w:hint="eastAsia"/>
        </w:rPr>
      </w:pPr>
      <w:r>
        <w:rPr>
          <w:rFonts w:hint="eastAsia"/>
        </w:rPr>
        <w:t>中小企业声明函（货物）</w:t>
      </w:r>
    </w:p>
    <w:p w14:paraId="3467AF23">
      <w:pPr>
        <w:spacing w:line="360" w:lineRule="auto"/>
        <w:ind w:firstLine="472" w:firstLineChars="200"/>
        <w:rPr>
          <w:rFonts w:hint="eastAsia" w:ascii="Times New Roman" w:hAnsi="Times New Roman" w:eastAsia="宋体" w:cs="Times New Roman"/>
          <w:spacing w:val="-2"/>
          <w:kern w:val="2"/>
          <w:sz w:val="24"/>
          <w:szCs w:val="24"/>
          <w:lang w:val="en-US" w:eastAsia="zh-CN" w:bidi="ar-SA"/>
        </w:rPr>
      </w:pPr>
      <w:r>
        <w:rPr>
          <w:rFonts w:hint="eastAsia" w:ascii="Times New Roman" w:hAnsi="Times New Roman" w:eastAsia="宋体" w:cs="Times New Roman"/>
          <w:spacing w:val="-2"/>
          <w:kern w:val="2"/>
          <w:sz w:val="24"/>
          <w:szCs w:val="24"/>
          <w:lang w:val="en-US" w:eastAsia="zh-CN" w:bidi="ar-SA"/>
        </w:rPr>
        <w:t>本公司（联合体）郑重声明，根据《政府采购促进中小企业发展管理办法》（财库﹝2020﹞46 号）的规定，本公司</w:t>
      </w:r>
    </w:p>
    <w:p w14:paraId="42A77332">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Times New Roman" w:hAnsi="Times New Roman" w:eastAsia="宋体" w:cs="Times New Roman"/>
          <w:spacing w:val="-2"/>
          <w:kern w:val="2"/>
          <w:sz w:val="24"/>
          <w:szCs w:val="24"/>
          <w:lang w:val="en-US" w:eastAsia="zh-CN" w:bidi="ar-SA"/>
        </w:rPr>
      </w:pPr>
      <w:r>
        <w:rPr>
          <w:rFonts w:hint="eastAsia" w:ascii="Times New Roman" w:hAnsi="Times New Roman" w:eastAsia="宋体" w:cs="Times New Roman"/>
          <w:spacing w:val="-2"/>
          <w:kern w:val="2"/>
          <w:sz w:val="24"/>
          <w:szCs w:val="24"/>
          <w:lang w:val="en-US" w:eastAsia="zh-CN" w:bidi="ar-SA"/>
        </w:rPr>
        <w:t>（联合体）参加（单位名称）的（项目名称）采购活动，提供的货物全部由符合政策要求的中小企业制造。相关企业（含联合体中的中小企业、签订分包意向协议的中小企业）的具体情况如下：</w:t>
      </w:r>
    </w:p>
    <w:p w14:paraId="464169BA">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Times New Roman" w:hAnsi="Times New Roman" w:eastAsia="宋体" w:cs="Times New Roman"/>
          <w:spacing w:val="-2"/>
          <w:kern w:val="2"/>
          <w:sz w:val="24"/>
          <w:szCs w:val="24"/>
          <w:lang w:val="en-US" w:eastAsia="zh-CN" w:bidi="ar-SA"/>
        </w:rPr>
      </w:pPr>
      <w:r>
        <w:rPr>
          <w:rFonts w:hint="eastAsia" w:ascii="Times New Roman" w:hAnsi="Times New Roman" w:eastAsia="宋体" w:cs="Times New Roman"/>
          <w:spacing w:val="-2"/>
          <w:kern w:val="2"/>
          <w:sz w:val="24"/>
          <w:szCs w:val="24"/>
          <w:lang w:val="en-US" w:eastAsia="zh-CN" w:bidi="ar-SA"/>
        </w:rPr>
        <w:t>1. （标的名称） ，属于（采购文件中明确的所属行业）行业；制造商为（企业名称），从业人员 人，营业收入为 万元，资产总额为 万元，属于（中型企业、小型企业、微型企业）；</w:t>
      </w:r>
    </w:p>
    <w:p w14:paraId="61FE1FBA">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Times New Roman" w:hAnsi="Times New Roman" w:eastAsia="宋体" w:cs="Times New Roman"/>
          <w:spacing w:val="-2"/>
          <w:kern w:val="2"/>
          <w:sz w:val="24"/>
          <w:szCs w:val="24"/>
          <w:lang w:val="en-US" w:eastAsia="zh-CN" w:bidi="ar-SA"/>
        </w:rPr>
      </w:pPr>
      <w:r>
        <w:rPr>
          <w:rFonts w:hint="eastAsia" w:ascii="Times New Roman" w:hAnsi="Times New Roman" w:eastAsia="宋体" w:cs="Times New Roman"/>
          <w:spacing w:val="-2"/>
          <w:kern w:val="2"/>
          <w:sz w:val="24"/>
          <w:szCs w:val="24"/>
          <w:lang w:val="en-US" w:eastAsia="zh-CN" w:bidi="ar-SA"/>
        </w:rPr>
        <w:t>2. （标的名称） ，属于（采购文件中明确的所属行业）行业；制造商为（企业名称），从业人员 人，营业收入为 万元，资产总额为 万元，属于（中型企业、小型企业、微型企业）；</w:t>
      </w:r>
    </w:p>
    <w:p w14:paraId="28382EB5">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Times New Roman" w:hAnsi="Times New Roman" w:eastAsia="宋体" w:cs="Times New Roman"/>
          <w:spacing w:val="-2"/>
          <w:kern w:val="2"/>
          <w:sz w:val="24"/>
          <w:szCs w:val="24"/>
          <w:lang w:val="en-US" w:eastAsia="zh-CN" w:bidi="ar-SA"/>
        </w:rPr>
      </w:pPr>
      <w:r>
        <w:rPr>
          <w:rFonts w:hint="eastAsia" w:ascii="Times New Roman" w:hAnsi="Times New Roman" w:eastAsia="宋体" w:cs="Times New Roman"/>
          <w:spacing w:val="-2"/>
          <w:kern w:val="2"/>
          <w:sz w:val="24"/>
          <w:szCs w:val="24"/>
          <w:lang w:val="en-US" w:eastAsia="zh-CN" w:bidi="ar-SA"/>
        </w:rPr>
        <w:t>……</w:t>
      </w:r>
    </w:p>
    <w:p w14:paraId="47BC383F">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Times New Roman" w:hAnsi="Times New Roman" w:eastAsia="宋体" w:cs="Times New Roman"/>
          <w:spacing w:val="-2"/>
          <w:kern w:val="2"/>
          <w:sz w:val="24"/>
          <w:szCs w:val="24"/>
          <w:lang w:val="en-US" w:eastAsia="zh-CN" w:bidi="ar-SA"/>
        </w:rPr>
      </w:pPr>
      <w:r>
        <w:rPr>
          <w:rFonts w:hint="eastAsia" w:ascii="Times New Roman" w:hAnsi="Times New Roman" w:eastAsia="宋体" w:cs="Times New Roman"/>
          <w:spacing w:val="-2"/>
          <w:kern w:val="2"/>
          <w:sz w:val="24"/>
          <w:szCs w:val="24"/>
          <w:lang w:val="en-US" w:eastAsia="zh-CN" w:bidi="ar-SA"/>
        </w:rPr>
        <w:t>以上企业，不属于大企业的分支机构，不存在控股股东为大企业的情形，也不存在与大企业的负责人为同一人的情形。本企业对上述声明内容的真实性负责。如有虚假，将依法承担相应责任。</w:t>
      </w:r>
    </w:p>
    <w:p w14:paraId="4B76475D">
      <w:pPr>
        <w:spacing w:line="293" w:lineRule="auto"/>
        <w:rPr>
          <w:rFonts w:ascii="Arial"/>
          <w:sz w:val="21"/>
        </w:rPr>
      </w:pPr>
    </w:p>
    <w:p w14:paraId="315E955F">
      <w:pPr>
        <w:spacing w:line="293" w:lineRule="auto"/>
        <w:rPr>
          <w:rFonts w:ascii="Arial"/>
          <w:sz w:val="21"/>
        </w:rPr>
      </w:pPr>
    </w:p>
    <w:p w14:paraId="0D833D35">
      <w:pPr>
        <w:pStyle w:val="6"/>
        <w:spacing w:before="78" w:line="219" w:lineRule="auto"/>
        <w:ind w:left="3262"/>
        <w:rPr>
          <w:sz w:val="24"/>
          <w:szCs w:val="24"/>
        </w:rPr>
      </w:pPr>
      <w:r>
        <w:rPr>
          <w:spacing w:val="-2"/>
          <w:sz w:val="24"/>
          <w:szCs w:val="24"/>
        </w:rPr>
        <w:t>投标人名称（单位公章</w:t>
      </w:r>
      <w:r>
        <w:rPr>
          <w:spacing w:val="3"/>
          <w:sz w:val="24"/>
          <w:szCs w:val="24"/>
        </w:rPr>
        <w:t>）：</w:t>
      </w:r>
      <w:r>
        <w:rPr>
          <w:sz w:val="24"/>
          <w:szCs w:val="24"/>
          <w:u w:val="single" w:color="auto"/>
        </w:rPr>
        <w:t xml:space="preserve">                          </w:t>
      </w:r>
    </w:p>
    <w:p w14:paraId="2611C0C6">
      <w:pPr>
        <w:spacing w:line="340" w:lineRule="auto"/>
        <w:rPr>
          <w:rFonts w:ascii="Arial"/>
          <w:sz w:val="21"/>
        </w:rPr>
      </w:pPr>
    </w:p>
    <w:p w14:paraId="0C9D8B5E">
      <w:pPr>
        <w:pStyle w:val="6"/>
        <w:spacing w:before="79" w:line="219" w:lineRule="auto"/>
        <w:ind w:left="3260"/>
        <w:rPr>
          <w:sz w:val="24"/>
          <w:szCs w:val="24"/>
        </w:rPr>
      </w:pPr>
      <w:r>
        <w:rPr>
          <w:spacing w:val="-1"/>
          <w:sz w:val="24"/>
          <w:szCs w:val="24"/>
        </w:rPr>
        <w:t>法定代表人或法定代表人授权委托代理人（签字或盖章</w:t>
      </w:r>
      <w:r>
        <w:rPr>
          <w:spacing w:val="6"/>
          <w:sz w:val="24"/>
          <w:szCs w:val="24"/>
        </w:rPr>
        <w:t>）：</w:t>
      </w:r>
      <w:r>
        <w:rPr>
          <w:sz w:val="24"/>
          <w:szCs w:val="24"/>
          <w:u w:val="single" w:color="auto"/>
        </w:rPr>
        <w:t xml:space="preserve">        </w:t>
      </w:r>
    </w:p>
    <w:p w14:paraId="29F0F670">
      <w:pPr>
        <w:spacing w:line="341" w:lineRule="auto"/>
        <w:rPr>
          <w:rFonts w:ascii="Arial"/>
          <w:sz w:val="21"/>
        </w:rPr>
      </w:pPr>
    </w:p>
    <w:p w14:paraId="15FC8CC5">
      <w:pPr>
        <w:pStyle w:val="6"/>
        <w:spacing w:before="79" w:line="219" w:lineRule="auto"/>
        <w:ind w:left="3303"/>
        <w:rPr>
          <w:sz w:val="24"/>
          <w:szCs w:val="24"/>
        </w:rPr>
      </w:pPr>
      <w:r>
        <w:rPr>
          <w:spacing w:val="-13"/>
          <w:sz w:val="24"/>
          <w:szCs w:val="24"/>
        </w:rPr>
        <w:t>日期：</w:t>
      </w:r>
      <w:r>
        <w:rPr>
          <w:spacing w:val="11"/>
          <w:sz w:val="24"/>
          <w:szCs w:val="24"/>
          <w:u w:val="single" w:color="auto"/>
        </w:rPr>
        <w:t xml:space="preserve">          </w:t>
      </w:r>
      <w:r>
        <w:rPr>
          <w:spacing w:val="-102"/>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18F53A35">
      <w:pPr>
        <w:spacing w:line="281" w:lineRule="auto"/>
        <w:rPr>
          <w:rFonts w:ascii="Arial"/>
          <w:sz w:val="21"/>
        </w:rPr>
      </w:pPr>
    </w:p>
    <w:p w14:paraId="669E0967">
      <w:pPr>
        <w:spacing w:line="281" w:lineRule="auto"/>
        <w:rPr>
          <w:rFonts w:ascii="Arial"/>
          <w:sz w:val="21"/>
        </w:rPr>
      </w:pPr>
    </w:p>
    <w:p w14:paraId="57525D45">
      <w:pPr>
        <w:spacing w:line="281" w:lineRule="auto"/>
        <w:rPr>
          <w:rFonts w:ascii="Arial"/>
          <w:sz w:val="21"/>
        </w:rPr>
      </w:pPr>
    </w:p>
    <w:p w14:paraId="232349CD">
      <w:pPr>
        <w:spacing w:line="281" w:lineRule="auto"/>
        <w:rPr>
          <w:rFonts w:ascii="Arial"/>
          <w:sz w:val="21"/>
        </w:rPr>
      </w:pPr>
    </w:p>
    <w:p w14:paraId="06B43353">
      <w:pPr>
        <w:pStyle w:val="6"/>
        <w:spacing w:before="72" w:line="220" w:lineRule="auto"/>
      </w:pPr>
      <w:r>
        <w:rPr>
          <w:b/>
          <w:bCs/>
          <w:spacing w:val="-2"/>
        </w:rPr>
        <w:t>注：1、从业人员、营业收入、资产总额填报上一年度数据，无上一年度数据的新成立企业可不填报。</w:t>
      </w:r>
    </w:p>
    <w:p w14:paraId="7632F4F1">
      <w:pPr>
        <w:spacing w:line="298" w:lineRule="auto"/>
        <w:rPr>
          <w:rFonts w:ascii="Arial"/>
          <w:sz w:val="21"/>
        </w:rPr>
      </w:pPr>
    </w:p>
    <w:p w14:paraId="5B5F245E">
      <w:pPr>
        <w:pStyle w:val="6"/>
        <w:spacing w:before="72" w:line="219" w:lineRule="auto"/>
        <w:ind w:left="441"/>
      </w:pPr>
      <w:r>
        <w:rPr>
          <w:b/>
          <w:bCs/>
          <w:spacing w:val="-2"/>
        </w:rPr>
        <w:t>2、投标人不是中小企业的，则不需提供该声</w:t>
      </w:r>
      <w:r>
        <w:rPr>
          <w:b/>
          <w:bCs/>
          <w:spacing w:val="-3"/>
        </w:rPr>
        <w:t>明函。</w:t>
      </w:r>
    </w:p>
    <w:p w14:paraId="4FAC330E">
      <w:pPr>
        <w:spacing w:line="219" w:lineRule="auto"/>
        <w:sectPr>
          <w:headerReference r:id="rId57" w:type="default"/>
          <w:footerReference r:id="rId58" w:type="default"/>
          <w:pgSz w:w="11910" w:h="16840"/>
          <w:pgMar w:top="1142" w:right="795" w:bottom="1117" w:left="709" w:header="832" w:footer="884" w:gutter="0"/>
          <w:pgNumType w:fmt="decimal"/>
          <w:cols w:space="720" w:num="1"/>
        </w:sectPr>
      </w:pPr>
    </w:p>
    <w:p w14:paraId="5187C8A7">
      <w:pPr>
        <w:spacing w:before="72" w:line="219" w:lineRule="auto"/>
        <w:ind w:left="2382"/>
        <w:outlineLvl w:val="6"/>
        <w:rPr>
          <w:rFonts w:ascii="宋体" w:hAnsi="宋体" w:eastAsia="宋体" w:cs="宋体"/>
          <w:sz w:val="22"/>
          <w:szCs w:val="22"/>
        </w:rPr>
      </w:pPr>
      <w:r>
        <w:rPr>
          <w:rFonts w:ascii="宋体" w:hAnsi="宋体" w:eastAsia="宋体" w:cs="宋体"/>
          <w:spacing w:val="4"/>
          <w:sz w:val="22"/>
          <w:szCs w:val="22"/>
        </w:rPr>
        <w:t>残疾人福利性单位声明函(残疾人福利性单位提供</w:t>
      </w:r>
      <w:r>
        <w:rPr>
          <w:rFonts w:ascii="宋体" w:hAnsi="宋体" w:eastAsia="宋体" w:cs="宋体"/>
          <w:spacing w:val="2"/>
          <w:sz w:val="22"/>
          <w:szCs w:val="22"/>
        </w:rPr>
        <w:t>)</w:t>
      </w:r>
    </w:p>
    <w:p w14:paraId="157A9F3A">
      <w:pPr>
        <w:spacing w:line="251" w:lineRule="auto"/>
        <w:rPr>
          <w:rFonts w:ascii="Arial"/>
          <w:sz w:val="21"/>
        </w:rPr>
      </w:pPr>
    </w:p>
    <w:p w14:paraId="5A4E8F8E">
      <w:pPr>
        <w:spacing w:line="251" w:lineRule="auto"/>
        <w:rPr>
          <w:rFonts w:ascii="Arial"/>
          <w:sz w:val="21"/>
        </w:rPr>
      </w:pPr>
    </w:p>
    <w:p w14:paraId="04198168">
      <w:pPr>
        <w:spacing w:line="252" w:lineRule="auto"/>
        <w:rPr>
          <w:rFonts w:ascii="Arial"/>
          <w:sz w:val="21"/>
        </w:rPr>
      </w:pPr>
    </w:p>
    <w:p w14:paraId="0743FA37">
      <w:pPr>
        <w:spacing w:before="71" w:line="364" w:lineRule="auto"/>
        <w:ind w:left="38" w:right="60" w:firstLine="660"/>
        <w:rPr>
          <w:rFonts w:ascii="宋体" w:hAnsi="宋体" w:eastAsia="宋体" w:cs="宋体"/>
          <w:sz w:val="22"/>
          <w:szCs w:val="22"/>
        </w:rPr>
      </w:pPr>
      <w:r>
        <w:rPr>
          <w:rFonts w:ascii="宋体" w:hAnsi="宋体" w:eastAsia="宋体" w:cs="宋体"/>
          <w:spacing w:val="-1"/>
          <w:sz w:val="22"/>
          <w:szCs w:val="22"/>
        </w:rPr>
        <w:t>本单位郑重声明，根</w:t>
      </w:r>
      <w:r>
        <w:rPr>
          <w:rFonts w:ascii="宋体" w:hAnsi="宋体" w:eastAsia="宋体" w:cs="宋体"/>
          <w:sz w:val="22"/>
          <w:szCs w:val="22"/>
        </w:rPr>
        <w:t>据《财政部</w:t>
      </w:r>
      <w:r>
        <w:rPr>
          <w:rFonts w:hint="eastAsia" w:ascii="宋体" w:hAnsi="宋体" w:eastAsia="宋体" w:cs="宋体"/>
          <w:sz w:val="22"/>
          <w:szCs w:val="22"/>
          <w:lang w:eastAsia="zh-CN"/>
        </w:rPr>
        <w:t>、</w:t>
      </w:r>
      <w:r>
        <w:rPr>
          <w:rFonts w:ascii="宋体" w:hAnsi="宋体" w:eastAsia="宋体" w:cs="宋体"/>
          <w:sz w:val="22"/>
          <w:szCs w:val="22"/>
        </w:rPr>
        <w:t>民政部</w:t>
      </w:r>
      <w:r>
        <w:rPr>
          <w:rFonts w:hint="eastAsia" w:ascii="宋体" w:hAnsi="宋体" w:eastAsia="宋体" w:cs="宋体"/>
          <w:sz w:val="22"/>
          <w:szCs w:val="22"/>
          <w:lang w:eastAsia="zh-CN"/>
        </w:rPr>
        <w:t>、</w:t>
      </w:r>
      <w:r>
        <w:rPr>
          <w:rFonts w:ascii="宋体" w:hAnsi="宋体" w:eastAsia="宋体" w:cs="宋体"/>
          <w:sz w:val="22"/>
          <w:szCs w:val="22"/>
        </w:rPr>
        <w:t>中国残疾人联合会关于促进残疾人就业政府采购政策的通</w:t>
      </w:r>
      <w:r>
        <w:rPr>
          <w:rFonts w:ascii="宋体" w:hAnsi="宋体" w:eastAsia="宋体" w:cs="宋体"/>
          <w:spacing w:val="-2"/>
          <w:sz w:val="22"/>
          <w:szCs w:val="22"/>
        </w:rPr>
        <w:t>知》(财库〔</w:t>
      </w:r>
      <w:r>
        <w:rPr>
          <w:rFonts w:ascii="宋体" w:hAnsi="宋体" w:eastAsia="宋体" w:cs="宋体"/>
          <w:spacing w:val="-1"/>
          <w:sz w:val="22"/>
          <w:szCs w:val="22"/>
        </w:rPr>
        <w:t>2017〕141号)的规定，本单位为符合条件的残疾人福利性单位，且本单位参加______单位</w:t>
      </w:r>
      <w:r>
        <w:rPr>
          <w:rFonts w:ascii="宋体" w:hAnsi="宋体" w:eastAsia="宋体" w:cs="宋体"/>
          <w:spacing w:val="8"/>
          <w:sz w:val="22"/>
          <w:szCs w:val="22"/>
        </w:rPr>
        <w:t>的___</w:t>
      </w:r>
      <w:r>
        <w:rPr>
          <w:rFonts w:ascii="宋体" w:hAnsi="宋体" w:eastAsia="宋体" w:cs="宋体"/>
          <w:spacing w:val="4"/>
          <w:sz w:val="22"/>
          <w:szCs w:val="22"/>
        </w:rPr>
        <w:t>___项目采购活动提供本单位制造的货物(由本单位承担工程/提供服务)，或者提供其他残疾人福</w:t>
      </w:r>
      <w:r>
        <w:rPr>
          <w:rFonts w:ascii="宋体" w:hAnsi="宋体" w:eastAsia="宋体" w:cs="宋体"/>
          <w:spacing w:val="3"/>
          <w:sz w:val="22"/>
          <w:szCs w:val="22"/>
        </w:rPr>
        <w:t>利性单位制造的货物(不包括使用非残疾人福利性单位注册商标的货物)</w:t>
      </w:r>
      <w:r>
        <w:rPr>
          <w:rFonts w:ascii="宋体" w:hAnsi="宋体" w:eastAsia="宋体" w:cs="宋体"/>
          <w:sz w:val="22"/>
          <w:szCs w:val="22"/>
        </w:rPr>
        <w:t>。</w:t>
      </w:r>
    </w:p>
    <w:p w14:paraId="238E4F12">
      <w:pPr>
        <w:spacing w:before="101" w:line="219" w:lineRule="auto"/>
        <w:ind w:left="38"/>
        <w:rPr>
          <w:rFonts w:ascii="宋体" w:hAnsi="宋体" w:eastAsia="宋体" w:cs="宋体"/>
          <w:sz w:val="22"/>
          <w:szCs w:val="22"/>
        </w:rPr>
      </w:pPr>
      <w:r>
        <w:rPr>
          <w:rFonts w:ascii="宋体" w:hAnsi="宋体" w:eastAsia="宋体" w:cs="宋体"/>
          <w:spacing w:val="-1"/>
          <w:sz w:val="22"/>
          <w:szCs w:val="22"/>
        </w:rPr>
        <w:t>本单位对上述声明</w:t>
      </w:r>
      <w:r>
        <w:rPr>
          <w:rFonts w:ascii="宋体" w:hAnsi="宋体" w:eastAsia="宋体" w:cs="宋体"/>
          <w:sz w:val="22"/>
          <w:szCs w:val="22"/>
        </w:rPr>
        <w:t>的真实性负责。如有虚假，将依法承担相应责任。</w:t>
      </w:r>
    </w:p>
    <w:p w14:paraId="4C6CAF8D">
      <w:pPr>
        <w:spacing w:line="260" w:lineRule="auto"/>
        <w:rPr>
          <w:rFonts w:ascii="Arial"/>
          <w:sz w:val="21"/>
        </w:rPr>
      </w:pPr>
    </w:p>
    <w:p w14:paraId="36E9E171">
      <w:pPr>
        <w:spacing w:line="260" w:lineRule="auto"/>
        <w:rPr>
          <w:rFonts w:ascii="Arial"/>
          <w:sz w:val="21"/>
        </w:rPr>
      </w:pPr>
    </w:p>
    <w:p w14:paraId="19535C64">
      <w:pPr>
        <w:spacing w:line="260" w:lineRule="auto"/>
        <w:rPr>
          <w:rFonts w:ascii="Arial"/>
          <w:sz w:val="21"/>
        </w:rPr>
      </w:pPr>
    </w:p>
    <w:p w14:paraId="08139B65">
      <w:pPr>
        <w:spacing w:line="261" w:lineRule="auto"/>
        <w:rPr>
          <w:rFonts w:ascii="Arial"/>
          <w:sz w:val="21"/>
        </w:rPr>
      </w:pPr>
    </w:p>
    <w:p w14:paraId="44D9B28C">
      <w:pPr>
        <w:spacing w:line="261" w:lineRule="auto"/>
        <w:rPr>
          <w:rFonts w:ascii="Arial"/>
          <w:sz w:val="21"/>
        </w:rPr>
      </w:pPr>
    </w:p>
    <w:p w14:paraId="06CB3785">
      <w:pPr>
        <w:spacing w:before="72" w:line="547" w:lineRule="exact"/>
        <w:ind w:left="5541"/>
        <w:rPr>
          <w:rFonts w:ascii="宋体" w:hAnsi="宋体" w:eastAsia="宋体" w:cs="宋体"/>
          <w:sz w:val="22"/>
          <w:szCs w:val="22"/>
        </w:rPr>
      </w:pPr>
      <w:r>
        <w:rPr>
          <w:rFonts w:ascii="宋体" w:hAnsi="宋体" w:eastAsia="宋体" w:cs="宋体"/>
          <w:spacing w:val="15"/>
          <w:position w:val="25"/>
          <w:sz w:val="22"/>
          <w:szCs w:val="22"/>
        </w:rPr>
        <w:t>单</w:t>
      </w:r>
      <w:r>
        <w:rPr>
          <w:rFonts w:ascii="宋体" w:hAnsi="宋体" w:eastAsia="宋体" w:cs="宋体"/>
          <w:spacing w:val="9"/>
          <w:position w:val="25"/>
          <w:sz w:val="22"/>
          <w:szCs w:val="22"/>
        </w:rPr>
        <w:t>位名称(盖章)：</w:t>
      </w:r>
    </w:p>
    <w:p w14:paraId="12CA205A">
      <w:pPr>
        <w:spacing w:before="1" w:line="220" w:lineRule="auto"/>
        <w:ind w:left="5687"/>
        <w:rPr>
          <w:rFonts w:ascii="宋体" w:hAnsi="宋体" w:eastAsia="宋体" w:cs="宋体"/>
          <w:sz w:val="22"/>
          <w:szCs w:val="22"/>
        </w:rPr>
      </w:pPr>
      <w:r>
        <w:rPr>
          <w:rFonts w:ascii="宋体" w:hAnsi="宋体" w:eastAsia="宋体" w:cs="宋体"/>
          <w:spacing w:val="-8"/>
          <w:sz w:val="22"/>
          <w:szCs w:val="22"/>
        </w:rPr>
        <w:t>日</w:t>
      </w:r>
      <w:r>
        <w:rPr>
          <w:rFonts w:ascii="宋体" w:hAnsi="宋体" w:eastAsia="宋体" w:cs="宋体"/>
          <w:spacing w:val="-4"/>
          <w:sz w:val="22"/>
          <w:szCs w:val="22"/>
        </w:rPr>
        <w:t>期：</w:t>
      </w:r>
    </w:p>
    <w:p w14:paraId="513C90E5">
      <w:pPr>
        <w:spacing w:line="265" w:lineRule="auto"/>
        <w:rPr>
          <w:rFonts w:ascii="Arial"/>
          <w:sz w:val="21"/>
        </w:rPr>
      </w:pPr>
    </w:p>
    <w:p w14:paraId="7A697FFA">
      <w:pPr>
        <w:spacing w:line="265" w:lineRule="auto"/>
        <w:rPr>
          <w:rFonts w:ascii="Arial"/>
          <w:sz w:val="21"/>
        </w:rPr>
      </w:pPr>
    </w:p>
    <w:p w14:paraId="0277FDAE">
      <w:pPr>
        <w:spacing w:line="266" w:lineRule="auto"/>
        <w:rPr>
          <w:rFonts w:ascii="Arial"/>
          <w:sz w:val="21"/>
        </w:rPr>
      </w:pPr>
    </w:p>
    <w:p w14:paraId="469925D5">
      <w:pPr>
        <w:spacing w:line="266" w:lineRule="auto"/>
        <w:rPr>
          <w:rFonts w:ascii="Arial"/>
          <w:sz w:val="21"/>
        </w:rPr>
      </w:pPr>
    </w:p>
    <w:p w14:paraId="7B8169FB">
      <w:pPr>
        <w:spacing w:line="266" w:lineRule="auto"/>
        <w:rPr>
          <w:rFonts w:ascii="Arial"/>
          <w:sz w:val="21"/>
        </w:rPr>
      </w:pPr>
    </w:p>
    <w:p w14:paraId="2B7E57C2">
      <w:pPr>
        <w:spacing w:line="266" w:lineRule="auto"/>
        <w:rPr>
          <w:rFonts w:ascii="Arial"/>
          <w:sz w:val="21"/>
        </w:rPr>
      </w:pPr>
    </w:p>
    <w:p w14:paraId="37981A96">
      <w:pPr>
        <w:spacing w:line="266" w:lineRule="auto"/>
        <w:rPr>
          <w:rFonts w:ascii="Arial"/>
          <w:sz w:val="21"/>
        </w:rPr>
      </w:pPr>
    </w:p>
    <w:p w14:paraId="3FF06302">
      <w:pPr>
        <w:spacing w:line="266" w:lineRule="auto"/>
        <w:rPr>
          <w:rFonts w:ascii="Arial"/>
          <w:sz w:val="21"/>
        </w:rPr>
      </w:pPr>
    </w:p>
    <w:p w14:paraId="56C71CB0">
      <w:pPr>
        <w:spacing w:line="266" w:lineRule="auto"/>
        <w:rPr>
          <w:rFonts w:ascii="Arial"/>
          <w:sz w:val="21"/>
        </w:rPr>
      </w:pPr>
    </w:p>
    <w:p w14:paraId="1AB3F51E">
      <w:pPr>
        <w:spacing w:before="72" w:line="219" w:lineRule="auto"/>
        <w:ind w:left="37"/>
        <w:rPr>
          <w:rFonts w:ascii="宋体" w:hAnsi="宋体" w:eastAsia="宋体" w:cs="宋体"/>
          <w:sz w:val="22"/>
          <w:szCs w:val="22"/>
        </w:rPr>
      </w:pPr>
      <w:r>
        <w:rPr>
          <w:rFonts w:ascii="宋体" w:hAnsi="宋体" w:eastAsia="宋体" w:cs="宋体"/>
          <w:spacing w:val="-1"/>
          <w:sz w:val="22"/>
          <w:szCs w:val="22"/>
        </w:rPr>
        <w:t>注：投标人不是残</w:t>
      </w:r>
      <w:r>
        <w:rPr>
          <w:rFonts w:ascii="宋体" w:hAnsi="宋体" w:eastAsia="宋体" w:cs="宋体"/>
          <w:sz w:val="22"/>
          <w:szCs w:val="22"/>
        </w:rPr>
        <w:t>疾人福利性单位的，则不需提供该声明函。</w:t>
      </w:r>
    </w:p>
    <w:p w14:paraId="5B2EA54C">
      <w:pPr>
        <w:sectPr>
          <w:footerReference r:id="rId59" w:type="default"/>
          <w:pgSz w:w="11907" w:h="16839"/>
          <w:pgMar w:top="1476" w:right="818" w:bottom="761" w:left="820" w:header="1198" w:footer="547" w:gutter="0"/>
          <w:pgNumType w:fmt="decimal"/>
          <w:cols w:space="720" w:num="1"/>
        </w:sectPr>
      </w:pPr>
    </w:p>
    <w:p w14:paraId="4869F17C">
      <w:pPr>
        <w:spacing w:before="78" w:line="220" w:lineRule="auto"/>
        <w:ind w:left="3939"/>
        <w:outlineLvl w:val="6"/>
        <w:rPr>
          <w:rFonts w:ascii="宋体" w:hAnsi="宋体" w:eastAsia="宋体" w:cs="宋体"/>
          <w:sz w:val="24"/>
          <w:szCs w:val="24"/>
        </w:rPr>
      </w:pPr>
      <w:r>
        <w:rPr>
          <w:rFonts w:ascii="宋体" w:hAnsi="宋体" w:eastAsia="宋体" w:cs="宋体"/>
          <w:sz w:val="24"/>
          <w:szCs w:val="24"/>
        </w:rPr>
        <w:t>监狱性单位声明函</w:t>
      </w:r>
    </w:p>
    <w:p w14:paraId="608714B2">
      <w:pPr>
        <w:spacing w:line="253" w:lineRule="auto"/>
        <w:rPr>
          <w:rFonts w:ascii="Arial"/>
          <w:sz w:val="21"/>
        </w:rPr>
      </w:pPr>
    </w:p>
    <w:p w14:paraId="2453D516">
      <w:pPr>
        <w:spacing w:line="253" w:lineRule="auto"/>
        <w:rPr>
          <w:rFonts w:ascii="Arial"/>
          <w:sz w:val="21"/>
        </w:rPr>
      </w:pPr>
    </w:p>
    <w:p w14:paraId="70C83B7A">
      <w:pPr>
        <w:spacing w:before="72" w:line="219" w:lineRule="auto"/>
        <w:ind w:left="518"/>
        <w:rPr>
          <w:rFonts w:ascii="宋体" w:hAnsi="宋体" w:eastAsia="宋体" w:cs="宋体"/>
          <w:sz w:val="22"/>
          <w:szCs w:val="22"/>
        </w:rPr>
      </w:pPr>
      <w:r>
        <w:rPr>
          <w:rFonts w:ascii="宋体" w:hAnsi="宋体" w:eastAsia="宋体" w:cs="宋体"/>
          <w:spacing w:val="-4"/>
          <w:sz w:val="22"/>
          <w:szCs w:val="22"/>
        </w:rPr>
        <w:t>本单位郑重声明，根据《财政部</w:t>
      </w:r>
      <w:r>
        <w:rPr>
          <w:rFonts w:ascii="宋体" w:hAnsi="宋体" w:eastAsia="宋体" w:cs="宋体"/>
          <w:spacing w:val="-2"/>
          <w:sz w:val="22"/>
          <w:szCs w:val="22"/>
        </w:rPr>
        <w:t>司法部关于政府采购支持监狱企业发展有关问题的通知》(财库</w:t>
      </w:r>
    </w:p>
    <w:p w14:paraId="248DC306">
      <w:pPr>
        <w:spacing w:line="252" w:lineRule="auto"/>
        <w:rPr>
          <w:rFonts w:ascii="Arial"/>
          <w:sz w:val="21"/>
        </w:rPr>
      </w:pPr>
    </w:p>
    <w:p w14:paraId="3C5EF478">
      <w:pPr>
        <w:spacing w:before="72" w:line="496" w:lineRule="auto"/>
        <w:ind w:left="38" w:right="173" w:firstLine="24"/>
        <w:rPr>
          <w:rFonts w:ascii="宋体" w:hAnsi="宋体" w:eastAsia="宋体" w:cs="宋体"/>
          <w:sz w:val="22"/>
          <w:szCs w:val="22"/>
        </w:rPr>
      </w:pPr>
      <w:r>
        <w:rPr>
          <w:rFonts w:ascii="宋体" w:hAnsi="宋体" w:eastAsia="宋体" w:cs="宋体"/>
          <w:spacing w:val="-6"/>
          <w:sz w:val="22"/>
          <w:szCs w:val="22"/>
        </w:rPr>
        <w:t>〔2014〕68</w:t>
      </w:r>
      <w:r>
        <w:rPr>
          <w:rFonts w:ascii="宋体" w:hAnsi="宋体" w:eastAsia="宋体" w:cs="宋体"/>
          <w:spacing w:val="-4"/>
          <w:sz w:val="22"/>
          <w:szCs w:val="22"/>
        </w:rPr>
        <w:t>号</w:t>
      </w:r>
      <w:r>
        <w:rPr>
          <w:rFonts w:ascii="宋体" w:hAnsi="宋体" w:eastAsia="宋体" w:cs="宋体"/>
          <w:spacing w:val="-3"/>
          <w:sz w:val="22"/>
          <w:szCs w:val="22"/>
        </w:rPr>
        <w:t>)的规定，本单位为符合条件的监狱性单位，且本单位参加______单位的______项目采购活</w:t>
      </w:r>
      <w:r>
        <w:rPr>
          <w:rFonts w:ascii="宋体" w:hAnsi="宋体" w:eastAsia="宋体" w:cs="宋体"/>
          <w:spacing w:val="4"/>
          <w:sz w:val="22"/>
          <w:szCs w:val="22"/>
        </w:rPr>
        <w:t>动提供</w:t>
      </w:r>
      <w:r>
        <w:rPr>
          <w:rFonts w:ascii="宋体" w:hAnsi="宋体" w:eastAsia="宋体" w:cs="宋体"/>
          <w:spacing w:val="3"/>
          <w:sz w:val="22"/>
          <w:szCs w:val="22"/>
        </w:rPr>
        <w:t>本</w:t>
      </w:r>
      <w:r>
        <w:rPr>
          <w:rFonts w:ascii="宋体" w:hAnsi="宋体" w:eastAsia="宋体" w:cs="宋体"/>
          <w:spacing w:val="2"/>
          <w:sz w:val="22"/>
          <w:szCs w:val="22"/>
        </w:rPr>
        <w:t>单位制造的货物(由本单位承担工程/提供服务)，享受预留份额、评审中价格扣除等政府采购</w:t>
      </w:r>
      <w:r>
        <w:rPr>
          <w:rFonts w:ascii="宋体" w:hAnsi="宋体" w:eastAsia="宋体" w:cs="宋体"/>
          <w:spacing w:val="-1"/>
          <w:sz w:val="22"/>
          <w:szCs w:val="22"/>
        </w:rPr>
        <w:t>促进中小企业发展</w:t>
      </w:r>
      <w:r>
        <w:rPr>
          <w:rFonts w:ascii="宋体" w:hAnsi="宋体" w:eastAsia="宋体" w:cs="宋体"/>
          <w:sz w:val="22"/>
          <w:szCs w:val="22"/>
        </w:rPr>
        <w:t>的政府采购政策。</w:t>
      </w:r>
    </w:p>
    <w:p w14:paraId="699899AD">
      <w:pPr>
        <w:spacing w:before="194" w:line="219" w:lineRule="auto"/>
        <w:ind w:left="518"/>
        <w:rPr>
          <w:rFonts w:ascii="宋体" w:hAnsi="宋体" w:eastAsia="宋体" w:cs="宋体"/>
          <w:sz w:val="22"/>
          <w:szCs w:val="22"/>
        </w:rPr>
      </w:pPr>
      <w:r>
        <w:rPr>
          <w:rFonts w:ascii="宋体" w:hAnsi="宋体" w:eastAsia="宋体" w:cs="宋体"/>
          <w:spacing w:val="-1"/>
          <w:sz w:val="22"/>
          <w:szCs w:val="22"/>
        </w:rPr>
        <w:t>本单位对上述声明的</w:t>
      </w:r>
      <w:r>
        <w:rPr>
          <w:rFonts w:ascii="宋体" w:hAnsi="宋体" w:eastAsia="宋体" w:cs="宋体"/>
          <w:sz w:val="22"/>
          <w:szCs w:val="22"/>
        </w:rPr>
        <w:t>真实性负责。如有虚假，将依法承担相应责任。</w:t>
      </w:r>
    </w:p>
    <w:p w14:paraId="437E174D">
      <w:pPr>
        <w:spacing w:line="247" w:lineRule="auto"/>
        <w:rPr>
          <w:rFonts w:ascii="Arial"/>
          <w:sz w:val="21"/>
        </w:rPr>
      </w:pPr>
    </w:p>
    <w:p w14:paraId="518FCB43">
      <w:pPr>
        <w:spacing w:line="247" w:lineRule="auto"/>
        <w:rPr>
          <w:rFonts w:ascii="Arial"/>
          <w:sz w:val="21"/>
        </w:rPr>
      </w:pPr>
    </w:p>
    <w:p w14:paraId="44259C18">
      <w:pPr>
        <w:spacing w:line="247" w:lineRule="auto"/>
        <w:rPr>
          <w:rFonts w:ascii="Arial"/>
          <w:sz w:val="21"/>
        </w:rPr>
      </w:pPr>
    </w:p>
    <w:p w14:paraId="441AC9F2">
      <w:pPr>
        <w:spacing w:line="247" w:lineRule="auto"/>
        <w:rPr>
          <w:rFonts w:ascii="Arial"/>
          <w:sz w:val="21"/>
        </w:rPr>
      </w:pPr>
    </w:p>
    <w:p w14:paraId="4EDB317A">
      <w:pPr>
        <w:spacing w:before="194" w:line="219" w:lineRule="auto"/>
        <w:ind w:left="518"/>
        <w:rPr>
          <w:rFonts w:ascii="宋体" w:hAnsi="宋体" w:eastAsia="宋体" w:cs="宋体"/>
          <w:sz w:val="22"/>
          <w:szCs w:val="22"/>
        </w:rPr>
      </w:pPr>
    </w:p>
    <w:p w14:paraId="672A3934">
      <w:pPr>
        <w:spacing w:before="194" w:line="219" w:lineRule="auto"/>
        <w:ind w:left="518"/>
        <w:jc w:val="right"/>
        <w:rPr>
          <w:rFonts w:ascii="宋体" w:hAnsi="宋体" w:eastAsia="宋体" w:cs="宋体"/>
          <w:sz w:val="22"/>
          <w:szCs w:val="22"/>
        </w:rPr>
      </w:pPr>
      <w:r>
        <w:rPr>
          <w:rFonts w:ascii="宋体" w:hAnsi="宋体" w:eastAsia="宋体" w:cs="宋体"/>
          <w:sz w:val="22"/>
          <w:szCs w:val="22"/>
        </w:rPr>
        <w:t>单位名称(盖章)：</w:t>
      </w:r>
    </w:p>
    <w:p w14:paraId="2BF8E1C6">
      <w:pPr>
        <w:spacing w:before="194" w:line="219" w:lineRule="auto"/>
        <w:ind w:left="518"/>
        <w:jc w:val="right"/>
        <w:rPr>
          <w:rFonts w:ascii="宋体" w:hAnsi="宋体" w:eastAsia="宋体" w:cs="宋体"/>
          <w:sz w:val="22"/>
          <w:szCs w:val="22"/>
        </w:rPr>
      </w:pPr>
      <w:r>
        <w:rPr>
          <w:rFonts w:ascii="宋体" w:hAnsi="宋体" w:eastAsia="宋体" w:cs="宋体"/>
          <w:sz w:val="22"/>
          <w:szCs w:val="22"/>
        </w:rPr>
        <w:t>日期：</w:t>
      </w:r>
    </w:p>
    <w:p w14:paraId="4D28A8A5">
      <w:pPr>
        <w:spacing w:before="194" w:line="219" w:lineRule="auto"/>
        <w:ind w:left="518"/>
        <w:rPr>
          <w:rFonts w:ascii="宋体" w:hAnsi="宋体" w:eastAsia="宋体" w:cs="宋体"/>
          <w:sz w:val="22"/>
          <w:szCs w:val="22"/>
        </w:rPr>
      </w:pPr>
      <w:r>
        <w:rPr>
          <w:rFonts w:ascii="宋体" w:hAnsi="宋体" w:eastAsia="宋体" w:cs="宋体"/>
          <w:sz w:val="22"/>
          <w:szCs w:val="22"/>
        </w:rPr>
        <w:t>附件：狱企业参加政府采购活动时，应当提供由省级以上监狱管理局、戒毒管理局(含新疆生产建设兵团)出具的属于监狱企业的证明文件</w:t>
      </w:r>
    </w:p>
    <w:p w14:paraId="2DEB17AB">
      <w:pPr>
        <w:spacing w:line="225" w:lineRule="auto"/>
        <w:rPr>
          <w:sz w:val="31"/>
          <w:szCs w:val="31"/>
        </w:rPr>
        <w:sectPr>
          <w:footerReference r:id="rId60" w:type="default"/>
          <w:pgSz w:w="11910" w:h="16840"/>
          <w:pgMar w:top="1109" w:right="854" w:bottom="1117" w:left="1080" w:header="832" w:footer="884" w:gutter="0"/>
          <w:pgNumType w:fmt="decimal"/>
          <w:cols w:space="720" w:num="1"/>
        </w:sectPr>
      </w:pPr>
    </w:p>
    <w:p w14:paraId="392E3229">
      <w:pPr>
        <w:pStyle w:val="6"/>
        <w:spacing w:before="209" w:line="224" w:lineRule="auto"/>
        <w:ind w:left="1964"/>
        <w:rPr>
          <w:sz w:val="31"/>
          <w:szCs w:val="31"/>
        </w:rPr>
      </w:pPr>
      <w:r>
        <w:rPr>
          <w:spacing w:val="9"/>
          <w:sz w:val="31"/>
          <w:szCs w:val="31"/>
        </w:rPr>
        <w:t>十一、投标人认为需要提供其他资料或证明</w:t>
      </w:r>
    </w:p>
    <w:p w14:paraId="5113BC99">
      <w:pPr>
        <w:spacing w:line="224" w:lineRule="auto"/>
        <w:rPr>
          <w:sz w:val="31"/>
          <w:szCs w:val="31"/>
        </w:rPr>
        <w:sectPr>
          <w:headerReference r:id="rId61" w:type="default"/>
          <w:footerReference r:id="rId62" w:type="default"/>
          <w:pgSz w:w="11910" w:h="16840"/>
          <w:pgMar w:top="1142" w:right="854" w:bottom="1117" w:left="1080" w:header="832" w:footer="884" w:gutter="0"/>
          <w:pgNumType w:fmt="decimal"/>
          <w:cols w:space="720" w:num="1"/>
        </w:sectPr>
      </w:pPr>
    </w:p>
    <w:p w14:paraId="328F0DBE">
      <w:pPr>
        <w:pStyle w:val="6"/>
        <w:spacing w:before="235" w:line="224" w:lineRule="auto"/>
        <w:ind w:left="2488"/>
        <w:rPr>
          <w:sz w:val="31"/>
          <w:szCs w:val="31"/>
        </w:rPr>
      </w:pPr>
      <w:r>
        <w:rPr>
          <w:spacing w:val="9"/>
          <w:sz w:val="31"/>
          <w:szCs w:val="31"/>
        </w:rPr>
        <w:t>十二、采购代理机构服务费承诺书</w:t>
      </w:r>
    </w:p>
    <w:p w14:paraId="5DA9685B">
      <w:pPr>
        <w:spacing w:line="306" w:lineRule="auto"/>
        <w:rPr>
          <w:rFonts w:ascii="Arial"/>
          <w:sz w:val="21"/>
        </w:rPr>
      </w:pPr>
    </w:p>
    <w:p w14:paraId="38B6CF9C">
      <w:pPr>
        <w:spacing w:line="306" w:lineRule="auto"/>
        <w:rPr>
          <w:rFonts w:ascii="Arial"/>
          <w:sz w:val="21"/>
        </w:rPr>
      </w:pPr>
    </w:p>
    <w:p w14:paraId="5A9F0906">
      <w:pPr>
        <w:pStyle w:val="6"/>
        <w:spacing w:before="78" w:line="219" w:lineRule="auto"/>
        <w:ind w:left="221"/>
        <w:rPr>
          <w:sz w:val="24"/>
          <w:szCs w:val="24"/>
        </w:rPr>
      </w:pPr>
      <w:r>
        <w:rPr>
          <w:spacing w:val="-1"/>
          <w:sz w:val="24"/>
          <w:szCs w:val="24"/>
        </w:rPr>
        <w:t>贵州</w:t>
      </w:r>
      <w:r>
        <w:rPr>
          <w:rFonts w:hint="eastAsia"/>
          <w:spacing w:val="-1"/>
          <w:sz w:val="24"/>
          <w:szCs w:val="24"/>
          <w:lang w:eastAsia="zh-CN"/>
        </w:rPr>
        <w:t>晋泽信息</w:t>
      </w:r>
      <w:r>
        <w:rPr>
          <w:spacing w:val="-1"/>
          <w:sz w:val="24"/>
          <w:szCs w:val="24"/>
        </w:rPr>
        <w:t>咨询有限公司：</w:t>
      </w:r>
    </w:p>
    <w:p w14:paraId="6E97F59F">
      <w:pPr>
        <w:pStyle w:val="6"/>
        <w:spacing w:before="275" w:line="432" w:lineRule="auto"/>
        <w:ind w:left="217" w:right="1135" w:firstLine="482"/>
        <w:jc w:val="both"/>
        <w:rPr>
          <w:sz w:val="24"/>
          <w:szCs w:val="24"/>
        </w:rPr>
      </w:pPr>
      <w:r>
        <w:rPr>
          <w:spacing w:val="7"/>
          <w:sz w:val="24"/>
          <w:szCs w:val="24"/>
        </w:rPr>
        <w:t>我们在贵单位组织的本项目公开招标采购活动，如我单</w:t>
      </w:r>
      <w:r>
        <w:rPr>
          <w:spacing w:val="6"/>
          <w:sz w:val="24"/>
          <w:szCs w:val="24"/>
        </w:rPr>
        <w:t>位在本项目中标，将</w:t>
      </w:r>
      <w:r>
        <w:rPr>
          <w:sz w:val="24"/>
          <w:szCs w:val="24"/>
        </w:rPr>
        <w:t xml:space="preserve"> </w:t>
      </w:r>
      <w:r>
        <w:rPr>
          <w:spacing w:val="6"/>
          <w:sz w:val="24"/>
          <w:szCs w:val="24"/>
        </w:rPr>
        <w:t>在领取中标通知书之前，以转账、现金方式，向贵方按公开招标文件规定一次性</w:t>
      </w:r>
      <w:r>
        <w:rPr>
          <w:spacing w:val="-1"/>
          <w:sz w:val="24"/>
          <w:szCs w:val="24"/>
        </w:rPr>
        <w:t>付清采购代理机构服务费。</w:t>
      </w:r>
    </w:p>
    <w:p w14:paraId="4F44DB7E">
      <w:pPr>
        <w:spacing w:line="257" w:lineRule="auto"/>
        <w:rPr>
          <w:rFonts w:ascii="Arial"/>
          <w:sz w:val="21"/>
        </w:rPr>
      </w:pPr>
    </w:p>
    <w:p w14:paraId="72BB789E">
      <w:pPr>
        <w:spacing w:line="258" w:lineRule="auto"/>
        <w:rPr>
          <w:rFonts w:ascii="Arial"/>
          <w:sz w:val="21"/>
        </w:rPr>
      </w:pPr>
    </w:p>
    <w:p w14:paraId="2E3E3DEE">
      <w:pPr>
        <w:spacing w:line="258" w:lineRule="auto"/>
        <w:rPr>
          <w:rFonts w:ascii="Arial"/>
          <w:sz w:val="21"/>
        </w:rPr>
      </w:pPr>
    </w:p>
    <w:p w14:paraId="44053511">
      <w:pPr>
        <w:spacing w:line="258" w:lineRule="auto"/>
        <w:rPr>
          <w:rFonts w:ascii="Arial"/>
          <w:sz w:val="21"/>
        </w:rPr>
      </w:pPr>
    </w:p>
    <w:p w14:paraId="7B6B1B40">
      <w:pPr>
        <w:pStyle w:val="6"/>
        <w:spacing w:before="78" w:line="219" w:lineRule="auto"/>
        <w:ind w:left="698"/>
        <w:rPr>
          <w:sz w:val="24"/>
          <w:szCs w:val="24"/>
        </w:rPr>
      </w:pPr>
      <w:r>
        <w:rPr>
          <w:spacing w:val="-2"/>
          <w:sz w:val="24"/>
          <w:szCs w:val="24"/>
        </w:rPr>
        <w:t>特此承诺！</w:t>
      </w:r>
    </w:p>
    <w:p w14:paraId="63DEBF11">
      <w:pPr>
        <w:spacing w:line="244" w:lineRule="auto"/>
        <w:rPr>
          <w:rFonts w:ascii="Arial"/>
          <w:sz w:val="21"/>
        </w:rPr>
      </w:pPr>
    </w:p>
    <w:p w14:paraId="6DA03C8D">
      <w:pPr>
        <w:spacing w:line="244" w:lineRule="auto"/>
        <w:rPr>
          <w:rFonts w:ascii="Arial"/>
          <w:sz w:val="21"/>
        </w:rPr>
      </w:pPr>
    </w:p>
    <w:p w14:paraId="7D00682F">
      <w:pPr>
        <w:spacing w:line="244" w:lineRule="auto"/>
        <w:rPr>
          <w:rFonts w:ascii="Arial"/>
          <w:sz w:val="21"/>
        </w:rPr>
      </w:pPr>
    </w:p>
    <w:p w14:paraId="2D6BB909">
      <w:pPr>
        <w:spacing w:line="244" w:lineRule="auto"/>
        <w:rPr>
          <w:rFonts w:ascii="Arial"/>
          <w:sz w:val="21"/>
        </w:rPr>
      </w:pPr>
    </w:p>
    <w:p w14:paraId="1A86C22C">
      <w:pPr>
        <w:spacing w:line="244" w:lineRule="auto"/>
        <w:rPr>
          <w:rFonts w:ascii="Arial"/>
          <w:sz w:val="21"/>
        </w:rPr>
      </w:pPr>
    </w:p>
    <w:p w14:paraId="440593C9">
      <w:pPr>
        <w:spacing w:line="245" w:lineRule="auto"/>
        <w:rPr>
          <w:rFonts w:ascii="Arial"/>
          <w:sz w:val="21"/>
        </w:rPr>
      </w:pPr>
    </w:p>
    <w:p w14:paraId="26A529E9">
      <w:pPr>
        <w:pStyle w:val="6"/>
        <w:spacing w:before="79" w:line="219" w:lineRule="auto"/>
        <w:ind w:left="3261"/>
        <w:rPr>
          <w:sz w:val="24"/>
          <w:szCs w:val="24"/>
        </w:rPr>
      </w:pPr>
      <w:r>
        <w:rPr>
          <w:spacing w:val="-2"/>
          <w:sz w:val="24"/>
          <w:szCs w:val="24"/>
        </w:rPr>
        <w:t>投标人名称（盖企业电子章</w:t>
      </w:r>
      <w:r>
        <w:rPr>
          <w:spacing w:val="5"/>
          <w:sz w:val="24"/>
          <w:szCs w:val="24"/>
        </w:rPr>
        <w:t>）：</w:t>
      </w:r>
      <w:r>
        <w:rPr>
          <w:sz w:val="24"/>
          <w:szCs w:val="24"/>
          <w:u w:val="single" w:color="auto"/>
        </w:rPr>
        <w:t xml:space="preserve">                      </w:t>
      </w:r>
    </w:p>
    <w:p w14:paraId="2F8390FF">
      <w:pPr>
        <w:spacing w:line="290" w:lineRule="auto"/>
        <w:rPr>
          <w:rFonts w:ascii="Arial"/>
          <w:sz w:val="21"/>
        </w:rPr>
      </w:pPr>
    </w:p>
    <w:p w14:paraId="5A855A3D">
      <w:pPr>
        <w:pStyle w:val="6"/>
        <w:spacing w:before="78" w:line="219" w:lineRule="auto"/>
        <w:ind w:left="3259"/>
        <w:rPr>
          <w:sz w:val="24"/>
          <w:szCs w:val="24"/>
        </w:rPr>
      </w:pPr>
      <w:r>
        <w:rPr>
          <w:spacing w:val="-1"/>
          <w:sz w:val="24"/>
          <w:szCs w:val="24"/>
        </w:rPr>
        <w:t>法定代表人或法定代表人授权委托代理人（签字或盖章</w:t>
      </w:r>
      <w:r>
        <w:rPr>
          <w:spacing w:val="6"/>
          <w:sz w:val="24"/>
          <w:szCs w:val="24"/>
        </w:rPr>
        <w:t>）：</w:t>
      </w:r>
      <w:r>
        <w:rPr>
          <w:sz w:val="24"/>
          <w:szCs w:val="24"/>
          <w:u w:val="single" w:color="auto"/>
        </w:rPr>
        <w:t xml:space="preserve">     </w:t>
      </w:r>
    </w:p>
    <w:p w14:paraId="7BCF81E3">
      <w:pPr>
        <w:spacing w:line="296" w:lineRule="auto"/>
        <w:rPr>
          <w:rFonts w:ascii="Arial"/>
          <w:sz w:val="21"/>
        </w:rPr>
      </w:pPr>
    </w:p>
    <w:p w14:paraId="60CE111B">
      <w:pPr>
        <w:pStyle w:val="6"/>
        <w:spacing w:before="79" w:line="219" w:lineRule="auto"/>
        <w:ind w:left="2810"/>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2BB06C98">
      <w:pPr>
        <w:spacing w:line="219" w:lineRule="auto"/>
        <w:rPr>
          <w:sz w:val="24"/>
          <w:szCs w:val="24"/>
        </w:rPr>
        <w:sectPr>
          <w:headerReference r:id="rId63" w:type="default"/>
          <w:footerReference r:id="rId64" w:type="default"/>
          <w:pgSz w:w="11910" w:h="16840"/>
          <w:pgMar w:top="1142" w:right="850" w:bottom="1117" w:left="1080" w:header="832" w:footer="884" w:gutter="0"/>
          <w:pgNumType w:fmt="decimal"/>
          <w:cols w:space="720" w:num="1"/>
        </w:sectPr>
      </w:pPr>
    </w:p>
    <w:p w14:paraId="37D8EC06">
      <w:pPr>
        <w:pStyle w:val="6"/>
        <w:spacing w:before="41" w:line="225" w:lineRule="auto"/>
        <w:ind w:left="3830"/>
        <w:rPr>
          <w:sz w:val="31"/>
          <w:szCs w:val="31"/>
        </w:rPr>
      </w:pPr>
      <w:r>
        <w:rPr>
          <w:spacing w:val="8"/>
          <w:sz w:val="31"/>
          <w:szCs w:val="31"/>
        </w:rPr>
        <w:t>十三、政策性加分</w:t>
      </w:r>
    </w:p>
    <w:p w14:paraId="675D9B9B">
      <w:pPr>
        <w:pStyle w:val="6"/>
        <w:spacing w:before="90" w:line="220" w:lineRule="auto"/>
        <w:ind w:left="18"/>
        <w:rPr>
          <w:sz w:val="24"/>
          <w:szCs w:val="24"/>
        </w:rPr>
      </w:pPr>
      <w:r>
        <w:rPr>
          <w:spacing w:val="-3"/>
          <w:sz w:val="24"/>
          <w:szCs w:val="24"/>
        </w:rPr>
        <w:t>1、节能环保政策性加分</w:t>
      </w:r>
    </w:p>
    <w:p w14:paraId="0E9F527A">
      <w:pPr>
        <w:pStyle w:val="6"/>
        <w:spacing w:before="248" w:line="360" w:lineRule="auto"/>
        <w:ind w:right="49" w:firstLine="480"/>
        <w:jc w:val="both"/>
        <w:rPr>
          <w:sz w:val="24"/>
          <w:szCs w:val="24"/>
        </w:rPr>
      </w:pPr>
      <w:r>
        <w:rPr>
          <w:spacing w:val="2"/>
          <w:sz w:val="24"/>
          <w:szCs w:val="24"/>
        </w:rPr>
        <w:t>节能产品：所投产品属于“节能产品政府采购品目清单</w:t>
      </w:r>
      <w:r>
        <w:rPr>
          <w:spacing w:val="-79"/>
          <w:sz w:val="24"/>
          <w:szCs w:val="24"/>
        </w:rPr>
        <w:t xml:space="preserve"> </w:t>
      </w:r>
      <w:r>
        <w:rPr>
          <w:spacing w:val="2"/>
          <w:sz w:val="24"/>
          <w:szCs w:val="24"/>
        </w:rPr>
        <w:t>”或“环境标志产品政府采购品目清</w:t>
      </w:r>
      <w:r>
        <w:rPr>
          <w:sz w:val="24"/>
          <w:szCs w:val="24"/>
        </w:rPr>
        <w:t xml:space="preserve"> </w:t>
      </w:r>
      <w:r>
        <w:rPr>
          <w:spacing w:val="-1"/>
          <w:sz w:val="24"/>
          <w:szCs w:val="24"/>
        </w:rPr>
        <w:t>单</w:t>
      </w:r>
      <w:r>
        <w:rPr>
          <w:spacing w:val="-88"/>
          <w:sz w:val="24"/>
          <w:szCs w:val="24"/>
        </w:rPr>
        <w:t xml:space="preserve"> </w:t>
      </w:r>
      <w:r>
        <w:rPr>
          <w:spacing w:val="-1"/>
          <w:sz w:val="24"/>
          <w:szCs w:val="24"/>
        </w:rPr>
        <w:t>”有效期内中的产品（强制采购产品除外</w:t>
      </w:r>
      <w:r>
        <w:rPr>
          <w:spacing w:val="5"/>
          <w:sz w:val="24"/>
          <w:szCs w:val="24"/>
        </w:rPr>
        <w:t>），</w:t>
      </w:r>
      <w:r>
        <w:rPr>
          <w:spacing w:val="-1"/>
          <w:sz w:val="24"/>
          <w:szCs w:val="24"/>
        </w:rPr>
        <w:t>有一项得0.3分；所投产品同时属于“节能产品政</w:t>
      </w:r>
      <w:r>
        <w:rPr>
          <w:sz w:val="24"/>
          <w:szCs w:val="24"/>
        </w:rPr>
        <w:t xml:space="preserve"> </w:t>
      </w:r>
      <w:r>
        <w:rPr>
          <w:spacing w:val="-1"/>
          <w:sz w:val="24"/>
          <w:szCs w:val="24"/>
        </w:rPr>
        <w:t>府采购品目清单</w:t>
      </w:r>
      <w:r>
        <w:rPr>
          <w:spacing w:val="-88"/>
          <w:sz w:val="24"/>
          <w:szCs w:val="24"/>
        </w:rPr>
        <w:t xml:space="preserve"> </w:t>
      </w:r>
      <w:r>
        <w:rPr>
          <w:spacing w:val="-1"/>
          <w:sz w:val="24"/>
          <w:szCs w:val="24"/>
        </w:rPr>
        <w:t>”或“环境标志产品政府采购品目清单</w:t>
      </w:r>
      <w:r>
        <w:rPr>
          <w:spacing w:val="-88"/>
          <w:sz w:val="24"/>
          <w:szCs w:val="24"/>
        </w:rPr>
        <w:t xml:space="preserve"> </w:t>
      </w:r>
      <w:r>
        <w:rPr>
          <w:spacing w:val="-2"/>
          <w:sz w:val="24"/>
          <w:szCs w:val="24"/>
        </w:rPr>
        <w:t>”两个清单中产品的，每一项加0.5分，最</w:t>
      </w:r>
      <w:r>
        <w:rPr>
          <w:sz w:val="24"/>
          <w:szCs w:val="24"/>
        </w:rPr>
        <w:t xml:space="preserve"> </w:t>
      </w:r>
      <w:r>
        <w:rPr>
          <w:spacing w:val="-2"/>
          <w:sz w:val="24"/>
          <w:szCs w:val="24"/>
        </w:rPr>
        <w:t>高不超过2分。</w:t>
      </w:r>
    </w:p>
    <w:p w14:paraId="4F2C3395">
      <w:pPr>
        <w:pStyle w:val="6"/>
        <w:spacing w:before="60" w:line="219" w:lineRule="auto"/>
        <w:ind w:left="3"/>
        <w:rPr>
          <w:sz w:val="24"/>
          <w:szCs w:val="24"/>
        </w:rPr>
      </w:pPr>
      <w:r>
        <w:rPr>
          <w:spacing w:val="-2"/>
          <w:sz w:val="24"/>
          <w:szCs w:val="24"/>
        </w:rPr>
        <w:t>2、少数民族政策性加分</w:t>
      </w:r>
    </w:p>
    <w:p w14:paraId="7A0D7F75">
      <w:pPr>
        <w:pStyle w:val="6"/>
        <w:spacing w:before="252" w:line="359" w:lineRule="auto"/>
        <w:ind w:left="1" w:firstLine="478"/>
        <w:jc w:val="both"/>
        <w:rPr>
          <w:sz w:val="24"/>
          <w:szCs w:val="24"/>
        </w:rPr>
      </w:pPr>
      <w:r>
        <w:rPr>
          <w:sz w:val="24"/>
          <w:szCs w:val="24"/>
        </w:rPr>
        <w:t>对原产地在少数民族自治区和享受少数民族自治待遇的省份的投标</w:t>
      </w:r>
      <w:r>
        <w:rPr>
          <w:spacing w:val="-1"/>
          <w:sz w:val="24"/>
          <w:szCs w:val="24"/>
        </w:rPr>
        <w:t>主产品（不含附带产品</w:t>
      </w:r>
      <w:r>
        <w:rPr>
          <w:spacing w:val="-29"/>
          <w:sz w:val="24"/>
          <w:szCs w:val="24"/>
        </w:rPr>
        <w:t>），</w:t>
      </w:r>
      <w:r>
        <w:rPr>
          <w:sz w:val="24"/>
          <w:szCs w:val="24"/>
        </w:rPr>
        <w:t xml:space="preserve"> 享受政策性加分和价格扣除，在总得分基础上加 3 分。投标主产品按照不得低于本采购项目</w:t>
      </w:r>
      <w:r>
        <w:rPr>
          <w:spacing w:val="-1"/>
          <w:sz w:val="24"/>
          <w:szCs w:val="24"/>
        </w:rPr>
        <w:t>预算</w:t>
      </w:r>
      <w:r>
        <w:rPr>
          <w:sz w:val="24"/>
          <w:szCs w:val="24"/>
        </w:rPr>
        <w:t xml:space="preserve"> 金额50%进行确定。若实行分品目采购的，可以以品目为单位计算。①少数民族自治区：内蒙</w:t>
      </w:r>
      <w:r>
        <w:rPr>
          <w:spacing w:val="-1"/>
          <w:sz w:val="24"/>
          <w:szCs w:val="24"/>
        </w:rPr>
        <w:t>古自</w:t>
      </w:r>
      <w:r>
        <w:rPr>
          <w:sz w:val="24"/>
          <w:szCs w:val="24"/>
        </w:rPr>
        <w:t xml:space="preserve"> </w:t>
      </w:r>
      <w:r>
        <w:rPr>
          <w:spacing w:val="3"/>
          <w:sz w:val="24"/>
          <w:szCs w:val="24"/>
        </w:rPr>
        <w:t>治区、 新疆维吾尔自治区、宁夏回族自治区、广西壮族自治区、西藏自</w:t>
      </w:r>
      <w:r>
        <w:rPr>
          <w:spacing w:val="2"/>
          <w:sz w:val="24"/>
          <w:szCs w:val="24"/>
        </w:rPr>
        <w:t>治区；② 享受少数民族</w:t>
      </w:r>
      <w:r>
        <w:rPr>
          <w:sz w:val="24"/>
          <w:szCs w:val="24"/>
        </w:rPr>
        <w:t xml:space="preserve"> </w:t>
      </w:r>
      <w:r>
        <w:rPr>
          <w:spacing w:val="-1"/>
          <w:sz w:val="24"/>
          <w:szCs w:val="24"/>
        </w:rPr>
        <w:t>自治待遇的省份：青海省、云南省、贵州省。</w:t>
      </w:r>
    </w:p>
    <w:p w14:paraId="31C97153">
      <w:pPr>
        <w:pStyle w:val="19"/>
        <w:rPr>
          <w:rFonts w:hint="eastAsia"/>
          <w:lang w:eastAsia="zh-CN"/>
        </w:rPr>
      </w:pPr>
    </w:p>
    <w:sectPr>
      <w:headerReference r:id="rId65" w:type="default"/>
      <w:footerReference r:id="rId66" w:type="default"/>
      <w:pgSz w:w="11910" w:h="16840"/>
      <w:pgMar w:top="1142" w:right="798" w:bottom="1117" w:left="858" w:header="832" w:footer="88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D747B">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7BE54">
    <w:pPr>
      <w:pStyle w:val="6"/>
      <w:spacing w:line="229" w:lineRule="auto"/>
      <w:ind w:left="4913"/>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31951">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DD31951">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0F900">
    <w:pPr>
      <w:pStyle w:val="6"/>
      <w:spacing w:line="229" w:lineRule="auto"/>
      <w:ind w:left="5060"/>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25D4C">
                          <w:pPr>
                            <w:pStyle w:val="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4D25D4C">
                    <w:pPr>
                      <w:pStyle w:val="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DC025">
    <w:pPr>
      <w:pStyle w:val="6"/>
      <w:spacing w:line="229" w:lineRule="auto"/>
      <w:ind w:left="5068"/>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E2DB0">
                          <w:pPr>
                            <w:pStyle w:val="9"/>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54E2DB0">
                    <w:pPr>
                      <w:pStyle w:val="9"/>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26F69">
    <w:pPr>
      <w:pStyle w:val="6"/>
      <w:spacing w:line="229" w:lineRule="auto"/>
      <w:ind w:left="4914"/>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BD0BC">
                          <w:pPr>
                            <w:pStyle w:val="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30BD0BC">
                    <w:pPr>
                      <w:pStyle w:val="9"/>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18EE1">
    <w:pPr>
      <w:pStyle w:val="6"/>
      <w:spacing w:line="229" w:lineRule="auto"/>
      <w:ind w:left="5028"/>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35235">
                          <w:pPr>
                            <w:pStyle w:val="9"/>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4A35235">
                    <w:pPr>
                      <w:pStyle w:val="9"/>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F3872">
    <w:pPr>
      <w:pStyle w:val="6"/>
      <w:spacing w:line="229" w:lineRule="auto"/>
      <w:ind w:left="4921"/>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AE45D">
                          <w:pPr>
                            <w:pStyle w:val="9"/>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8DAE45D">
                    <w:pPr>
                      <w:pStyle w:val="9"/>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99CC1">
    <w:pPr>
      <w:pStyle w:val="6"/>
      <w:spacing w:line="229" w:lineRule="auto"/>
      <w:ind w:left="4914"/>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CBEC4">
                          <w:pPr>
                            <w:pStyle w:val="9"/>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73CBEC4">
                    <w:pPr>
                      <w:pStyle w:val="9"/>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367DD">
    <w:pPr>
      <w:pStyle w:val="6"/>
      <w:spacing w:line="229" w:lineRule="auto"/>
      <w:ind w:left="4914"/>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C10CC">
                          <w:pPr>
                            <w:pStyle w:val="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24C10CC">
                    <w:pPr>
                      <w:pStyle w:val="9"/>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679E0">
    <w:pPr>
      <w:pStyle w:val="6"/>
      <w:spacing w:line="229" w:lineRule="auto"/>
      <w:ind w:left="4916"/>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367EF">
                          <w:pPr>
                            <w:pStyle w:val="9"/>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1E367EF">
                    <w:pPr>
                      <w:pStyle w:val="9"/>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A7347">
    <w:pPr>
      <w:pStyle w:val="6"/>
      <w:spacing w:line="229" w:lineRule="auto"/>
      <w:ind w:left="4916"/>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7E860">
                          <w:pPr>
                            <w:pStyle w:val="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E27E860">
                    <w:pPr>
                      <w:pStyle w:val="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A769E">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FB2114">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DFB2114">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5E5B9">
    <w:pPr>
      <w:pStyle w:val="6"/>
      <w:spacing w:line="229" w:lineRule="auto"/>
      <w:ind w:left="5507"/>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444D8">
                          <w:pPr>
                            <w:pStyle w:val="9"/>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E6444D8">
                    <w:pPr>
                      <w:pStyle w:val="9"/>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9D04E">
    <w:pPr>
      <w:pStyle w:val="6"/>
      <w:spacing w:line="229" w:lineRule="auto"/>
      <w:ind w:left="5024"/>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56FF6">
                          <w:pPr>
                            <w:pStyle w:val="9"/>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4756FF6">
                    <w:pPr>
                      <w:pStyle w:val="9"/>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DA1A">
    <w:pPr>
      <w:pStyle w:val="6"/>
      <w:spacing w:line="229" w:lineRule="auto"/>
      <w:ind w:left="4916"/>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2255B">
                          <w:pPr>
                            <w:pStyle w:val="9"/>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802255B">
                    <w:pPr>
                      <w:pStyle w:val="9"/>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FEB7F">
    <w:pPr>
      <w:pStyle w:val="6"/>
      <w:spacing w:line="229" w:lineRule="auto"/>
      <w:ind w:left="4794"/>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43356">
                          <w:pPr>
                            <w:pStyle w:val="9"/>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7543356">
                    <w:pPr>
                      <w:pStyle w:val="9"/>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45AE">
    <w:pPr>
      <w:pStyle w:val="6"/>
      <w:spacing w:line="229" w:lineRule="auto"/>
      <w:ind w:left="4916"/>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94A93">
                          <w:pPr>
                            <w:pStyle w:val="9"/>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3194A93">
                    <w:pPr>
                      <w:pStyle w:val="9"/>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3605D">
    <w:pPr>
      <w:pStyle w:val="6"/>
      <w:spacing w:line="229" w:lineRule="auto"/>
      <w:ind w:left="4916"/>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827CF">
                          <w:pPr>
                            <w:pStyle w:val="9"/>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78827CF">
                    <w:pPr>
                      <w:pStyle w:val="9"/>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0EC66">
    <w:pPr>
      <w:pStyle w:val="6"/>
      <w:spacing w:line="229" w:lineRule="auto"/>
      <w:ind w:left="4916"/>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6DD27">
                          <w:pPr>
                            <w:pStyle w:val="9"/>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F46DD27">
                    <w:pPr>
                      <w:pStyle w:val="9"/>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5FE56">
    <w:pPr>
      <w:pStyle w:val="6"/>
      <w:spacing w:line="229" w:lineRule="auto"/>
      <w:ind w:left="4913"/>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9DDCD">
                          <w:pPr>
                            <w:pStyle w:val="9"/>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1D9DDCD">
                    <w:pPr>
                      <w:pStyle w:val="9"/>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9052C">
    <w:pPr>
      <w:pStyle w:val="6"/>
      <w:spacing w:line="229" w:lineRule="auto"/>
      <w:ind w:left="4913"/>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3B7DF">
                          <w:pPr>
                            <w:pStyle w:val="9"/>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E43B7DF">
                    <w:pPr>
                      <w:pStyle w:val="9"/>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FF061">
    <w:pPr>
      <w:pStyle w:val="6"/>
      <w:spacing w:line="229" w:lineRule="auto"/>
      <w:ind w:left="5207"/>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B819E">
                          <w:pPr>
                            <w:pStyle w:val="9"/>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C3B819E">
                    <w:pPr>
                      <w:pStyle w:val="9"/>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CEC2E">
    <w:pPr>
      <w:pStyle w:val="6"/>
      <w:spacing w:line="230" w:lineRule="auto"/>
      <w:ind w:left="4803"/>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D00AF">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F6D00AF">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38C85">
    <w:pPr>
      <w:pStyle w:val="6"/>
      <w:spacing w:line="229" w:lineRule="auto"/>
      <w:ind w:left="5020"/>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B310D">
                          <w:pPr>
                            <w:pStyle w:val="9"/>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02B310D">
                    <w:pPr>
                      <w:pStyle w:val="9"/>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46AAF">
    <w:pPr>
      <w:pStyle w:val="6"/>
      <w:spacing w:line="229" w:lineRule="auto"/>
      <w:ind w:left="4913"/>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8F978">
                          <w:pPr>
                            <w:pStyle w:val="9"/>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748F978">
                    <w:pPr>
                      <w:pStyle w:val="9"/>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9460B">
    <w:pPr>
      <w:pStyle w:val="6"/>
      <w:spacing w:line="229" w:lineRule="auto"/>
      <w:ind w:left="5021"/>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2BEA3">
                          <w:pPr>
                            <w:pStyle w:val="9"/>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CC2BEA3">
                    <w:pPr>
                      <w:pStyle w:val="9"/>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C1AB5">
    <w:pPr>
      <w:pStyle w:val="6"/>
      <w:spacing w:line="229" w:lineRule="auto"/>
      <w:ind w:left="4913"/>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C2941">
                          <w:pPr>
                            <w:pStyle w:val="9"/>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56C2941">
                    <w:pPr>
                      <w:pStyle w:val="9"/>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47B02">
    <w:pPr>
      <w:pStyle w:val="6"/>
      <w:spacing w:line="229" w:lineRule="auto"/>
      <w:ind w:left="4913"/>
      <w:rPr>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4DDE1">
                          <w:pPr>
                            <w:pStyle w:val="9"/>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D84DDE1">
                    <w:pPr>
                      <w:pStyle w:val="9"/>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3C807">
    <w:pPr>
      <w:pStyle w:val="6"/>
      <w:spacing w:line="229" w:lineRule="auto"/>
      <w:ind w:left="5283"/>
      <w:rPr>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2164A">
                          <w:pPr>
                            <w:pStyle w:val="9"/>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9A2164A">
                    <w:pPr>
                      <w:pStyle w:val="9"/>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8E9B6">
    <w:pPr>
      <w:spacing w:line="219" w:lineRule="auto"/>
      <w:ind w:left="4443"/>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3B1C26">
                          <w:pPr>
                            <w:pStyle w:val="9"/>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63B1C26">
                    <w:pPr>
                      <w:pStyle w:val="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00534">
    <w:pPr>
      <w:pStyle w:val="6"/>
      <w:spacing w:line="229" w:lineRule="auto"/>
      <w:ind w:left="4916"/>
      <w:rPr>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34B04">
                          <w:pPr>
                            <w:pStyle w:val="9"/>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5134B04">
                    <w:pPr>
                      <w:pStyle w:val="9"/>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C281C">
    <w:pPr>
      <w:pStyle w:val="6"/>
      <w:spacing w:line="229" w:lineRule="auto"/>
      <w:ind w:left="4846"/>
      <w:rPr>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C01F6">
                          <w:pPr>
                            <w:pStyle w:val="9"/>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D6C01F6">
                    <w:pPr>
                      <w:pStyle w:val="9"/>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C488A">
    <w:pPr>
      <w:pStyle w:val="6"/>
      <w:spacing w:line="229" w:lineRule="auto"/>
      <w:ind w:left="4723"/>
      <w:rPr>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37CE7">
                          <w:pPr>
                            <w:pStyle w:val="9"/>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5B37CE7">
                    <w:pPr>
                      <w:pStyle w:val="9"/>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D4DC1">
    <w:pPr>
      <w:pStyle w:val="6"/>
      <w:spacing w:line="229" w:lineRule="auto"/>
      <w:ind w:left="4803"/>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57596">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4E57596">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1654">
    <w:pPr>
      <w:pStyle w:val="6"/>
      <w:spacing w:line="229" w:lineRule="auto"/>
      <w:ind w:left="4945"/>
      <w:rPr>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DFA9A">
                          <w:pPr>
                            <w:pStyle w:val="9"/>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22DFA9A">
                    <w:pPr>
                      <w:pStyle w:val="9"/>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C420A">
    <w:pPr>
      <w:pStyle w:val="6"/>
      <w:spacing w:line="229" w:lineRule="auto"/>
      <w:ind w:left="4803"/>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7D4CB">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67D4CB">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D41A0">
    <w:pPr>
      <w:pStyle w:val="6"/>
      <w:spacing w:line="229" w:lineRule="auto"/>
      <w:ind w:left="4803"/>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A4D6C">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2BA4D6C">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BC185">
    <w:pPr>
      <w:pStyle w:val="6"/>
      <w:spacing w:line="229" w:lineRule="auto"/>
      <w:ind w:left="4792"/>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587DD">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ED587DD">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DD63C">
    <w:pPr>
      <w:pStyle w:val="6"/>
      <w:spacing w:line="230" w:lineRule="auto"/>
      <w:ind w:left="4792"/>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BFD25">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8CBFD25">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4F7E">
    <w:pPr>
      <w:pStyle w:val="6"/>
      <w:spacing w:line="229" w:lineRule="auto"/>
      <w:ind w:left="4792"/>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D496A">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7DD496A">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F3D6">
    <w:pPr>
      <w:pStyle w:val="10"/>
      <w:jc w:val="both"/>
      <w:rPr>
        <w:rFonts w:hint="default"/>
        <w:lang w:val="en-US" w:eastAsia="zh-CN"/>
      </w:rPr>
    </w:pPr>
    <w:r>
      <w:rPr>
        <w:rFonts w:hint="eastAsia"/>
        <w:lang w:eastAsia="zh-CN"/>
      </w:rPr>
      <w:t>贵州晋泽信息咨询有限公司</w:t>
    </w:r>
    <w:r>
      <w:rPr>
        <w:rFonts w:hint="eastAsia"/>
      </w:rPr>
      <w:t xml:space="preserve">                                                        GZJZ-LPS-CY-2025-002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5C1EB">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8AC0F">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F869B">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31CD">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ECFB">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B10D5">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57EF9">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8F7E4">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7444">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99EB">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EB26D">
    <w:pPr>
      <w:pStyle w:val="10"/>
      <w:jc w:val="both"/>
      <w:rPr>
        <w:rFonts w:hint="default"/>
        <w:lang w:val="en-US" w:eastAsia="zh-CN"/>
      </w:rPr>
    </w:pPr>
    <w:r>
      <w:rPr>
        <w:rFonts w:hint="eastAsia"/>
        <w:lang w:eastAsia="zh-CN"/>
      </w:rPr>
      <w:t>贵州晋泽信息咨询有限公司</w:t>
    </w:r>
    <w:r>
      <w:rPr>
        <w:rFonts w:hint="eastAsia"/>
      </w:rPr>
      <w:t xml:space="preserve">                                                        GZJZ-LPS-CY-2025-002</w:t>
    </w:r>
  </w:p>
  <w:p w14:paraId="3F33C672">
    <w:pPr>
      <w:pStyle w:val="6"/>
      <w:spacing w:before="48" w:line="219" w:lineRule="auto"/>
      <w:ind w:left="9"/>
      <w:rPr>
        <w:rFonts w:ascii="Calibri" w:hAnsi="Calibri" w:eastAsia="Calibri" w:cs="Calibri"/>
        <w:sz w:val="18"/>
        <w:szCs w:val="1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FD12">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9B82F">
    <w:pPr>
      <w:pStyle w:val="6"/>
      <w:spacing w:before="48" w:line="219" w:lineRule="auto"/>
      <w:ind w:left="379"/>
      <w:rPr>
        <w:rFonts w:ascii="Calibri" w:hAnsi="Calibri" w:eastAsia="Calibri" w:cs="Calibri"/>
        <w:sz w:val="18"/>
        <w:szCs w:val="18"/>
      </w:rPr>
    </w:pPr>
    <w:r>
      <w:drawing>
        <wp:anchor distT="0" distB="0" distL="0" distR="0" simplePos="0" relativeHeight="251687936" behindDoc="0" locked="0" layoutInCell="0" allowOverlap="1">
          <wp:simplePos x="0" y="0"/>
          <wp:positionH relativeFrom="page">
            <wp:posOffset>685800</wp:posOffset>
          </wp:positionH>
          <wp:positionV relativeFrom="page">
            <wp:posOffset>686435</wp:posOffset>
          </wp:positionV>
          <wp:extent cx="6334760" cy="7620"/>
          <wp:effectExtent l="0" t="0" r="0" b="0"/>
          <wp:wrapNone/>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
                  <a:stretch>
                    <a:fillRect/>
                  </a:stretch>
                </pic:blipFill>
                <pic:spPr>
                  <a:xfrm>
                    <a:off x="0" y="0"/>
                    <a:ext cx="6334759" cy="7620"/>
                  </a:xfrm>
                  <a:prstGeom prst="rect">
                    <a:avLst/>
                  </a:prstGeom>
                </pic:spPr>
              </pic:pic>
            </a:graphicData>
          </a:graphic>
        </wp:anchor>
      </w:drawing>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83051">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7B8B4">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D6539">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BD88">
    <w:pPr>
      <w:pStyle w:val="10"/>
      <w:jc w:val="both"/>
    </w:pPr>
    <w:r>
      <w:rPr>
        <w:rFonts w:hint="eastAsia"/>
        <w:lang w:eastAsia="zh-CN"/>
      </w:rPr>
      <w:t>贵州晋泽信息咨询有限公司</w:t>
    </w:r>
    <w:r>
      <w:rPr>
        <w:rFonts w:hint="eastAsia"/>
      </w:rPr>
      <w:t xml:space="preserve">                                                        GZJZ-LPS-CY-2025-002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309E">
    <w:pPr>
      <w:pStyle w:val="6"/>
      <w:spacing w:before="47" w:line="187" w:lineRule="auto"/>
      <w:ind w:left="161"/>
      <w:jc w:val="left"/>
      <w:rPr>
        <w:sz w:val="18"/>
        <w:szCs w:val="18"/>
      </w:rPr>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r>
      <w:rP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5809">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2BA7">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6853F">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957C5">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02E04">
    <w:pPr>
      <w:pStyle w:val="10"/>
    </w:pPr>
    <w:r>
      <w:rPr>
        <w:spacing w:val="1"/>
        <w:sz w:val="18"/>
        <w:szCs w:val="18"/>
      </w:rPr>
      <w:t>贵州</w:t>
    </w:r>
    <w:r>
      <w:rPr>
        <w:rFonts w:hint="eastAsia"/>
        <w:spacing w:val="1"/>
        <w:sz w:val="18"/>
        <w:szCs w:val="18"/>
        <w:lang w:eastAsia="zh-CN"/>
      </w:rPr>
      <w:t>晋泽信息</w:t>
    </w:r>
    <w:r>
      <w:rPr>
        <w:spacing w:val="1"/>
        <w:sz w:val="18"/>
        <w:szCs w:val="18"/>
      </w:rPr>
      <w:t xml:space="preserve">咨询有限责任公司         </w:t>
    </w:r>
    <w:r>
      <w:rPr>
        <w:rFonts w:hint="eastAsia"/>
        <w:spacing w:val="1"/>
        <w:sz w:val="18"/>
        <w:szCs w:val="18"/>
        <w:lang w:val="en-US" w:eastAsia="zh-CN"/>
      </w:rPr>
      <w:t xml:space="preserve">                                          </w:t>
    </w:r>
    <w:r>
      <w:rPr>
        <w:spacing w:val="1"/>
        <w:sz w:val="18"/>
        <w:szCs w:val="18"/>
      </w:rPr>
      <w:t xml:space="preserve"> </w:t>
    </w:r>
    <w:r>
      <w:rPr>
        <w:rFonts w:hint="eastAsia"/>
      </w:rPr>
      <w:t>GZJZ-LPS-CY-2025-002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6FEA5"/>
    <w:multiLevelType w:val="singleLevel"/>
    <w:tmpl w:val="A686FEA5"/>
    <w:lvl w:ilvl="0" w:tentative="0">
      <w:start w:val="2"/>
      <w:numFmt w:val="decimal"/>
      <w:suff w:val="nothing"/>
      <w:lvlText w:val="（%1）"/>
      <w:lvlJc w:val="left"/>
    </w:lvl>
  </w:abstractNum>
  <w:abstractNum w:abstractNumId="1">
    <w:nsid w:val="BC2C3B24"/>
    <w:multiLevelType w:val="singleLevel"/>
    <w:tmpl w:val="BC2C3B24"/>
    <w:lvl w:ilvl="0" w:tentative="0">
      <w:start w:val="2"/>
      <w:numFmt w:val="chineseCounting"/>
      <w:suff w:val="nothing"/>
      <w:lvlText w:val="%1、"/>
      <w:lvlJc w:val="left"/>
      <w:rPr>
        <w:rFonts w:hint="eastAsia"/>
      </w:rPr>
    </w:lvl>
  </w:abstractNum>
  <w:abstractNum w:abstractNumId="2">
    <w:nsid w:val="ECB44ADD"/>
    <w:multiLevelType w:val="singleLevel"/>
    <w:tmpl w:val="ECB44ADD"/>
    <w:lvl w:ilvl="0" w:tentative="0">
      <w:start w:val="4"/>
      <w:numFmt w:val="decimal"/>
      <w:suff w:val="nothing"/>
      <w:lvlText w:val="%1、"/>
      <w:lvlJc w:val="left"/>
    </w:lvl>
  </w:abstractNum>
  <w:abstractNum w:abstractNumId="3">
    <w:nsid w:val="29CF340F"/>
    <w:multiLevelType w:val="singleLevel"/>
    <w:tmpl w:val="29CF340F"/>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B223C"/>
    <w:rsid w:val="103B223C"/>
    <w:rsid w:val="139D7DD2"/>
    <w:rsid w:val="1BD23728"/>
    <w:rsid w:val="1E7C3D8A"/>
    <w:rsid w:val="1FA42F2E"/>
    <w:rsid w:val="23E47FEF"/>
    <w:rsid w:val="2DEC5B6C"/>
    <w:rsid w:val="32AB024A"/>
    <w:rsid w:val="32EC51EE"/>
    <w:rsid w:val="33CD1809"/>
    <w:rsid w:val="3DE6042E"/>
    <w:rsid w:val="42F26DB3"/>
    <w:rsid w:val="431369E3"/>
    <w:rsid w:val="47D26E53"/>
    <w:rsid w:val="4B4A1753"/>
    <w:rsid w:val="4E6823B1"/>
    <w:rsid w:val="59052EDE"/>
    <w:rsid w:val="5A404CAE"/>
    <w:rsid w:val="686B3326"/>
    <w:rsid w:val="6A7F2DF5"/>
    <w:rsid w:val="6D2531FB"/>
    <w:rsid w:val="73941313"/>
    <w:rsid w:val="73DE2356"/>
    <w:rsid w:val="74C921DC"/>
    <w:rsid w:val="79A44820"/>
    <w:rsid w:val="7B80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5">
    <w:name w:val="annotation text"/>
    <w:basedOn w:val="1"/>
    <w:qFormat/>
    <w:uiPriority w:val="0"/>
    <w:pPr>
      <w:jc w:val="left"/>
    </w:pPr>
  </w:style>
  <w:style w:type="paragraph" w:styleId="6">
    <w:name w:val="Body Text"/>
    <w:basedOn w:val="1"/>
    <w:qFormat/>
    <w:uiPriority w:val="0"/>
    <w:rPr>
      <w:rFonts w:ascii="Times New Roman" w:hAnsi="Times New Roman"/>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Normal (Web)"/>
    <w:basedOn w:val="1"/>
    <w:qFormat/>
    <w:uiPriority w:val="0"/>
    <w:pPr>
      <w:spacing w:beforeAutospacing="1" w:afterAutospacing="1"/>
    </w:pPr>
    <w:rPr>
      <w:rFonts w:ascii="宋体" w:hAnsi="宋体" w:cs="宋体"/>
      <w:sz w:val="24"/>
    </w:rPr>
  </w:style>
  <w:style w:type="paragraph" w:styleId="13">
    <w:name w:val="Title"/>
    <w:basedOn w:val="1"/>
    <w:qFormat/>
    <w:uiPriority w:val="6"/>
    <w:pPr>
      <w:jc w:val="center"/>
    </w:pPr>
    <w:rPr>
      <w:rFonts w:ascii="Calibri" w:hAnsi="Calibri" w:eastAsia="微软雅黑" w:cstheme="minorBidi"/>
      <w:b/>
      <w:sz w:val="32"/>
      <w:szCs w:val="32"/>
      <w:lang w:val="en-US" w:eastAsia="zh-CN" w:bidi="ar-SA"/>
    </w:rPr>
  </w:style>
  <w:style w:type="paragraph" w:styleId="14">
    <w:name w:val="Body Text First Indent"/>
    <w:basedOn w:val="6"/>
    <w:next w:val="1"/>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9">
    <w:name w:val="正文-公1"/>
    <w:basedOn w:val="20"/>
    <w:next w:val="10"/>
    <w:qFormat/>
    <w:uiPriority w:val="0"/>
    <w:pPr>
      <w:ind w:firstLine="200" w:firstLineChars="200"/>
    </w:p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首行缩进"/>
    <w:basedOn w:val="1"/>
    <w:qFormat/>
    <w:uiPriority w:val="0"/>
    <w:pPr>
      <w:ind w:firstLine="480"/>
    </w:pPr>
    <w:rPr>
      <w:lang w:val="zh-CN"/>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表格文字"/>
    <w:basedOn w:val="1"/>
    <w:qFormat/>
    <w:uiPriority w:val="0"/>
    <w:pPr>
      <w:jc w:val="left"/>
    </w:pPr>
    <w:rPr>
      <w:bCs/>
      <w:spacing w:val="10"/>
      <w:kern w:val="0"/>
      <w:sz w:val="24"/>
      <w:szCs w:val="20"/>
    </w:rPr>
  </w:style>
  <w:style w:type="paragraph" w:customStyle="1" w:styleId="24">
    <w:name w:val="Table Paragraph"/>
    <w:basedOn w:val="1"/>
    <w:qFormat/>
    <w:uiPriority w:val="0"/>
    <w:rPr>
      <w:rFonts w:ascii="宋体" w:hAnsi="宋体" w:cs="宋体"/>
      <w:lang w:val="zh-CN" w:bidi="zh-CN"/>
    </w:rPr>
  </w:style>
  <w:style w:type="paragraph" w:customStyle="1" w:styleId="25">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character" w:customStyle="1" w:styleId="28">
    <w:name w:val="NormalCharacter"/>
    <w:link w:val="29"/>
    <w:qFormat/>
    <w:uiPriority w:val="0"/>
    <w:rPr>
      <w:rFonts w:ascii="Calibri" w:hAnsi="Calibri"/>
      <w:kern w:val="2"/>
      <w:sz w:val="21"/>
      <w:szCs w:val="22"/>
      <w:lang w:val="en-US" w:eastAsia="zh-CN" w:bidi="ar-SA"/>
    </w:rPr>
  </w:style>
  <w:style w:type="paragraph" w:customStyle="1" w:styleId="29">
    <w:name w:val="UserStyle_19"/>
    <w:basedOn w:val="1"/>
    <w:link w:val="28"/>
    <w:qFormat/>
    <w:uiPriority w:val="0"/>
    <w:pPr>
      <w:jc w:val="both"/>
      <w:textAlignment w:val="baseline"/>
    </w:pPr>
    <w:rPr>
      <w:rFonts w:ascii="Calibri" w:hAnsi="Calibri"/>
      <w:kern w:val="2"/>
      <w:sz w:val="21"/>
      <w:szCs w:val="22"/>
      <w:lang w:val="en-US" w:eastAsia="zh-CN" w:bidi="ar-SA"/>
    </w:rPr>
  </w:style>
  <w:style w:type="paragraph" w:customStyle="1" w:styleId="30">
    <w:name w:val="style4"/>
    <w:basedOn w:val="1"/>
    <w:next w:val="31"/>
    <w:qFormat/>
    <w:uiPriority w:val="0"/>
    <w:pPr>
      <w:widowControl/>
      <w:autoSpaceDE/>
      <w:autoSpaceDN/>
      <w:spacing w:before="280" w:after="280" w:line="240" w:lineRule="auto"/>
      <w:ind w:left="0" w:firstLine="0"/>
      <w:jc w:val="both"/>
    </w:pPr>
    <w:rPr>
      <w:rFonts w:ascii="宋体" w:eastAsia="宋体"/>
      <w:sz w:val="18"/>
    </w:rPr>
  </w:style>
  <w:style w:type="paragraph" w:customStyle="1" w:styleId="3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2">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footer" Target="footer4.xml"/><Relationship Id="rId69" Type="http://schemas.openxmlformats.org/officeDocument/2006/relationships/image" Target="media/image1.png"/><Relationship Id="rId68" Type="http://schemas.openxmlformats.org/officeDocument/2006/relationships/image" Target="media/image2.png"/><Relationship Id="rId67" Type="http://schemas.openxmlformats.org/officeDocument/2006/relationships/theme" Target="theme/theme1.xml"/><Relationship Id="rId66" Type="http://schemas.openxmlformats.org/officeDocument/2006/relationships/footer" Target="footer40.xml"/><Relationship Id="rId65" Type="http://schemas.openxmlformats.org/officeDocument/2006/relationships/header" Target="header24.xml"/><Relationship Id="rId64" Type="http://schemas.openxmlformats.org/officeDocument/2006/relationships/footer" Target="footer39.xml"/><Relationship Id="rId63" Type="http://schemas.openxmlformats.org/officeDocument/2006/relationships/header" Target="header23.xml"/><Relationship Id="rId62" Type="http://schemas.openxmlformats.org/officeDocument/2006/relationships/footer" Target="footer38.xml"/><Relationship Id="rId61" Type="http://schemas.openxmlformats.org/officeDocument/2006/relationships/header" Target="header22.xml"/><Relationship Id="rId60" Type="http://schemas.openxmlformats.org/officeDocument/2006/relationships/footer" Target="footer37.xml"/><Relationship Id="rId6" Type="http://schemas.openxmlformats.org/officeDocument/2006/relationships/footer" Target="footer3.xml"/><Relationship Id="rId59" Type="http://schemas.openxmlformats.org/officeDocument/2006/relationships/footer" Target="footer36.xml"/><Relationship Id="rId58" Type="http://schemas.openxmlformats.org/officeDocument/2006/relationships/footer" Target="footer35.xml"/><Relationship Id="rId57" Type="http://schemas.openxmlformats.org/officeDocument/2006/relationships/header" Target="header21.xml"/><Relationship Id="rId56" Type="http://schemas.openxmlformats.org/officeDocument/2006/relationships/footer" Target="footer34.xml"/><Relationship Id="rId55" Type="http://schemas.openxmlformats.org/officeDocument/2006/relationships/header" Target="header20.xml"/><Relationship Id="rId54" Type="http://schemas.openxmlformats.org/officeDocument/2006/relationships/footer" Target="footer33.xml"/><Relationship Id="rId53" Type="http://schemas.openxmlformats.org/officeDocument/2006/relationships/header" Target="header19.xml"/><Relationship Id="rId52" Type="http://schemas.openxmlformats.org/officeDocument/2006/relationships/footer" Target="footer32.xml"/><Relationship Id="rId51" Type="http://schemas.openxmlformats.org/officeDocument/2006/relationships/header" Target="header18.xml"/><Relationship Id="rId50" Type="http://schemas.openxmlformats.org/officeDocument/2006/relationships/footer" Target="footer31.xml"/><Relationship Id="rId5" Type="http://schemas.openxmlformats.org/officeDocument/2006/relationships/footer" Target="footer2.xml"/><Relationship Id="rId49" Type="http://schemas.openxmlformats.org/officeDocument/2006/relationships/header" Target="header17.xml"/><Relationship Id="rId48" Type="http://schemas.openxmlformats.org/officeDocument/2006/relationships/footer" Target="footer30.xml"/><Relationship Id="rId47" Type="http://schemas.openxmlformats.org/officeDocument/2006/relationships/header" Target="header16.xml"/><Relationship Id="rId46" Type="http://schemas.openxmlformats.org/officeDocument/2006/relationships/footer" Target="footer29.xml"/><Relationship Id="rId45" Type="http://schemas.openxmlformats.org/officeDocument/2006/relationships/header" Target="header15.xml"/><Relationship Id="rId44" Type="http://schemas.openxmlformats.org/officeDocument/2006/relationships/footer" Target="footer28.xml"/><Relationship Id="rId43" Type="http://schemas.openxmlformats.org/officeDocument/2006/relationships/footer" Target="footer27.xml"/><Relationship Id="rId42" Type="http://schemas.openxmlformats.org/officeDocument/2006/relationships/header" Target="header14.xml"/><Relationship Id="rId41" Type="http://schemas.openxmlformats.org/officeDocument/2006/relationships/footer" Target="footer26.xml"/><Relationship Id="rId40" Type="http://schemas.openxmlformats.org/officeDocument/2006/relationships/footer" Target="footer25.xml"/><Relationship Id="rId4" Type="http://schemas.openxmlformats.org/officeDocument/2006/relationships/footer" Target="footer1.xml"/><Relationship Id="rId39" Type="http://schemas.openxmlformats.org/officeDocument/2006/relationships/footer" Target="footer24.xml"/><Relationship Id="rId38" Type="http://schemas.openxmlformats.org/officeDocument/2006/relationships/header" Target="header13.xml"/><Relationship Id="rId37" Type="http://schemas.openxmlformats.org/officeDocument/2006/relationships/footer" Target="footer23.xml"/><Relationship Id="rId36" Type="http://schemas.openxmlformats.org/officeDocument/2006/relationships/header" Target="header12.xml"/><Relationship Id="rId35" Type="http://schemas.openxmlformats.org/officeDocument/2006/relationships/footer" Target="footer22.xml"/><Relationship Id="rId34" Type="http://schemas.openxmlformats.org/officeDocument/2006/relationships/header" Target="header11.xml"/><Relationship Id="rId33" Type="http://schemas.openxmlformats.org/officeDocument/2006/relationships/footer" Target="footer21.xml"/><Relationship Id="rId32" Type="http://schemas.openxmlformats.org/officeDocument/2006/relationships/header" Target="header10.xml"/><Relationship Id="rId31" Type="http://schemas.openxmlformats.org/officeDocument/2006/relationships/footer" Target="footer20.xml"/><Relationship Id="rId30" Type="http://schemas.openxmlformats.org/officeDocument/2006/relationships/header" Target="header9.xml"/><Relationship Id="rId3" Type="http://schemas.openxmlformats.org/officeDocument/2006/relationships/header" Target="header1.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header" Target="header8.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header" Target="header6.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3241</Words>
  <Characters>3583</Characters>
  <Lines>0</Lines>
  <Paragraphs>0</Paragraphs>
  <TotalTime>24</TotalTime>
  <ScaleCrop>false</ScaleCrop>
  <LinksUpToDate>false</LinksUpToDate>
  <CharactersWithSpaces>3696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2025-05-30T06:13:00Z</dcterms:created>
  <dc:creator>WPS_1534128371</dc:creator>
  <cp:lastModifiedBy>WPS_1534128371</cp:lastModifiedBy>
  <cp:lastPrinted>2025-06-11T01:18:00Z</cp:lastPrinted>
  <dcterms:modified xsi:type="dcterms:W3CDTF">2025-07-01T01:34:55Z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9DA979EA522F4A1E880A9045176E06BA_13</vt:lpwstr>
  </property>
  <property fmtid="{D5CDD505-2E9C-101B-9397-08002B2CF9AE}" pid="4" name="KSOTemplateDocerSaveRecord">
    <vt:lpwstr>eyJoZGlkIjoiYjI3Nzk2Mzc4YmI1YTgxODk0MWQxODk2NzM1OGEzZDEiLCJ1c2VySWQiOiIzOTQzOTY4MTUifQ==</vt:lpwstr>
  </property>
</Properties>
</file>