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7E4F8">
      <w:pPr>
        <w:pStyle w:val="9"/>
        <w:ind w:firstLine="211"/>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br w:type="textWrapping"/>
      </w:r>
      <w:r>
        <w:rPr>
          <w:rFonts w:hint="eastAsia" w:ascii="仿宋" w:hAnsi="仿宋" w:eastAsia="仿宋" w:cs="仿宋"/>
          <w:b/>
          <w:bCs/>
          <w:color w:val="auto"/>
          <w:sz w:val="30"/>
          <w:szCs w:val="30"/>
          <w:lang w:val="en-US" w:eastAsia="zh-CN"/>
        </w:rPr>
        <w:t>天柱县2025年高酿镇章寨村污水处理项目</w:t>
      </w:r>
    </w:p>
    <w:p w14:paraId="630E5DC8">
      <w:pPr>
        <w:pStyle w:val="9"/>
        <w:ind w:firstLine="211"/>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采购需求附件</w:t>
      </w:r>
    </w:p>
    <w:p w14:paraId="0D50DA56">
      <w:pPr>
        <w:keepNext w:val="0"/>
        <w:keepLines w:val="0"/>
        <w:pageBreakBefore w:val="0"/>
        <w:widowControl/>
        <w:numPr>
          <w:ilvl w:val="0"/>
          <w:numId w:val="1"/>
        </w:numPr>
        <w:kinsoku/>
        <w:wordWrap/>
        <w:overflowPunct/>
        <w:topLinePunct w:val="0"/>
        <w:autoSpaceDE/>
        <w:autoSpaceDN/>
        <w:bidi w:val="0"/>
        <w:adjustRightInd/>
        <w:snapToGrid/>
        <w:spacing w:before="60" w:after="120" w:line="400" w:lineRule="exact"/>
        <w:ind w:right="60"/>
        <w:textAlignment w:val="auto"/>
        <w:rPr>
          <w:rFonts w:hint="eastAsia"/>
          <w:sz w:val="28"/>
          <w:szCs w:val="28"/>
          <w:lang w:val="en-US" w:eastAsia="zh-CN"/>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资格要求：</w:t>
      </w:r>
    </w:p>
    <w:p w14:paraId="75DC72F3">
      <w:pPr>
        <w:keepNext w:val="0"/>
        <w:keepLines w:val="0"/>
        <w:pageBreakBefore w:val="0"/>
        <w:widowControl/>
        <w:kinsoku/>
        <w:wordWrap/>
        <w:overflowPunct/>
        <w:topLinePunct w:val="0"/>
        <w:autoSpaceDE/>
        <w:autoSpaceDN/>
        <w:bidi w:val="0"/>
        <w:adjustRightInd/>
        <w:snapToGrid/>
        <w:spacing w:before="120" w:after="120" w:line="40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bookmarkStart w:id="0" w:name="bookmark20"/>
      <w:bookmarkEnd w:id="0"/>
      <w:r>
        <w:rPr>
          <w:rFonts w:hint="eastAsia" w:ascii="仿宋" w:hAnsi="仿宋" w:eastAsia="仿宋" w:cs="仿宋"/>
          <w:color w:val="000000" w:themeColor="text1"/>
          <w:sz w:val="28"/>
          <w:szCs w:val="28"/>
          <w:lang w:val="en-US" w:eastAsia="zh-CN"/>
          <w14:textFill>
            <w14:solidFill>
              <w14:schemeClr w14:val="tx1"/>
            </w14:solidFill>
          </w14:textFill>
        </w:rPr>
        <w:t>参与本项目投标供应商必须符合《中华人民共和国政府采购法》第二十二条之供应商资格条件要求。</w:t>
      </w:r>
    </w:p>
    <w:p w14:paraId="39D2D892">
      <w:pPr>
        <w:keepNext w:val="0"/>
        <w:keepLines w:val="0"/>
        <w:pageBreakBefore w:val="0"/>
        <w:widowControl/>
        <w:kinsoku/>
        <w:wordWrap/>
        <w:overflowPunct/>
        <w:topLinePunct w:val="0"/>
        <w:autoSpaceDE/>
        <w:autoSpaceDN/>
        <w:bidi w:val="0"/>
        <w:adjustRightInd/>
        <w:snapToGrid/>
        <w:spacing w:before="120" w:after="120" w:line="400"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注：具体资格条件以本项目采购公告为准</w:t>
      </w:r>
    </w:p>
    <w:p w14:paraId="688FA0C5">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二、采购预算：97.333916万元</w:t>
      </w:r>
      <w:bookmarkStart w:id="2" w:name="_GoBack"/>
      <w:bookmarkEnd w:id="2"/>
    </w:p>
    <w:p w14:paraId="244159E0">
      <w:pPr>
        <w:keepNext w:val="0"/>
        <w:keepLines w:val="0"/>
        <w:pageBreakBefore w:val="0"/>
        <w:widowControl/>
        <w:kinsoku/>
        <w:wordWrap/>
        <w:overflowPunct/>
        <w:topLinePunct w:val="0"/>
        <w:autoSpaceDE/>
        <w:autoSpaceDN/>
        <w:bidi w:val="0"/>
        <w:adjustRightInd/>
        <w:snapToGrid/>
        <w:spacing w:before="120" w:after="120" w:line="400" w:lineRule="exact"/>
        <w:ind w:firstLine="562" w:firstLineChars="200"/>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最高限价：97.333916万元</w:t>
      </w:r>
    </w:p>
    <w:p w14:paraId="4D65DBC2">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default"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三、实质性响应条款：</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详见竞争性磋商文件要求</w:t>
      </w:r>
    </w:p>
    <w:p w14:paraId="490FEFE5">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四、</w:t>
      </w:r>
      <w:bookmarkStart w:id="1" w:name="OLE_LINK9"/>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商务要求：详见竞争性磋商文件要求</w:t>
      </w:r>
      <w:bookmarkEnd w:id="1"/>
    </w:p>
    <w:p w14:paraId="6AFCC1AB">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五、评分方法：</w:t>
      </w:r>
      <w:r>
        <w:rPr>
          <w:rFonts w:hint="eastAsia" w:ascii="仿宋" w:hAnsi="仿宋" w:eastAsia="仿宋" w:cs="仿宋"/>
          <w:b/>
          <w:bCs/>
          <w:color w:val="000000" w:themeColor="text1"/>
          <w:sz w:val="28"/>
          <w:szCs w:val="28"/>
          <w:lang w:val="en-US" w:eastAsia="zh-CN"/>
          <w14:textFill>
            <w14:solidFill>
              <w14:schemeClr w14:val="tx1"/>
            </w14:solidFill>
          </w14:textFill>
        </w:rPr>
        <w:t>综合评分法。</w:t>
      </w:r>
    </w:p>
    <w:p w14:paraId="4435F9C7">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六、无效投标情形：</w:t>
      </w:r>
    </w:p>
    <w:p w14:paraId="3E9F02A2">
      <w:pPr>
        <w:pStyle w:val="3"/>
        <w:pageBreakBefore w:val="0"/>
        <w:widowControl w:val="0"/>
        <w:kinsoku/>
        <w:wordWrap/>
        <w:overflowPunct/>
        <w:topLinePunct w:val="0"/>
        <w:autoSpaceDE/>
        <w:autoSpaceDN/>
        <w:bidi w:val="0"/>
        <w:adjustRightInd/>
        <w:snapToGrid/>
        <w:spacing w:line="400" w:lineRule="exact"/>
        <w:ind w:right="-733" w:rightChars="-349"/>
        <w:textAlignment w:val="auto"/>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①未提供法定代表人授权委托书的，或资质文件不全或模糊，辨认不清；</w:t>
      </w:r>
    </w:p>
    <w:p w14:paraId="4F2E4453">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8"/>
          <w:szCs w:val="28"/>
          <w:u w:val="none"/>
          <w:lang w:val="en-US" w:eastAsia="zh-CN" w:bidi="ar-SA"/>
          <w14:textFill>
            <w14:solidFill>
              <w14:schemeClr w14:val="tx1"/>
            </w14:solidFill>
          </w14:textFill>
        </w:rPr>
        <w:t>②</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供应商未参加开标会或投标过程中进行贿赂投标的；</w:t>
      </w:r>
    </w:p>
    <w:p w14:paraId="6EC97D25">
      <w:pPr>
        <w:pStyle w:val="3"/>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8"/>
          <w:szCs w:val="28"/>
          <w:u w:val="none"/>
          <w:lang w:val="en-US" w:eastAsia="zh-CN" w:bidi="ar-SA"/>
          <w14:textFill>
            <w14:solidFill>
              <w14:schemeClr w14:val="tx1"/>
            </w14:solidFill>
          </w14:textFill>
        </w:rPr>
        <w:t>③</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弄虚作假，隐瞒真实情况的投标或干扰评标工作的投标；</w:t>
      </w:r>
    </w:p>
    <w:p w14:paraId="634D5590">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8"/>
          <w:szCs w:val="28"/>
          <w:u w:val="none"/>
          <w:lang w:val="en-US" w:eastAsia="zh-CN" w:bidi="ar-SA"/>
          <w14:textFill>
            <w14:solidFill>
              <w14:schemeClr w14:val="tx1"/>
            </w14:solidFill>
          </w14:textFill>
        </w:rPr>
        <w:t>④</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投标文件包封及内容未按照招标文件要求签署、盖章、标记的；</w:t>
      </w:r>
    </w:p>
    <w:p w14:paraId="06C6D0DA">
      <w:pPr>
        <w:pStyle w:val="3"/>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8"/>
          <w:szCs w:val="28"/>
          <w:u w:val="none"/>
          <w:lang w:val="en-US" w:eastAsia="zh-CN" w:bidi="ar-SA"/>
          <w14:textFill>
            <w14:solidFill>
              <w14:schemeClr w14:val="tx1"/>
            </w14:solidFill>
          </w14:textFill>
        </w:rPr>
        <w:t>⑤</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投标文件中有明显不符合商务要求和技术规格要求的；</w:t>
      </w:r>
    </w:p>
    <w:p w14:paraId="3D0F38E4">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8"/>
          <w:szCs w:val="28"/>
          <w:u w:val="none"/>
          <w:lang w:val="en-US" w:eastAsia="zh-CN" w:bidi="ar-SA"/>
          <w14:textFill>
            <w14:solidFill>
              <w14:schemeClr w14:val="tx1"/>
            </w14:solidFill>
          </w14:textFill>
        </w:rPr>
        <w:t>⑥</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投标文件中附又采购人不能接受的条件；</w:t>
      </w:r>
    </w:p>
    <w:p w14:paraId="6E91E2CD">
      <w:pPr>
        <w:pStyle w:val="3"/>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⑦未按照招标文件要求时间内提供招标文件保证金的投标；</w:t>
      </w:r>
    </w:p>
    <w:p w14:paraId="419F04BF">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⑧评审专家认为其他无效的投标内容。</w:t>
      </w:r>
    </w:p>
    <w:p w14:paraId="1CD33F12">
      <w:pPr>
        <w:pStyle w:val="2"/>
        <w:rPr>
          <w:rFonts w:hint="eastAsia"/>
          <w:lang w:val="en-US" w:eastAsia="zh-CN"/>
        </w:rPr>
      </w:pPr>
    </w:p>
    <w:p w14:paraId="65516759">
      <w:pPr>
        <w:keepNext w:val="0"/>
        <w:keepLines w:val="0"/>
        <w:pageBreakBefore w:val="0"/>
        <w:widowControl/>
        <w:numPr>
          <w:ilvl w:val="0"/>
          <w:numId w:val="2"/>
        </w:numPr>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采购内容：详见竞争性磋商文件</w:t>
      </w:r>
    </w:p>
    <w:p w14:paraId="41CE6903">
      <w:pPr>
        <w:keepNext w:val="0"/>
        <w:keepLines w:val="0"/>
        <w:pageBreakBefore w:val="0"/>
        <w:widowControl/>
        <w:numPr>
          <w:ilvl w:val="0"/>
          <w:numId w:val="2"/>
        </w:numPr>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采购清单：详见竞争性磋商文件</w:t>
      </w:r>
    </w:p>
    <w:p w14:paraId="76DF3240">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九、需要落实的政府采购政策：</w:t>
      </w:r>
    </w:p>
    <w:p w14:paraId="7F8EBAC5">
      <w:pPr>
        <w:pStyle w:val="2"/>
        <w:jc w:val="left"/>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采购项目需要落实的政府采购政策:本项目专门面向中小企业进行采购，不再对小微企业的产品给予价格扣除(监狱企业、残疾人福利性单位视同小微企业:残疾人福利性单位属于小型的，不重复享受政策)。</w:t>
      </w:r>
    </w:p>
    <w:p w14:paraId="6DA9429E">
      <w:pPr>
        <w:pStyle w:val="2"/>
        <w:jc w:val="left"/>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鼓励节能环保政策:根据《关于进一步落实政府采购有关政策的通知》(黔财采(2014)15号)，所投产品提供国家确定的认证机构出具的、处于有效期之内的节能产品、环境标志产品认证证书(强制采购产品除外)，每一项加0.3分:所投产品同时具有节能和环保证书的，每一项加0.5分，最高不超过2分。</w:t>
      </w:r>
    </w:p>
    <w:p w14:paraId="46E48FB8">
      <w:pPr>
        <w:pStyle w:val="2"/>
        <w:jc w:val="left"/>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支持少数民族地区产品政策:根据(关于进一步落实政府采购有关政策的通知)(黔财采(2014)15号)，对原产地在少数民族自治区和享受少数民族自治待遇的省份的投标主产品(不含附带产品)，在总得分基础上加3分:投标主产品按照不得低于本采购项目预算金额50%加以确定。①少数民族自治区:内蒙古自治区、新疆维吾尔自治区宁夏回族自治区、广西壮族自治区、西藏自治区;②)享受少数民族自治待遇的省份:青海省、云南省、贵州省。</w:t>
      </w:r>
    </w:p>
    <w:p w14:paraId="168F23C1">
      <w:pPr>
        <w:pStyle w:val="2"/>
        <w:jc w:val="left"/>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其他:按照(关于将国产密码应用措施等条款落实到政府采购有关政策的通知》(黔财采(2017)6号)文件、《财政部司法部关于政府采购支持监狱企业发展有关问题的通知》(财库(2014)68号)、《财政部民政部中国残疾人联合会关于促进残疾人就业政府采购政策的通知》(财库(2017)141 号)文件执行。</w:t>
      </w:r>
    </w:p>
    <w:p w14:paraId="33DEB503">
      <w:pPr>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p>
    <w:p w14:paraId="059CBE56">
      <w:pPr>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lang w:val="en-US" w:eastAsia="zh-CN" w:bidi="ar-SA"/>
          <w14:textFill>
            <w14:solidFill>
              <w14:schemeClr w14:val="tx1"/>
            </w14:solidFill>
          </w14:textFill>
        </w:rPr>
        <w:t>十、特别说明：本公示内容仅为采购人对本项目的需求公示，具体内容以最终采购文件发售稿为准。</w:t>
      </w:r>
    </w:p>
    <w:p w14:paraId="7B4F3334">
      <w:pPr>
        <w:pStyle w:val="9"/>
        <w:ind w:left="0" w:leftChars="0" w:firstLine="0" w:firstLineChars="0"/>
        <w:jc w:val="both"/>
        <w:rPr>
          <w:rFonts w:hint="eastAsia" w:asciiTheme="minorEastAsia" w:hAnsiTheme="minorEastAsia" w:eastAsiaTheme="minorEastAsia" w:cstheme="minorEastAsia"/>
          <w:b w:val="0"/>
          <w:bCs w:val="0"/>
          <w:color w:val="000000" w:themeColor="text1"/>
          <w:kern w:val="2"/>
          <w:sz w:val="24"/>
          <w:szCs w:val="24"/>
          <w:u w:val="none"/>
          <w:lang w:val="en-US" w:eastAsia="zh-CN" w:bidi="ar-SA"/>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455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89ECB3">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089ECB3">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DCC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647C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01FC">
    <w:pPr>
      <w:pStyle w:val="7"/>
      <w:rPr>
        <w:rFonts w:hint="default"/>
        <w:lang w:val="en-US" w:eastAsia="zh-CN"/>
      </w:rPr>
    </w:pPr>
    <w:r>
      <w:rPr>
        <w:rStyle w:val="25"/>
        <w:rFonts w:ascii="宋体" w:hAnsi="宋体" w:eastAsia="宋体"/>
        <w:kern w:val="2"/>
        <w:sz w:val="18"/>
        <w:szCs w:val="18"/>
        <w:lang w:val="en-US" w:eastAsia="zh-CN" w:bidi="ar-SA"/>
      </w:rPr>
      <w:t xml:space="preserve"> </w:t>
    </w:r>
    <w:r>
      <w:rPr>
        <w:rStyle w:val="25"/>
        <w:rFonts w:ascii="宋体" w:hAnsi="宋体" w:eastAsia="Times New Roman"/>
        <w:kern w:val="2"/>
        <w:sz w:val="18"/>
        <w:szCs w:val="18"/>
        <w:lang w:bidi="ar-SA"/>
      </w:rPr>
      <w:t xml:space="preserve">                   </w:t>
    </w:r>
    <w:r>
      <w:rPr>
        <w:rStyle w:val="25"/>
        <w:rFonts w:ascii="宋体" w:hAnsi="宋体" w:eastAsia="宋体"/>
        <w:kern w:val="2"/>
        <w:sz w:val="18"/>
        <w:szCs w:val="18"/>
        <w:lang w:eastAsia="zh-CN" w:bidi="ar-SA"/>
      </w:rPr>
      <w:t xml:space="preserve">                </w:t>
    </w:r>
    <w:r>
      <w:rPr>
        <w:rStyle w:val="25"/>
        <w:rFonts w:ascii="宋体" w:hAnsi="宋体" w:eastAsia="宋体"/>
        <w:kern w:val="2"/>
        <w:sz w:val="18"/>
        <w:szCs w:val="18"/>
        <w:lang w:val="en-US" w:eastAsia="zh-CN" w:bidi="ar-SA"/>
      </w:rPr>
      <w:t xml:space="preserve">     </w:t>
    </w:r>
    <w:r>
      <w:rPr>
        <w:rStyle w:val="25"/>
        <w:rFonts w:ascii="宋体" w:hAnsi="宋体" w:eastAsia="Times New Roman"/>
        <w:kern w:val="2"/>
        <w:sz w:val="18"/>
        <w:szCs w:val="18"/>
        <w:lang w:bidi="ar-SA"/>
      </w:rPr>
      <w:t xml:space="preserve">                   </w:t>
    </w:r>
    <w:r>
      <w:rPr>
        <w:rStyle w:val="25"/>
        <w:rFonts w:ascii="宋体" w:hAnsi="宋体" w:eastAsia="宋体"/>
        <w:kern w:val="2"/>
        <w:sz w:val="18"/>
        <w:szCs w:val="18"/>
        <w:lang w:eastAsia="zh-CN" w:bidi="ar-SA"/>
      </w:rPr>
      <w:t xml:space="preserve">                </w:t>
    </w:r>
    <w:r>
      <w:rPr>
        <w:rStyle w:val="25"/>
        <w:rFonts w:ascii="宋体" w:hAnsi="宋体" w:eastAsia="宋体"/>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D91E">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F621">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778E6"/>
    <w:multiLevelType w:val="singleLevel"/>
    <w:tmpl w:val="4FF778E6"/>
    <w:lvl w:ilvl="0" w:tentative="0">
      <w:start w:val="7"/>
      <w:numFmt w:val="chineseCounting"/>
      <w:suff w:val="nothing"/>
      <w:lvlText w:val="%1、"/>
      <w:lvlJc w:val="left"/>
      <w:rPr>
        <w:rFonts w:hint="eastAsia"/>
      </w:rPr>
    </w:lvl>
  </w:abstractNum>
  <w:abstractNum w:abstractNumId="1">
    <w:nsid w:val="6E83AB1D"/>
    <w:multiLevelType w:val="singleLevel"/>
    <w:tmpl w:val="6E83AB1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OWQ1OTIzY2Y0OTNmNzFkYjAxNDJkMDExODBiYWEifQ=="/>
  </w:docVars>
  <w:rsids>
    <w:rsidRoot w:val="0AE91827"/>
    <w:rsid w:val="000F0C8F"/>
    <w:rsid w:val="00235904"/>
    <w:rsid w:val="00583C0E"/>
    <w:rsid w:val="00810BAC"/>
    <w:rsid w:val="00892549"/>
    <w:rsid w:val="008A6E68"/>
    <w:rsid w:val="009B25FC"/>
    <w:rsid w:val="00A07B0A"/>
    <w:rsid w:val="00A10A23"/>
    <w:rsid w:val="00A131C6"/>
    <w:rsid w:val="00BE77DD"/>
    <w:rsid w:val="00CD473F"/>
    <w:rsid w:val="00D237B9"/>
    <w:rsid w:val="00D42D17"/>
    <w:rsid w:val="00DB6903"/>
    <w:rsid w:val="00DC2B3E"/>
    <w:rsid w:val="00DD158B"/>
    <w:rsid w:val="00E662AD"/>
    <w:rsid w:val="00EB4864"/>
    <w:rsid w:val="032F27D3"/>
    <w:rsid w:val="03F437CB"/>
    <w:rsid w:val="05550321"/>
    <w:rsid w:val="06654591"/>
    <w:rsid w:val="08397C64"/>
    <w:rsid w:val="08F16230"/>
    <w:rsid w:val="09795C5D"/>
    <w:rsid w:val="0A23686E"/>
    <w:rsid w:val="0AE61599"/>
    <w:rsid w:val="0AE91827"/>
    <w:rsid w:val="0BDF21C0"/>
    <w:rsid w:val="0C3712A2"/>
    <w:rsid w:val="0C8815DD"/>
    <w:rsid w:val="0D1D4687"/>
    <w:rsid w:val="0D4829AA"/>
    <w:rsid w:val="0DB02915"/>
    <w:rsid w:val="0EDA5863"/>
    <w:rsid w:val="0EF95E3E"/>
    <w:rsid w:val="0F901C57"/>
    <w:rsid w:val="0FB022B6"/>
    <w:rsid w:val="0FD7617F"/>
    <w:rsid w:val="112167A0"/>
    <w:rsid w:val="11421D1E"/>
    <w:rsid w:val="12246027"/>
    <w:rsid w:val="123856DF"/>
    <w:rsid w:val="132D1234"/>
    <w:rsid w:val="1332191F"/>
    <w:rsid w:val="14B4083D"/>
    <w:rsid w:val="162B4C41"/>
    <w:rsid w:val="178934D9"/>
    <w:rsid w:val="1B78586E"/>
    <w:rsid w:val="1C006F89"/>
    <w:rsid w:val="1D1A58FD"/>
    <w:rsid w:val="1E24179E"/>
    <w:rsid w:val="1E5A6CDF"/>
    <w:rsid w:val="1E7D6558"/>
    <w:rsid w:val="1EB63404"/>
    <w:rsid w:val="1F966DE3"/>
    <w:rsid w:val="218D1F85"/>
    <w:rsid w:val="228D35E0"/>
    <w:rsid w:val="236F38FF"/>
    <w:rsid w:val="247354F8"/>
    <w:rsid w:val="24C912A6"/>
    <w:rsid w:val="258B55EA"/>
    <w:rsid w:val="26035B0A"/>
    <w:rsid w:val="262D5ED9"/>
    <w:rsid w:val="26536331"/>
    <w:rsid w:val="26CC40CE"/>
    <w:rsid w:val="273054F6"/>
    <w:rsid w:val="27605F01"/>
    <w:rsid w:val="2830377E"/>
    <w:rsid w:val="28856D73"/>
    <w:rsid w:val="29E12D28"/>
    <w:rsid w:val="2AA607D0"/>
    <w:rsid w:val="2AF37417"/>
    <w:rsid w:val="2B615E6D"/>
    <w:rsid w:val="2B6E533B"/>
    <w:rsid w:val="2CDF446E"/>
    <w:rsid w:val="2DE93654"/>
    <w:rsid w:val="2FE9188B"/>
    <w:rsid w:val="30962399"/>
    <w:rsid w:val="30CD6021"/>
    <w:rsid w:val="312B71C2"/>
    <w:rsid w:val="318D16D7"/>
    <w:rsid w:val="318D2344"/>
    <w:rsid w:val="3380546F"/>
    <w:rsid w:val="35AB1C60"/>
    <w:rsid w:val="35CC5161"/>
    <w:rsid w:val="35F57B47"/>
    <w:rsid w:val="364E512B"/>
    <w:rsid w:val="38AE4FCD"/>
    <w:rsid w:val="38B13F0A"/>
    <w:rsid w:val="39127B32"/>
    <w:rsid w:val="39225E1D"/>
    <w:rsid w:val="39EB2BC3"/>
    <w:rsid w:val="3AC41988"/>
    <w:rsid w:val="3C6E3CBA"/>
    <w:rsid w:val="3CCE2B34"/>
    <w:rsid w:val="3EEE79AF"/>
    <w:rsid w:val="40CE003A"/>
    <w:rsid w:val="40EF3863"/>
    <w:rsid w:val="41405041"/>
    <w:rsid w:val="421E43D8"/>
    <w:rsid w:val="42250290"/>
    <w:rsid w:val="42C341BE"/>
    <w:rsid w:val="471A6BC7"/>
    <w:rsid w:val="471B078D"/>
    <w:rsid w:val="48542DA5"/>
    <w:rsid w:val="48745446"/>
    <w:rsid w:val="489C3FAB"/>
    <w:rsid w:val="48C46544"/>
    <w:rsid w:val="49EB7B56"/>
    <w:rsid w:val="4A0330F2"/>
    <w:rsid w:val="4A631536"/>
    <w:rsid w:val="4A7144FF"/>
    <w:rsid w:val="4B240821"/>
    <w:rsid w:val="4CA07B0F"/>
    <w:rsid w:val="4CA94E72"/>
    <w:rsid w:val="4DA94ACF"/>
    <w:rsid w:val="4EC40679"/>
    <w:rsid w:val="502A587C"/>
    <w:rsid w:val="505C7A00"/>
    <w:rsid w:val="50673DE1"/>
    <w:rsid w:val="50EA605B"/>
    <w:rsid w:val="5371770B"/>
    <w:rsid w:val="53D7518A"/>
    <w:rsid w:val="548F2152"/>
    <w:rsid w:val="5690147A"/>
    <w:rsid w:val="571A4D1F"/>
    <w:rsid w:val="57BE4AFC"/>
    <w:rsid w:val="5B536AC5"/>
    <w:rsid w:val="5B857A10"/>
    <w:rsid w:val="5C734DB5"/>
    <w:rsid w:val="5D1F603D"/>
    <w:rsid w:val="5E896715"/>
    <w:rsid w:val="5F0A2C39"/>
    <w:rsid w:val="61CE03D0"/>
    <w:rsid w:val="61DB1344"/>
    <w:rsid w:val="62BE3C02"/>
    <w:rsid w:val="62EB52AF"/>
    <w:rsid w:val="63F1387F"/>
    <w:rsid w:val="64742A59"/>
    <w:rsid w:val="65A610A9"/>
    <w:rsid w:val="6809141C"/>
    <w:rsid w:val="69424D0C"/>
    <w:rsid w:val="6972337C"/>
    <w:rsid w:val="6ADA17B5"/>
    <w:rsid w:val="6B1A73A8"/>
    <w:rsid w:val="6D796909"/>
    <w:rsid w:val="6E972ABE"/>
    <w:rsid w:val="6FEB39AD"/>
    <w:rsid w:val="6FFE1B71"/>
    <w:rsid w:val="709E229C"/>
    <w:rsid w:val="7238752D"/>
    <w:rsid w:val="72F413B8"/>
    <w:rsid w:val="74554FC0"/>
    <w:rsid w:val="74706504"/>
    <w:rsid w:val="75BA1442"/>
    <w:rsid w:val="766E5C13"/>
    <w:rsid w:val="771A1486"/>
    <w:rsid w:val="77C94E06"/>
    <w:rsid w:val="7AE75269"/>
    <w:rsid w:val="7C751397"/>
    <w:rsid w:val="7CEF7382"/>
    <w:rsid w:val="7D742FC6"/>
    <w:rsid w:val="7DA32E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qFormat/>
    <w:locked/>
    <w:uiPriority w:val="1"/>
    <w:pPr>
      <w:spacing w:before="183"/>
      <w:ind w:left="412" w:right="408"/>
      <w:jc w:val="center"/>
      <w:outlineLvl w:val="2"/>
    </w:pPr>
    <w:rPr>
      <w:rFonts w:ascii="仿宋" w:hAnsi="仿宋" w:eastAsia="仿宋" w:cs="仿宋"/>
      <w:b/>
      <w:bCs/>
      <w:sz w:val="36"/>
      <w:szCs w:val="36"/>
      <w:u w:val="single" w:color="000000"/>
      <w:lang w:val="zh-CN" w:eastAsia="zh-CN" w:bidi="zh-CN"/>
    </w:rPr>
  </w:style>
  <w:style w:type="character" w:default="1" w:styleId="12">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99"/>
    <w:pPr>
      <w:jc w:val="center"/>
    </w:pPr>
    <w:rPr>
      <w:b/>
      <w:bCs/>
      <w:sz w:val="28"/>
    </w:rPr>
  </w:style>
  <w:style w:type="paragraph" w:styleId="5">
    <w:name w:val="Plain Text"/>
    <w:basedOn w:val="1"/>
    <w:link w:val="16"/>
    <w:qFormat/>
    <w:uiPriority w:val="99"/>
    <w:rPr>
      <w:rFonts w:hAnsi="Courier New"/>
    </w:rPr>
  </w:style>
  <w:style w:type="paragraph" w:styleId="6">
    <w:name w:val="footer"/>
    <w:basedOn w:val="1"/>
    <w:link w:val="17"/>
    <w:autoRedefine/>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link w:val="19"/>
    <w:qFormat/>
    <w:uiPriority w:val="99"/>
    <w:pPr>
      <w:spacing w:after="120"/>
      <w:ind w:firstLine="420" w:firstLineChars="100"/>
    </w:pPr>
    <w:rPr>
      <w:rFonts w:ascii="Times New Roman" w:hAnsi="Times New Roman"/>
      <w:sz w:val="21"/>
    </w:rPr>
  </w:style>
  <w:style w:type="table" w:styleId="11">
    <w:name w:val="Table Grid"/>
    <w:basedOn w:val="10"/>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公1"/>
    <w:basedOn w:val="1"/>
    <w:autoRedefine/>
    <w:unhideWhenUsed/>
    <w:qFormat/>
    <w:uiPriority w:val="0"/>
    <w:pPr>
      <w:spacing w:beforeLines="0" w:afterLines="0"/>
      <w:ind w:firstLine="200" w:firstLineChars="200"/>
    </w:pPr>
    <w:rPr>
      <w:rFonts w:hint="eastAsia"/>
      <w:sz w:val="21"/>
      <w:szCs w:val="24"/>
    </w:rPr>
  </w:style>
  <w:style w:type="paragraph" w:customStyle="1" w:styleId="14">
    <w:name w:val="Default"/>
    <w:autoRedefine/>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Body Text Char"/>
    <w:basedOn w:val="12"/>
    <w:link w:val="4"/>
    <w:autoRedefine/>
    <w:semiHidden/>
    <w:qFormat/>
    <w:locked/>
    <w:uiPriority w:val="99"/>
    <w:rPr>
      <w:rFonts w:cs="Times New Roman"/>
      <w:sz w:val="24"/>
      <w:szCs w:val="24"/>
    </w:rPr>
  </w:style>
  <w:style w:type="character" w:customStyle="1" w:styleId="16">
    <w:name w:val="Plain Text Char"/>
    <w:basedOn w:val="12"/>
    <w:link w:val="5"/>
    <w:autoRedefine/>
    <w:semiHidden/>
    <w:qFormat/>
    <w:locked/>
    <w:uiPriority w:val="99"/>
    <w:rPr>
      <w:rFonts w:ascii="宋体" w:hAnsi="Courier New" w:cs="Courier New"/>
      <w:sz w:val="21"/>
      <w:szCs w:val="21"/>
    </w:rPr>
  </w:style>
  <w:style w:type="character" w:customStyle="1" w:styleId="17">
    <w:name w:val="Footer Char"/>
    <w:basedOn w:val="12"/>
    <w:link w:val="6"/>
    <w:semiHidden/>
    <w:qFormat/>
    <w:locked/>
    <w:uiPriority w:val="99"/>
    <w:rPr>
      <w:rFonts w:cs="Times New Roman"/>
      <w:sz w:val="18"/>
      <w:szCs w:val="18"/>
    </w:rPr>
  </w:style>
  <w:style w:type="character" w:customStyle="1" w:styleId="18">
    <w:name w:val="Header Char"/>
    <w:basedOn w:val="12"/>
    <w:link w:val="7"/>
    <w:autoRedefine/>
    <w:semiHidden/>
    <w:qFormat/>
    <w:locked/>
    <w:uiPriority w:val="99"/>
    <w:rPr>
      <w:rFonts w:cs="Times New Roman"/>
      <w:sz w:val="18"/>
      <w:szCs w:val="18"/>
    </w:rPr>
  </w:style>
  <w:style w:type="character" w:customStyle="1" w:styleId="19">
    <w:name w:val="Body Text First Indent Char"/>
    <w:basedOn w:val="15"/>
    <w:link w:val="9"/>
    <w:autoRedefine/>
    <w:semiHidden/>
    <w:qFormat/>
    <w:locked/>
    <w:uiPriority w:val="99"/>
  </w:style>
  <w:style w:type="paragraph" w:customStyle="1" w:styleId="20">
    <w:name w:val="表格"/>
    <w:basedOn w:val="1"/>
    <w:qFormat/>
    <w:uiPriority w:val="99"/>
    <w:pPr>
      <w:widowControl/>
      <w:spacing w:line="400" w:lineRule="exact"/>
      <w:jc w:val="left"/>
    </w:pPr>
    <w:rPr>
      <w:rFonts w:ascii="宋体"/>
      <w:kern w:val="0"/>
      <w:sz w:val="24"/>
    </w:rPr>
  </w:style>
  <w:style w:type="character" w:customStyle="1" w:styleId="21">
    <w:name w:val="font81"/>
    <w:basedOn w:val="12"/>
    <w:autoRedefine/>
    <w:qFormat/>
    <w:uiPriority w:val="0"/>
    <w:rPr>
      <w:rFonts w:hint="eastAsia" w:ascii="宋体" w:hAnsi="宋体" w:eastAsia="宋体" w:cs="宋体"/>
      <w:color w:val="000000"/>
      <w:sz w:val="20"/>
      <w:szCs w:val="20"/>
      <w:u w:val="none"/>
      <w:vertAlign w:val="superscript"/>
    </w:rPr>
  </w:style>
  <w:style w:type="character" w:customStyle="1" w:styleId="22">
    <w:name w:val="font01"/>
    <w:basedOn w:val="12"/>
    <w:qFormat/>
    <w:uiPriority w:val="0"/>
    <w:rPr>
      <w:rFonts w:hint="eastAsia" w:ascii="宋体" w:hAnsi="宋体" w:eastAsia="宋体" w:cs="宋体"/>
      <w:b/>
      <w:bCs/>
      <w:color w:val="000000"/>
      <w:sz w:val="28"/>
      <w:szCs w:val="28"/>
      <w:u w:val="none"/>
    </w:rPr>
  </w:style>
  <w:style w:type="character" w:customStyle="1" w:styleId="23">
    <w:name w:val="font41"/>
    <w:basedOn w:val="12"/>
    <w:autoRedefine/>
    <w:qFormat/>
    <w:uiPriority w:val="0"/>
    <w:rPr>
      <w:rFonts w:hint="eastAsia" w:ascii="宋体" w:hAnsi="宋体" w:eastAsia="宋体" w:cs="宋体"/>
      <w:color w:val="000000"/>
      <w:sz w:val="20"/>
      <w:szCs w:val="20"/>
      <w:u w:val="none"/>
    </w:rPr>
  </w:style>
  <w:style w:type="character" w:customStyle="1" w:styleId="24">
    <w:name w:val="font21"/>
    <w:basedOn w:val="12"/>
    <w:autoRedefine/>
    <w:qFormat/>
    <w:uiPriority w:val="0"/>
    <w:rPr>
      <w:rFonts w:hint="eastAsia" w:ascii="宋体" w:hAnsi="宋体" w:eastAsia="宋体" w:cs="宋体"/>
      <w:color w:val="000000"/>
      <w:sz w:val="22"/>
      <w:szCs w:val="22"/>
      <w:u w:val="none"/>
      <w:vertAlign w:val="superscript"/>
    </w:rPr>
  </w:style>
  <w:style w:type="character" w:customStyle="1" w:styleId="25">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26">
    <w:name w:val="Body text|1"/>
    <w:basedOn w:val="1"/>
    <w:autoRedefine/>
    <w:qFormat/>
    <w:uiPriority w:val="0"/>
    <w:pPr>
      <w:widowControl w:val="0"/>
      <w:shd w:val="clear" w:color="auto" w:fill="auto"/>
      <w:spacing w:after="100" w:line="276" w:lineRule="auto"/>
    </w:pPr>
    <w:rPr>
      <w:rFonts w:ascii="宋体" w:hAnsi="宋体" w:eastAsia="宋体" w:cs="宋体"/>
      <w:sz w:val="22"/>
      <w:szCs w:val="22"/>
      <w:u w:val="single"/>
      <w:shd w:val="clear" w:color="auto" w:fill="auto"/>
      <w:lang w:val="zh-TW" w:eastAsia="zh-TW" w:bidi="zh-TW"/>
    </w:rPr>
  </w:style>
  <w:style w:type="paragraph" w:customStyle="1" w:styleId="27">
    <w:name w:val="Body text|4"/>
    <w:basedOn w:val="1"/>
    <w:qFormat/>
    <w:uiPriority w:val="0"/>
    <w:pPr>
      <w:widowControl w:val="0"/>
      <w:shd w:val="clear" w:color="auto" w:fill="auto"/>
      <w:spacing w:after="480"/>
      <w:jc w:val="center"/>
    </w:pPr>
    <w:rPr>
      <w:rFonts w:ascii="宋体" w:hAnsi="宋体" w:eastAsia="宋体" w:cs="宋体"/>
      <w:b/>
      <w:bCs/>
      <w:sz w:val="40"/>
      <w:szCs w:val="40"/>
      <w:u w:val="none"/>
      <w:shd w:val="clear" w:color="auto" w:fill="auto"/>
      <w:lang w:val="zh-TW" w:eastAsia="zh-TW" w:bidi="zh-TW"/>
    </w:rPr>
  </w:style>
  <w:style w:type="paragraph" w:customStyle="1" w:styleId="28">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997</Words>
  <Characters>1044</Characters>
  <Lines>0</Lines>
  <Paragraphs>0</Paragraphs>
  <TotalTime>2</TotalTime>
  <ScaleCrop>false</ScaleCrop>
  <LinksUpToDate>false</LinksUpToDate>
  <CharactersWithSpaces>1045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2020-07-13T09:16:00Z</dcterms:created>
  <dc:creator>琪妙</dc:creator>
  <cp:lastModifiedBy>Administrator</cp:lastModifiedBy>
  <cp:lastPrinted>2022-11-14T02:49:00Z</cp:lastPrinted>
  <dcterms:modified xsi:type="dcterms:W3CDTF">2025-07-17T02:08:17Z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8F80E3BC6DE447558F04006649D8AF02_13</vt:lpwstr>
  </property>
  <property fmtid="{D5CDD505-2E9C-101B-9397-08002B2CF9AE}" pid="4" name="KSOTemplateDocerSaveRecord">
    <vt:lpwstr>eyJoZGlkIjoiOTBhNjM5NTg3YzIxM2ViODU3OTI5MmQxMDFiOGNkNzIifQ==</vt:lpwstr>
  </property>
</Properties>
</file>