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B710C">
      <w:pPr>
        <w:pageBreakBefore w:val="0"/>
        <w:kinsoku/>
        <w:wordWrap/>
        <w:overflowPunct/>
        <w:topLinePunct w:val="0"/>
        <w:autoSpaceDE/>
        <w:autoSpaceDN/>
        <w:bidi w:val="0"/>
        <w:spacing w:before="0" w:after="0" w:line="240" w:lineRule="auto"/>
        <w:jc w:val="center"/>
        <w:rPr>
          <w:rFonts w:hint="eastAsia" w:ascii="宋体" w:hAnsi="宋体" w:eastAsia="宋体" w:cs="宋体"/>
          <w:sz w:val="24"/>
        </w:rPr>
      </w:pPr>
    </w:p>
    <w:p w14:paraId="7094A502">
      <w:pPr>
        <w:pageBreakBefore w:val="0"/>
        <w:kinsoku/>
        <w:wordWrap/>
        <w:overflowPunct/>
        <w:topLinePunct w:val="0"/>
        <w:autoSpaceDE/>
        <w:autoSpaceDN/>
        <w:bidi w:val="0"/>
        <w:spacing w:before="0" w:after="0" w:line="240" w:lineRule="auto"/>
        <w:jc w:val="center"/>
        <w:rPr>
          <w:rFonts w:hint="eastAsia" w:ascii="宋体" w:hAnsi="宋体" w:eastAsia="宋体" w:cs="宋体"/>
          <w:sz w:val="36"/>
          <w:szCs w:val="36"/>
        </w:rPr>
      </w:pPr>
      <w:r>
        <w:rPr>
          <w:rFonts w:hint="eastAsia" w:ascii="宋体" w:hAnsi="宋体" w:eastAsia="宋体" w:cs="宋体"/>
          <w:sz w:val="36"/>
          <w:szCs w:val="36"/>
        </w:rPr>
        <w:t>息烽县农业农村局</w:t>
      </w:r>
    </w:p>
    <w:p w14:paraId="44D52C2E">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36"/>
          <w:szCs w:val="36"/>
        </w:rPr>
      </w:pPr>
    </w:p>
    <w:p w14:paraId="1CC1E3B0">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36"/>
          <w:szCs w:val="36"/>
        </w:rPr>
      </w:pPr>
      <w:r>
        <w:rPr>
          <w:rFonts w:hint="eastAsia" w:ascii="宋体" w:hAnsi="宋体" w:eastAsia="宋体" w:cs="宋体"/>
          <w:spacing w:val="20"/>
          <w:sz w:val="36"/>
          <w:szCs w:val="36"/>
        </w:rPr>
        <w:t>息烽县2025年扩种油菜项目</w:t>
      </w:r>
    </w:p>
    <w:p w14:paraId="48FF402F">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36"/>
          <w:szCs w:val="36"/>
        </w:rPr>
      </w:pPr>
    </w:p>
    <w:p w14:paraId="1CAC29AC">
      <w:pPr>
        <w:pageBreakBefore w:val="0"/>
        <w:kinsoku/>
        <w:wordWrap/>
        <w:overflowPunct/>
        <w:topLinePunct w:val="0"/>
        <w:autoSpaceDE/>
        <w:autoSpaceDN/>
        <w:bidi w:val="0"/>
        <w:spacing w:beforeLines="50" w:beforeAutospacing="0" w:afterLines="50" w:afterAutospacing="0" w:line="240" w:lineRule="auto"/>
        <w:jc w:val="center"/>
        <w:rPr>
          <w:rFonts w:hint="eastAsia" w:ascii="宋体" w:hAnsi="宋体" w:eastAsia="宋体" w:cs="宋体"/>
          <w:spacing w:val="20"/>
          <w:sz w:val="24"/>
        </w:rPr>
      </w:pPr>
      <w:r>
        <w:rPr>
          <w:rFonts w:hint="eastAsia" w:ascii="宋体" w:hAnsi="宋体" w:eastAsia="宋体" w:cs="宋体"/>
          <w:spacing w:val="20"/>
          <w:sz w:val="36"/>
          <w:szCs w:val="36"/>
        </w:rPr>
        <w:t>需求文件</w:t>
      </w:r>
    </w:p>
    <w:p w14:paraId="5679ABC7">
      <w:pPr>
        <w:pageBreakBefore w:val="0"/>
        <w:kinsoku/>
        <w:wordWrap/>
        <w:overflowPunct/>
        <w:topLinePunct w:val="0"/>
        <w:autoSpaceDE/>
        <w:autoSpaceDN/>
        <w:bidi w:val="0"/>
        <w:spacing w:before="0" w:after="0" w:line="240" w:lineRule="auto"/>
        <w:jc w:val="center"/>
        <w:rPr>
          <w:rFonts w:hint="eastAsia" w:ascii="宋体" w:hAnsi="宋体" w:eastAsia="宋体" w:cs="宋体"/>
          <w:sz w:val="24"/>
        </w:rPr>
      </w:pPr>
    </w:p>
    <w:p w14:paraId="59282977">
      <w:pPr>
        <w:pageBreakBefore w:val="0"/>
        <w:kinsoku/>
        <w:wordWrap/>
        <w:overflowPunct/>
        <w:topLinePunct w:val="0"/>
        <w:autoSpaceDE/>
        <w:autoSpaceDN/>
        <w:bidi w:val="0"/>
        <w:spacing w:before="0" w:after="0" w:line="240" w:lineRule="auto"/>
        <w:jc w:val="center"/>
        <w:rPr>
          <w:rFonts w:hint="eastAsia" w:ascii="宋体" w:hAnsi="宋体" w:eastAsia="宋体" w:cs="宋体"/>
          <w:spacing w:val="20"/>
          <w:sz w:val="24"/>
        </w:rPr>
      </w:pP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p>
    <w:p w14:paraId="4B7ED9CC">
      <w:pPr>
        <w:pageBreakBefore w:val="0"/>
        <w:kinsoku/>
        <w:wordWrap/>
        <w:overflowPunct/>
        <w:topLinePunct w:val="0"/>
        <w:autoSpaceDE/>
        <w:autoSpaceDN/>
        <w:bidi w:val="0"/>
        <w:spacing w:before="0" w:after="0" w:line="240" w:lineRule="auto"/>
        <w:rPr>
          <w:rFonts w:hint="eastAsia" w:ascii="宋体" w:hAnsi="宋体" w:eastAsia="宋体" w:cs="宋体"/>
          <w:spacing w:val="20"/>
          <w:sz w:val="24"/>
        </w:rPr>
      </w:pPr>
    </w:p>
    <w:p w14:paraId="26050C4C">
      <w:pPr>
        <w:pageBreakBefore w:val="0"/>
        <w:kinsoku/>
        <w:wordWrap/>
        <w:overflowPunct/>
        <w:topLinePunct w:val="0"/>
        <w:autoSpaceDE/>
        <w:autoSpaceDN/>
        <w:bidi w:val="0"/>
        <w:spacing w:before="0" w:after="0" w:line="240" w:lineRule="auto"/>
        <w:jc w:val="center"/>
        <w:rPr>
          <w:rFonts w:hint="eastAsia" w:ascii="宋体" w:hAnsi="宋体" w:eastAsia="宋体" w:cs="宋体"/>
          <w:spacing w:val="20"/>
          <w:sz w:val="24"/>
        </w:rPr>
      </w:pPr>
    </w:p>
    <w:tbl>
      <w:tblPr>
        <w:tblStyle w:val="12"/>
        <w:tblW w:w="0" w:type="auto"/>
        <w:jc w:val="center"/>
        <w:tblLayout w:type="fixed"/>
        <w:tblCellMar>
          <w:top w:w="0" w:type="dxa"/>
          <w:left w:w="108" w:type="dxa"/>
          <w:bottom w:w="0" w:type="dxa"/>
          <w:right w:w="108" w:type="dxa"/>
        </w:tblCellMar>
      </w:tblPr>
      <w:tblGrid>
        <w:gridCol w:w="1597"/>
        <w:gridCol w:w="1767"/>
        <w:gridCol w:w="1502"/>
        <w:gridCol w:w="2131"/>
      </w:tblGrid>
      <w:tr w14:paraId="3DECF03E">
        <w:tblPrEx>
          <w:tblCellMar>
            <w:top w:w="0" w:type="dxa"/>
            <w:left w:w="108" w:type="dxa"/>
            <w:bottom w:w="0" w:type="dxa"/>
            <w:right w:w="108" w:type="dxa"/>
          </w:tblCellMar>
        </w:tblPrEx>
        <w:trPr>
          <w:jc w:val="center"/>
        </w:trPr>
        <w:tc>
          <w:tcPr>
            <w:tcW w:w="1597" w:type="dxa"/>
            <w:shd w:val="clear" w:color="auto" w:fill="auto"/>
            <w:vAlign w:val="bottom"/>
          </w:tcPr>
          <w:p w14:paraId="11403CDE">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项目序列号：</w:t>
            </w:r>
          </w:p>
        </w:tc>
        <w:tc>
          <w:tcPr>
            <w:tcW w:w="5400" w:type="dxa"/>
            <w:gridSpan w:val="3"/>
            <w:tcBorders>
              <w:top w:val="nil"/>
              <w:left w:val="nil"/>
              <w:bottom w:val="single" w:color="auto" w:sz="4" w:space="0"/>
              <w:right w:val="nil"/>
            </w:tcBorders>
            <w:shd w:val="clear" w:color="auto" w:fill="auto"/>
            <w:vAlign w:val="bottom"/>
          </w:tcPr>
          <w:p w14:paraId="3BB7AABB">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p>
        </w:tc>
      </w:tr>
      <w:tr w14:paraId="0532B593">
        <w:tblPrEx>
          <w:tblCellMar>
            <w:top w:w="0" w:type="dxa"/>
            <w:left w:w="108" w:type="dxa"/>
            <w:bottom w:w="0" w:type="dxa"/>
            <w:right w:w="108" w:type="dxa"/>
          </w:tblCellMar>
        </w:tblPrEx>
        <w:trPr>
          <w:jc w:val="center"/>
        </w:trPr>
        <w:tc>
          <w:tcPr>
            <w:tcW w:w="1597" w:type="dxa"/>
            <w:shd w:val="clear" w:color="auto" w:fill="auto"/>
            <w:vAlign w:val="bottom"/>
          </w:tcPr>
          <w:p w14:paraId="1D8B4369">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项目名称：</w:t>
            </w:r>
          </w:p>
        </w:tc>
        <w:tc>
          <w:tcPr>
            <w:tcW w:w="5400" w:type="dxa"/>
            <w:gridSpan w:val="3"/>
            <w:tcBorders>
              <w:top w:val="single" w:color="auto" w:sz="4" w:space="0"/>
              <w:left w:val="nil"/>
              <w:bottom w:val="single" w:color="auto" w:sz="4" w:space="0"/>
              <w:right w:val="nil"/>
            </w:tcBorders>
            <w:shd w:val="clear" w:color="auto" w:fill="auto"/>
            <w:vAlign w:val="bottom"/>
          </w:tcPr>
          <w:p w14:paraId="16A4A585">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息烽县2025年扩种油菜项目</w:t>
            </w:r>
          </w:p>
        </w:tc>
      </w:tr>
      <w:tr w14:paraId="14EF8E0F">
        <w:tblPrEx>
          <w:tblCellMar>
            <w:top w:w="0" w:type="dxa"/>
            <w:left w:w="108" w:type="dxa"/>
            <w:bottom w:w="0" w:type="dxa"/>
            <w:right w:w="108" w:type="dxa"/>
          </w:tblCellMar>
        </w:tblPrEx>
        <w:trPr>
          <w:jc w:val="center"/>
        </w:trPr>
        <w:tc>
          <w:tcPr>
            <w:tcW w:w="1597" w:type="dxa"/>
            <w:shd w:val="clear" w:color="auto" w:fill="auto"/>
            <w:vAlign w:val="bottom"/>
          </w:tcPr>
          <w:p w14:paraId="004F9245">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采购方式：</w:t>
            </w:r>
          </w:p>
        </w:tc>
        <w:tc>
          <w:tcPr>
            <w:tcW w:w="1767" w:type="dxa"/>
            <w:tcBorders>
              <w:top w:val="single" w:color="auto" w:sz="4" w:space="0"/>
              <w:left w:val="nil"/>
              <w:bottom w:val="single" w:color="auto" w:sz="4" w:space="0"/>
              <w:right w:val="nil"/>
            </w:tcBorders>
            <w:shd w:val="clear" w:color="auto" w:fill="auto"/>
            <w:vAlign w:val="bottom"/>
          </w:tcPr>
          <w:p w14:paraId="21AE6408">
            <w:pPr>
              <w:pageBreakBefore w:val="0"/>
              <w:kinsoku/>
              <w:wordWrap/>
              <w:overflowPunct/>
              <w:topLinePunct w:val="0"/>
              <w:autoSpaceDE/>
              <w:autoSpaceDN/>
              <w:bidi w:val="0"/>
              <w:spacing w:before="0" w:after="0" w:line="240" w:lineRule="auto"/>
              <w:rPr>
                <w:rFonts w:hint="eastAsia" w:ascii="宋体" w:hAnsi="宋体" w:eastAsia="宋体" w:cs="宋体"/>
                <w:sz w:val="24"/>
                <w:lang w:val="en-US" w:eastAsia="zh-CN"/>
              </w:rPr>
            </w:pPr>
            <w:r>
              <w:rPr>
                <w:rFonts w:hint="eastAsia" w:ascii="宋体" w:hAnsi="宋体" w:cs="宋体"/>
                <w:sz w:val="24"/>
                <w:lang w:val="en-US" w:eastAsia="zh-CN"/>
              </w:rPr>
              <w:t>竞争性谈判</w:t>
            </w:r>
          </w:p>
        </w:tc>
        <w:tc>
          <w:tcPr>
            <w:tcW w:w="1502" w:type="dxa"/>
            <w:tcBorders>
              <w:top w:val="single" w:color="auto" w:sz="4" w:space="0"/>
              <w:left w:val="nil"/>
              <w:bottom w:val="nil"/>
              <w:right w:val="nil"/>
            </w:tcBorders>
            <w:shd w:val="clear" w:color="auto" w:fill="auto"/>
            <w:vAlign w:val="bottom"/>
          </w:tcPr>
          <w:p w14:paraId="63990ED9">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采购类别：</w:t>
            </w:r>
          </w:p>
        </w:tc>
        <w:tc>
          <w:tcPr>
            <w:tcW w:w="2131" w:type="dxa"/>
            <w:tcBorders>
              <w:top w:val="single" w:color="auto" w:sz="4" w:space="0"/>
              <w:left w:val="nil"/>
              <w:bottom w:val="single" w:color="auto" w:sz="4" w:space="0"/>
              <w:right w:val="nil"/>
            </w:tcBorders>
            <w:shd w:val="clear" w:color="auto" w:fill="auto"/>
            <w:vAlign w:val="bottom"/>
          </w:tcPr>
          <w:p w14:paraId="63F31555">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货物</w:t>
            </w:r>
          </w:p>
        </w:tc>
      </w:tr>
      <w:tr w14:paraId="5831AA54">
        <w:tblPrEx>
          <w:tblCellMar>
            <w:top w:w="0" w:type="dxa"/>
            <w:left w:w="108" w:type="dxa"/>
            <w:bottom w:w="0" w:type="dxa"/>
            <w:right w:w="108" w:type="dxa"/>
          </w:tblCellMar>
        </w:tblPrEx>
        <w:trPr>
          <w:jc w:val="center"/>
        </w:trPr>
        <w:tc>
          <w:tcPr>
            <w:tcW w:w="1597" w:type="dxa"/>
            <w:shd w:val="clear" w:color="auto" w:fill="auto"/>
            <w:vAlign w:val="bottom"/>
          </w:tcPr>
          <w:p w14:paraId="67EC1AFB">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项目编号：</w:t>
            </w:r>
          </w:p>
        </w:tc>
        <w:tc>
          <w:tcPr>
            <w:tcW w:w="5400" w:type="dxa"/>
            <w:gridSpan w:val="3"/>
            <w:tcBorders>
              <w:top w:val="nil"/>
              <w:left w:val="nil"/>
              <w:bottom w:val="single" w:color="auto" w:sz="4" w:space="0"/>
              <w:right w:val="nil"/>
            </w:tcBorders>
            <w:shd w:val="clear" w:color="auto" w:fill="auto"/>
            <w:vAlign w:val="bottom"/>
          </w:tcPr>
          <w:p w14:paraId="00CE9194">
            <w:pPr>
              <w:pageBreakBefore w:val="0"/>
              <w:kinsoku/>
              <w:wordWrap/>
              <w:overflowPunct/>
              <w:topLinePunct w:val="0"/>
              <w:autoSpaceDE/>
              <w:autoSpaceDN/>
              <w:bidi w:val="0"/>
              <w:spacing w:before="0" w:after="0" w:line="240" w:lineRule="auto"/>
              <w:jc w:val="left"/>
              <w:rPr>
                <w:rFonts w:hint="default" w:ascii="宋体" w:hAnsi="宋体" w:eastAsia="宋体" w:cs="宋体"/>
                <w:sz w:val="24"/>
                <w:lang w:val="en-US" w:eastAsia="zh-CN"/>
              </w:rPr>
            </w:pPr>
            <w:r>
              <w:rPr>
                <w:rFonts w:hint="eastAsia" w:ascii="宋体" w:hAnsi="宋体" w:eastAsia="宋体" w:cs="宋体"/>
                <w:sz w:val="24"/>
              </w:rPr>
              <w:t>ZDGX-202</w:t>
            </w:r>
            <w:r>
              <w:rPr>
                <w:rFonts w:hint="eastAsia" w:ascii="宋体" w:hAnsi="宋体" w:cs="宋体"/>
                <w:sz w:val="24"/>
                <w:lang w:val="en-US" w:eastAsia="zh-CN"/>
              </w:rPr>
              <w:t>5</w:t>
            </w:r>
            <w:r>
              <w:rPr>
                <w:rFonts w:hint="eastAsia" w:ascii="宋体" w:hAnsi="宋体" w:eastAsia="宋体" w:cs="宋体"/>
                <w:sz w:val="24"/>
              </w:rPr>
              <w:t>-0</w:t>
            </w:r>
            <w:r>
              <w:rPr>
                <w:rFonts w:hint="eastAsia" w:ascii="宋体" w:hAnsi="宋体" w:cs="宋体"/>
                <w:sz w:val="24"/>
                <w:lang w:val="en-US" w:eastAsia="zh-CN"/>
              </w:rPr>
              <w:t>14</w:t>
            </w:r>
          </w:p>
        </w:tc>
      </w:tr>
      <w:tr w14:paraId="1547075B">
        <w:tblPrEx>
          <w:tblCellMar>
            <w:top w:w="0" w:type="dxa"/>
            <w:left w:w="108" w:type="dxa"/>
            <w:bottom w:w="0" w:type="dxa"/>
            <w:right w:w="108" w:type="dxa"/>
          </w:tblCellMar>
        </w:tblPrEx>
        <w:trPr>
          <w:jc w:val="center"/>
        </w:trPr>
        <w:tc>
          <w:tcPr>
            <w:tcW w:w="1597" w:type="dxa"/>
            <w:shd w:val="clear" w:color="auto" w:fill="auto"/>
            <w:vAlign w:val="bottom"/>
          </w:tcPr>
          <w:p w14:paraId="57663E9C">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采 购 人：</w:t>
            </w:r>
          </w:p>
        </w:tc>
        <w:tc>
          <w:tcPr>
            <w:tcW w:w="5400" w:type="dxa"/>
            <w:gridSpan w:val="3"/>
            <w:tcBorders>
              <w:top w:val="single" w:color="auto" w:sz="4" w:space="0"/>
              <w:left w:val="nil"/>
              <w:bottom w:val="single" w:color="auto" w:sz="4" w:space="0"/>
              <w:right w:val="nil"/>
            </w:tcBorders>
            <w:shd w:val="clear" w:color="auto" w:fill="auto"/>
            <w:vAlign w:val="bottom"/>
          </w:tcPr>
          <w:p w14:paraId="34F894E7">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息烽县农业农村局</w:t>
            </w:r>
          </w:p>
        </w:tc>
      </w:tr>
      <w:tr w14:paraId="25B9EA30">
        <w:tblPrEx>
          <w:tblCellMar>
            <w:top w:w="0" w:type="dxa"/>
            <w:left w:w="108" w:type="dxa"/>
            <w:bottom w:w="0" w:type="dxa"/>
            <w:right w:w="108" w:type="dxa"/>
          </w:tblCellMar>
        </w:tblPrEx>
        <w:trPr>
          <w:jc w:val="center"/>
        </w:trPr>
        <w:tc>
          <w:tcPr>
            <w:tcW w:w="1597" w:type="dxa"/>
            <w:shd w:val="clear" w:color="auto" w:fill="auto"/>
            <w:vAlign w:val="bottom"/>
          </w:tcPr>
          <w:p w14:paraId="0B87DB53">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详细地址：</w:t>
            </w:r>
          </w:p>
        </w:tc>
        <w:tc>
          <w:tcPr>
            <w:tcW w:w="5400" w:type="dxa"/>
            <w:gridSpan w:val="3"/>
            <w:tcBorders>
              <w:top w:val="single" w:color="auto" w:sz="4" w:space="0"/>
              <w:left w:val="nil"/>
              <w:bottom w:val="single" w:color="auto" w:sz="4" w:space="0"/>
              <w:right w:val="nil"/>
            </w:tcBorders>
            <w:shd w:val="clear" w:color="auto" w:fill="auto"/>
            <w:vAlign w:val="bottom"/>
          </w:tcPr>
          <w:p w14:paraId="0863432B">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息烽县永靖镇文化西路</w:t>
            </w:r>
          </w:p>
        </w:tc>
      </w:tr>
      <w:tr w14:paraId="4FAFDD27">
        <w:tblPrEx>
          <w:tblCellMar>
            <w:top w:w="0" w:type="dxa"/>
            <w:left w:w="108" w:type="dxa"/>
            <w:bottom w:w="0" w:type="dxa"/>
            <w:right w:w="108" w:type="dxa"/>
          </w:tblCellMar>
        </w:tblPrEx>
        <w:trPr>
          <w:jc w:val="center"/>
        </w:trPr>
        <w:tc>
          <w:tcPr>
            <w:tcW w:w="1597" w:type="dxa"/>
            <w:shd w:val="clear" w:color="auto" w:fill="auto"/>
            <w:vAlign w:val="bottom"/>
          </w:tcPr>
          <w:p w14:paraId="595C4CD0">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 系 人：</w:t>
            </w:r>
          </w:p>
        </w:tc>
        <w:tc>
          <w:tcPr>
            <w:tcW w:w="1767" w:type="dxa"/>
            <w:tcBorders>
              <w:top w:val="single" w:color="auto" w:sz="4" w:space="0"/>
              <w:left w:val="nil"/>
              <w:bottom w:val="single" w:color="auto" w:sz="4" w:space="0"/>
              <w:right w:val="nil"/>
            </w:tcBorders>
            <w:shd w:val="clear" w:color="auto" w:fill="auto"/>
            <w:vAlign w:val="bottom"/>
          </w:tcPr>
          <w:p w14:paraId="6932CE79">
            <w:pPr>
              <w:pageBreakBefore w:val="0"/>
              <w:kinsoku/>
              <w:wordWrap/>
              <w:overflowPunct/>
              <w:topLinePunct w:val="0"/>
              <w:autoSpaceDE/>
              <w:autoSpaceDN/>
              <w:bidi w:val="0"/>
              <w:spacing w:before="0" w:after="0"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付义丹</w:t>
            </w:r>
          </w:p>
        </w:tc>
        <w:tc>
          <w:tcPr>
            <w:tcW w:w="1502" w:type="dxa"/>
            <w:tcBorders>
              <w:top w:val="single" w:color="auto" w:sz="4" w:space="0"/>
              <w:left w:val="nil"/>
              <w:bottom w:val="nil"/>
              <w:right w:val="nil"/>
            </w:tcBorders>
            <w:shd w:val="clear" w:color="auto" w:fill="auto"/>
            <w:vAlign w:val="bottom"/>
          </w:tcPr>
          <w:p w14:paraId="39FDDDAA">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联系电话：</w:t>
            </w:r>
          </w:p>
        </w:tc>
        <w:tc>
          <w:tcPr>
            <w:tcW w:w="2131" w:type="dxa"/>
            <w:tcBorders>
              <w:top w:val="single" w:color="auto" w:sz="4" w:space="0"/>
              <w:left w:val="nil"/>
              <w:bottom w:val="single" w:color="auto" w:sz="4" w:space="0"/>
              <w:right w:val="nil"/>
            </w:tcBorders>
            <w:shd w:val="clear" w:color="auto" w:fill="auto"/>
            <w:vAlign w:val="bottom"/>
          </w:tcPr>
          <w:p w14:paraId="65B703FC">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0851-87725465</w:t>
            </w:r>
          </w:p>
        </w:tc>
      </w:tr>
      <w:tr w14:paraId="6982F773">
        <w:tblPrEx>
          <w:tblCellMar>
            <w:top w:w="0" w:type="dxa"/>
            <w:left w:w="108" w:type="dxa"/>
            <w:bottom w:w="0" w:type="dxa"/>
            <w:right w:w="108" w:type="dxa"/>
          </w:tblCellMar>
        </w:tblPrEx>
        <w:trPr>
          <w:jc w:val="center"/>
        </w:trPr>
        <w:tc>
          <w:tcPr>
            <w:tcW w:w="1597" w:type="dxa"/>
            <w:shd w:val="clear" w:color="auto" w:fill="auto"/>
            <w:vAlign w:val="bottom"/>
          </w:tcPr>
          <w:p w14:paraId="2423AF8F">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代理机构：</w:t>
            </w:r>
          </w:p>
        </w:tc>
        <w:tc>
          <w:tcPr>
            <w:tcW w:w="5400" w:type="dxa"/>
            <w:gridSpan w:val="3"/>
            <w:tcBorders>
              <w:top w:val="nil"/>
              <w:left w:val="nil"/>
              <w:bottom w:val="single" w:color="auto" w:sz="4" w:space="0"/>
              <w:right w:val="nil"/>
            </w:tcBorders>
            <w:shd w:val="clear" w:color="auto" w:fill="auto"/>
            <w:vAlign w:val="bottom"/>
          </w:tcPr>
          <w:p w14:paraId="2D82A52F">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中大国信工程管理有限公司</w:t>
            </w:r>
          </w:p>
        </w:tc>
      </w:tr>
      <w:tr w14:paraId="2D4FE44E">
        <w:tblPrEx>
          <w:tblCellMar>
            <w:top w:w="0" w:type="dxa"/>
            <w:left w:w="108" w:type="dxa"/>
            <w:bottom w:w="0" w:type="dxa"/>
            <w:right w:w="108" w:type="dxa"/>
          </w:tblCellMar>
        </w:tblPrEx>
        <w:trPr>
          <w:jc w:val="center"/>
        </w:trPr>
        <w:tc>
          <w:tcPr>
            <w:tcW w:w="1597" w:type="dxa"/>
            <w:shd w:val="clear" w:color="auto" w:fill="auto"/>
            <w:vAlign w:val="bottom"/>
          </w:tcPr>
          <w:p w14:paraId="704C762C">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详细地址：</w:t>
            </w:r>
          </w:p>
        </w:tc>
        <w:tc>
          <w:tcPr>
            <w:tcW w:w="5400" w:type="dxa"/>
            <w:gridSpan w:val="3"/>
            <w:tcBorders>
              <w:top w:val="single" w:color="auto" w:sz="4" w:space="0"/>
              <w:left w:val="nil"/>
              <w:bottom w:val="single" w:color="auto" w:sz="4" w:space="0"/>
              <w:right w:val="nil"/>
            </w:tcBorders>
            <w:shd w:val="clear" w:color="auto" w:fill="auto"/>
            <w:vAlign w:val="bottom"/>
          </w:tcPr>
          <w:p w14:paraId="12921FB5">
            <w:pPr>
              <w:pageBreakBefore w:val="0"/>
              <w:kinsoku/>
              <w:wordWrap/>
              <w:overflowPunct/>
              <w:topLinePunct w:val="0"/>
              <w:autoSpaceDE/>
              <w:autoSpaceDN/>
              <w:bidi w:val="0"/>
              <w:spacing w:before="0" w:after="0" w:line="240" w:lineRule="auto"/>
              <w:jc w:val="left"/>
              <w:rPr>
                <w:rFonts w:hint="eastAsia" w:ascii="宋体" w:hAnsi="宋体" w:eastAsia="宋体" w:cs="宋体"/>
                <w:sz w:val="24"/>
              </w:rPr>
            </w:pPr>
            <w:r>
              <w:rPr>
                <w:rFonts w:hint="eastAsia" w:ascii="宋体" w:hAnsi="宋体" w:eastAsia="宋体" w:cs="宋体"/>
                <w:sz w:val="24"/>
              </w:rPr>
              <w:t>贵阳市观山湖区长岭北路8号美的财智中心C座19楼11号</w:t>
            </w:r>
          </w:p>
        </w:tc>
      </w:tr>
      <w:tr w14:paraId="5C6742B8">
        <w:tblPrEx>
          <w:tblCellMar>
            <w:top w:w="0" w:type="dxa"/>
            <w:left w:w="108" w:type="dxa"/>
            <w:bottom w:w="0" w:type="dxa"/>
            <w:right w:w="108" w:type="dxa"/>
          </w:tblCellMar>
        </w:tblPrEx>
        <w:trPr>
          <w:jc w:val="center"/>
        </w:trPr>
        <w:tc>
          <w:tcPr>
            <w:tcW w:w="1597" w:type="dxa"/>
            <w:shd w:val="clear" w:color="auto" w:fill="auto"/>
            <w:vAlign w:val="bottom"/>
          </w:tcPr>
          <w:p w14:paraId="2BD11C2D">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 系 人：</w:t>
            </w:r>
          </w:p>
        </w:tc>
        <w:tc>
          <w:tcPr>
            <w:tcW w:w="1767" w:type="dxa"/>
            <w:tcBorders>
              <w:top w:val="single" w:color="auto" w:sz="4" w:space="0"/>
              <w:left w:val="nil"/>
              <w:bottom w:val="single" w:color="auto" w:sz="4" w:space="0"/>
              <w:right w:val="nil"/>
            </w:tcBorders>
            <w:shd w:val="clear" w:color="auto" w:fill="auto"/>
            <w:vAlign w:val="bottom"/>
          </w:tcPr>
          <w:p w14:paraId="274ACFAF">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杨畅</w:t>
            </w:r>
          </w:p>
        </w:tc>
        <w:tc>
          <w:tcPr>
            <w:tcW w:w="1502" w:type="dxa"/>
            <w:tcBorders>
              <w:top w:val="single" w:color="auto" w:sz="4" w:space="0"/>
              <w:left w:val="nil"/>
              <w:bottom w:val="nil"/>
              <w:right w:val="nil"/>
            </w:tcBorders>
            <w:shd w:val="clear" w:color="auto" w:fill="auto"/>
            <w:vAlign w:val="bottom"/>
          </w:tcPr>
          <w:p w14:paraId="0D459D27">
            <w:pPr>
              <w:pageBreakBefore w:val="0"/>
              <w:kinsoku/>
              <w:wordWrap/>
              <w:overflowPunct/>
              <w:topLinePunct w:val="0"/>
              <w:autoSpaceDE/>
              <w:autoSpaceDN/>
              <w:bidi w:val="0"/>
              <w:spacing w:before="0" w:after="0" w:line="240" w:lineRule="auto"/>
              <w:jc w:val="distribute"/>
              <w:rPr>
                <w:rFonts w:hint="eastAsia" w:ascii="宋体" w:hAnsi="宋体" w:eastAsia="宋体" w:cs="宋体"/>
                <w:sz w:val="24"/>
              </w:rPr>
            </w:pPr>
            <w:r>
              <w:rPr>
                <w:rFonts w:hint="eastAsia" w:ascii="宋体" w:hAnsi="宋体" w:eastAsia="宋体" w:cs="宋体"/>
                <w:sz w:val="24"/>
              </w:rPr>
              <w:t>联系电话：</w:t>
            </w:r>
          </w:p>
        </w:tc>
        <w:tc>
          <w:tcPr>
            <w:tcW w:w="2131" w:type="dxa"/>
            <w:tcBorders>
              <w:top w:val="single" w:color="auto" w:sz="4" w:space="0"/>
              <w:left w:val="nil"/>
              <w:bottom w:val="single" w:color="auto" w:sz="4" w:space="0"/>
              <w:right w:val="nil"/>
            </w:tcBorders>
            <w:shd w:val="clear" w:color="auto" w:fill="auto"/>
            <w:vAlign w:val="bottom"/>
          </w:tcPr>
          <w:p w14:paraId="5E4C1B5F">
            <w:pPr>
              <w:pageBreakBefore w:val="0"/>
              <w:kinsoku/>
              <w:wordWrap/>
              <w:overflowPunct/>
              <w:topLinePunct w:val="0"/>
              <w:autoSpaceDE/>
              <w:autoSpaceDN/>
              <w:bidi w:val="0"/>
              <w:spacing w:before="0" w:after="0" w:line="240" w:lineRule="auto"/>
              <w:rPr>
                <w:rFonts w:hint="eastAsia" w:ascii="宋体" w:hAnsi="宋体" w:eastAsia="宋体" w:cs="宋体"/>
                <w:sz w:val="24"/>
              </w:rPr>
            </w:pPr>
            <w:r>
              <w:rPr>
                <w:rFonts w:hint="eastAsia" w:ascii="宋体" w:hAnsi="宋体" w:eastAsia="宋体" w:cs="宋体"/>
                <w:sz w:val="24"/>
              </w:rPr>
              <w:t>0851-84113663</w:t>
            </w:r>
          </w:p>
        </w:tc>
      </w:tr>
    </w:tbl>
    <w:p w14:paraId="116F6CEC">
      <w:pPr>
        <w:pageBreakBefore w:val="0"/>
        <w:kinsoku/>
        <w:wordWrap/>
        <w:overflowPunct/>
        <w:topLinePunct w:val="0"/>
        <w:autoSpaceDE/>
        <w:autoSpaceDN/>
        <w:bidi w:val="0"/>
        <w:spacing w:line="240" w:lineRule="auto"/>
        <w:rPr>
          <w:rFonts w:hint="eastAsia" w:ascii="宋体" w:hAnsi="宋体" w:eastAsia="宋体" w:cs="宋体"/>
          <w:sz w:val="24"/>
        </w:rPr>
        <w:sectPr>
          <w:pgSz w:w="11906" w:h="16838"/>
          <w:pgMar w:top="1440" w:right="1800" w:bottom="1440" w:left="1800" w:header="851" w:footer="992" w:gutter="0"/>
          <w:cols w:space="425" w:num="1"/>
          <w:docGrid w:type="lines" w:linePitch="312" w:charSpace="0"/>
        </w:sectPr>
      </w:pPr>
    </w:p>
    <w:p w14:paraId="0740532F">
      <w:pPr>
        <w:pageBreakBefore w:val="0"/>
        <w:kinsoku/>
        <w:wordWrap/>
        <w:overflowPunct/>
        <w:topLinePunct w:val="0"/>
        <w:autoSpaceDE/>
        <w:autoSpaceDN/>
        <w:bidi w:val="0"/>
        <w:spacing w:beforeLines="50" w:beforeAutospacing="0" w:afterLines="50" w:afterAutospacing="0" w:line="240" w:lineRule="auto"/>
        <w:rPr>
          <w:rFonts w:hint="eastAsia" w:ascii="宋体" w:hAnsi="宋体" w:eastAsia="宋体" w:cs="宋体"/>
          <w:color w:val="auto"/>
          <w:sz w:val="24"/>
          <w:lang w:val="en-US" w:eastAsia="zh-CN"/>
        </w:rPr>
      </w:pPr>
    </w:p>
    <w:p w14:paraId="28AA701C">
      <w:pPr>
        <w:pageBreakBefore w:val="0"/>
        <w:kinsoku/>
        <w:wordWrap/>
        <w:overflowPunct/>
        <w:topLinePunct w:val="0"/>
        <w:autoSpaceDE/>
        <w:autoSpaceDN/>
        <w:bidi w:val="0"/>
        <w:spacing w:beforeLines="50" w:beforeAutospacing="0" w:afterLines="50" w:afterAutospacing="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（一）符合政府采购法第二十二条规定，提供政府采购法实施条例第十七条规定资料。</w:t>
      </w:r>
    </w:p>
    <w:p w14:paraId="76BE15B1">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①.具有独立承担民事责任的能力：</w:t>
      </w:r>
    </w:p>
    <w:p w14:paraId="5CE44358">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具体要求：法人或非法人组织的营业执照等证明文件，或自然人身份证明（复印件或扫描件加盖投标单位公章）；</w:t>
      </w:r>
    </w:p>
    <w:p w14:paraId="32B645BC">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②.具有良好的商业信誉和健全的财务会计制度：</w:t>
      </w:r>
    </w:p>
    <w:p w14:paraId="0BC7ACC3">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具体要求：提供2024年度经合法审计机构出具的财务审计报告</w:t>
      </w:r>
      <w:r>
        <w:rPr>
          <w:rFonts w:hint="eastAsia" w:ascii="宋体" w:hAnsi="宋体" w:cs="宋体"/>
          <w:color w:val="auto"/>
          <w:sz w:val="24"/>
          <w:szCs w:val="24"/>
          <w:lang w:eastAsia="zh-CN"/>
        </w:rPr>
        <w:t>及</w:t>
      </w:r>
      <w:r>
        <w:rPr>
          <w:rFonts w:hint="eastAsia" w:ascii="宋体" w:hAnsi="宋体" w:eastAsia="宋体" w:cs="宋体"/>
          <w:color w:val="auto"/>
          <w:sz w:val="24"/>
          <w:szCs w:val="24"/>
        </w:rPr>
        <w:t>银行出具的有效的资信证明,2025年之后成立的公司出具有效的资信证明。；</w:t>
      </w:r>
    </w:p>
    <w:p w14:paraId="23BD048C">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③.具有履行合同所必需的设备和专业技术能力：</w:t>
      </w:r>
    </w:p>
    <w:p w14:paraId="6890F3DC">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具体要求：提供具备履行合同所必需的设备和专业技术能力的证明材料（提供承诺函）；</w:t>
      </w:r>
    </w:p>
    <w:p w14:paraId="3D1C462B">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④.具有依法缴纳税收和社会保障资金的良好记录：</w:t>
      </w:r>
    </w:p>
    <w:p w14:paraId="5A7851FE">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2025年任意连续3个月依法缴纳税收和社会保障资金的有效证明材料（复印件加盖法人章），成立不足3个月的公司需提供公司成立至今依法缴纳税收和社会保障资金的有效证明材料（复印件加盖法人章）；</w:t>
      </w:r>
    </w:p>
    <w:p w14:paraId="639E2DCA">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⑤.参加本次政府采购活动前三年内，在经营活动中没有违法违规记录：</w:t>
      </w:r>
    </w:p>
    <w:p w14:paraId="7F552A94">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具体要求：提供参加政府采购活动前3年内在经营活动中没有重大违法记录的书面声明（格式文件详见投标文件范本）；</w:t>
      </w:r>
    </w:p>
    <w:p w14:paraId="18CDDF05">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⑥.法律、行政法规规定的其他条件：提供有关证明材料：</w:t>
      </w:r>
    </w:p>
    <w:p w14:paraId="583B860D">
      <w:pPr>
        <w:pageBreakBefore w:val="0"/>
        <w:tabs>
          <w:tab w:val="left" w:pos="312"/>
        </w:tabs>
        <w:kinsoku/>
        <w:wordWrap/>
        <w:overflowPunct/>
        <w:topLinePunct w:val="0"/>
        <w:autoSpaceDE/>
        <w:autoSpaceDN/>
        <w:bidi w:val="0"/>
        <w:spacing w:beforeLines="100" w:beforeAutospacing="0" w:afterLines="10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9ACCBF6">
      <w:pPr>
        <w:pageBreakBefore w:val="0"/>
        <w:kinsoku/>
        <w:wordWrap/>
        <w:overflowPunct/>
        <w:topLinePunct w:val="0"/>
        <w:autoSpaceDE/>
        <w:autoSpaceDN/>
        <w:bidi w:val="0"/>
        <w:spacing w:beforeLines="50" w:beforeAutospacing="0" w:afterLines="50" w:afterAutospacing="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632C6A30">
      <w:pPr>
        <w:pageBreakBefore w:val="0"/>
        <w:kinsoku/>
        <w:wordWrap/>
        <w:overflowPunct/>
        <w:topLinePunct w:val="0"/>
        <w:autoSpaceDE/>
        <w:autoSpaceDN/>
        <w:bidi w:val="0"/>
        <w:spacing w:beforeLines="50" w:beforeAutospacing="0" w:afterLines="50" w:afterAutospacing="0" w:line="24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、本项目所需特殊行业资质或要求</w:t>
      </w:r>
    </w:p>
    <w:p w14:paraId="103BCF7E">
      <w:pPr>
        <w:pageBreakBefore w:val="0"/>
        <w:kinsoku/>
        <w:wordWrap/>
        <w:overflowPunct/>
        <w:topLinePunct w:val="0"/>
        <w:autoSpaceDE/>
        <w:autoSpaceDN/>
        <w:bidi w:val="0"/>
        <w:spacing w:before="0" w:beforeAutospacing="0" w:after="0" w:afterAutospacing="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生产厂家投标的须出具</w:t>
      </w:r>
      <w:r>
        <w:rPr>
          <w:rFonts w:hint="eastAsia" w:ascii="宋体" w:hAnsi="宋体" w:cs="宋体"/>
          <w:color w:val="auto"/>
          <w:sz w:val="24"/>
          <w:szCs w:val="24"/>
          <w:lang w:eastAsia="zh-CN"/>
        </w:rPr>
        <w:t>农作物</w:t>
      </w:r>
      <w:r>
        <w:rPr>
          <w:rFonts w:hint="eastAsia" w:ascii="宋体" w:hAnsi="宋体" w:eastAsia="宋体" w:cs="宋体"/>
          <w:color w:val="auto"/>
          <w:sz w:val="24"/>
          <w:szCs w:val="24"/>
        </w:rPr>
        <w:t>种子生产经营许可证，经销商投标的须出具生产厂家的</w:t>
      </w:r>
      <w:r>
        <w:rPr>
          <w:rFonts w:hint="eastAsia" w:ascii="宋体" w:hAnsi="宋体" w:cs="宋体"/>
          <w:color w:val="auto"/>
          <w:sz w:val="24"/>
          <w:szCs w:val="24"/>
          <w:lang w:eastAsia="zh-CN"/>
        </w:rPr>
        <w:t>授权</w:t>
      </w:r>
      <w:r>
        <w:rPr>
          <w:rFonts w:hint="eastAsia" w:ascii="宋体" w:hAnsi="宋体" w:eastAsia="宋体" w:cs="宋体"/>
          <w:color w:val="auto"/>
          <w:sz w:val="24"/>
          <w:szCs w:val="24"/>
        </w:rPr>
        <w:t>证书</w:t>
      </w:r>
      <w:r>
        <w:rPr>
          <w:rFonts w:hint="eastAsia" w:ascii="宋体" w:hAnsi="宋体" w:cs="宋体"/>
          <w:color w:val="auto"/>
          <w:sz w:val="24"/>
          <w:szCs w:val="24"/>
          <w:lang w:eastAsia="zh-CN"/>
        </w:rPr>
        <w:t>及</w:t>
      </w:r>
      <w:bookmarkStart w:id="0" w:name="_GoBack"/>
      <w:bookmarkEnd w:id="0"/>
      <w:r>
        <w:rPr>
          <w:rFonts w:hint="eastAsia" w:ascii="宋体" w:hAnsi="宋体" w:eastAsia="宋体" w:cs="宋体"/>
          <w:color w:val="auto"/>
          <w:sz w:val="24"/>
          <w:szCs w:val="24"/>
        </w:rPr>
        <w:t>生产厂家的</w:t>
      </w:r>
      <w:r>
        <w:rPr>
          <w:rFonts w:hint="eastAsia" w:ascii="宋体" w:hAnsi="宋体" w:cs="宋体"/>
          <w:color w:val="auto"/>
          <w:sz w:val="24"/>
          <w:szCs w:val="24"/>
          <w:lang w:eastAsia="zh-CN"/>
        </w:rPr>
        <w:t>农作物</w:t>
      </w:r>
      <w:r>
        <w:rPr>
          <w:rFonts w:hint="eastAsia" w:ascii="宋体" w:hAnsi="宋体" w:eastAsia="宋体" w:cs="宋体"/>
          <w:color w:val="auto"/>
          <w:sz w:val="24"/>
          <w:szCs w:val="24"/>
        </w:rPr>
        <w:t>种子生产经营许可证。</w:t>
      </w:r>
    </w:p>
    <w:p w14:paraId="5659EBAA">
      <w:pPr>
        <w:pageBreakBefore w:val="0"/>
        <w:kinsoku/>
        <w:wordWrap/>
        <w:overflowPunct/>
        <w:topLinePunct w:val="0"/>
        <w:autoSpaceDE/>
        <w:autoSpaceDN/>
        <w:bidi w:val="0"/>
        <w:spacing w:before="0" w:beforeAutospacing="0" w:after="0" w:afterAutospacing="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（三）本项目</w:t>
      </w:r>
      <w:r>
        <w:rPr>
          <w:rFonts w:hint="eastAsia" w:ascii="宋体" w:hAnsi="宋体" w:eastAsia="宋体" w:cs="宋体"/>
          <w:color w:val="auto"/>
          <w:sz w:val="24"/>
          <w:szCs w:val="24"/>
          <w:u w:val="single"/>
        </w:rPr>
        <w:t xml:space="preserve"> 不接受 </w:t>
      </w:r>
      <w:r>
        <w:rPr>
          <w:rFonts w:hint="eastAsia" w:ascii="宋体" w:hAnsi="宋体" w:eastAsia="宋体" w:cs="宋体"/>
          <w:color w:val="auto"/>
          <w:sz w:val="24"/>
          <w:szCs w:val="24"/>
        </w:rPr>
        <w:t>联合体投标</w:t>
      </w:r>
    </w:p>
    <w:p w14:paraId="39A81BD8">
      <w:pPr>
        <w:pageBreakBefore w:val="0"/>
        <w:widowControl/>
        <w:kinsoku/>
        <w:wordWrap/>
        <w:overflowPunct/>
        <w:topLinePunct w:val="0"/>
        <w:autoSpaceDE/>
        <w:autoSpaceDN/>
        <w:bidi w:val="0"/>
        <w:spacing w:line="240" w:lineRule="auto"/>
        <w:jc w:val="left"/>
        <w:rPr>
          <w:rFonts w:hint="eastAsia" w:ascii="宋体" w:hAnsi="宋体" w:eastAsia="宋体" w:cs="宋体"/>
          <w:color w:val="auto"/>
          <w:sz w:val="24"/>
          <w:u w:val="single"/>
        </w:rPr>
      </w:pPr>
      <w:r>
        <w:rPr>
          <w:rFonts w:hint="eastAsia" w:ascii="宋体" w:hAnsi="宋体" w:eastAsia="宋体" w:cs="宋体"/>
          <w:color w:val="auto"/>
          <w:sz w:val="24"/>
          <w:szCs w:val="24"/>
        </w:rPr>
        <w:t>（四）本项目是否专门面向中小企业采购：</w:t>
      </w:r>
      <w:r>
        <w:rPr>
          <w:rFonts w:hint="eastAsia" w:ascii="宋体" w:hAnsi="宋体" w:eastAsia="宋体" w:cs="宋体"/>
          <w:color w:val="auto"/>
          <w:sz w:val="24"/>
          <w:szCs w:val="24"/>
          <w:u w:val="single"/>
          <w:lang w:eastAsia="zh-CN"/>
        </w:rPr>
        <w:t>否</w:t>
      </w:r>
      <w:r>
        <w:rPr>
          <w:rFonts w:hint="eastAsia" w:ascii="宋体" w:hAnsi="宋体" w:eastAsia="宋体" w:cs="宋体"/>
          <w:color w:val="auto"/>
          <w:sz w:val="24"/>
          <w:szCs w:val="24"/>
        </w:rPr>
        <w:t>，具体内容为</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中小微企业专业划分为农业</w:t>
      </w:r>
      <w:r>
        <w:rPr>
          <w:rFonts w:hint="eastAsia" w:ascii="宋体" w:hAnsi="宋体" w:eastAsia="宋体" w:cs="宋体"/>
          <w:color w:val="auto"/>
          <w:sz w:val="24"/>
          <w:szCs w:val="24"/>
          <w:u w:val="single"/>
        </w:rPr>
        <w:t>。</w:t>
      </w:r>
    </w:p>
    <w:p w14:paraId="4E5C9F0C">
      <w:pPr>
        <w:pageBreakBefore w:val="0"/>
        <w:kinsoku/>
        <w:wordWrap/>
        <w:overflowPunct/>
        <w:topLinePunct w:val="0"/>
        <w:autoSpaceDE/>
        <w:autoSpaceDN/>
        <w:bidi w:val="0"/>
        <w:spacing w:line="240" w:lineRule="auto"/>
        <w:rPr>
          <w:rFonts w:hint="eastAsia" w:ascii="宋体" w:hAnsi="宋体" w:eastAsia="宋体" w:cs="宋体"/>
          <w:color w:val="auto"/>
          <w:sz w:val="24"/>
          <w:u w:val="single"/>
        </w:rPr>
      </w:pPr>
      <w:r>
        <w:rPr>
          <w:rFonts w:hint="eastAsia" w:ascii="宋体" w:hAnsi="宋体" w:eastAsia="宋体" w:cs="宋体"/>
          <w:color w:val="auto"/>
          <w:sz w:val="24"/>
          <w:u w:val="single"/>
        </w:rPr>
        <w:br w:type="page"/>
      </w:r>
    </w:p>
    <w:p w14:paraId="429762C2">
      <w:pPr>
        <w:pStyle w:val="11"/>
        <w:pageBreakBefore w:val="0"/>
        <w:kinsoku/>
        <w:wordWrap/>
        <w:overflowPunct/>
        <w:topLinePunct w:val="0"/>
        <w:autoSpaceDE/>
        <w:autoSpaceDN/>
        <w:bidi w:val="0"/>
        <w:spacing w:line="240" w:lineRule="auto"/>
        <w:rPr>
          <w:rFonts w:hint="eastAsia" w:ascii="宋体" w:hAnsi="宋体" w:eastAsia="宋体" w:cs="宋体"/>
          <w:szCs w:val="24"/>
        </w:rPr>
        <w:sectPr>
          <w:pgSz w:w="11906" w:h="16838"/>
          <w:pgMar w:top="1440" w:right="1800" w:bottom="1440" w:left="1800" w:header="851" w:footer="992" w:gutter="0"/>
          <w:cols w:space="425" w:num="1"/>
          <w:docGrid w:type="lines" w:linePitch="312" w:charSpace="0"/>
        </w:sectPr>
      </w:pPr>
    </w:p>
    <w:p w14:paraId="383B38B3">
      <w:pPr>
        <w:pStyle w:val="4"/>
        <w:pageBreakBefore w:val="0"/>
        <w:numPr>
          <w:ilvl w:val="0"/>
          <w:numId w:val="1"/>
        </w:numPr>
        <w:kinsoku/>
        <w:wordWrap/>
        <w:overflowPunct/>
        <w:topLinePunct w:val="0"/>
        <w:autoSpaceDE/>
        <w:autoSpaceDN/>
        <w:bidi w:val="0"/>
        <w:spacing w:line="240" w:lineRule="auto"/>
        <w:rPr>
          <w:rFonts w:hint="eastAsia" w:ascii="宋体" w:hAnsi="宋体" w:eastAsia="宋体" w:cs="宋体"/>
          <w:b/>
          <w:sz w:val="24"/>
          <w:szCs w:val="24"/>
        </w:rPr>
      </w:pPr>
      <w:r>
        <w:rPr>
          <w:rFonts w:hint="eastAsia" w:ascii="宋体" w:hAnsi="宋体" w:eastAsia="宋体" w:cs="宋体"/>
          <w:b/>
          <w:sz w:val="24"/>
          <w:szCs w:val="24"/>
        </w:rPr>
        <w:t>采购清单、技术参数及商务要求</w:t>
      </w:r>
    </w:p>
    <w:p w14:paraId="0902FC88">
      <w:pPr>
        <w:pStyle w:val="5"/>
        <w:pageBreakBefore w:val="0"/>
        <w:kinsoku/>
        <w:wordWrap/>
        <w:overflowPunct/>
        <w:topLinePunct w:val="0"/>
        <w:autoSpaceDE/>
        <w:autoSpaceDN/>
        <w:bidi w:val="0"/>
        <w:spacing w:line="240" w:lineRule="auto"/>
        <w:ind w:firstLine="0" w:firstLineChars="0"/>
        <w:rPr>
          <w:rFonts w:hint="eastAsia" w:ascii="宋体" w:hAnsi="宋体" w:eastAsia="宋体" w:cs="宋体"/>
          <w:sz w:val="24"/>
        </w:rPr>
      </w:pPr>
      <w:r>
        <w:rPr>
          <w:rFonts w:hint="eastAsia" w:ascii="宋体" w:hAnsi="宋体" w:eastAsia="宋体" w:cs="宋体"/>
          <w:sz w:val="24"/>
        </w:rPr>
        <w:t>执行标准：GB4407.2-2008，杂交种，纯度≥85%，净度≥98%，发芽率≥80%，水分≤9%。不少于2975公斤。</w:t>
      </w:r>
    </w:p>
    <w:p w14:paraId="0F44F44F">
      <w:pPr>
        <w:pStyle w:val="5"/>
        <w:pageBreakBefore w:val="0"/>
        <w:kinsoku/>
        <w:wordWrap/>
        <w:overflowPunct/>
        <w:topLinePunct w:val="0"/>
        <w:autoSpaceDE/>
        <w:autoSpaceDN/>
        <w:bidi w:val="0"/>
        <w:spacing w:line="240" w:lineRule="auto"/>
        <w:ind w:firstLine="0" w:firstLineChars="0"/>
        <w:rPr>
          <w:rFonts w:hint="eastAsia" w:ascii="宋体" w:hAnsi="宋体" w:eastAsia="宋体" w:cs="宋体"/>
          <w:sz w:val="24"/>
        </w:rPr>
      </w:pPr>
    </w:p>
    <w:p w14:paraId="0B758E20">
      <w:pPr>
        <w:pStyle w:val="6"/>
        <w:pageBreakBefore w:val="0"/>
        <w:kinsoku/>
        <w:wordWrap/>
        <w:overflowPunct/>
        <w:topLinePunct w:val="0"/>
        <w:autoSpaceDE/>
        <w:autoSpaceDN/>
        <w:bidi w:val="0"/>
        <w:spacing w:before="0" w:beforeAutospacing="0" w:after="0" w:afterAutospacing="0" w:line="240" w:lineRule="auto"/>
        <w:rPr>
          <w:rFonts w:hint="eastAsia" w:ascii="宋体" w:hAnsi="宋体" w:eastAsia="宋体" w:cs="宋体"/>
          <w:szCs w:val="24"/>
        </w:rPr>
      </w:pPr>
      <w:r>
        <w:rPr>
          <w:rFonts w:hint="eastAsia" w:ascii="宋体" w:hAnsi="宋体" w:eastAsia="宋体" w:cs="宋体"/>
          <w:szCs w:val="24"/>
        </w:rPr>
        <w:t>第二节 商务要求</w:t>
      </w:r>
    </w:p>
    <w:p w14:paraId="77F593D0">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（一）交付时间</w:t>
      </w:r>
    </w:p>
    <w:p w14:paraId="7C08AEAC">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合同签订后30日历日。交货地点：送到采购人指定项目实施地点。注：本项目的预算为包干价（包括运输、仓储等）。</w:t>
      </w:r>
    </w:p>
    <w:p w14:paraId="72EB8B92">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（二）交付地点</w:t>
      </w:r>
    </w:p>
    <w:p w14:paraId="07D2FBE6">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送到采购人指定地点。</w:t>
      </w:r>
    </w:p>
    <w:p w14:paraId="1FF6C043">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（三）付款条件（进度和方式）</w:t>
      </w:r>
    </w:p>
    <w:p w14:paraId="1724674C">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货物全部送到采购人指定地点并验收合格交付使用以后，由成交供应商开据正规发票，财政报账程序汇款给供应商。一次性付清所有货款。</w:t>
      </w:r>
    </w:p>
    <w:p w14:paraId="4653FB50">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（四）包装和运输</w:t>
      </w:r>
    </w:p>
    <w:p w14:paraId="12D37501">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不涉及</w:t>
      </w:r>
    </w:p>
    <w:p w14:paraId="139BEC64">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（五）售后服务</w:t>
      </w:r>
    </w:p>
    <w:p w14:paraId="1CC99156">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要求有良好的售后保障，提供详细的售后服务承诺书（提供24 小时服务电话，响应时间不得超过2小时，24小时内到达现场）。</w:t>
      </w:r>
    </w:p>
    <w:p w14:paraId="56B52EEF">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（六）保险</w:t>
      </w:r>
    </w:p>
    <w:p w14:paraId="63BF4D3E">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不涉及</w:t>
      </w:r>
    </w:p>
    <w:p w14:paraId="4315DC6C">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（七）风险处置措施</w:t>
      </w:r>
    </w:p>
    <w:p w14:paraId="68B5AE98">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若乙方提供的种子出现质量问题，甲方有权解除合同且不承担违约责任，因种子质量问题造成的一切损失由乙方承担。</w:t>
      </w:r>
    </w:p>
    <w:p w14:paraId="6C25409B">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（八）其他</w:t>
      </w:r>
    </w:p>
    <w:p w14:paraId="0D03F644">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lang w:eastAsia="zh-CN"/>
        </w:rPr>
      </w:pPr>
      <w:r>
        <w:rPr>
          <w:rFonts w:hint="eastAsia" w:ascii="宋体" w:hAnsi="宋体" w:eastAsia="宋体" w:cs="宋体"/>
          <w:sz w:val="24"/>
          <w:lang w:eastAsia="zh-CN"/>
        </w:rPr>
        <w:t>根据《政府采购促进中小企业发展管理办法》财库〔2020〕46号、观财通〔2020〕17号、关于政府采购支持监狱企业发展有关问题的通知(财库〔2014〕68号)、关于促进残疾人就业政府采购政策的通知（财库〔2017〕141号）及相关规定，在技术、商务等均满足采购需求的前提下，本项目对享受价格扣除政策企业的产品给予10%的价格扣除，用扣除后的价格参与评审(说明：1、监狱企业视同小型、微型企业，享受预留份额、评审中价格扣除等政府采购促进中小企业发展的政府采购政策，残疾人福利性单位属于小型、微型企业的，不重复享受政策。2、对于经主管预算单位统筹后未预留份额专门面向中小企业采购的采购项目，以及预留份额项目中的非预留部分采购包，采购人、采购代理机构应当对符合本办法规定的小微企业报价给予10%的扣除，用扣除后的价格参加评审。3、接受大中型企业与小微企业组成联合体或者允许大中型企业向一家或者多家小微企业分包的采购项目，但投标单位为小微企业的不得将合同分包给中大型企业，为中型企业的不得将合同分包给大型企业；对于联合协议或者分包意向协议约定小微企业的合同份额占到合同总金额30%以上的，采购人、采购代理机构应当对联合体或者大中型企业的报价给予4%的扣除，用扣除后的价格参加评审)。</w:t>
      </w:r>
    </w:p>
    <w:p w14:paraId="2C7CED34">
      <w:pPr>
        <w:pageBreakBefore w:val="0"/>
        <w:kinsoku/>
        <w:wordWrap/>
        <w:overflowPunct/>
        <w:topLinePunct w:val="0"/>
        <w:autoSpaceDE/>
        <w:autoSpaceDN/>
        <w:bidi w:val="0"/>
        <w:spacing w:line="240" w:lineRule="auto"/>
        <w:rPr>
          <w:rFonts w:hint="eastAsia" w:ascii="宋体" w:hAnsi="宋体" w:eastAsia="宋体" w:cs="宋体"/>
          <w:sz w:val="24"/>
        </w:rPr>
      </w:pPr>
      <w:r>
        <w:rPr>
          <w:rFonts w:hint="eastAsia" w:ascii="宋体" w:hAnsi="宋体" w:eastAsia="宋体" w:cs="宋体"/>
          <w:sz w:val="24"/>
        </w:rPr>
        <w:br w:type="page"/>
      </w:r>
    </w:p>
    <w:p w14:paraId="47E31DEA">
      <w:pPr>
        <w:pStyle w:val="5"/>
        <w:pageBreakBefore w:val="0"/>
        <w:kinsoku/>
        <w:wordWrap/>
        <w:overflowPunct/>
        <w:topLinePunct w:val="0"/>
        <w:autoSpaceDE/>
        <w:autoSpaceDN/>
        <w:bidi w:val="0"/>
        <w:spacing w:line="240" w:lineRule="auto"/>
        <w:ind w:firstLine="0" w:firstLineChars="0"/>
        <w:jc w:val="left"/>
        <w:rPr>
          <w:rFonts w:hint="eastAsia" w:ascii="宋体" w:hAnsi="宋体" w:eastAsia="宋体" w:cs="宋体"/>
          <w:sz w:val="24"/>
        </w:rPr>
      </w:pPr>
      <w:r>
        <w:rPr>
          <w:rFonts w:hint="eastAsia" w:ascii="宋体" w:hAnsi="宋体" w:eastAsia="宋体" w:cs="宋体"/>
          <w:sz w:val="24"/>
        </w:rPr>
        <w:t>评标办法：</w:t>
      </w:r>
      <w:r>
        <w:rPr>
          <w:rFonts w:hint="eastAsia" w:ascii="宋体" w:hAnsi="宋体" w:cs="宋体"/>
          <w:sz w:val="24"/>
          <w:lang w:eastAsia="zh-CN"/>
        </w:rPr>
        <w:t>最低价</w:t>
      </w:r>
      <w:r>
        <w:rPr>
          <w:rFonts w:hint="eastAsia" w:ascii="宋体" w:hAnsi="宋体" w:eastAsia="宋体" w:cs="宋体"/>
          <w:sz w:val="24"/>
        </w:rPr>
        <w:t>评</w:t>
      </w:r>
      <w:r>
        <w:rPr>
          <w:rFonts w:hint="eastAsia" w:ascii="宋体" w:hAnsi="宋体" w:cs="宋体"/>
          <w:sz w:val="24"/>
          <w:lang w:eastAsia="zh-CN"/>
        </w:rPr>
        <w:t>标</w:t>
      </w:r>
      <w:r>
        <w:rPr>
          <w:rFonts w:hint="eastAsia" w:ascii="宋体" w:hAnsi="宋体" w:eastAsia="宋体" w:cs="宋体"/>
          <w:sz w:val="24"/>
        </w:rPr>
        <w:t>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A4B8C"/>
    <w:multiLevelType w:val="singleLevel"/>
    <w:tmpl w:val="DADA4B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RjNTQzMmJkYjBlNzIwOTBjYmI4MTM3YjNiNjE2ODEifQ=="/>
  </w:docVars>
  <w:rsids>
    <w:rsidRoot w:val="31C43177"/>
    <w:rsid w:val="000E42B5"/>
    <w:rsid w:val="002E3CAF"/>
    <w:rsid w:val="00316BC6"/>
    <w:rsid w:val="003C1137"/>
    <w:rsid w:val="005D629B"/>
    <w:rsid w:val="00661352"/>
    <w:rsid w:val="006B4549"/>
    <w:rsid w:val="0085768D"/>
    <w:rsid w:val="008777A6"/>
    <w:rsid w:val="008E3DD6"/>
    <w:rsid w:val="00912AC7"/>
    <w:rsid w:val="0092755F"/>
    <w:rsid w:val="00AF301A"/>
    <w:rsid w:val="00C24119"/>
    <w:rsid w:val="00C47C07"/>
    <w:rsid w:val="00CB4BB2"/>
    <w:rsid w:val="00D3348A"/>
    <w:rsid w:val="00E03697"/>
    <w:rsid w:val="00E23BF1"/>
    <w:rsid w:val="00EB72A8"/>
    <w:rsid w:val="00F941E8"/>
    <w:rsid w:val="02FD08CF"/>
    <w:rsid w:val="059E57EA"/>
    <w:rsid w:val="0C197F77"/>
    <w:rsid w:val="0F1B3FE4"/>
    <w:rsid w:val="14221EEF"/>
    <w:rsid w:val="1AFB7805"/>
    <w:rsid w:val="1D8C60AC"/>
    <w:rsid w:val="1DB55626"/>
    <w:rsid w:val="20797CF8"/>
    <w:rsid w:val="27ED64C0"/>
    <w:rsid w:val="2ABB6138"/>
    <w:rsid w:val="2B442F2C"/>
    <w:rsid w:val="31C43177"/>
    <w:rsid w:val="35F80682"/>
    <w:rsid w:val="369C1D6A"/>
    <w:rsid w:val="3A4950A2"/>
    <w:rsid w:val="3C201CF0"/>
    <w:rsid w:val="43110F54"/>
    <w:rsid w:val="46F20C95"/>
    <w:rsid w:val="497E7F5B"/>
    <w:rsid w:val="4DF15DE2"/>
    <w:rsid w:val="5620145C"/>
    <w:rsid w:val="576A78C0"/>
    <w:rsid w:val="5F137AF8"/>
    <w:rsid w:val="64734015"/>
    <w:rsid w:val="66ED467F"/>
    <w:rsid w:val="6ADF773B"/>
    <w:rsid w:val="71C130F1"/>
    <w:rsid w:val="73453FEE"/>
    <w:rsid w:val="78653BC4"/>
    <w:rsid w:val="7BFB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jc w:val="center"/>
      <w:outlineLvl w:val="0"/>
    </w:pPr>
    <w:rPr>
      <w:rFonts w:eastAsia="方正小标宋简体"/>
      <w:bCs/>
      <w:kern w:val="44"/>
      <w:sz w:val="32"/>
      <w:szCs w:val="44"/>
    </w:rPr>
  </w:style>
  <w:style w:type="paragraph" w:styleId="4">
    <w:name w:val="heading 2"/>
    <w:basedOn w:val="3"/>
    <w:next w:val="5"/>
    <w:autoRedefine/>
    <w:unhideWhenUsed/>
    <w:qFormat/>
    <w:uiPriority w:val="9"/>
    <w:pPr>
      <w:outlineLvl w:val="1"/>
    </w:pPr>
    <w:rPr>
      <w:rFonts w:ascii="Cambria" w:hAnsi="Cambria"/>
      <w:kern w:val="0"/>
      <w:sz w:val="28"/>
      <w:szCs w:val="32"/>
    </w:rPr>
  </w:style>
  <w:style w:type="paragraph" w:styleId="6">
    <w:name w:val="heading 3"/>
    <w:basedOn w:val="1"/>
    <w:next w:val="1"/>
    <w:link w:val="29"/>
    <w:autoRedefine/>
    <w:unhideWhenUsed/>
    <w:qFormat/>
    <w:uiPriority w:val="9"/>
    <w:pPr>
      <w:keepNext/>
      <w:keepLines/>
      <w:jc w:val="center"/>
      <w:outlineLvl w:val="2"/>
    </w:pPr>
    <w:rPr>
      <w:rFonts w:eastAsia="黑体"/>
      <w:bCs/>
      <w:kern w:val="0"/>
      <w:sz w:val="24"/>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Normal Indent"/>
    <w:basedOn w:val="1"/>
    <w:autoRedefine/>
    <w:qFormat/>
    <w:uiPriority w:val="0"/>
    <w:pPr>
      <w:ind w:firstLine="420" w:firstLineChars="200"/>
    </w:pPr>
    <w:rPr>
      <w:kern w:val="0"/>
      <w:sz w:val="20"/>
    </w:rPr>
  </w:style>
  <w:style w:type="paragraph" w:styleId="7">
    <w:name w:val="Body Text Indent"/>
    <w:basedOn w:val="1"/>
    <w:autoRedefine/>
    <w:qFormat/>
    <w:uiPriority w:val="0"/>
    <w:pPr>
      <w:spacing w:line="380" w:lineRule="exact"/>
      <w:ind w:firstLine="480"/>
    </w:pPr>
    <w:rPr>
      <w:rFonts w:eastAsia="方正书宋简体"/>
      <w:kern w:val="0"/>
      <w:sz w:val="24"/>
      <w:szCs w:val="20"/>
    </w:rPr>
  </w:style>
  <w:style w:type="paragraph" w:styleId="8">
    <w:name w:val="footer"/>
    <w:basedOn w:val="1"/>
    <w:autoRedefine/>
    <w:qFormat/>
    <w:uiPriority w:val="99"/>
    <w:pPr>
      <w:tabs>
        <w:tab w:val="center" w:pos="4153"/>
        <w:tab w:val="right" w:pos="8306"/>
      </w:tabs>
      <w:snapToGrid w:val="0"/>
      <w:jc w:val="left"/>
    </w:pPr>
    <w:rPr>
      <w:kern w:val="0"/>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0"/>
    <w:pPr>
      <w:widowControl/>
      <w:spacing w:before="0" w:after="0" w:line="240" w:lineRule="auto"/>
      <w:jc w:val="left"/>
    </w:pPr>
    <w:rPr>
      <w:rFonts w:hint="eastAsia" w:ascii="宋体" w:hAnsi="宋体"/>
      <w:kern w:val="0"/>
      <w:sz w:val="24"/>
    </w:rPr>
  </w:style>
  <w:style w:type="paragraph" w:styleId="11">
    <w:name w:val="Body Text First Indent 2"/>
    <w:basedOn w:val="7"/>
    <w:autoRedefine/>
    <w:qFormat/>
    <w:uiPriority w:val="0"/>
    <w:pPr>
      <w:ind w:firstLine="420" w:firstLineChars="200"/>
    </w:p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rFonts w:hint="eastAsia" w:ascii="黑体" w:hAnsi="宋体" w:eastAsia="黑体" w:cs="黑体"/>
    </w:rPr>
  </w:style>
  <w:style w:type="character" w:styleId="16">
    <w:name w:val="Hyperlink"/>
    <w:unhideWhenUsed/>
    <w:qFormat/>
    <w:uiPriority w:val="99"/>
    <w:rPr>
      <w:color w:val="0000FF"/>
      <w:u w:val="single"/>
    </w:rPr>
  </w:style>
  <w:style w:type="paragraph" w:customStyle="1" w:styleId="1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8">
    <w:name w:val="表格文字"/>
    <w:basedOn w:val="1"/>
    <w:qFormat/>
    <w:uiPriority w:val="99"/>
    <w:pPr>
      <w:spacing w:before="25" w:after="25"/>
      <w:jc w:val="left"/>
    </w:pPr>
    <w:rPr>
      <w:bCs/>
      <w:spacing w:val="10"/>
      <w:kern w:val="0"/>
      <w:sz w:val="24"/>
    </w:rPr>
  </w:style>
  <w:style w:type="paragraph" w:styleId="19">
    <w:name w:val="List Paragraph"/>
    <w:basedOn w:val="1"/>
    <w:unhideWhenUsed/>
    <w:qFormat/>
    <w:uiPriority w:val="99"/>
    <w:pPr>
      <w:ind w:firstLine="420" w:firstLineChars="200"/>
    </w:pPr>
  </w:style>
  <w:style w:type="character" w:customStyle="1" w:styleId="20">
    <w:name w:val="font61"/>
    <w:basedOn w:val="14"/>
    <w:qFormat/>
    <w:uiPriority w:val="0"/>
    <w:rPr>
      <w:rFonts w:hint="eastAsia" w:ascii="宋体" w:hAnsi="宋体" w:eastAsia="宋体" w:cs="宋体"/>
      <w:color w:val="000000"/>
      <w:sz w:val="20"/>
      <w:szCs w:val="20"/>
      <w:u w:val="none"/>
    </w:rPr>
  </w:style>
  <w:style w:type="character" w:customStyle="1" w:styleId="21">
    <w:name w:val="font91"/>
    <w:basedOn w:val="14"/>
    <w:qFormat/>
    <w:uiPriority w:val="0"/>
    <w:rPr>
      <w:rFonts w:hint="default" w:ascii="等线" w:hAnsi="等线" w:eastAsia="等线" w:cs="等线"/>
      <w:color w:val="000000"/>
      <w:sz w:val="20"/>
      <w:szCs w:val="20"/>
      <w:u w:val="none"/>
    </w:rPr>
  </w:style>
  <w:style w:type="character" w:customStyle="1" w:styleId="22">
    <w:name w:val="font01"/>
    <w:basedOn w:val="14"/>
    <w:qFormat/>
    <w:uiPriority w:val="0"/>
    <w:rPr>
      <w:rFonts w:hint="default" w:ascii="等线" w:hAnsi="等线" w:eastAsia="等线" w:cs="等线"/>
      <w:color w:val="000000"/>
      <w:sz w:val="20"/>
      <w:szCs w:val="20"/>
      <w:u w:val="none"/>
    </w:rPr>
  </w:style>
  <w:style w:type="character" w:customStyle="1" w:styleId="23">
    <w:name w:val="font31"/>
    <w:basedOn w:val="14"/>
    <w:qFormat/>
    <w:uiPriority w:val="0"/>
    <w:rPr>
      <w:rFonts w:hint="eastAsia" w:ascii="新宋体" w:hAnsi="新宋体" w:eastAsia="新宋体" w:cs="新宋体"/>
      <w:color w:val="000000"/>
      <w:sz w:val="20"/>
      <w:szCs w:val="20"/>
      <w:u w:val="none"/>
    </w:rPr>
  </w:style>
  <w:style w:type="character" w:customStyle="1" w:styleId="24">
    <w:name w:val="font71"/>
    <w:basedOn w:val="14"/>
    <w:qFormat/>
    <w:uiPriority w:val="0"/>
    <w:rPr>
      <w:rFonts w:hint="default" w:ascii="Times New Roman" w:hAnsi="Times New Roman" w:cs="Times New Roman"/>
      <w:color w:val="000000"/>
      <w:sz w:val="24"/>
      <w:szCs w:val="24"/>
      <w:u w:val="none"/>
    </w:rPr>
  </w:style>
  <w:style w:type="character" w:customStyle="1" w:styleId="25">
    <w:name w:val="font51"/>
    <w:basedOn w:val="14"/>
    <w:qFormat/>
    <w:uiPriority w:val="0"/>
    <w:rPr>
      <w:rFonts w:hint="eastAsia" w:ascii="新宋体" w:hAnsi="新宋体" w:eastAsia="新宋体" w:cs="新宋体"/>
      <w:color w:val="000000"/>
      <w:sz w:val="20"/>
      <w:szCs w:val="20"/>
      <w:u w:val="none"/>
    </w:rPr>
  </w:style>
  <w:style w:type="character" w:customStyle="1" w:styleId="26">
    <w:name w:val="font141"/>
    <w:basedOn w:val="14"/>
    <w:autoRedefine/>
    <w:qFormat/>
    <w:uiPriority w:val="0"/>
    <w:rPr>
      <w:rFonts w:ascii="Symbol" w:hAnsi="Symbol" w:cs="Symbol"/>
      <w:color w:val="000000"/>
      <w:sz w:val="20"/>
      <w:szCs w:val="20"/>
      <w:u w:val="none"/>
    </w:rPr>
  </w:style>
  <w:style w:type="character" w:customStyle="1" w:styleId="27">
    <w:name w:val="font161"/>
    <w:basedOn w:val="14"/>
    <w:qFormat/>
    <w:uiPriority w:val="0"/>
    <w:rPr>
      <w:rFonts w:hint="default" w:ascii="Calibri" w:hAnsi="Calibri" w:cs="Calibri"/>
      <w:color w:val="000000"/>
      <w:sz w:val="20"/>
      <w:szCs w:val="20"/>
      <w:u w:val="none"/>
    </w:rPr>
  </w:style>
  <w:style w:type="character" w:customStyle="1" w:styleId="28">
    <w:name w:val="font151"/>
    <w:basedOn w:val="14"/>
    <w:qFormat/>
    <w:uiPriority w:val="0"/>
    <w:rPr>
      <w:rFonts w:hint="eastAsia" w:ascii="新宋体" w:hAnsi="新宋体" w:eastAsia="新宋体" w:cs="新宋体"/>
      <w:color w:val="000000"/>
      <w:sz w:val="20"/>
      <w:szCs w:val="20"/>
      <w:u w:val="none"/>
    </w:rPr>
  </w:style>
  <w:style w:type="character" w:customStyle="1" w:styleId="29">
    <w:name w:val="标题 3 Char"/>
    <w:link w:val="6"/>
    <w:qFormat/>
    <w:uiPriority w:val="9"/>
    <w:rPr>
      <w:rFonts w:eastAsia="黑体"/>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1925</Words>
  <Characters>2073</Characters>
  <Lines>13</Lines>
  <Paragraphs>3</Paragraphs>
  <TotalTime>2</TotalTime>
  <ScaleCrop>false</ScaleCrop>
  <LinksUpToDate>false</LinksUpToDate>
  <CharactersWithSpaces>2085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2020-06-10T02:00:00Z</dcterms:created>
  <dc:creator>Administrator</dc:creator>
  <cp:lastModifiedBy>Mr、Yang^ </cp:lastModifiedBy>
  <dcterms:modified xsi:type="dcterms:W3CDTF">2025-08-08T07:44:24Z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7D4858B3735045B5AAA6DFBA63BEE48A</vt:lpwstr>
  </property>
  <property fmtid="{D5CDD505-2E9C-101B-9397-08002B2CF9AE}" pid="4" name="KSOTemplateDocerSaveRecord">
    <vt:lpwstr>eyJoZGlkIjoiYmRjNTQzMmJkYjBlNzIwOTBjYmI4MTM3YjNiNjE2ODEiLCJ1c2VySWQiOiIzMjQ5ODE5NTQifQ==</vt:lpwstr>
  </property>
</Properties>
</file>