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6"/>
        <w:snapToGrid w:val="0"/>
        <w:spacing w:line="360" w:lineRule="auto"/>
        <w:ind w:firstLine="0" w:firstLineChars="0"/>
        <w:rPr>
          <w:rFonts w:asciiTheme="majorEastAsia" w:hAnsiTheme="majorEastAsia" w:eastAsiaTheme="majorEastAsia" w:cstheme="majorEastAsia"/>
          <w:b/>
          <w:bCs/>
          <w:sz w:val="44"/>
          <w:szCs w:val="32"/>
        </w:rPr>
      </w:pPr>
      <w:bookmarkStart w:id="0" w:name="_Toc175644026"/>
    </w:p>
    <w:p>
      <w:pPr>
        <w:pStyle w:val="6"/>
        <w:snapToGrid w:val="0"/>
        <w:spacing w:line="360" w:lineRule="auto"/>
        <w:ind w:firstLine="442"/>
        <w:rPr>
          <w:rFonts w:asciiTheme="majorEastAsia" w:hAnsiTheme="majorEastAsia" w:eastAsiaTheme="majorEastAsia" w:cstheme="majorEastAsia"/>
          <w:b/>
          <w:bCs/>
          <w:sz w:val="44"/>
          <w:szCs w:val="32"/>
        </w:rPr>
      </w:pPr>
    </w:p>
    <w:p>
      <w:pPr>
        <w:pStyle w:val="6"/>
        <w:snapToGrid w:val="0"/>
        <w:spacing w:line="360" w:lineRule="auto"/>
        <w:ind w:firstLine="442"/>
        <w:rPr>
          <w:rFonts w:asciiTheme="majorEastAsia" w:hAnsiTheme="majorEastAsia" w:eastAsiaTheme="majorEastAsia" w:cstheme="majorEastAsia"/>
          <w:b/>
          <w:bCs/>
          <w:sz w:val="44"/>
          <w:szCs w:val="32"/>
        </w:rPr>
      </w:pPr>
    </w:p>
    <w:p>
      <w:pPr>
        <w:pStyle w:val="6"/>
        <w:snapToGrid w:val="0"/>
        <w:spacing w:line="360" w:lineRule="auto"/>
        <w:ind w:firstLine="0" w:firstLineChars="0"/>
        <w:jc w:val="center"/>
        <w:rPr>
          <w:rFonts w:asciiTheme="majorEastAsia" w:hAnsiTheme="majorEastAsia" w:eastAsiaTheme="majorEastAsia" w:cstheme="majorEastAsia"/>
          <w:b/>
          <w:bCs/>
          <w:sz w:val="44"/>
          <w:szCs w:val="32"/>
        </w:rPr>
      </w:pPr>
      <w:r>
        <w:rPr>
          <w:rFonts w:hint="eastAsia" w:asciiTheme="majorEastAsia" w:hAnsiTheme="majorEastAsia" w:eastAsiaTheme="majorEastAsia" w:cstheme="majorEastAsia"/>
          <w:b/>
          <w:bCs/>
          <w:sz w:val="44"/>
          <w:szCs w:val="32"/>
        </w:rPr>
        <w:t>瓮安县中等职业学校</w:t>
      </w:r>
    </w:p>
    <w:p>
      <w:pPr>
        <w:pStyle w:val="6"/>
        <w:snapToGrid w:val="0"/>
        <w:spacing w:line="360" w:lineRule="auto"/>
        <w:ind w:firstLine="0" w:firstLineChars="0"/>
        <w:jc w:val="center"/>
        <w:rPr>
          <w:rStyle w:val="32"/>
          <w:rFonts w:hAnsi="宋体" w:cs="宋体" w:eastAsiaTheme="majorEastAsia"/>
          <w:b/>
          <w:sz w:val="44"/>
          <w:szCs w:val="44"/>
        </w:rPr>
      </w:pPr>
      <w:r>
        <w:rPr>
          <w:rStyle w:val="32"/>
          <w:rFonts w:hint="eastAsia" w:hAnsi="宋体" w:cs="宋体" w:eastAsiaTheme="majorEastAsia"/>
          <w:b/>
          <w:sz w:val="44"/>
          <w:szCs w:val="44"/>
        </w:rPr>
        <w:t>《工业机器人操作与编程》</w:t>
      </w:r>
    </w:p>
    <w:p>
      <w:pPr>
        <w:pStyle w:val="6"/>
        <w:snapToGrid w:val="0"/>
        <w:spacing w:line="360" w:lineRule="auto"/>
        <w:ind w:firstLine="0" w:firstLineChars="0"/>
        <w:jc w:val="center"/>
        <w:rPr>
          <w:rFonts w:asciiTheme="majorEastAsia" w:hAnsiTheme="majorEastAsia" w:eastAsiaTheme="majorEastAsia" w:cstheme="majorEastAsia"/>
          <w:b/>
          <w:bCs/>
          <w:sz w:val="44"/>
          <w:szCs w:val="32"/>
        </w:rPr>
      </w:pPr>
      <w:r>
        <w:rPr>
          <w:rFonts w:hint="eastAsia" w:asciiTheme="majorEastAsia" w:hAnsiTheme="majorEastAsia" w:eastAsiaTheme="majorEastAsia" w:cstheme="majorEastAsia"/>
          <w:b/>
          <w:bCs/>
          <w:sz w:val="44"/>
          <w:szCs w:val="32"/>
        </w:rPr>
        <w:t>省级优质课程建设</w:t>
      </w:r>
    </w:p>
    <w:p>
      <w:pPr>
        <w:pStyle w:val="6"/>
        <w:snapToGrid w:val="0"/>
        <w:spacing w:line="360" w:lineRule="auto"/>
        <w:ind w:firstLine="442"/>
        <w:rPr>
          <w:rFonts w:asciiTheme="majorEastAsia" w:hAnsiTheme="majorEastAsia" w:eastAsiaTheme="majorEastAsia" w:cstheme="majorEastAsia"/>
          <w:b/>
          <w:bCs/>
          <w:sz w:val="44"/>
          <w:szCs w:val="32"/>
        </w:rPr>
      </w:pPr>
    </w:p>
    <w:p>
      <w:pPr>
        <w:pStyle w:val="6"/>
        <w:snapToGrid w:val="0"/>
        <w:spacing w:line="360" w:lineRule="auto"/>
        <w:ind w:firstLine="442"/>
        <w:rPr>
          <w:rFonts w:asciiTheme="majorEastAsia" w:hAnsiTheme="majorEastAsia" w:eastAsiaTheme="majorEastAsia" w:cstheme="majorEastAsia"/>
          <w:b/>
          <w:bCs/>
          <w:sz w:val="44"/>
          <w:szCs w:val="32"/>
        </w:rPr>
      </w:pPr>
    </w:p>
    <w:p>
      <w:pPr>
        <w:pStyle w:val="6"/>
        <w:snapToGrid w:val="0"/>
        <w:spacing w:line="360" w:lineRule="auto"/>
        <w:ind w:firstLine="442"/>
        <w:rPr>
          <w:rFonts w:asciiTheme="majorEastAsia" w:hAnsiTheme="majorEastAsia" w:eastAsiaTheme="majorEastAsia" w:cstheme="majorEastAsia"/>
          <w:b/>
          <w:bCs/>
          <w:sz w:val="44"/>
          <w:szCs w:val="32"/>
        </w:rPr>
      </w:pPr>
    </w:p>
    <w:p>
      <w:pPr>
        <w:pStyle w:val="6"/>
        <w:snapToGrid w:val="0"/>
        <w:spacing w:line="360" w:lineRule="auto"/>
        <w:ind w:firstLine="442"/>
        <w:rPr>
          <w:rFonts w:asciiTheme="majorEastAsia" w:hAnsiTheme="majorEastAsia" w:eastAsiaTheme="majorEastAsia" w:cstheme="majorEastAsia"/>
          <w:b/>
          <w:bCs/>
          <w:sz w:val="44"/>
          <w:szCs w:val="32"/>
        </w:rPr>
      </w:pPr>
    </w:p>
    <w:p>
      <w:pPr>
        <w:pStyle w:val="6"/>
        <w:snapToGrid w:val="0"/>
        <w:spacing w:line="360" w:lineRule="auto"/>
        <w:ind w:firstLine="0" w:firstLineChars="0"/>
        <w:jc w:val="center"/>
        <w:rPr>
          <w:rFonts w:asciiTheme="majorEastAsia" w:hAnsiTheme="majorEastAsia" w:eastAsiaTheme="majorEastAsia" w:cstheme="majorEastAsia"/>
          <w:b/>
          <w:bCs/>
          <w:sz w:val="44"/>
          <w:szCs w:val="32"/>
        </w:rPr>
      </w:pPr>
    </w:p>
    <w:p>
      <w:pPr>
        <w:pStyle w:val="6"/>
        <w:snapToGrid w:val="0"/>
        <w:spacing w:line="360" w:lineRule="auto"/>
        <w:ind w:firstLine="442"/>
        <w:jc w:val="center"/>
        <w:rPr>
          <w:rFonts w:asciiTheme="majorEastAsia" w:hAnsiTheme="majorEastAsia" w:eastAsiaTheme="majorEastAsia" w:cstheme="majorEastAsia"/>
          <w:b/>
          <w:bCs/>
          <w:sz w:val="44"/>
          <w:szCs w:val="32"/>
        </w:rPr>
      </w:pPr>
    </w:p>
    <w:p>
      <w:pPr>
        <w:pStyle w:val="6"/>
        <w:snapToGrid w:val="0"/>
        <w:spacing w:line="360" w:lineRule="auto"/>
        <w:ind w:firstLine="442"/>
        <w:jc w:val="center"/>
        <w:rPr>
          <w:rFonts w:asciiTheme="majorEastAsia" w:hAnsiTheme="majorEastAsia" w:eastAsiaTheme="majorEastAsia" w:cstheme="majorEastAsia"/>
          <w:b/>
          <w:bCs/>
          <w:sz w:val="44"/>
          <w:szCs w:val="32"/>
        </w:rPr>
      </w:pPr>
    </w:p>
    <w:p>
      <w:pPr>
        <w:pStyle w:val="6"/>
        <w:snapToGrid w:val="0"/>
        <w:spacing w:line="360" w:lineRule="auto"/>
        <w:ind w:firstLine="442"/>
        <w:jc w:val="center"/>
        <w:rPr>
          <w:rFonts w:asciiTheme="majorEastAsia" w:hAnsiTheme="majorEastAsia" w:eastAsiaTheme="majorEastAsia" w:cstheme="majorEastAsia"/>
          <w:b/>
          <w:bCs/>
          <w:sz w:val="32"/>
          <w:szCs w:val="22"/>
        </w:rPr>
      </w:pPr>
      <w:r>
        <w:rPr>
          <w:rFonts w:hint="eastAsia" w:asciiTheme="majorEastAsia" w:hAnsiTheme="majorEastAsia" w:eastAsiaTheme="majorEastAsia" w:cstheme="majorEastAsia"/>
          <w:b/>
          <w:bCs/>
          <w:sz w:val="44"/>
          <w:szCs w:val="32"/>
        </w:rPr>
        <w:t>2024年4月</w:t>
      </w:r>
    </w:p>
    <w:p>
      <w:pPr>
        <w:widowControl/>
        <w:rPr>
          <w:rFonts w:asciiTheme="majorEastAsia" w:hAnsiTheme="majorEastAsia" w:eastAsiaTheme="majorEastAsia" w:cstheme="majorEastAsia"/>
          <w:b/>
          <w:bCs/>
          <w:sz w:val="32"/>
          <w:szCs w:val="22"/>
        </w:rPr>
      </w:pPr>
    </w:p>
    <w:p>
      <w:pPr>
        <w:pStyle w:val="25"/>
        <w:ind w:firstLine="0" w:firstLineChars="0"/>
        <w:jc w:val="center"/>
        <w:rPr>
          <w:rFonts w:hint="default" w:asciiTheme="majorEastAsia" w:hAnsiTheme="majorEastAsia" w:eastAsiaTheme="majorEastAsia" w:cstheme="majorEastAsia"/>
          <w:b/>
          <w:bCs/>
          <w:sz w:val="36"/>
          <w:szCs w:val="32"/>
        </w:rPr>
      </w:pPr>
      <w:r>
        <w:rPr>
          <w:rFonts w:asciiTheme="majorEastAsia" w:hAnsiTheme="majorEastAsia" w:eastAsiaTheme="majorEastAsia" w:cstheme="majorEastAsia"/>
          <w:b/>
          <w:bCs/>
          <w:sz w:val="36"/>
          <w:szCs w:val="32"/>
        </w:rPr>
        <w:t>瓮安县中等职业学校</w:t>
      </w:r>
    </w:p>
    <w:p>
      <w:pPr>
        <w:pStyle w:val="4"/>
        <w:numPr>
          <w:ilvl w:val="1"/>
          <w:numId w:val="0"/>
        </w:numPr>
        <w:snapToGrid w:val="0"/>
        <w:jc w:val="center"/>
        <w:rPr>
          <w:rFonts w:asciiTheme="majorEastAsia" w:hAnsiTheme="majorEastAsia" w:eastAsiaTheme="majorEastAsia" w:cstheme="majorEastAsia"/>
          <w:sz w:val="36"/>
        </w:rPr>
      </w:pPr>
      <w:r>
        <w:rPr>
          <w:rFonts w:hint="eastAsia" w:asciiTheme="majorEastAsia" w:hAnsiTheme="majorEastAsia" w:eastAsiaTheme="majorEastAsia" w:cstheme="majorEastAsia"/>
          <w:sz w:val="36"/>
        </w:rPr>
        <w:t>《工业机器人操作与编程》省级优质课程建设</w:t>
      </w:r>
    </w:p>
    <w:p>
      <w:pPr>
        <w:pStyle w:val="4"/>
        <w:numPr>
          <w:ilvl w:val="1"/>
          <w:numId w:val="0"/>
        </w:numPr>
        <w:snapToGrid w:val="0"/>
        <w:rPr>
          <w:rFonts w:asciiTheme="majorEastAsia" w:hAnsiTheme="majorEastAsia" w:eastAsiaTheme="majorEastAsia" w:cstheme="majorEastAsia"/>
        </w:rPr>
      </w:pPr>
      <w:r>
        <w:rPr>
          <w:rFonts w:hint="eastAsia" w:asciiTheme="majorEastAsia" w:hAnsiTheme="majorEastAsia" w:eastAsiaTheme="majorEastAsia" w:cstheme="majorEastAsia"/>
          <w:lang w:eastAsia="zh-Hans"/>
        </w:rPr>
        <w:t>一</w:t>
      </w:r>
      <w:r>
        <w:rPr>
          <w:rFonts w:hint="eastAsia" w:asciiTheme="majorEastAsia" w:hAnsiTheme="majorEastAsia" w:eastAsiaTheme="majorEastAsia" w:cstheme="majorEastAsia"/>
        </w:rPr>
        <w:t>、采购</w:t>
      </w:r>
      <w:r>
        <w:rPr>
          <w:rFonts w:hint="eastAsia" w:asciiTheme="majorEastAsia" w:hAnsiTheme="majorEastAsia" w:eastAsiaTheme="majorEastAsia" w:cstheme="majorEastAsia"/>
          <w:lang w:eastAsia="zh-Hans"/>
        </w:rPr>
        <w:t>内容</w:t>
      </w:r>
      <w:r>
        <w:rPr>
          <w:rFonts w:hint="eastAsia" w:asciiTheme="majorEastAsia" w:hAnsiTheme="majorEastAsia" w:eastAsiaTheme="majorEastAsia" w:cstheme="majorEastAsia"/>
        </w:rPr>
        <w:t>及费用预算</w:t>
      </w:r>
    </w:p>
    <w:p>
      <w:pPr>
        <w:snapToGrid w:val="0"/>
        <w:spacing w:line="360" w:lineRule="auto"/>
        <w:ind w:firstLine="482" w:firstLineChars="200"/>
        <w:rPr>
          <w:rFonts w:asciiTheme="majorEastAsia" w:hAnsiTheme="majorEastAsia" w:eastAsiaTheme="majorEastAsia" w:cstheme="majorEastAsia"/>
          <w:b/>
          <w:bCs/>
          <w:szCs w:val="24"/>
          <w:lang w:eastAsia="zh-Hans"/>
        </w:rPr>
      </w:pPr>
      <w:r>
        <w:rPr>
          <w:rFonts w:hint="eastAsia" w:asciiTheme="majorEastAsia" w:hAnsiTheme="majorEastAsia" w:eastAsiaTheme="majorEastAsia" w:cstheme="majorEastAsia"/>
          <w:b/>
          <w:bCs/>
          <w:szCs w:val="24"/>
        </w:rPr>
        <w:t>（一）采购</w:t>
      </w:r>
      <w:r>
        <w:rPr>
          <w:rFonts w:hint="eastAsia" w:asciiTheme="majorEastAsia" w:hAnsiTheme="majorEastAsia" w:eastAsiaTheme="majorEastAsia" w:cstheme="majorEastAsia"/>
          <w:b/>
          <w:bCs/>
          <w:szCs w:val="24"/>
          <w:lang w:eastAsia="zh-Hans"/>
        </w:rPr>
        <w:t>内容</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1.课程建设要求：课程计划授课视频50个，微课视频80个，课程不少于200分钟；</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2.教学课件 (PPT) ：教学PPT美化（学校提供简易版教学PPT，由供应商进行美化、PPT美化不少于120个）</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3.课程题库：200道</w:t>
      </w:r>
      <w:r>
        <w:rPr>
          <w:rFonts w:asciiTheme="majorEastAsia" w:hAnsiTheme="majorEastAsia" w:eastAsiaTheme="majorEastAsia" w:cstheme="majorEastAsia"/>
          <w:szCs w:val="24"/>
        </w:rPr>
        <w:t>以上</w:t>
      </w:r>
      <w:r>
        <w:rPr>
          <w:rFonts w:hint="eastAsia" w:asciiTheme="majorEastAsia" w:hAnsiTheme="majorEastAsia" w:eastAsiaTheme="majorEastAsia" w:cstheme="majorEastAsia"/>
          <w:szCs w:val="24"/>
        </w:rPr>
        <w:t>。</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4.教学视频拍摄（教师负责脚本撰写和进行教学过程出镜，拍摄团队为供应商提供拍摄所需拍摄设备及人员）</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5.教学视频资源周期制作（包括课程片头、片尾、教学视频中间制作，加字幕、字幕校对由供应商提供）</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6.搭建课程门户，门户内容如下（由供应商搭建）：</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（1）课程团队介绍</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（2）课程介绍（课程详情、课程概述、课程大纲、课程简介）</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（3）课程章节</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（4）教学资源</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（5）参考资料</w:t>
      </w:r>
    </w:p>
    <w:p>
      <w:pPr>
        <w:snapToGrid w:val="0"/>
        <w:spacing w:line="360" w:lineRule="auto"/>
        <w:ind w:firstLine="480" w:firstLineChars="200"/>
        <w:rPr>
          <w:rFonts w:asciiTheme="majorEastAsia" w:hAnsiTheme="majorEastAsia" w:eastAsiaTheme="majorEastAsia" w:cstheme="majorEastAsia"/>
          <w:szCs w:val="24"/>
          <w:lang w:eastAsia="zh-Hans"/>
        </w:rPr>
      </w:pPr>
      <w:r>
        <w:rPr>
          <w:rFonts w:hint="eastAsia" w:asciiTheme="majorEastAsia" w:hAnsiTheme="majorEastAsia" w:eastAsiaTheme="majorEastAsia" w:cstheme="majorEastAsia"/>
          <w:szCs w:val="24"/>
        </w:rPr>
        <w:t>7.支撑该课程</w:t>
      </w:r>
      <w:r>
        <w:rPr>
          <w:rFonts w:hint="eastAsia" w:asciiTheme="majorEastAsia" w:hAnsiTheme="majorEastAsia" w:eastAsiaTheme="majorEastAsia" w:cstheme="majorEastAsia"/>
          <w:szCs w:val="24"/>
          <w:lang w:eastAsia="zh-Hans"/>
        </w:rPr>
        <w:t>线上运行平台</w:t>
      </w:r>
      <w:r>
        <w:rPr>
          <w:rFonts w:hint="eastAsia" w:asciiTheme="majorEastAsia" w:hAnsiTheme="majorEastAsia" w:eastAsiaTheme="majorEastAsia" w:cstheme="majorEastAsia"/>
          <w:szCs w:val="24"/>
        </w:rPr>
        <w:t>1套</w:t>
      </w:r>
      <w:r>
        <w:rPr>
          <w:rFonts w:hint="eastAsia" w:asciiTheme="majorEastAsia" w:hAnsiTheme="majorEastAsia" w:eastAsiaTheme="majorEastAsia" w:cstheme="majorEastAsia"/>
          <w:szCs w:val="24"/>
          <w:lang w:eastAsia="zh-Hans"/>
        </w:rPr>
        <w:t>（含校内、公开运行两个平台）</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8.专家指导培训（课程建设知识重构、课程运行指导等）</w:t>
      </w:r>
    </w:p>
    <w:p>
      <w:pPr>
        <w:snapToGrid w:val="0"/>
        <w:spacing w:line="360" w:lineRule="auto"/>
        <w:ind w:firstLine="480" w:firstLineChars="200"/>
        <w:rPr>
          <w:rFonts w:asciiTheme="majorEastAsia" w:hAnsiTheme="majorEastAsia" w:eastAsiaTheme="majorEastAsia" w:cstheme="majorEastAsia"/>
          <w:szCs w:val="24"/>
        </w:rPr>
      </w:pPr>
      <w:r>
        <w:rPr>
          <w:rFonts w:hint="eastAsia" w:asciiTheme="majorEastAsia" w:hAnsiTheme="majorEastAsia" w:eastAsiaTheme="majorEastAsia" w:cstheme="majorEastAsia"/>
          <w:szCs w:val="24"/>
        </w:rPr>
        <w:t>9.建设《工业机器人操作与编程》数字教材1本</w:t>
      </w:r>
    </w:p>
    <w:p>
      <w:pPr>
        <w:snapToGrid w:val="0"/>
        <w:spacing w:line="360" w:lineRule="auto"/>
        <w:ind w:firstLine="482" w:firstLineChars="200"/>
        <w:rPr>
          <w:rFonts w:asciiTheme="majorEastAsia" w:hAnsiTheme="majorEastAsia" w:eastAsiaTheme="majorEastAsia" w:cstheme="majorEastAsia"/>
          <w:b/>
          <w:bCs/>
          <w:szCs w:val="24"/>
        </w:rPr>
      </w:pPr>
      <w:r>
        <w:rPr>
          <w:rFonts w:hint="eastAsia" w:asciiTheme="majorEastAsia" w:hAnsiTheme="majorEastAsia" w:eastAsiaTheme="majorEastAsia" w:cstheme="majorEastAsia"/>
          <w:b/>
          <w:bCs/>
          <w:szCs w:val="24"/>
        </w:rPr>
        <w:t>（二）费用</w:t>
      </w:r>
      <w:r>
        <w:rPr>
          <w:rFonts w:hint="eastAsia" w:asciiTheme="majorEastAsia" w:hAnsiTheme="majorEastAsia" w:eastAsiaTheme="majorEastAsia" w:cstheme="majorEastAsia"/>
          <w:b/>
          <w:bCs/>
          <w:szCs w:val="24"/>
          <w:lang w:eastAsia="zh-Hans"/>
        </w:rPr>
        <w:t>总</w:t>
      </w:r>
      <w:r>
        <w:rPr>
          <w:rFonts w:hint="eastAsia" w:asciiTheme="majorEastAsia" w:hAnsiTheme="majorEastAsia" w:eastAsiaTheme="majorEastAsia" w:cstheme="majorEastAsia"/>
          <w:b/>
          <w:bCs/>
          <w:szCs w:val="24"/>
        </w:rPr>
        <w:t>预算</w:t>
      </w:r>
    </w:p>
    <w:p>
      <w:pPr>
        <w:snapToGrid w:val="0"/>
        <w:spacing w:line="360" w:lineRule="auto"/>
        <w:ind w:firstLine="480" w:firstLineChars="200"/>
        <w:rPr>
          <w:rFonts w:asciiTheme="majorEastAsia" w:hAnsiTheme="majorEastAsia" w:eastAsiaTheme="majorEastAsia" w:cstheme="majorEastAsia"/>
          <w:szCs w:val="24"/>
          <w:lang w:eastAsia="zh-Hans"/>
        </w:rPr>
      </w:pPr>
      <w:r>
        <w:rPr>
          <w:rFonts w:hint="eastAsia" w:asciiTheme="majorEastAsia" w:hAnsiTheme="majorEastAsia" w:eastAsiaTheme="majorEastAsia" w:cstheme="majorEastAsia"/>
          <w:szCs w:val="24"/>
        </w:rPr>
        <w:t>预算总金额：</w:t>
      </w:r>
      <w:r>
        <w:rPr>
          <w:rFonts w:hint="eastAsia" w:asciiTheme="majorEastAsia" w:hAnsiTheme="majorEastAsia" w:eastAsiaTheme="majorEastAsia" w:cstheme="majorEastAsia"/>
          <w:b/>
          <w:bCs/>
          <w:szCs w:val="24"/>
          <w:u w:val="single"/>
        </w:rPr>
        <w:t xml:space="preserve"> 10</w:t>
      </w:r>
      <w:r>
        <w:rPr>
          <w:rFonts w:hint="eastAsia" w:asciiTheme="majorEastAsia" w:hAnsiTheme="majorEastAsia" w:eastAsiaTheme="majorEastAsia" w:cstheme="majorEastAsia"/>
          <w:b/>
          <w:bCs/>
          <w:szCs w:val="24"/>
        </w:rPr>
        <w:t>万元</w:t>
      </w:r>
      <w:r>
        <w:rPr>
          <w:rFonts w:hint="eastAsia" w:asciiTheme="majorEastAsia" w:hAnsiTheme="majorEastAsia" w:eastAsiaTheme="majorEastAsia" w:cstheme="majorEastAsia"/>
          <w:szCs w:val="24"/>
        </w:rPr>
        <w:t>，包含以上采购清单所有费用，具体明细如下：</w:t>
      </w:r>
    </w:p>
    <w:tbl>
      <w:tblPr>
        <w:tblStyle w:val="16"/>
        <w:tblW w:w="92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6558"/>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1899" w:type="dxa"/>
            <w:shd w:val="clear" w:color="auto" w:fill="F1F1F1"/>
            <w:vAlign w:val="center"/>
          </w:tcPr>
          <w:p>
            <w:pPr>
              <w:snapToGrid w:val="0"/>
              <w:spacing w:line="240" w:lineRule="auto"/>
              <w:jc w:val="center"/>
              <w:textAlignment w:val="auto"/>
              <w:rPr>
                <w:rFonts w:asciiTheme="majorEastAsia" w:hAnsiTheme="majorEastAsia" w:eastAsiaTheme="majorEastAsia" w:cstheme="majorEastAsia"/>
                <w:b/>
                <w:bCs/>
                <w:sz w:val="21"/>
                <w:szCs w:val="21"/>
              </w:rPr>
            </w:pPr>
            <w:bookmarkStart w:id="1" w:name="_Toc127277379"/>
            <w:bookmarkStart w:id="2" w:name="_Toc98707998"/>
            <w:r>
              <w:rPr>
                <w:rFonts w:hint="eastAsia" w:asciiTheme="majorEastAsia" w:hAnsiTheme="majorEastAsia" w:eastAsiaTheme="majorEastAsia" w:cstheme="majorEastAsia"/>
                <w:b/>
                <w:bCs/>
                <w:sz w:val="21"/>
                <w:szCs w:val="21"/>
              </w:rPr>
              <w:t>建设服务内容</w:t>
            </w:r>
          </w:p>
        </w:tc>
        <w:tc>
          <w:tcPr>
            <w:tcW w:w="6558" w:type="dxa"/>
            <w:shd w:val="clear" w:color="auto" w:fill="F1F1F1"/>
            <w:vAlign w:val="center"/>
          </w:tcPr>
          <w:p>
            <w:pPr>
              <w:snapToGrid w:val="0"/>
              <w:spacing w:line="240" w:lineRule="auto"/>
              <w:jc w:val="center"/>
              <w:textAlignment w:val="auto"/>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建设内容概述</w:t>
            </w:r>
          </w:p>
        </w:tc>
        <w:tc>
          <w:tcPr>
            <w:tcW w:w="766" w:type="dxa"/>
            <w:shd w:val="clear" w:color="auto" w:fill="F1F1F1"/>
            <w:vAlign w:val="center"/>
          </w:tcPr>
          <w:p>
            <w:pPr>
              <w:snapToGrid w:val="0"/>
              <w:spacing w:line="240" w:lineRule="auto"/>
              <w:jc w:val="center"/>
              <w:textAlignment w:val="auto"/>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4" w:hRule="atLeast"/>
          <w:jc w:val="center"/>
        </w:trPr>
        <w:tc>
          <w:tcPr>
            <w:tcW w:w="1899" w:type="dxa"/>
            <w:vAlign w:val="center"/>
          </w:tcPr>
          <w:p>
            <w:pPr>
              <w:snapToGrid w:val="0"/>
              <w:spacing w:line="240" w:lineRule="auto"/>
              <w:jc w:val="center"/>
              <w:textAlignment w:val="auto"/>
              <w:rPr>
                <w:rFonts w:asciiTheme="majorEastAsia" w:hAnsiTheme="majorEastAsia" w:eastAsiaTheme="majorEastAsia" w:cstheme="majorEastAsia"/>
                <w:kern w:val="2"/>
                <w:sz w:val="21"/>
                <w:szCs w:val="21"/>
              </w:rPr>
            </w:pPr>
            <w:r>
              <w:rPr>
                <w:rFonts w:hint="eastAsia" w:asciiTheme="majorEastAsia" w:hAnsiTheme="majorEastAsia" w:eastAsiaTheme="majorEastAsia" w:cstheme="majorEastAsia"/>
                <w:sz w:val="21"/>
                <w:szCs w:val="21"/>
              </w:rPr>
              <w:t>课程资源开发</w:t>
            </w:r>
          </w:p>
        </w:tc>
        <w:tc>
          <w:tcPr>
            <w:tcW w:w="6558" w:type="dxa"/>
            <w:vAlign w:val="center"/>
          </w:tcPr>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1、课程建设要求：课程计划授课视频50个，微课视频80个，课程不少于240分钟；</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2、教学课件 (PPT) ：教学PPT美化（学校提供简易版教学PPT，由供应商进行美化、PPT美化不少于120个）</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3、课程题库：不限数量</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4、教学视频拍摄（教师负责脚本撰写和进行教学过程出境，拍摄团队为供应商提供拍摄所需拍摄设备及人员）</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5、教学视频资源周期制作（包括课程片头、片尾、教学视频中间制作，加字幕、字幕校对由供应商提供）</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6、搭建课程门户，门户内容如下（由供应商搭建）：</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（1）课程团队介绍</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（2）课程介绍（课程详情、课程概述、课程大纲、课程简介）</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（3）课程章节</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（4）教学资源</w:t>
            </w:r>
          </w:p>
          <w:p>
            <w:pPr>
              <w:snapToGrid w:val="0"/>
              <w:spacing w:line="240" w:lineRule="auto"/>
              <w:textAlignment w:val="auto"/>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（5）参考资料</w:t>
            </w:r>
          </w:p>
        </w:tc>
        <w:tc>
          <w:tcPr>
            <w:tcW w:w="766" w:type="dxa"/>
            <w:vAlign w:val="center"/>
          </w:tcPr>
          <w:p>
            <w:pPr>
              <w:pStyle w:val="30"/>
              <w:snapToGrid w:val="0"/>
              <w:jc w:val="center"/>
              <w:rPr>
                <w:rFonts w:asciiTheme="majorEastAsia" w:hAnsiTheme="majorEastAsia" w:eastAsiaTheme="majorEastAsia" w:cstheme="majorEastAsia"/>
                <w:color w:val="auto"/>
                <w:kern w:val="2"/>
                <w:sz w:val="21"/>
                <w:szCs w:val="21"/>
              </w:rPr>
            </w:pPr>
            <w:r>
              <w:rPr>
                <w:rFonts w:hint="eastAsia" w:asciiTheme="majorEastAsia" w:hAnsiTheme="majorEastAsia" w:eastAsiaTheme="majorEastAsia" w:cstheme="majorEastAsia"/>
                <w:color w:val="auto"/>
                <w:kern w:val="2"/>
                <w:sz w:val="21"/>
                <w:szCs w:val="21"/>
              </w:rPr>
              <w:t>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jc w:val="center"/>
        </w:trPr>
        <w:tc>
          <w:tcPr>
            <w:tcW w:w="1899" w:type="dxa"/>
            <w:vAlign w:val="center"/>
          </w:tcPr>
          <w:p>
            <w:pPr>
              <w:snapToGrid w:val="0"/>
              <w:spacing w:line="240" w:lineRule="auto"/>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专家指导培训</w:t>
            </w:r>
          </w:p>
        </w:tc>
        <w:tc>
          <w:tcPr>
            <w:tcW w:w="6558" w:type="dxa"/>
            <w:vAlign w:val="center"/>
          </w:tcPr>
          <w:p>
            <w:pPr>
              <w:snapToGrid w:val="0"/>
              <w:spacing w:line="240" w:lineRule="auto"/>
              <w:jc w:val="both"/>
              <w:rPr>
                <w:rFonts w:asciiTheme="majorEastAsia" w:hAnsiTheme="majorEastAsia" w:eastAsiaTheme="majorEastAsia" w:cstheme="majorEastAsia"/>
                <w:sz w:val="21"/>
                <w:szCs w:val="21"/>
                <w:lang w:eastAsia="zh-Hans"/>
              </w:rPr>
            </w:pPr>
            <w:r>
              <w:rPr>
                <w:rFonts w:hint="eastAsia" w:asciiTheme="majorEastAsia" w:hAnsiTheme="majorEastAsia" w:eastAsiaTheme="majorEastAsia" w:cstheme="majorEastAsia"/>
                <w:sz w:val="21"/>
                <w:szCs w:val="21"/>
              </w:rPr>
              <w:t>对教师团队的课程教学设计和课程内容重构初稿独立指导、课程运行指导。</w:t>
            </w:r>
          </w:p>
        </w:tc>
        <w:tc>
          <w:tcPr>
            <w:tcW w:w="766" w:type="dxa"/>
            <w:vAlign w:val="center"/>
          </w:tcPr>
          <w:p>
            <w:pPr>
              <w:snapToGrid w:val="0"/>
              <w:spacing w:line="240" w:lineRule="auto"/>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jc w:val="center"/>
        </w:trPr>
        <w:tc>
          <w:tcPr>
            <w:tcW w:w="1899" w:type="dxa"/>
            <w:vAlign w:val="center"/>
          </w:tcPr>
          <w:p>
            <w:pPr>
              <w:snapToGrid w:val="0"/>
              <w:spacing w:line="240" w:lineRule="auto"/>
              <w:jc w:val="center"/>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课程教学运行平台</w:t>
            </w:r>
          </w:p>
        </w:tc>
        <w:tc>
          <w:tcPr>
            <w:tcW w:w="6558" w:type="dxa"/>
            <w:vAlign w:val="center"/>
          </w:tcPr>
          <w:p>
            <w:pPr>
              <w:snapToGrid w:val="0"/>
              <w:spacing w:line="240" w:lineRule="auto"/>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将课前建课、备课和学生预习、课中课堂教学和实践操作、课后复习考核和教学评估等整个教学过程融会贯通，实现对“线上+线下”教学全过程的即使数据采集，该门课程永久使用权。</w:t>
            </w:r>
          </w:p>
        </w:tc>
        <w:tc>
          <w:tcPr>
            <w:tcW w:w="766" w:type="dxa"/>
            <w:vAlign w:val="center"/>
          </w:tcPr>
          <w:p>
            <w:pPr>
              <w:snapToGrid w:val="0"/>
              <w:spacing w:line="240" w:lineRule="auto"/>
              <w:jc w:val="center"/>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jc w:val="center"/>
        </w:trPr>
        <w:tc>
          <w:tcPr>
            <w:tcW w:w="1899" w:type="dxa"/>
            <w:vAlign w:val="center"/>
          </w:tcPr>
          <w:p>
            <w:pPr>
              <w:snapToGrid w:val="0"/>
              <w:spacing w:line="240" w:lineRule="auto"/>
              <w:jc w:val="center"/>
              <w:rPr>
                <w:rFonts w:asciiTheme="majorEastAsia" w:hAnsiTheme="majorEastAsia" w:eastAsiaTheme="majorEastAsia" w:cstheme="majorEastAsia"/>
                <w:sz w:val="21"/>
                <w:szCs w:val="21"/>
                <w:lang w:eastAsia="zh-Hans"/>
              </w:rPr>
            </w:pPr>
            <w:r>
              <w:rPr>
                <w:rFonts w:hint="eastAsia" w:asciiTheme="majorEastAsia" w:hAnsiTheme="majorEastAsia" w:eastAsiaTheme="majorEastAsia" w:cstheme="majorEastAsia"/>
                <w:sz w:val="21"/>
                <w:szCs w:val="21"/>
              </w:rPr>
              <w:t>数字教材</w:t>
            </w:r>
          </w:p>
        </w:tc>
        <w:tc>
          <w:tcPr>
            <w:tcW w:w="6558" w:type="dxa"/>
            <w:vAlign w:val="center"/>
          </w:tcPr>
          <w:p>
            <w:pPr>
              <w:snapToGrid w:val="0"/>
              <w:spacing w:line="240" w:lineRule="auto"/>
              <w:jc w:val="both"/>
            </w:pPr>
            <w:r>
              <w:rPr>
                <w:rFonts w:hint="eastAsia" w:asciiTheme="majorEastAsia" w:hAnsiTheme="majorEastAsia" w:eastAsiaTheme="majorEastAsia" w:cstheme="majorEastAsia"/>
                <w:sz w:val="21"/>
                <w:szCs w:val="21"/>
              </w:rPr>
              <w:t>将优质数字教学资源进行整合开发的新型数字教材模式。可承载包括文字、图片、音视频、动画、课件、教案、题库、作业、试题等富媒体内容，是一种可直接进行混合式教学的交互式数字教材。</w:t>
            </w:r>
          </w:p>
        </w:tc>
        <w:tc>
          <w:tcPr>
            <w:tcW w:w="766" w:type="dxa"/>
            <w:vAlign w:val="center"/>
          </w:tcPr>
          <w:p>
            <w:pPr>
              <w:snapToGrid w:val="0"/>
              <w:spacing w:line="240" w:lineRule="auto"/>
              <w:jc w:val="cente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4万</w:t>
            </w:r>
          </w:p>
        </w:tc>
      </w:tr>
      <w:bookmarkEnd w:id="1"/>
      <w:bookmarkEnd w:id="2"/>
    </w:tbl>
    <w:p>
      <w:pPr>
        <w:rPr>
          <w:lang w:eastAsia="zh-Hans"/>
        </w:rPr>
      </w:pPr>
    </w:p>
    <w:p>
      <w:pPr>
        <w:pStyle w:val="4"/>
        <w:numPr>
          <w:ilvl w:val="1"/>
          <w:numId w:val="0"/>
        </w:numPr>
        <w:snapToGrid w:val="0"/>
        <w:rPr>
          <w:rFonts w:asciiTheme="majorEastAsia" w:hAnsiTheme="majorEastAsia" w:eastAsiaTheme="majorEastAsia" w:cstheme="majorEastAsia"/>
          <w:lang w:eastAsia="zh-Hans"/>
        </w:rPr>
      </w:pPr>
      <w:r>
        <w:rPr>
          <w:rFonts w:hint="eastAsia" w:asciiTheme="majorEastAsia" w:hAnsiTheme="majorEastAsia" w:eastAsiaTheme="majorEastAsia" w:cstheme="majorEastAsia"/>
          <w:lang w:eastAsia="zh-Hans"/>
        </w:rPr>
        <w:t>三、服务要求</w:t>
      </w:r>
    </w:p>
    <w:tbl>
      <w:tblPr>
        <w:tblStyle w:val="16"/>
        <w:tblW w:w="92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7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项目名称</w:t>
            </w:r>
          </w:p>
        </w:tc>
        <w:tc>
          <w:tcPr>
            <w:tcW w:w="780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rPr>
                <w:rFonts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课程资源开发要求</w:t>
            </w:r>
          </w:p>
        </w:tc>
        <w:tc>
          <w:tcPr>
            <w:tcW w:w="7801" w:type="dxa"/>
            <w:tcBorders>
              <w:top w:val="single" w:color="auto" w:sz="4" w:space="0"/>
              <w:left w:val="single" w:color="auto" w:sz="4" w:space="0"/>
              <w:bottom w:val="single" w:color="auto" w:sz="4" w:space="0"/>
              <w:right w:val="single" w:color="auto" w:sz="4" w:space="0"/>
            </w:tcBorders>
            <w:vAlign w:val="center"/>
          </w:tcPr>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一、建设培训</w:t>
            </w:r>
          </w:p>
          <w:p>
            <w:pPr>
              <w:ind w:firstLine="420" w:firstLineChars="200"/>
              <w:rPr>
                <w:rFonts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邀请专家对课程建设团队进行培训，培训内容含课程重构、课程教学设计、脚本编制、视频拍摄、精品课程建设、混合式教学、教材建设、国家级精品在线开放课程平台运行等；培训次数不少于2期。</w:t>
            </w:r>
          </w:p>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二、拍摄人员配备要求</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1</w:t>
            </w:r>
            <w:r>
              <w:rPr>
                <w:rFonts w:hint="eastAsia" w:asciiTheme="majorEastAsia" w:hAnsiTheme="majorEastAsia" w:eastAsiaTheme="majorEastAsia" w:cstheme="majorEastAsia"/>
                <w:sz w:val="21"/>
                <w:szCs w:val="21"/>
                <w:lang w:eastAsia="zh-Hans"/>
              </w:rPr>
              <w:t>.</w:t>
            </w:r>
            <w:r>
              <w:rPr>
                <w:rFonts w:hint="eastAsia" w:asciiTheme="majorEastAsia" w:hAnsiTheme="majorEastAsia" w:eastAsiaTheme="majorEastAsia" w:cstheme="majorEastAsia"/>
                <w:sz w:val="21"/>
                <w:szCs w:val="21"/>
              </w:rPr>
              <w:t>课程团队建设：除投标单位专业人员外，必须包括课程的建设团队成员（原则上不少于4人）共同组成；</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lang w:eastAsia="zh-Hans"/>
              </w:rPr>
              <w:t>.课</w:t>
            </w:r>
            <w:r>
              <w:rPr>
                <w:rFonts w:hint="eastAsia" w:asciiTheme="majorEastAsia" w:hAnsiTheme="majorEastAsia" w:eastAsiaTheme="majorEastAsia" w:cstheme="majorEastAsia"/>
                <w:sz w:val="21"/>
                <w:szCs w:val="21"/>
              </w:rPr>
              <w:t>程编导：（与老师深度沟通，收集材料,起草课程脚本、拟定分组镜头大纲）1人 负责；4人。</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3</w:t>
            </w:r>
            <w:r>
              <w:rPr>
                <w:rFonts w:hint="eastAsia" w:asciiTheme="majorEastAsia" w:hAnsiTheme="majorEastAsia" w:eastAsiaTheme="majorEastAsia" w:cstheme="majorEastAsia"/>
                <w:sz w:val="21"/>
                <w:szCs w:val="21"/>
                <w:lang w:eastAsia="zh-Hans"/>
              </w:rPr>
              <w:t>.</w:t>
            </w:r>
            <w:r>
              <w:rPr>
                <w:rFonts w:hint="eastAsia" w:asciiTheme="majorEastAsia" w:hAnsiTheme="majorEastAsia" w:eastAsiaTheme="majorEastAsia" w:cstheme="majorEastAsia"/>
                <w:sz w:val="21"/>
                <w:szCs w:val="21"/>
              </w:rPr>
              <w:t>专业摄像师：摄像总监或从业5年以上资深摄像师，4人。</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摄像助理：进行拍摄前的白平衡调试、机位的摆放、音频设备的测试，4人。</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场记员：实时的记录拍摄进度、景别、时间点，拍摄内容等，4人。</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灯光师：负责灯光的调式，4人。</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调色师：使用专业后期调色软件对视频进行后期调色，4人。</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特效包装师：针对影视特效制作，4人。</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修改人员：根据采购人要求对课程数字资源进行修改，4人。</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美工：页面美化，文字排版，4人。</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校对员：负责文字校对，页面审核，4人。</w:t>
            </w:r>
          </w:p>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二、机位设定及设备</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三机位专业广播级4K高清摄像机，摄像机拍摄时采用分辨率为4096×2160，录像视频宽 16:9 帧率设定为25帧；拍摄设备要同型同款，多台高清摄像机保证录制效果的一致性 </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主机位用于拍摄教师全景，辅助机位1拍摄教师特写，辅助机位2用于拍摄全景、板书以及多媒体信息。录音设备要求使用若干个专业级话筒，保证录音质量。</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保证拍摄现场的音响效果及灯光效果达到摄影棚级别要求。</w:t>
            </w:r>
          </w:p>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三、PPT制作要求及脚本的要求</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1.课程设计：协助团队教师进行教学大纲梳理、教学设计及知识点碎片化；</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2.课件内容排版：每一张PPT的文字内容要简练，内容尽量靠页面左边三分之二处，右三分之一留空白，根据情况进行动画制作；</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字体要求：标题字体大小为28-30px，内容字体大小为22-24px；</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背景颜色：每一张PPT的背景颜色根据课程数字资源设计风格而定。</w:t>
            </w:r>
          </w:p>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四、后期制作要求</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使用专业非编软件：大洋、Edius，对源视频进行最基本的处理（如抠像、垃圾镜头处理、颜色校正、双声道处理）。使用专业的视频编辑系统进行视频降噪、音频降噪。根据编导脚本进行编辑片花和引文中的背景板、特定的背景音乐、音乐场景特效、引文字体、字体颜色、构图排版、转场特效、基本剪辑、音视频调整与衔接工作。</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根据每个课程数字资源的内容提供片头案例策划不少于3套，片头不超过10秒，片头特效包含二维三维动画制作，二维动画10秒以内，三维10秒以内；包含学校LOGO、课程数字资源名称、讲次、主讲教师姓名、专业技术职务。片尾不超过10秒，包括版权单位、制作单位、录制时间等信息。</w:t>
            </w:r>
          </w:p>
          <w:p>
            <w:pPr>
              <w:pStyle w:val="28"/>
              <w:numPr>
                <w:ilvl w:val="0"/>
                <w:numId w:val="2"/>
              </w:numPr>
              <w:ind w:firstLineChars="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平面设计软件：Photoshop，CorelDRAW，Illustrator</w:t>
            </w:r>
          </w:p>
          <w:p>
            <w:pPr>
              <w:pStyle w:val="28"/>
              <w:numPr>
                <w:ilvl w:val="0"/>
                <w:numId w:val="2"/>
              </w:numPr>
              <w:ind w:firstLineChars="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二维动画制作软件：Flash</w:t>
            </w:r>
          </w:p>
          <w:p>
            <w:pPr>
              <w:pStyle w:val="28"/>
              <w:numPr>
                <w:ilvl w:val="0"/>
                <w:numId w:val="2"/>
              </w:numPr>
              <w:ind w:firstLineChars="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三维动画制作软件3dMax，Maya</w:t>
            </w:r>
          </w:p>
          <w:p>
            <w:pPr>
              <w:pStyle w:val="28"/>
              <w:numPr>
                <w:ilvl w:val="0"/>
                <w:numId w:val="2"/>
              </w:numPr>
              <w:ind w:firstLineChars="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字幕制作软件：TIMEM时间机器，SRT字幕制作助手。</w:t>
            </w:r>
          </w:p>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五、视频图像质量</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稳定性：全片图像同步性能稳定，无失步现象，CTL同步控制信号必须连续；图像无抖动跳跃，色彩无突变，编辑点处图像稳定。</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信噪比：图像信噪比不低于55dB，无明显杂波。</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色调：白平衡正确，无明显偏色，多机拍摄的镜头衔接处无明显色差。</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视频电平：视频全讯号幅度为1Ⅴp-p，最大不超过1.1Ⅴ p-p。其中，消隐电平为0V时，白电平幅度0.7Ⅴp-p，同步信号-0.3V，色同步信号幅度0.3V p-p (以消隐线上下对称)，全片一致。</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视频画幅宽高比：宽高比为16:9;在同一课程数字资源中，各讲应统一画幅的宽高比，不得混用。</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视频压缩采用H.264(MPEG-4 Part10：profile=main, level=3.0)编码方式，码流率5000kbps以上，帧率不低于25fps，分辨率应不低于1920×1080，成片格式为采用MP4格式，提供片头设计和制作。</w:t>
            </w:r>
          </w:p>
          <w:p>
            <w:pP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b/>
                <w:bCs/>
                <w:sz w:val="21"/>
                <w:szCs w:val="21"/>
              </w:rPr>
              <w:t>六、 音频压缩格式及技术参数</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音频压缩采用AAC(MPEG4 Part3)格式。</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采样率48KHz。</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音频码流率256kbps (恒定)。</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必须是双声道，必须做混音处理。</w:t>
            </w:r>
          </w:p>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八、制作规范及要求</w:t>
            </w:r>
          </w:p>
          <w:p>
            <w:pPr>
              <w:ind w:firstLine="48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1</w:t>
            </w:r>
            <w:r>
              <w:rPr>
                <w:rFonts w:hint="eastAsia" w:asciiTheme="majorEastAsia" w:hAnsiTheme="majorEastAsia" w:eastAsiaTheme="majorEastAsia" w:cstheme="majorEastAsia"/>
                <w:sz w:val="21"/>
                <w:szCs w:val="21"/>
                <w:lang w:eastAsia="zh-Hans"/>
              </w:rPr>
              <w:t>.</w:t>
            </w:r>
            <w:r>
              <w:rPr>
                <w:rFonts w:hint="eastAsia" w:asciiTheme="majorEastAsia" w:hAnsiTheme="majorEastAsia" w:eastAsiaTheme="majorEastAsia" w:cstheme="majorEastAsia"/>
                <w:sz w:val="21"/>
                <w:szCs w:val="21"/>
              </w:rPr>
              <w:t>使用专业的非线性编辑(1920*50M/S)系统对源视频进行最基本的处理（如剪辑、抠像、颜色校正、双声道处理）。</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声音和画面要求同步，无交流声或其他杂音等缺陷，无明显失真、放音过冲、过弱。伴音清晰、饱满、圆润，无失真、噪声杂音干扰、音量忽大忽小现象。解说声与现场声、背景音乐无明显比例失调。音频信噪比不低于48dB。</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后期特效保证画面美观、色彩真实，符合摄影构图规则。老师视频必须具备人物特写、知识点特效展示、人物中景等场景。场景切换自然流畅，色彩无突变，画面无晃动、抖动、模糊聚焦和镜头频繁拉伸等。</w:t>
            </w:r>
          </w:p>
          <w:p>
            <w:pPr>
              <w:rPr>
                <w:rFonts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sz w:val="21"/>
                <w:szCs w:val="21"/>
              </w:rPr>
              <w:t>九、</w:t>
            </w:r>
            <w:r>
              <w:rPr>
                <w:rFonts w:hint="eastAsia" w:asciiTheme="majorEastAsia" w:hAnsiTheme="majorEastAsia" w:eastAsiaTheme="majorEastAsia" w:cstheme="majorEastAsia"/>
                <w:b/>
                <w:bCs/>
                <w:color w:val="000000"/>
                <w:sz w:val="21"/>
                <w:szCs w:val="21"/>
              </w:rPr>
              <w:t>课程制作及内容要求</w:t>
            </w:r>
          </w:p>
          <w:p>
            <w:pPr>
              <w:rPr>
                <w:rFonts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（一）</w:t>
            </w:r>
            <w:r>
              <w:rPr>
                <w:rFonts w:hint="eastAsia" w:asciiTheme="majorEastAsia" w:hAnsiTheme="majorEastAsia" w:eastAsiaTheme="majorEastAsia" w:cstheme="majorEastAsia"/>
                <w:b/>
                <w:color w:val="000000"/>
                <w:sz w:val="21"/>
                <w:szCs w:val="21"/>
              </w:rPr>
              <w:t>课程</w:t>
            </w:r>
            <w:r>
              <w:rPr>
                <w:rFonts w:hint="eastAsia" w:asciiTheme="majorEastAsia" w:hAnsiTheme="majorEastAsia" w:eastAsiaTheme="majorEastAsia" w:cstheme="majorEastAsia"/>
                <w:b/>
                <w:sz w:val="21"/>
                <w:szCs w:val="21"/>
              </w:rPr>
              <w:t>设计环节：</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制作方需出编导同课程主要负责人根据教学大纲制定整体教学设计。</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以知识点组织基础教学内容，每个知识点的教学视频内容为10分钟左右。</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制作方负责出课程编导与课程教师按课程章节和知识点，收集材料如：PPT、视频、文档、老师资料以及一些辅助课程数字资源的拓展资料。</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编导与课程教师确定拍摄章节和知识点，根据课程内容进行策划制作效果，选择场地、布置现场、为教师提供教师形象、教学动作、教学语言等咨询与建议，辅导老师适应镜头、选择着装，协调拍摄注意事项等问题。</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制作方需摄制课程成片总时长</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制作方负责提供视频课程制过程中所需的化妆、场地、图片资料、视频资料。</w:t>
            </w:r>
          </w:p>
          <w:p>
            <w:pPr>
              <w:rPr>
                <w:rFonts w:asciiTheme="majorEastAsia" w:hAnsiTheme="majorEastAsia" w:eastAsiaTheme="majorEastAsia" w:cstheme="majorEastAsia"/>
                <w:b/>
                <w:color w:val="000000" w:themeColor="text1"/>
                <w:sz w:val="21"/>
                <w:szCs w:val="21"/>
                <w14:textFill>
                  <w14:solidFill>
                    <w14:schemeClr w14:val="tx1"/>
                  </w14:solidFill>
                </w14:textFill>
              </w:rPr>
            </w:pPr>
            <w:r>
              <w:rPr>
                <w:rFonts w:hint="eastAsia" w:asciiTheme="majorEastAsia" w:hAnsiTheme="majorEastAsia" w:eastAsiaTheme="majorEastAsia" w:cstheme="majorEastAsia"/>
                <w:b/>
                <w:color w:val="000000" w:themeColor="text1"/>
                <w:sz w:val="21"/>
                <w:szCs w:val="21"/>
                <w14:textFill>
                  <w14:solidFill>
                    <w14:schemeClr w14:val="tx1"/>
                  </w14:solidFill>
                </w14:textFill>
              </w:rPr>
              <w:t>（二）课程介绍宣传片</w:t>
            </w:r>
          </w:p>
          <w:p>
            <w:pPr>
              <w:ind w:firstLine="480"/>
              <w:rPr>
                <w:rFonts w:asciiTheme="majorEastAsia" w:hAnsiTheme="majorEastAsia" w:eastAsiaTheme="majorEastAsia" w:cstheme="majorEastAsia"/>
                <w:bCs/>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宣传片要求：不超过3分钟的</w:t>
            </w:r>
            <w:r>
              <w:rPr>
                <w:rFonts w:hint="eastAsia" w:asciiTheme="majorEastAsia" w:hAnsiTheme="majorEastAsia" w:eastAsiaTheme="majorEastAsia" w:cstheme="majorEastAsia"/>
                <w:bCs/>
                <w:color w:val="000000" w:themeColor="text1"/>
                <w:sz w:val="21"/>
                <w:szCs w:val="21"/>
                <w14:textFill>
                  <w14:solidFill>
                    <w14:schemeClr w14:val="tx1"/>
                  </w14:solidFill>
                </w14:textFill>
              </w:rPr>
              <w:t>课程介绍，要求能够较充分的反映课程的主要内容概况，集、形、声、色、动态于一体，生动直观、易于接受、感染力强、形式新颖、生动有趣、富有新意。</w:t>
            </w:r>
          </w:p>
          <w:p>
            <w:pPr>
              <w:rPr>
                <w:rFonts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十、成片标准</w:t>
            </w:r>
          </w:p>
          <w:p>
            <w:pPr>
              <w:ind w:firstLine="48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1</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视频标准：格式为mp4，采用H.264编码；公司应保留全部母带级别文件，至少一年；</w:t>
            </w:r>
          </w:p>
          <w:p>
            <w:pPr>
              <w:ind w:firstLine="48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2</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分辨率：1080p高清（1920×1080）；压缩码率&gt;800kb，&lt;1024kb；单个文件大小500m以内；录制视频宽高比16:9，视频帧率为25帧/秒</w:t>
            </w:r>
          </w:p>
          <w:p>
            <w:pPr>
              <w:ind w:firstLine="48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3</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音频标准：音频压缩采用：AAC格式，</w:t>
            </w:r>
          </w:p>
          <w:p>
            <w:pPr>
              <w:ind w:firstLine="48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4</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采样率：48KHz，</w:t>
            </w:r>
          </w:p>
          <w:p>
            <w:pPr>
              <w:ind w:firstLine="48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5</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音频码流率：128Kbps，</w:t>
            </w:r>
          </w:p>
          <w:p>
            <w:pPr>
              <w:ind w:firstLine="48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6</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声道：双声道</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7</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字幕标准：字幕文件格式为SRT，视频中在下方居中位置显示简体中文字幕信息，字幕与教师所讲的内容完全符合，包括表单符号的显示，字幕为一行显示，字幕最多不过20字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b/>
                <w:sz w:val="21"/>
                <w:szCs w:val="21"/>
              </w:rPr>
            </w:pPr>
            <w:r>
              <w:rPr>
                <w:rFonts w:hint="eastAsia" w:asciiTheme="majorEastAsia" w:hAnsiTheme="majorEastAsia" w:eastAsiaTheme="majorEastAsia" w:cstheme="majorEastAsia"/>
                <w:b/>
                <w:color w:val="000000"/>
                <w:sz w:val="21"/>
                <w:szCs w:val="21"/>
              </w:rPr>
              <w:t>课程</w:t>
            </w:r>
            <w:r>
              <w:rPr>
                <w:rFonts w:hint="eastAsia" w:asciiTheme="majorEastAsia" w:hAnsiTheme="majorEastAsia" w:eastAsiaTheme="majorEastAsia" w:cstheme="majorEastAsia"/>
                <w:b/>
                <w:sz w:val="21"/>
                <w:szCs w:val="21"/>
              </w:rPr>
              <w:t>配套教学资料要求</w:t>
            </w:r>
          </w:p>
        </w:tc>
        <w:tc>
          <w:tcPr>
            <w:tcW w:w="7801" w:type="dxa"/>
            <w:tcBorders>
              <w:top w:val="single" w:color="auto" w:sz="4" w:space="0"/>
              <w:left w:val="single" w:color="auto" w:sz="4" w:space="0"/>
              <w:bottom w:val="single" w:color="auto" w:sz="4" w:space="0"/>
              <w:right w:val="single" w:color="auto" w:sz="4" w:space="0"/>
            </w:tcBorders>
          </w:tcPr>
          <w:p>
            <w:pPr>
              <w:rPr>
                <w:rFonts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能够根据教师要求制作视频以外的教学资料，包括教学大纲、教学进程、试题库、教案或演示文稿、作业、参考资料目录、案例库、讲座、图书、期刊、素材资源库等环节：</w:t>
            </w:r>
          </w:p>
          <w:p>
            <w:pPr>
              <w:ind w:firstLine="420" w:firstLineChars="200"/>
              <w:rPr>
                <w:rFonts w:asciiTheme="majorEastAsia" w:hAnsiTheme="majorEastAsia" w:eastAsiaTheme="majorEastAsia" w:cstheme="majorEastAsia"/>
                <w:bCs/>
                <w:sz w:val="21"/>
                <w:szCs w:val="21"/>
              </w:rPr>
            </w:pPr>
            <w:r>
              <w:rPr>
                <w:rFonts w:asciiTheme="majorEastAsia" w:hAnsiTheme="majorEastAsia" w:eastAsiaTheme="majorEastAsia" w:cstheme="majorEastAsia"/>
                <w:bCs/>
                <w:sz w:val="21"/>
                <w:szCs w:val="21"/>
              </w:rPr>
              <w:t>1</w:t>
            </w:r>
            <w:r>
              <w:rPr>
                <w:rFonts w:hint="eastAsia" w:asciiTheme="majorEastAsia" w:hAnsiTheme="majorEastAsia" w:eastAsiaTheme="majorEastAsia" w:cstheme="majorEastAsia"/>
                <w:bCs/>
                <w:sz w:val="21"/>
                <w:szCs w:val="21"/>
                <w:lang w:eastAsia="zh-Hans"/>
              </w:rPr>
              <w:t>.</w:t>
            </w:r>
            <w:r>
              <w:rPr>
                <w:rFonts w:hint="eastAsia" w:asciiTheme="majorEastAsia" w:hAnsiTheme="majorEastAsia" w:eastAsiaTheme="majorEastAsia" w:cstheme="majorEastAsia"/>
                <w:bCs/>
                <w:sz w:val="21"/>
                <w:szCs w:val="21"/>
              </w:rPr>
              <w:t>根据教学要求，每一个教学单元均应有配套的习题。体现课程的特性以及教学特点，习题主要是以探究性习题为主。每章应该有不少于1套习题(每周配套一套习题)；每章(每周)应该有1个讨论习题；每章至少布置1道思考题；每个课时要有3个随堂练习题，用以保证学生的学习效果。专业助教团队针对知识单元建设作业、考试题库，同时支持作业题目根据相应章节题库随机组卷、自动批阅试卷、是否显示作业成绩及正确答案、及格标准分、考试时间等的设置，辅助教师开展灵活的网络教学。作业题目可以是来源于题库、试卷或自定义。作业可以进行随机出题、最低答题字数限制、查看答案、查看分数等设置。学生可以使用作业提交工具，在作业中附加一个文件或者包括额外的信息或超链接，而不只是简单添加附件。</w:t>
            </w:r>
          </w:p>
          <w:p>
            <w:pPr>
              <w:ind w:firstLine="420" w:firstLineChars="200"/>
              <w:rPr>
                <w:rFonts w:asciiTheme="majorEastAsia" w:hAnsiTheme="majorEastAsia" w:eastAsiaTheme="majorEastAsia" w:cstheme="majorEastAsia"/>
                <w:bCs/>
                <w:sz w:val="21"/>
                <w:szCs w:val="21"/>
              </w:rPr>
            </w:pPr>
            <w:r>
              <w:rPr>
                <w:rFonts w:asciiTheme="majorEastAsia" w:hAnsiTheme="majorEastAsia" w:eastAsiaTheme="majorEastAsia" w:cstheme="majorEastAsia"/>
                <w:bCs/>
                <w:sz w:val="21"/>
                <w:szCs w:val="21"/>
              </w:rPr>
              <w:t>2</w:t>
            </w:r>
            <w:r>
              <w:rPr>
                <w:rFonts w:hint="eastAsia" w:asciiTheme="majorEastAsia" w:hAnsiTheme="majorEastAsia" w:eastAsiaTheme="majorEastAsia" w:cstheme="majorEastAsia"/>
                <w:bCs/>
                <w:sz w:val="21"/>
                <w:szCs w:val="21"/>
                <w:lang w:eastAsia="zh-Hans"/>
              </w:rPr>
              <w:t>.</w:t>
            </w:r>
            <w:r>
              <w:rPr>
                <w:rFonts w:hint="eastAsia" w:asciiTheme="majorEastAsia" w:hAnsiTheme="majorEastAsia" w:eastAsiaTheme="majorEastAsia" w:cstheme="majorEastAsia"/>
                <w:bCs/>
                <w:sz w:val="21"/>
                <w:szCs w:val="21"/>
              </w:rPr>
              <w:t>试题库：自测题与练习题库包括是非题、单选题、多选题、填空题、简答题等多种题型。题库管理功能可以建立题库，题库中应包括各种基本题型，包括客观题、主观题，支持自动及手动方式组卷。</w:t>
            </w:r>
          </w:p>
          <w:p>
            <w:pPr>
              <w:ind w:firstLine="420" w:firstLineChars="200"/>
              <w:rPr>
                <w:rFonts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w:t>
            </w:r>
            <w:r>
              <w:rPr>
                <w:rFonts w:asciiTheme="majorEastAsia" w:hAnsiTheme="majorEastAsia" w:eastAsiaTheme="majorEastAsia" w:cstheme="majorEastAsia"/>
                <w:bCs/>
                <w:sz w:val="21"/>
                <w:szCs w:val="21"/>
              </w:rPr>
              <w:t>3</w:t>
            </w:r>
            <w:r>
              <w:rPr>
                <w:rFonts w:hint="eastAsia" w:asciiTheme="majorEastAsia" w:hAnsiTheme="majorEastAsia" w:eastAsiaTheme="majorEastAsia" w:cstheme="majorEastAsia"/>
                <w:bCs/>
                <w:sz w:val="21"/>
                <w:szCs w:val="21"/>
                <w:lang w:eastAsia="zh-Hans"/>
              </w:rPr>
              <w:t>.</w:t>
            </w:r>
            <w:r>
              <w:rPr>
                <w:rFonts w:hint="eastAsia" w:asciiTheme="majorEastAsia" w:hAnsiTheme="majorEastAsia" w:eastAsiaTheme="majorEastAsia" w:cstheme="majorEastAsia"/>
                <w:bCs/>
                <w:sz w:val="21"/>
                <w:szCs w:val="21"/>
              </w:rPr>
              <w:t>课程拓展资源：提供参考资料及课程资源链接。每门课程应该配套不少于5篇文章的参考资料，参考书籍不少于5本。提供与课程有关的、有利于学生素质提高和知识拓展的相关网络素材，具体包括课程相关的电子图书、期刊、论文、文档、视频等链接，以章节为单位分别提供参考资料。</w:t>
            </w:r>
          </w:p>
          <w:p>
            <w:pPr>
              <w:snapToGrid w:val="0"/>
              <w:spacing w:line="360" w:lineRule="auto"/>
            </w:pPr>
            <w:r>
              <w:rPr>
                <w:rFonts w:hint="eastAsia" w:asciiTheme="majorEastAsia" w:hAnsiTheme="majorEastAsia" w:eastAsiaTheme="majorEastAsia" w:cstheme="majorEastAsia"/>
                <w:bCs/>
                <w:sz w:val="21"/>
                <w:szCs w:val="21"/>
              </w:rPr>
              <w:t>课程配套资源版权证明：供应商提供的课程配套资源需要有版权证明，不会给采购人造成版权问题：需提供10份及以上著作权授权证明复印件。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课程运行平台基本要求</w:t>
            </w:r>
          </w:p>
        </w:tc>
        <w:tc>
          <w:tcPr>
            <w:tcW w:w="7801"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Theme="majorEastAsia" w:hAnsiTheme="majorEastAsia" w:eastAsiaTheme="majorEastAsia" w:cstheme="majorEastAsia"/>
                <w:sz w:val="21"/>
                <w:szCs w:val="21"/>
                <w:lang w:eastAsia="zh-Hans"/>
              </w:rPr>
            </w:pPr>
            <w:r>
              <w:rPr>
                <w:rFonts w:hint="eastAsia" w:asciiTheme="majorEastAsia" w:hAnsiTheme="majorEastAsia" w:eastAsiaTheme="majorEastAsia" w:cstheme="majorEastAsia"/>
                <w:sz w:val="21"/>
                <w:szCs w:val="21"/>
              </w:rPr>
              <w:t>课程平台符合教育部规定的“全国性公开课平台，可面向高校和社会学习者开展教学活动；</w:t>
            </w:r>
            <w:r>
              <w:rPr>
                <w:rFonts w:hint="eastAsia" w:asciiTheme="majorEastAsia" w:hAnsiTheme="majorEastAsia" w:eastAsiaTheme="majorEastAsia" w:cstheme="majorEastAsia"/>
                <w:sz w:val="21"/>
                <w:szCs w:val="21"/>
                <w:lang w:eastAsia="zh-Hans"/>
              </w:rPr>
              <w:t>校内运行课程平台可对接贵州省职业教育智慧云平台”</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投标人制作慕课应具有完善的学习流程管理功能，并制作成完整的课程网站，支持整个课程创建、内容共享、学习过程跟踪和控制、实现在线视频播放、测试和作业发布、交流互动、成绩评测、讨论答疑、作业、考试、评估等学习成果反馈教学流程，实现信息技术与教学过程的深度融合。</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上线课程教学资源应包括按照知识点提供的视频、课程介绍、教学大纲、教学进程、试题库、教案、演示文稿、作业、参考资料目录、案例库、素材资源库等</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采用B/S结构，页面采用Web2.0 AJAX开发，不需要另行安装插件就可以支持IE9及以上版本、safari、fairfox、chrome等浏览器，浏览器兼容性好。</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支持辅助教学、翻转课堂、纯网络教学、网络修学分等几种网络教学模式。</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编辑页面操作简单、灵活方便、原位编辑、所见即所得，可以发布通告、课程资料、任务、教学资源链接、教师简介等信息，可以任意编写和设置课程的介绍、封面、教学要求、教师团队等等，并支持模块的添加、删除和位置调整。</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支持慕课制作和慕课教学模式，实现课程知识单元化，每个知识单元聚合丰富的富媒体教学资源。</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课程内容建设采用富媒体（包括视频、文档、动画、音频等）编辑器，编辑器包含视频、文档、图片、音频、图书、公式、符号、附件、网页、动画等常用组件。</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支持多种格式文件的上传和发送，必须支持如下文件：Microsoft Office文档、Adobe Acrobat PDF文件、HTML格式的文件、数字图片、数字音频文件、数字视频文件和其它多媒体文件(例如 Flash, Shockwave,等)，常见的格式具有在线预览功能</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支持在线虚拟剪辑视频：上传视频后，可以在任意时间点在线标注，无需物理剪切视频，即可实现任意视频段落在任意章节播放。支持视频中任意时间点插入测验：上传视频后，可以在任意时间点插入测试题，包含单选题、多选题和判断题。支持视频中任意时间点插入PPT：上传视频后，可以在任意时间点插入和替换任意PPT。</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章节知识点学习推送控制</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以针对每一个教学班对每个章节学习内容进行“开放、定时开放、闯关模式开放、关闭”等设置。“开放”，表示该章节可以学习。“定时开放”，表示该章节在设置的一个时间段内开放习。“闯关模式开放”，表示学生需要完成上一章节学习内容并通过相应的作业和测试后才能进行下一章节的学习内容。“关闭”，表示学生无法进行学习。</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▲视频播放控制</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的教学视频文件具有“防拖拽和防窗口切换”功能，即视频播放的时候无法进行快进播放，打开章节学习的时候不能再打开其它网页，否则视频播放停止。同时在章节视频中可以插入测验题，作答正确，才能继续学习。</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12</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教学资料</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以对自己所负责的课程的资料进行管理，建立课程文件的目录层级，并可灵活将教学资料在各目录中拖放，同时教师可以根据课程需要，赋予一人或多人一定权限，共同参于课程资源建设，即委派角色。教师可以直接从备课资源库检索、添加相关在线资源，可以对资料库中的资料进行公开与不公开设置。</w:t>
            </w:r>
          </w:p>
          <w:p>
            <w:pPr>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13</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作业与考试</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具有从题库或以前的测验中随机生成新的试卷与作业的功能，教师可以对试卷和作业中的试题进行添加、修改、删除、任意排序、预览等功能，可以对试题设定分值，作业与试卷可多次重复使用。</w:t>
            </w:r>
          </w:p>
          <w:p>
            <w:pPr>
              <w:tabs>
                <w:tab w:val="left" w:pos="425"/>
              </w:tabs>
              <w:snapToGrid w:val="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 xml:space="preserve">作业需具备生生互评的功能，设为互评的作业，学生间对作业相互打分，教师可参与最后的评估。 </w:t>
            </w:r>
          </w:p>
          <w:p>
            <w:pPr>
              <w:tabs>
                <w:tab w:val="left" w:pos="425"/>
              </w:tabs>
              <w:snapToGrid w:val="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支持对作业进行随机出题，从题库中随机抽取若干道题目，保证每位学生收到不同的作业，实现学生之间防作弊功能。</w:t>
            </w:r>
          </w:p>
          <w:p>
            <w:pPr>
              <w:tabs>
                <w:tab w:val="left" w:pos="425"/>
              </w:tabs>
              <w:snapToGrid w:val="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 xml:space="preserve">支持进行作业查重，对于简答题、论述题等，可进行相似度分析。 </w:t>
            </w:r>
          </w:p>
          <w:p>
            <w:pPr>
              <w:tabs>
                <w:tab w:val="left" w:pos="425"/>
              </w:tabs>
              <w:snapToGrid w:val="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 xml:space="preserve">支持生成试卷分析报告，报告中需至少包含试卷难度、区分度统计，成绩正态分布，试卷信度等分析数据项。 </w:t>
            </w:r>
          </w:p>
          <w:p>
            <w:pPr>
              <w:tabs>
                <w:tab w:val="left" w:pos="425"/>
              </w:tabs>
              <w:snapToGrid w:val="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对于同一套作业，可以设置题目乱序，防止学生作弊，对于未提交作业的学生，可以进行督促，发放督促通知。</w:t>
            </w:r>
          </w:p>
          <w:p>
            <w:pPr>
              <w:pStyle w:val="2"/>
              <w:spacing w:after="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▲教师可随时设定作业答案是否公开、作业分数是否公开，可设定学生答案的字数范围及是否防止粘贴的功能。</w:t>
            </w:r>
          </w:p>
          <w:p>
            <w:pPr>
              <w:pStyle w:val="2"/>
              <w:spacing w:after="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为保障系统题库安全，题库建设者可为自己所负责的的题库设置安全口令，只有输入安全口令才能进入题库，避免因题库泄露导致考试事故的发生。</w:t>
            </w:r>
          </w:p>
          <w:p>
            <w:pPr>
              <w:pStyle w:val="2"/>
              <w:spacing w:after="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需支持对组好的试卷可进行封存保管，对封存的试卷在考试前必须输入试卷密码才能开启试卷。</w:t>
            </w:r>
          </w:p>
          <w:p>
            <w:pPr>
              <w:pStyle w:val="2"/>
              <w:spacing w:after="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需支持考生考试过程中将全程监控考生的答题界面，对考生切出页面的次数与时长进行记录，管理员或者监考老师可以随时查看所有考生切屏记录。</w:t>
            </w:r>
          </w:p>
          <w:p>
            <w:pPr>
              <w:pStyle w:val="2"/>
              <w:spacing w:after="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支持自动随机组卷，组多套试卷时，可设置试卷试题重复率为0、不高于20%、不高于50%等。</w:t>
            </w:r>
          </w:p>
          <w:p>
            <w:pPr>
              <w:pStyle w:val="2"/>
              <w:spacing w:after="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平台支持试卷导出功能，至少支持A3、A4、B4等版式。</w:t>
            </w:r>
          </w:p>
          <w:p>
            <w:pPr>
              <w:pStyle w:val="2"/>
              <w:spacing w:after="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14</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支持公开运行平台与学校教学平台无缝对接，使课程的公开运行和校内混合式教学运行紧密结合，对接数据至少应包括师生账号数据、课程资源、教学运行数据等。</w:t>
            </w:r>
          </w:p>
          <w:p>
            <w:pPr>
              <w:tabs>
                <w:tab w:val="left" w:pos="425"/>
              </w:tabs>
              <w:snapToGrid w:val="0"/>
              <w:ind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15</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▲学习监控：支持学生在平台进行课程学习过程时，使用人脸识别技术，通过认证才可以学习课程内容。支持监控学生在观看章节视频任务点、及完成作业和考试时的异常行为，并分析异常原因，统计异常次数。</w:t>
            </w:r>
          </w:p>
          <w:p>
            <w:pPr>
              <w:pStyle w:val="2"/>
              <w:spacing w:after="0"/>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16</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成绩统计</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课程里所有学生的各项成绩、综合成绩及排名；所有作业及测验的完成情况及平均分数；可对视频、讨论、作业、测验、在线时长等做权重设置；每个学生这门课程里全部作业或测验的成绩；可以对每一份作业或每一份测验做权重设置；支持成绩录入功能；成绩可直接导入教务管理系统。</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17</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移动教学</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具有移动客户端，支持iOS和Android操作系统，用于手机、Pad等智能移动终端中，实现在线移动学习。</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1）移动教案</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按照教学计划，可在软件上组织教学内容，有序安排资料推送、签到、问答、抢答、投票等教学活动，可实现互动内容课堂发放并复用。</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2）课堂签到</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教师可在软件上发布课堂签到，学生直接用手机通过扫描二维码、或输入教师分享的邀请码等方式进行签到。</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3）问题抢答</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 xml:space="preserve">教师可以在课堂上发布问题，通过抢答进行提问，学生同时在软件收到抢答请求进行抢答。抢答结果可以通过投屏功能投射在大屏幕上进行显示。 </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4）随机选人</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教师可通过随机选人功能选择学生回答问题，并可以将选择结果投屏显示。</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5）课堂投票</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教师可以通过软件在课堂上实时发布调查问卷，学生通过移动端进行投票。教师端可以立即统计投票结果。</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6）课堂报告</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 xml:space="preserve">可以将所有课堂上的内容进行记录，生成课堂报告，并形成图表数据分析，可实时查看任一活动的详细参与情况，辅助管理者进行数据统计并做及时调整。 </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7）交流互动</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 xml:space="preserve">可基于课程形成师生互动交流群，实时进行即时通讯，进行讨论与交流。 </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8）互动问答</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 xml:space="preserve">教师可在软件上编辑问答题并可将题目发布到学生端，学生可以回答问题并提交，教师可以实时查看学生提交结果，并将结果实时投放到大屏。 </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9）互动讨论</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教师和学生可在软件上开展话题讨论，利用发帖形式进行小组话题交流。</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10）资料推送</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教师在课前对资料进行云盘存储，课堂上可以利用云盘功能选择和自己课程相关的资料进行资料推送，推送完成后参与教学的学生和教师都可以查看资料的详细内容。</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11）教务通知、课程通知、小组通知、个人互相通知的即时消息任意组合设置，实时发送，实时接收，并可查看通知阅读状态，已读和未读名单。教师、学生都可以进行实时的学习通知、组建小组群聊（也可设置屏蔽提醒）、好友验证等即时通信。</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17</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移动学习</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1）学习监控</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对学生学习观看的视频进行监控管理，视频可具有防拖拽防跳集及防窗口切换功能。</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2）闯关学习</w:t>
            </w:r>
            <w:r>
              <w:rPr>
                <w:rFonts w:asciiTheme="majorEastAsia" w:hAnsiTheme="majorEastAsia" w:eastAsiaTheme="majorEastAsia" w:cstheme="majorEastAsia"/>
                <w:sz w:val="21"/>
                <w:szCs w:val="21"/>
              </w:rPr>
              <w:t>：</w:t>
            </w:r>
          </w:p>
          <w:p>
            <w:pPr>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视频。学生视频学习时，系统自动记录素有学习行为，完成视频学习任务点后系统自动同步学习记录与PC相同。同时将视频学习成绩计算后加入综合成绩中。 </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作业。学生通过作业功能可以是查看作业列表，作业列表支持标示待做作业和已完成、已过期作业展示。学生可以通过本功能支持待做作业在移动端完成。支持查看已完成作业的批阅状态和最后得分，支持查看作业答案。</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问答。教师可以在自己所授课程的课堂上实时进行提问问题，可以选择随机提问和抢答提问两种方式进行提问。</w:t>
            </w:r>
          </w:p>
          <w:p>
            <w:pPr>
              <w:ind w:firstLine="48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讨论。可建立课程的讨论组，学生可以在讨论组中建立自己发表的话题，也可以回复他人的话题。学生能回复学生的话题，也能跟帖教师发表的话题。话题都可以支持多次交互回复。</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3）▲在线互动</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学生可以通过软件查看老师、管理员发个自己的通知、调查问卷、问答、讨论话题等消息信息。而且所有消息都支持有是否阅读标示。</w:t>
            </w:r>
          </w:p>
          <w:p>
            <w:pPr>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同时支持模糊搜索通知的功能。</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4）在线考试</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教师可以在课程中发布考试试卷和查看考试分项统计结果，学生同样可以通过客户端进行在线考试和查看考试信息。</w:t>
            </w:r>
          </w:p>
          <w:p>
            <w:pPr>
              <w:ind w:firstLine="420" w:firstLineChars="200"/>
              <w:rPr>
                <w:rFonts w:asciiTheme="majorEastAsia" w:hAnsiTheme="majorEastAsia" w:eastAsiaTheme="majorEastAsia" w:cstheme="majorEastAsia"/>
                <w:sz w:val="21"/>
                <w:szCs w:val="21"/>
              </w:rPr>
            </w:pP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5）在线支持</w:t>
            </w:r>
            <w:r>
              <w:rPr>
                <w:rFonts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rPr>
              <w:t>有在线客服协助解决教师和学生的只用平台产生的问题，支持课程的实时答疑，系统可以推荐最近的学生提问及答疑，同时能实现根据学生输入的问题题目内容，自动为学生推荐与该问题相似的问题，辅助学生自主解决问题。为了提高解答的质量，学生在提问的过程中，可以选择解答范围，包括选择教师解答或图书管理员解答。且答疑功能要支持自己在本课程中所提问题的汇总功能。</w:t>
            </w:r>
          </w:p>
          <w:p>
            <w:pPr>
              <w:ind w:left="156" w:leftChars="65" w:right="199" w:rightChars="83"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▲18.拓展学习资源库要求</w:t>
            </w:r>
            <w:r>
              <w:rPr>
                <w:rFonts w:asciiTheme="majorEastAsia" w:hAnsiTheme="majorEastAsia" w:eastAsiaTheme="majorEastAsia" w:cstheme="majorEastAsia"/>
                <w:color w:val="000000" w:themeColor="text1"/>
                <w:sz w:val="21"/>
                <w:szCs w:val="21"/>
                <w14:textFill>
                  <w14:solidFill>
                    <w14:schemeClr w14:val="tx1"/>
                  </w14:solidFill>
                </w14:textFill>
              </w:rPr>
              <w:t>：</w:t>
            </w:r>
            <w:r>
              <w:rPr>
                <w:rFonts w:hint="eastAsia" w:asciiTheme="majorEastAsia" w:hAnsiTheme="majorEastAsia" w:eastAsiaTheme="majorEastAsia" w:cstheme="majorEastAsia"/>
                <w:color w:val="000000" w:themeColor="text1"/>
                <w:sz w:val="21"/>
                <w:szCs w:val="21"/>
                <w14:textFill>
                  <w14:solidFill>
                    <w14:schemeClr w14:val="tx1"/>
                  </w14:solidFill>
                </w14:textFill>
              </w:rPr>
              <w:t>教师在使用系统进行课程创建及丰富课程学习内容的备课授课过程中可以检索、并引用系统提供的教学资源，需包含如下资源：</w:t>
            </w:r>
          </w:p>
          <w:p>
            <w:pPr>
              <w:ind w:right="199" w:rightChars="83"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（1）≥20万种计算机学科门类相关的电子学术资源（含教材、期刊等），可以进行在线阅读。</w:t>
            </w:r>
          </w:p>
          <w:p>
            <w:pPr>
              <w:ind w:right="199" w:rightChars="83" w:firstLine="420" w:firstLineChars="20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（2）≥8万集学术类视频。需要包含有一定数量名校、名师的课程视频及讲座，可以在线进行播放。</w:t>
            </w:r>
          </w:p>
          <w:p>
            <w:pPr>
              <w:pStyle w:val="2"/>
              <w:spacing w:after="0"/>
              <w:ind w:firstLine="420" w:firstLineChars="200"/>
              <w:rPr>
                <w:rFonts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资源要求必须取得著作权人的授权，无版权争议问题，供应商要为线上资源的合法性负责。（提供至少10份著作权授权书复印件或承诺）。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专家指导</w:t>
            </w:r>
          </w:p>
        </w:tc>
        <w:tc>
          <w:tcPr>
            <w:tcW w:w="7801" w:type="dxa"/>
            <w:tcBorders>
              <w:top w:val="single" w:color="auto" w:sz="4" w:space="0"/>
              <w:left w:val="single" w:color="auto" w:sz="4" w:space="0"/>
              <w:bottom w:val="single" w:color="auto" w:sz="4" w:space="0"/>
              <w:right w:val="single" w:color="auto" w:sz="4" w:space="0"/>
            </w:tcBorders>
            <w:vAlign w:val="center"/>
          </w:tcPr>
          <w:p>
            <w:pPr>
              <w:pStyle w:val="2"/>
              <w:spacing w:after="0"/>
              <w:rPr>
                <w:rFonts w:asciiTheme="majorEastAsia" w:hAnsiTheme="majorEastAsia" w:eastAsiaTheme="majorEastAsia" w:cstheme="majorEastAsia"/>
                <w:color w:val="000000" w:themeColor="text1"/>
                <w:sz w:val="21"/>
                <w:szCs w:val="21"/>
                <w14:textFill>
                  <w14:solidFill>
                    <w14:schemeClr w14:val="tx1"/>
                  </w14:solidFill>
                </w14:textFill>
              </w:rPr>
            </w:pPr>
            <w:r>
              <w:rPr>
                <w:rFonts w:hint="eastAsia" w:asciiTheme="majorEastAsia" w:hAnsiTheme="majorEastAsia" w:eastAsiaTheme="majorEastAsia" w:cstheme="majorEastAsia"/>
                <w:color w:val="000000" w:themeColor="text1"/>
                <w:sz w:val="21"/>
                <w:szCs w:val="21"/>
                <w14:textFill>
                  <w14:solidFill>
                    <w14:schemeClr w14:val="tx1"/>
                  </w14:solidFill>
                </w14:textFill>
              </w:rPr>
              <w:t>对教师团队的课程教学设计和课程内容重构初稿独立指导、课程运行指导。提供都专家必须是获得国家级精品课程负责人。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422"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数字教材</w:t>
            </w:r>
          </w:p>
        </w:tc>
        <w:tc>
          <w:tcPr>
            <w:tcW w:w="7801" w:type="dxa"/>
            <w:tcBorders>
              <w:top w:val="single" w:color="auto" w:sz="4" w:space="0"/>
              <w:left w:val="single" w:color="auto" w:sz="4" w:space="0"/>
              <w:bottom w:val="single" w:color="auto" w:sz="4" w:space="0"/>
              <w:right w:val="single" w:color="auto" w:sz="4" w:space="0"/>
            </w:tcBorders>
            <w:vAlign w:val="center"/>
          </w:tcPr>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（一）总体要求</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1、活页式、可交互式、富媒体化内容丰富了教材的内涵</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数字教材需打破传统教材在内容和形式上的限制，将传统教材和在线课程有机结合，打造富媒体化、可交互式学习内容。PPT、活动、音视频、动画、图片、讨论、章节测验、拓展阅读、作业、考试等融于一体，多样化的内容呈现形式可满足不同个体的学习需求。</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2、出版社专业编辑审订，提供ISBN号，保护知识产权</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数字教材需由正规出版社专业编辑三审三校后出版，确保教材内容不触碰政治和专业知识错误的红线。需为数字教材提供电子出版物号、数字出版及运行。</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3、多终端适配，多群体适用，满足线上线下多场景教学需求</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数字教材需满足信息化教学的多终端需求。数字教材可通过移动端、PC端应用于教学，支持辅助教学、翻转课堂、纯网络教学、直播课堂等多种网络教学模式。</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4、高效、可持续建设和更新机制</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出版后，教材内容可便捷修订，可以基于教材运行平台快速迭代更新。修改或修订后的教材能快速应用于实际的教学场景。</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5、全内容大数据化、精准行为记录分析</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教材中的各类型资源等需精准统计，教材使用详情可追踪，后台可形成数据统计。教材应用于教学时，可依托教学平台的数据统计功能，精准记录教师的教学行为和学生的学习行为。通过教学平台的教学预警功能，形成良性督学机制。</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6、学、练、测于一体，批注、笔记、答疑于一体，课内外学习于一体</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数字教材中需包含丰富的课件、音视频、动画、图片、讨论、测验、拓展内容等，任务点内容和练习测验紧密结合，可强化学习效果。学生在学习过程中可在线做笔记，问题探究与课程互动不受时间和空间的限制，淡化课堂和课外的界限，随时随地自主学习。</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7、课前、课中、课后及课外各环节形成闭环</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利用数字教材可满足混合式教学各个环节的需求。课前，教师可将章节知识点视频、拓展阅读书目等发放给学生进行自主学习；课中，老师可打开数字教材中的PPT课件一键投屏，将PPT内容投放在教室大屏端，通过手机控制大屏，并采用各类活动控件适时发起各类互动活动，从而激活课堂。课后，老师可发放作业库中的作业给学生，及时检验学生的学习效果。课前、课中、课后各环节完美打通。</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8、数字教材可提供部分U盘或光盘</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每本数字教材出版后可配套部分U盘或光盘用于教材申报。</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▲9、数字教材的运行承载和教学使用必须通过一个APP实现。应用于课堂教学时，可以基于教材创建一门课程进行教学使用。</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▲10、申请样书</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支持教师申请样书。经过平台认证了教师身份的用户，可申请免费的样书，基于样书建课，并推荐学生学习使用。需提供上述功能系统实际操作截图证明。</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▲11、支持自学、跟班学习两种学习模式</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学生获取或购买教材后，可选择自学或跟随任课老师基于教材创建的班级进行跟班同步学习。需提供上述功能系统实际操作截图证明。</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12、供应商需具备数字教材的升级服务能力。运行成熟的数字教材，可在后续根据采购方的需要，出版配套的纸质教材，升级为新形态立体化教材。升级后的新形态立体化教材需与数字教材产生联接，用户可通过纸质教材上的二维码，免费在平台上获取配套的数字教材。</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13、在整体技术层面，能够体现先进规范、安全稳定、易于使用及良好的扩展性能，符合国际、国内标准；能够满足学校对混合式金课的建设、申报和评审的要求；能够实现对学生网络自主学习的管理与质量监控。</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（二）技术要求</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1、总体技术要求</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（1）可支持整个教材内容编辑、内容共享、学习过程跟踪和控制、在线测试和作业发布、交流互动、成绩评测和学习成果反馈教学流程，实现信息技术与教学过程的深度融合。</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（2）教材依托的平台需满足大规模用户使用、支持分布式部署，应满足万人同时在线学习的性能要求。</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（3）需具有先进性、可移植性、开放性和兼容性，支持标准化多媒体课件。支持随用户使用量的增大而只需增加相应的硬件即可。</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（4）支持 Web 服务器集群。具有安全策略和备份机制，可根据实际要求采用不同的安全措施，保证发生故障时不影响整个系统的正常运行。提供各级数据备份机制能够每天非工作时段定时备份数据库。具有相关策略对知识产权进行保护。</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▲（5）不限教材学习人数。</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（6）支持单位统一采购和学生个人采购两种教材采购模式。</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▲（7）支持教材主要内容，如章节目录、配套PPT、题库等资源的预览。</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▲（8）针对不同的角色，可呈现不同的教材内容。教师端除了可查看和使用教材主体内容外，可使用教材中配套的PPT课件进行备课和课堂教学，也可使用教材的配套题库进行课程作业和考试的组建和发放。</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▲（9）需支持教师在教材中可自主申请出版的功能，可实现通过教材首页的申请入口填写申请信息，且需有相应的数据后台。需提供上述功能系统实际操作截图证明。</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（10）支持教师和学生通过在我的教材中入口查找已获取的教材。需提供上述功能系统实际操作截图证明。</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2、基于教学平台的教材使用管理</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▲（1）角色管理：可建立学生、助教、教师等角色，可根据不同角色需求指定权限。</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（2）权限管理：可为每个功能点分配访问、管理等不同的权限，教师用户可以批量给用户分配、收回权限，具有权限整体移交功能。</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（3）提供强大的基于浏览器的数学、化学公式在线编辑器。提供精确的学习进度监控信息，实现学生再次登录教学系统时能从上次学习的结束点继续学习教材。可记录、查询用户登录及操作信息。</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（4）提供APP 移动客户端并支持 iOS 和 Android 系统。与教学系统能够对接，进行在线课程的学习、作业、考试、讨论、笔记、小组、成绩分析、学生管理，支持课堂签到、抢答、问卷、讨论、选人、资料、直播等功能。</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（5）提供专门的教室端应用，支持 PPT 投屏及课堂互动功能，PPT 投屏演示保留动画效果，播放流畅，在投屏演示时随时可发起多种课堂互动活动，活动内容可大屏显示。PPT 文件来源多种渠道，可以通过电脑端把文件直接发送至移动端，提高资源展示的便捷性。</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3、数字教材发布管理</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 xml:space="preserve">(1)发布管理：数字教材管理后台支持单本发布和批量发布两种上线发布形式。 </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(2)封面和教材版权信息管理：管理后台需支持教材封面的上传，教材名称、教材主编、责任编辑、出版社、ISBN号、版次、教材内容简介等信息的编辑。</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asciiTheme="majorEastAsia" w:hAnsiTheme="majorEastAsia" w:eastAsiaTheme="majorEastAsia" w:cstheme="majorEastAsia"/>
                <w:color w:val="000000" w:themeColor="text1"/>
                <w:kern w:val="2"/>
                <w:sz w:val="21"/>
                <w:szCs w:val="21"/>
                <w14:textFill>
                  <w14:solidFill>
                    <w14:schemeClr w14:val="tx1"/>
                  </w14:solidFill>
                </w14:textFill>
              </w:rPr>
              <w:t>▲(3)教材付费管理：教材发布出版后，可根据实际情况设置付费或免费，付费教材的购买记录可通过在后台形成数据统计。</w:t>
            </w:r>
          </w:p>
          <w:p>
            <w:pPr>
              <w:pStyle w:val="2"/>
              <w:numPr>
                <w:ilvl w:val="0"/>
                <w:numId w:val="3"/>
              </w:num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hint="eastAsia" w:asciiTheme="majorEastAsia" w:hAnsiTheme="majorEastAsia" w:eastAsiaTheme="majorEastAsia" w:cstheme="majorEastAsia"/>
                <w:b/>
                <w:bCs/>
                <w:color w:val="000000" w:themeColor="text1"/>
                <w:sz w:val="21"/>
                <w:szCs w:val="21"/>
                <w14:textFill>
                  <w14:solidFill>
                    <w14:schemeClr w14:val="tx1"/>
                  </w14:solidFill>
                </w14:textFill>
              </w:rPr>
              <w:t>具有与此项目相关的企业证书</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14:textFill>
                  <w14:solidFill>
                    <w14:schemeClr w14:val="tx1"/>
                  </w14:solidFill>
                </w14:textFill>
              </w:rPr>
              <w:t>1、投标供应商具有出版物经营许可证；</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14:textFill>
                  <w14:solidFill>
                    <w14:schemeClr w14:val="tx1"/>
                  </w14:solidFill>
                </w14:textFill>
              </w:rPr>
              <w:t>2、投标供应商具有广播电视节目制作许可证书；</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14:textFill>
                  <w14:solidFill>
                    <w14:schemeClr w14:val="tx1"/>
                  </w14:solidFill>
                </w14:textFill>
              </w:rPr>
              <w:t>3、投标供应商具有教学平台国家计算机软件著作权登记证书；</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14:textFill>
                  <w14:solidFill>
                    <w14:schemeClr w14:val="tx1"/>
                  </w14:solidFill>
                </w14:textFill>
              </w:rPr>
              <w:t xml:space="preserve">4、投标供应商具有教学动画开发平台国家计算机软件著作权登记证书； </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14:textFill>
                  <w14:solidFill>
                    <w14:schemeClr w14:val="tx1"/>
                  </w14:solidFill>
                </w14:textFill>
              </w:rPr>
              <w:t>5、投标供应商具有在线虚拟课件制作系统国家计算机软件著作权登记证书；</w:t>
            </w:r>
          </w:p>
          <w:p>
            <w:pPr>
              <w:rPr>
                <w:rFonts w:asciiTheme="majorEastAsia" w:hAnsiTheme="majorEastAsia" w:eastAsiaTheme="majorEastAsia" w:cstheme="majorEastAsia"/>
                <w:color w:val="000000" w:themeColor="text1"/>
                <w:kern w:val="2"/>
                <w:sz w:val="21"/>
                <w:szCs w:val="21"/>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1"/>
                <w14:textFill>
                  <w14:solidFill>
                    <w14:schemeClr w14:val="tx1"/>
                  </w14:solidFill>
                </w14:textFill>
              </w:rPr>
              <w:t>6、投标供应商具有阅读智能推荐系统国家计算机软件著作权登记证书；</w:t>
            </w:r>
          </w:p>
          <w:p>
            <w:pPr>
              <w:rPr>
                <w:rFonts w:asciiTheme="majorEastAsia" w:hAnsiTheme="majorEastAsia" w:eastAsiaTheme="majorEastAsia" w:cstheme="majorEastAsia"/>
                <w:color w:val="FF0000"/>
                <w:kern w:val="2"/>
                <w:sz w:val="21"/>
                <w:szCs w:val="21"/>
              </w:rPr>
            </w:pPr>
            <w:r>
              <w:rPr>
                <w:rFonts w:hint="eastAsia" w:asciiTheme="majorEastAsia" w:hAnsiTheme="majorEastAsia" w:eastAsiaTheme="majorEastAsia" w:cstheme="majorEastAsia"/>
                <w:color w:val="000000" w:themeColor="text1"/>
                <w:kern w:val="2"/>
                <w:sz w:val="21"/>
                <w:szCs w:val="21"/>
                <w14:textFill>
                  <w14:solidFill>
                    <w14:schemeClr w14:val="tx1"/>
                  </w14:solidFill>
                </w14:textFill>
              </w:rPr>
              <w:t>7</w:t>
            </w:r>
            <w:commentRangeStart w:id="0"/>
            <w:r>
              <w:rPr>
                <w:rFonts w:hint="eastAsia" w:asciiTheme="majorEastAsia" w:hAnsiTheme="majorEastAsia" w:eastAsiaTheme="majorEastAsia" w:cstheme="majorEastAsia"/>
                <w:color w:val="FF0000"/>
                <w:kern w:val="2"/>
                <w:sz w:val="21"/>
                <w:szCs w:val="21"/>
              </w:rPr>
              <w:t>、投标供应商具有智慧门户国家计算机软件著作权登记证书；</w:t>
            </w:r>
          </w:p>
          <w:p>
            <w:pPr>
              <w:rPr>
                <w:rFonts w:asciiTheme="majorEastAsia" w:hAnsiTheme="majorEastAsia" w:eastAsiaTheme="majorEastAsia" w:cstheme="majorEastAsia"/>
                <w:color w:val="FF0000"/>
                <w:kern w:val="2"/>
                <w:sz w:val="21"/>
                <w:szCs w:val="21"/>
              </w:rPr>
            </w:pPr>
            <w:r>
              <w:rPr>
                <w:rFonts w:hint="eastAsia" w:asciiTheme="majorEastAsia" w:hAnsiTheme="majorEastAsia" w:eastAsiaTheme="majorEastAsia" w:cstheme="majorEastAsia"/>
                <w:color w:val="FF0000"/>
                <w:kern w:val="2"/>
                <w:sz w:val="21"/>
                <w:szCs w:val="21"/>
              </w:rPr>
              <w:t>8、投标供应商具有智能客服国家计算机软件著作权登记证书；</w:t>
            </w:r>
          </w:p>
          <w:p>
            <w:pPr>
              <w:pStyle w:val="2"/>
            </w:pPr>
            <w:r>
              <w:rPr>
                <w:rFonts w:hint="eastAsia" w:asciiTheme="majorEastAsia" w:hAnsiTheme="majorEastAsia" w:eastAsiaTheme="majorEastAsia" w:cstheme="majorEastAsia"/>
                <w:color w:val="FF0000"/>
                <w:kern w:val="2"/>
                <w:sz w:val="21"/>
                <w:szCs w:val="21"/>
              </w:rPr>
              <w:t>9、投标供应商具有云盘国家计算机软件著作权登记证书；</w:t>
            </w:r>
            <w:commentRangeEnd w:id="0"/>
            <w:r>
              <w:commentReference w:id="0"/>
            </w:r>
          </w:p>
        </w:tc>
      </w:tr>
      <w:bookmarkEnd w:id="0"/>
    </w:tbl>
    <w:p>
      <w:pPr>
        <w:snapToGrid w:val="0"/>
        <w:spacing w:line="360" w:lineRule="auto"/>
        <w:rPr>
          <w:rFonts w:asciiTheme="majorEastAsia" w:hAnsiTheme="majorEastAsia" w:eastAsiaTheme="majorEastAsia" w:cstheme="majorEastAsia"/>
          <w:spacing w:val="20"/>
          <w:sz w:val="30"/>
          <w:szCs w:val="30"/>
        </w:rPr>
      </w:pPr>
    </w:p>
    <w:sectPr>
      <w:footerReference r:id="rId4" w:type="default"/>
      <w:footerReference r:id="rId5" w:type="even"/>
      <w:pgSz w:w="11906" w:h="16838"/>
      <w:pgMar w:top="1134" w:right="1361" w:bottom="1021" w:left="1531"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enovo" w:date="2024-05-20T17:16:31Z" w:initials="l">
    <w:p>
      <w:pPr>
        <w:pStyle w:val="7"/>
        <w:rPr>
          <w:rFonts w:hint="eastAsia" w:eastAsia="宋体"/>
          <w:lang w:val="en-US" w:eastAsia="zh-CN"/>
        </w:rPr>
      </w:pPr>
      <w:r>
        <w:rPr>
          <w:rFonts w:hint="eastAsia"/>
          <w:lang w:val="en-US" w:eastAsia="zh-CN"/>
        </w:rPr>
        <w:t>与本项目关联不大，建议删除</w:t>
      </w:r>
      <w:bookmarkStart w:id="3" w:name="_GoBack"/>
      <w:bookmarkEnd w:id="3"/>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Arial">
    <w:panose1 w:val="020B0604020202020204"/>
    <w:charset w:val="00"/>
    <w:family w:val="decorative"/>
    <w:pitch w:val="default"/>
    <w:sig w:usb0="E0002EFF" w:usb1="C000785B" w:usb2="00000009" w:usb3="00000000" w:csb0="400001FF" w:csb1="FFFF0000"/>
  </w:font>
  <w:font w:name="Courier New">
    <w:panose1 w:val="02070309020205020404"/>
    <w:charset w:val="00"/>
    <w:family w:val="swiss"/>
    <w:pitch w:val="default"/>
    <w:sig w:usb0="E0002EFF" w:usb1="C0007843" w:usb2="00000009" w:usb3="00000000" w:csb0="400001FF" w:csb1="FFFF0000"/>
  </w:font>
  <w:font w:name="Calibri Light">
    <w:panose1 w:val="020F0302020204030204"/>
    <w:charset w:val="00"/>
    <w:family w:val="decorative"/>
    <w:pitch w:val="default"/>
    <w:sig w:usb0="E4002EFF" w:usb1="C000247B" w:usb2="00000009" w:usb3="00000000" w:csb0="200001FF" w:csb1="00000000"/>
  </w:font>
  <w:font w:name="微软雅黑">
    <w:panose1 w:val="020B0503020204020204"/>
    <w:charset w:val="86"/>
    <w:family w:val="decorative"/>
    <w:pitch w:val="default"/>
    <w:sig w:usb0="80000287" w:usb1="2ACF3C50" w:usb2="00000016" w:usb3="00000000" w:csb0="0004001F" w:csb1="00000000"/>
  </w:font>
  <w:font w:name="Verdana">
    <w:panose1 w:val="020B0604030504040204"/>
    <w:charset w:val="00"/>
    <w:family w:val="decorative"/>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15"/>
      </w:rPr>
      <w:id w:val="799264264"/>
    </w:sdtPr>
    <w:sdtEndPr>
      <w:rPr>
        <w:rStyle w:val="15"/>
      </w:rPr>
    </w:sdtEndPr>
    <w:sdtContent>
      <w:p>
        <w:pPr>
          <w:pStyle w:val="10"/>
          <w:framePr w:wrap="around" w:vAnchor="text" w:hAnchor="margin" w:xAlign="center" w:y="1"/>
          <w:rPr>
            <w:rStyle w:val="15"/>
          </w:rP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15"/>
      </w:rPr>
      <w:id w:val="-1"/>
    </w:sdtPr>
    <w:sdtEndPr>
      <w:rPr>
        <w:rStyle w:val="15"/>
      </w:rPr>
    </w:sdtEndPr>
    <w:sdtContent>
      <w:p>
        <w:pPr>
          <w:pStyle w:val="10"/>
          <w:framePr w:wrap="around" w:vAnchor="text" w:hAnchor="margin" w:xAlign="center" w:y="1"/>
          <w:rPr>
            <w:rStyle w:val="15"/>
          </w:rPr>
        </w:pPr>
        <w:r>
          <w:rPr>
            <w:rStyle w:val="15"/>
          </w:rPr>
          <w:fldChar w:fldCharType="begin"/>
        </w:r>
        <w:r>
          <w:rPr>
            <w:rStyle w:val="15"/>
          </w:rPr>
          <w:instrText xml:space="preserve"> PAGE </w:instrText>
        </w:r>
        <w:r>
          <w:rPr>
            <w:rStyle w:val="15"/>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74949022">
    <w:nsid w:val="5DDFD09E"/>
    <w:multiLevelType w:val="singleLevel"/>
    <w:tmpl w:val="5DDFD09E"/>
    <w:lvl w:ilvl="0" w:tentative="1">
      <w:start w:val="4"/>
      <w:numFmt w:val="chineseCounting"/>
      <w:suff w:val="nothing"/>
      <w:lvlText w:val="%1、"/>
      <w:lvlJc w:val="left"/>
      <w:rPr>
        <w:rFonts w:hint="eastAsia"/>
      </w:rPr>
    </w:lvl>
  </w:abstractNum>
  <w:abstractNum w:abstractNumId="1701667123">
    <w:nsid w:val="656D6133"/>
    <w:multiLevelType w:val="multilevel"/>
    <w:tmpl w:val="656D6133"/>
    <w:lvl w:ilvl="0" w:tentative="1">
      <w:start w:val="1"/>
      <w:numFmt w:val="chineseCountingThousand"/>
      <w:pStyle w:val="3"/>
      <w:suff w:val="nothing"/>
      <w:lvlText w:val="第%1部分"/>
      <w:lvlJc w:val="center"/>
      <w:pPr>
        <w:ind w:left="252" w:firstLine="288"/>
      </w:pPr>
      <w:rPr>
        <w:rFonts w:hint="eastAsia"/>
        <w:sz w:val="28"/>
        <w:szCs w:val="28"/>
      </w:rPr>
    </w:lvl>
    <w:lvl w:ilvl="1" w:tentative="1">
      <w:start w:val="1"/>
      <w:numFmt w:val="chineseCountingThousand"/>
      <w:pStyle w:val="4"/>
      <w:suff w:val="nothing"/>
      <w:lvlText w:val="%2、"/>
      <w:lvlJc w:val="left"/>
      <w:pPr>
        <w:ind w:left="543" w:firstLine="177"/>
      </w:pPr>
      <w:rPr>
        <w:rFonts w:hint="eastAsia" w:ascii="仿宋_GB2312" w:hAnsi="宋体" w:eastAsia="仿宋_GB2312"/>
        <w:sz w:val="32"/>
        <w:szCs w:val="32"/>
        <w:lang w:val="en-US"/>
      </w:rPr>
    </w:lvl>
    <w:lvl w:ilvl="2" w:tentative="1">
      <w:start w:val="1"/>
      <w:numFmt w:val="chineseCountingThousand"/>
      <w:suff w:val="nothing"/>
      <w:lvlText w:val="(%3)"/>
      <w:lvlJc w:val="left"/>
      <w:pPr>
        <w:ind w:left="252" w:firstLine="0"/>
      </w:pPr>
      <w:rPr>
        <w:rFonts w:hint="default" w:ascii="Times New Roman" w:hAnsi="Times New Roman" w:eastAsia="宋体"/>
        <w:b/>
        <w:i w:val="0"/>
        <w:spacing w:val="0"/>
        <w:w w:val="100"/>
        <w:position w:val="0"/>
        <w:sz w:val="21"/>
        <w:szCs w:val="21"/>
      </w:rPr>
    </w:lvl>
    <w:lvl w:ilvl="3" w:tentative="1">
      <w:start w:val="1"/>
      <w:numFmt w:val="decimal"/>
      <w:suff w:val="nothing"/>
      <w:lvlText w:val="%4、"/>
      <w:lvlJc w:val="left"/>
      <w:pPr>
        <w:ind w:left="252" w:firstLine="0"/>
      </w:pPr>
      <w:rPr>
        <w:rFonts w:hint="eastAsia"/>
      </w:rPr>
    </w:lvl>
    <w:lvl w:ilvl="4" w:tentative="1">
      <w:start w:val="1"/>
      <w:numFmt w:val="upperLetter"/>
      <w:suff w:val="nothing"/>
      <w:lvlText w:val="%5、"/>
      <w:lvlJc w:val="left"/>
      <w:pPr>
        <w:ind w:left="252" w:firstLine="0"/>
      </w:pPr>
      <w:rPr>
        <w:rFonts w:hint="eastAsia"/>
      </w:rPr>
    </w:lvl>
    <w:lvl w:ilvl="5" w:tentative="1">
      <w:start w:val="1"/>
      <w:numFmt w:val="none"/>
      <w:suff w:val="nothing"/>
      <w:lvlText w:val=""/>
      <w:lvlJc w:val="left"/>
      <w:pPr>
        <w:ind w:left="252" w:firstLine="0"/>
      </w:pPr>
      <w:rPr>
        <w:rFonts w:hint="eastAsia"/>
      </w:rPr>
    </w:lvl>
    <w:lvl w:ilvl="6" w:tentative="1">
      <w:start w:val="1"/>
      <w:numFmt w:val="none"/>
      <w:suff w:val="nothing"/>
      <w:lvlText w:val=""/>
      <w:lvlJc w:val="left"/>
      <w:pPr>
        <w:ind w:left="252" w:firstLine="0"/>
      </w:pPr>
      <w:rPr>
        <w:rFonts w:hint="eastAsia"/>
      </w:rPr>
    </w:lvl>
    <w:lvl w:ilvl="7" w:tentative="1">
      <w:start w:val="1"/>
      <w:numFmt w:val="none"/>
      <w:suff w:val="nothing"/>
      <w:lvlText w:val=""/>
      <w:lvlJc w:val="left"/>
      <w:pPr>
        <w:ind w:left="252" w:firstLine="0"/>
      </w:pPr>
      <w:rPr>
        <w:rFonts w:hint="eastAsia"/>
      </w:rPr>
    </w:lvl>
    <w:lvl w:ilvl="8" w:tentative="1">
      <w:start w:val="1"/>
      <w:numFmt w:val="none"/>
      <w:suff w:val="nothing"/>
      <w:lvlText w:val=""/>
      <w:lvlJc w:val="left"/>
      <w:pPr>
        <w:ind w:left="252" w:firstLine="0"/>
      </w:pPr>
      <w:rPr>
        <w:rFonts w:hint="eastAsia"/>
      </w:rPr>
    </w:lvl>
  </w:abstractNum>
  <w:abstractNum w:abstractNumId="365719931">
    <w:nsid w:val="15CC717B"/>
    <w:multiLevelType w:val="multilevel"/>
    <w:tmpl w:val="15CC717B"/>
    <w:lvl w:ilvl="0" w:tentative="1">
      <w:start w:val="1"/>
      <w:numFmt w:val="bullet"/>
      <w:lvlText w:val=""/>
      <w:lvlJc w:val="left"/>
      <w:pPr>
        <w:ind w:left="900" w:hanging="420"/>
      </w:pPr>
      <w:rPr>
        <w:rFonts w:hint="default" w:ascii="Wingdings" w:hAnsi="Wingdings"/>
      </w:rPr>
    </w:lvl>
    <w:lvl w:ilvl="1" w:tentative="1">
      <w:start w:val="1"/>
      <w:numFmt w:val="bullet"/>
      <w:lvlText w:val=""/>
      <w:lvlJc w:val="left"/>
      <w:pPr>
        <w:ind w:left="1320" w:hanging="420"/>
      </w:pPr>
      <w:rPr>
        <w:rFonts w:hint="default" w:ascii="Wingdings" w:hAnsi="Wingdings"/>
      </w:rPr>
    </w:lvl>
    <w:lvl w:ilvl="2" w:tentative="1">
      <w:start w:val="1"/>
      <w:numFmt w:val="bullet"/>
      <w:lvlText w:val=""/>
      <w:lvlJc w:val="left"/>
      <w:pPr>
        <w:ind w:left="1740" w:hanging="420"/>
      </w:pPr>
      <w:rPr>
        <w:rFonts w:hint="default" w:ascii="Wingdings" w:hAnsi="Wingdings"/>
      </w:rPr>
    </w:lvl>
    <w:lvl w:ilvl="3" w:tentative="1">
      <w:start w:val="1"/>
      <w:numFmt w:val="bullet"/>
      <w:lvlText w:val=""/>
      <w:lvlJc w:val="left"/>
      <w:pPr>
        <w:ind w:left="2160" w:hanging="420"/>
      </w:pPr>
      <w:rPr>
        <w:rFonts w:hint="default" w:ascii="Wingdings" w:hAnsi="Wingdings"/>
      </w:rPr>
    </w:lvl>
    <w:lvl w:ilvl="4" w:tentative="1">
      <w:start w:val="1"/>
      <w:numFmt w:val="bullet"/>
      <w:lvlText w:val=""/>
      <w:lvlJc w:val="left"/>
      <w:pPr>
        <w:ind w:left="2580" w:hanging="420"/>
      </w:pPr>
      <w:rPr>
        <w:rFonts w:hint="default" w:ascii="Wingdings" w:hAnsi="Wingdings"/>
      </w:rPr>
    </w:lvl>
    <w:lvl w:ilvl="5" w:tentative="1">
      <w:start w:val="1"/>
      <w:numFmt w:val="bullet"/>
      <w:lvlText w:val=""/>
      <w:lvlJc w:val="left"/>
      <w:pPr>
        <w:ind w:left="3000" w:hanging="420"/>
      </w:pPr>
      <w:rPr>
        <w:rFonts w:hint="default" w:ascii="Wingdings" w:hAnsi="Wingdings"/>
      </w:rPr>
    </w:lvl>
    <w:lvl w:ilvl="6" w:tentative="1">
      <w:start w:val="1"/>
      <w:numFmt w:val="bullet"/>
      <w:lvlText w:val=""/>
      <w:lvlJc w:val="left"/>
      <w:pPr>
        <w:ind w:left="3420" w:hanging="420"/>
      </w:pPr>
      <w:rPr>
        <w:rFonts w:hint="default" w:ascii="Wingdings" w:hAnsi="Wingdings"/>
      </w:rPr>
    </w:lvl>
    <w:lvl w:ilvl="7" w:tentative="1">
      <w:start w:val="1"/>
      <w:numFmt w:val="bullet"/>
      <w:lvlText w:val=""/>
      <w:lvlJc w:val="left"/>
      <w:pPr>
        <w:ind w:left="3840" w:hanging="420"/>
      </w:pPr>
      <w:rPr>
        <w:rFonts w:hint="default" w:ascii="Wingdings" w:hAnsi="Wingdings"/>
      </w:rPr>
    </w:lvl>
    <w:lvl w:ilvl="8" w:tentative="1">
      <w:start w:val="1"/>
      <w:numFmt w:val="bullet"/>
      <w:lvlText w:val=""/>
      <w:lvlJc w:val="left"/>
      <w:pPr>
        <w:ind w:left="4260" w:hanging="420"/>
      </w:pPr>
      <w:rPr>
        <w:rFonts w:hint="default" w:ascii="Wingdings" w:hAnsi="Wingdings"/>
      </w:rPr>
    </w:lvl>
  </w:abstractNum>
  <w:num w:numId="1">
    <w:abstractNumId w:val="1701667123"/>
  </w:num>
  <w:num w:numId="2">
    <w:abstractNumId w:val="365719931"/>
  </w:num>
  <w:num w:numId="3">
    <w:abstractNumId w:val="15749490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4ZGY4MWUxOTk2Y2M0MTE4ZjYwYmFlNzNjNTk0M2UifQ=="/>
  </w:docVars>
  <w:rsids>
    <w:rsidRoot w:val="00007A10"/>
    <w:rsid w:val="00007A10"/>
    <w:rsid w:val="000142AA"/>
    <w:rsid w:val="000759FB"/>
    <w:rsid w:val="000A0E30"/>
    <w:rsid w:val="00102143"/>
    <w:rsid w:val="00111749"/>
    <w:rsid w:val="00137B45"/>
    <w:rsid w:val="00163FCC"/>
    <w:rsid w:val="0022350D"/>
    <w:rsid w:val="00237016"/>
    <w:rsid w:val="00281AC2"/>
    <w:rsid w:val="0029200B"/>
    <w:rsid w:val="002D704A"/>
    <w:rsid w:val="00330E5E"/>
    <w:rsid w:val="00337EF5"/>
    <w:rsid w:val="00346384"/>
    <w:rsid w:val="00440020"/>
    <w:rsid w:val="0044019B"/>
    <w:rsid w:val="00441B2A"/>
    <w:rsid w:val="004438FB"/>
    <w:rsid w:val="00456A45"/>
    <w:rsid w:val="005008B9"/>
    <w:rsid w:val="00517635"/>
    <w:rsid w:val="005F1B6D"/>
    <w:rsid w:val="006345AB"/>
    <w:rsid w:val="00682782"/>
    <w:rsid w:val="006A6844"/>
    <w:rsid w:val="00734A68"/>
    <w:rsid w:val="00745152"/>
    <w:rsid w:val="007613D1"/>
    <w:rsid w:val="007C17FC"/>
    <w:rsid w:val="007C250A"/>
    <w:rsid w:val="007C535C"/>
    <w:rsid w:val="007D00D1"/>
    <w:rsid w:val="007D5C30"/>
    <w:rsid w:val="00812976"/>
    <w:rsid w:val="008305F2"/>
    <w:rsid w:val="00895562"/>
    <w:rsid w:val="008D0EEA"/>
    <w:rsid w:val="008D5E83"/>
    <w:rsid w:val="008E3023"/>
    <w:rsid w:val="008F5AB1"/>
    <w:rsid w:val="00967301"/>
    <w:rsid w:val="0098593E"/>
    <w:rsid w:val="00A17D2D"/>
    <w:rsid w:val="00A95B11"/>
    <w:rsid w:val="00AC4D7B"/>
    <w:rsid w:val="00B147F3"/>
    <w:rsid w:val="00B40C22"/>
    <w:rsid w:val="00B776D8"/>
    <w:rsid w:val="00B800AF"/>
    <w:rsid w:val="00BE00E1"/>
    <w:rsid w:val="00BF5870"/>
    <w:rsid w:val="00C02951"/>
    <w:rsid w:val="00C04CE4"/>
    <w:rsid w:val="00C401F4"/>
    <w:rsid w:val="00C509F4"/>
    <w:rsid w:val="00C52846"/>
    <w:rsid w:val="00C67B5B"/>
    <w:rsid w:val="00D53FDB"/>
    <w:rsid w:val="00D56213"/>
    <w:rsid w:val="00D81438"/>
    <w:rsid w:val="00D862D7"/>
    <w:rsid w:val="00D9282B"/>
    <w:rsid w:val="00DA0801"/>
    <w:rsid w:val="00DF3603"/>
    <w:rsid w:val="00E30A3F"/>
    <w:rsid w:val="00E51E3F"/>
    <w:rsid w:val="00E558E3"/>
    <w:rsid w:val="00E825BB"/>
    <w:rsid w:val="00EB54B0"/>
    <w:rsid w:val="00F207FD"/>
    <w:rsid w:val="00F710DB"/>
    <w:rsid w:val="00FA75B6"/>
    <w:rsid w:val="00FB679F"/>
    <w:rsid w:val="00FF45F2"/>
    <w:rsid w:val="02B04479"/>
    <w:rsid w:val="04310280"/>
    <w:rsid w:val="09C923A7"/>
    <w:rsid w:val="0F2E3D3A"/>
    <w:rsid w:val="11A331F5"/>
    <w:rsid w:val="16B014D8"/>
    <w:rsid w:val="187C5B16"/>
    <w:rsid w:val="1D6923E1"/>
    <w:rsid w:val="1E390C90"/>
    <w:rsid w:val="21731DC6"/>
    <w:rsid w:val="24AE615D"/>
    <w:rsid w:val="25984F90"/>
    <w:rsid w:val="26EA21B5"/>
    <w:rsid w:val="2B315312"/>
    <w:rsid w:val="2B3247EE"/>
    <w:rsid w:val="2CFF589B"/>
    <w:rsid w:val="2EF01B85"/>
    <w:rsid w:val="30C735E8"/>
    <w:rsid w:val="30D304E7"/>
    <w:rsid w:val="331F3816"/>
    <w:rsid w:val="350610C5"/>
    <w:rsid w:val="35F3AF04"/>
    <w:rsid w:val="361140CE"/>
    <w:rsid w:val="365437D6"/>
    <w:rsid w:val="36A92528"/>
    <w:rsid w:val="37FE844A"/>
    <w:rsid w:val="38216F32"/>
    <w:rsid w:val="3AB3405B"/>
    <w:rsid w:val="3CB44FCF"/>
    <w:rsid w:val="3E946E66"/>
    <w:rsid w:val="3EF5F060"/>
    <w:rsid w:val="410529B5"/>
    <w:rsid w:val="413B4605"/>
    <w:rsid w:val="463F34DD"/>
    <w:rsid w:val="47E437A7"/>
    <w:rsid w:val="47F64219"/>
    <w:rsid w:val="4A996482"/>
    <w:rsid w:val="4B105AC6"/>
    <w:rsid w:val="51C00392"/>
    <w:rsid w:val="54441969"/>
    <w:rsid w:val="54766D8B"/>
    <w:rsid w:val="55A439DB"/>
    <w:rsid w:val="5605214B"/>
    <w:rsid w:val="57AA72A2"/>
    <w:rsid w:val="57EF64FC"/>
    <w:rsid w:val="5BBD4F8B"/>
    <w:rsid w:val="5EA92062"/>
    <w:rsid w:val="5FD667B7"/>
    <w:rsid w:val="62373E29"/>
    <w:rsid w:val="67254250"/>
    <w:rsid w:val="6C080F47"/>
    <w:rsid w:val="6DFB0400"/>
    <w:rsid w:val="70982A90"/>
    <w:rsid w:val="71DF7957"/>
    <w:rsid w:val="73155067"/>
    <w:rsid w:val="76FF5628"/>
    <w:rsid w:val="78451FD3"/>
    <w:rsid w:val="78E24696"/>
    <w:rsid w:val="7AEEE322"/>
    <w:rsid w:val="7B3E36DA"/>
    <w:rsid w:val="7BD55DED"/>
    <w:rsid w:val="7E5F94BE"/>
    <w:rsid w:val="7FFFAF1E"/>
    <w:rsid w:val="D65B1575"/>
    <w:rsid w:val="DEF7FD1A"/>
    <w:rsid w:val="E6DB6A09"/>
    <w:rsid w:val="EED9F70A"/>
    <w:rsid w:val="EFC8F793"/>
    <w:rsid w:val="F1F61AC2"/>
    <w:rsid w:val="FDFB6D35"/>
    <w:rsid w:val="FE59026B"/>
    <w:rsid w:val="FECE3AAB"/>
    <w:rsid w:val="FFFF18A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3">
    <w:name w:val="heading 1"/>
    <w:basedOn w:val="1"/>
    <w:next w:val="1"/>
    <w:link w:val="29"/>
    <w:qFormat/>
    <w:uiPriority w:val="0"/>
    <w:pPr>
      <w:keepNext/>
      <w:keepLines/>
      <w:numPr>
        <w:ilvl w:val="0"/>
        <w:numId w:val="1"/>
      </w:numPr>
      <w:spacing w:before="340" w:after="330" w:line="578" w:lineRule="atLeast"/>
      <w:outlineLvl w:val="0"/>
    </w:pPr>
    <w:rPr>
      <w:b/>
      <w:bCs/>
      <w:kern w:val="44"/>
      <w:sz w:val="44"/>
      <w:szCs w:val="44"/>
    </w:rPr>
  </w:style>
  <w:style w:type="paragraph" w:styleId="4">
    <w:name w:val="heading 2"/>
    <w:basedOn w:val="1"/>
    <w:next w:val="1"/>
    <w:link w:val="23"/>
    <w:qFormat/>
    <w:uiPriority w:val="0"/>
    <w:pPr>
      <w:keepNext/>
      <w:keepLines/>
      <w:numPr>
        <w:ilvl w:val="1"/>
        <w:numId w:val="1"/>
      </w:numPr>
      <w:spacing w:line="360" w:lineRule="auto"/>
      <w:outlineLvl w:val="1"/>
    </w:pPr>
    <w:rPr>
      <w:rFonts w:ascii="Arial" w:hAnsi="Arial"/>
      <w:b/>
      <w:bCs/>
      <w:sz w:val="28"/>
      <w:szCs w:val="32"/>
    </w:rPr>
  </w:style>
  <w:style w:type="paragraph" w:styleId="5">
    <w:name w:val="heading 3"/>
    <w:basedOn w:val="1"/>
    <w:next w:val="1"/>
    <w:link w:val="24"/>
    <w:unhideWhenUsed/>
    <w:qFormat/>
    <w:uiPriority w:val="0"/>
    <w:pPr>
      <w:keepNext/>
      <w:keepLines/>
      <w:spacing w:before="260" w:after="260" w:line="413" w:lineRule="auto"/>
      <w:outlineLvl w:val="2"/>
    </w:pPr>
    <w:rPr>
      <w:b/>
      <w:sz w:val="32"/>
    </w:rPr>
  </w:style>
  <w:style w:type="character" w:default="1" w:styleId="14">
    <w:name w:val="Default Paragraph Font"/>
    <w:unhideWhenUsed/>
    <w:uiPriority w:val="1"/>
  </w:style>
  <w:style w:type="table" w:default="1" w:styleId="16">
    <w:name w:val="Normal Table"/>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Body Text First Indent"/>
    <w:qFormat/>
    <w:uiPriority w:val="0"/>
    <w:pPr>
      <w:widowControl w:val="0"/>
      <w:adjustRightInd w:val="0"/>
      <w:spacing w:after="120" w:line="360" w:lineRule="atLeast"/>
      <w:ind w:firstLine="420" w:firstLineChars="100"/>
      <w:textAlignment w:val="baseline"/>
    </w:pPr>
    <w:rPr>
      <w:rFonts w:ascii="Times New Roman" w:hAnsi="Times New Roman" w:eastAsia="宋体" w:cs="Times New Roman"/>
      <w:sz w:val="24"/>
      <w:lang w:val="en-US" w:eastAsia="zh-CN" w:bidi="ar-SA"/>
    </w:rPr>
  </w:style>
  <w:style w:type="paragraph" w:styleId="7">
    <w:name w:val="annotation text"/>
    <w:basedOn w:val="1"/>
    <w:unhideWhenUsed/>
    <w:uiPriority w:val="0"/>
    <w:pPr>
      <w:jc w:val="left"/>
    </w:pPr>
  </w:style>
  <w:style w:type="paragraph" w:styleId="8">
    <w:name w:val="Plain Text"/>
    <w:qFormat/>
    <w:uiPriority w:val="99"/>
    <w:pPr>
      <w:widowControl w:val="0"/>
      <w:jc w:val="both"/>
    </w:pPr>
    <w:rPr>
      <w:rFonts w:ascii="宋体" w:hAnsi="Courier New" w:eastAsia="宋体" w:cs="Times New Roman"/>
      <w:kern w:val="2"/>
      <w:sz w:val="21"/>
      <w:szCs w:val="21"/>
      <w:lang w:val="en-US" w:eastAsia="zh-CN" w:bidi="ar-SA"/>
    </w:rPr>
  </w:style>
  <w:style w:type="paragraph" w:styleId="9">
    <w:name w:val="Balloon Text"/>
    <w:basedOn w:val="1"/>
    <w:link w:val="34"/>
    <w:uiPriority w:val="0"/>
    <w:pPr>
      <w:spacing w:line="240" w:lineRule="auto"/>
    </w:pPr>
    <w:rPr>
      <w:sz w:val="18"/>
      <w:szCs w:val="18"/>
    </w:rPr>
  </w:style>
  <w:style w:type="paragraph" w:styleId="10">
    <w:name w:val="footer"/>
    <w:basedOn w:val="1"/>
    <w:link w:val="27"/>
    <w:qFormat/>
    <w:uiPriority w:val="0"/>
    <w:pPr>
      <w:tabs>
        <w:tab w:val="center" w:pos="4153"/>
        <w:tab w:val="right" w:pos="8306"/>
      </w:tabs>
      <w:snapToGrid w:val="0"/>
      <w:spacing w:line="240" w:lineRule="atLeast"/>
    </w:pPr>
    <w:rPr>
      <w:sz w:val="18"/>
      <w:szCs w:val="18"/>
    </w:rPr>
  </w:style>
  <w:style w:type="paragraph" w:styleId="11">
    <w:name w:val="header"/>
    <w:basedOn w:val="1"/>
    <w:link w:val="26"/>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qFormat/>
    <w:uiPriority w:val="0"/>
    <w:pPr>
      <w:widowControl w:val="0"/>
      <w:spacing w:beforeAutospacing="1" w:afterAutospacing="1"/>
    </w:pPr>
    <w:rPr>
      <w:rFonts w:ascii="宋体" w:hAnsi="宋体" w:eastAsia="宋体" w:cs="Times New Roman"/>
      <w:sz w:val="24"/>
      <w:szCs w:val="24"/>
      <w:lang w:val="en-US" w:eastAsia="zh-CN" w:bidi="ar-SA"/>
    </w:rPr>
  </w:style>
  <w:style w:type="paragraph" w:styleId="13">
    <w:name w:val="Title"/>
    <w:basedOn w:val="1"/>
    <w:next w:val="1"/>
    <w:qFormat/>
    <w:uiPriority w:val="10"/>
    <w:pPr>
      <w:spacing w:before="240" w:after="60"/>
      <w:outlineLvl w:val="0"/>
    </w:pPr>
    <w:rPr>
      <w:rFonts w:ascii="Calibri Light" w:hAnsi="Calibri Light" w:eastAsia="微软雅黑"/>
      <w:b/>
      <w:bCs/>
      <w:sz w:val="32"/>
      <w:szCs w:val="32"/>
    </w:rPr>
  </w:style>
  <w:style w:type="character" w:styleId="15">
    <w:name w:val="page number"/>
    <w:basedOn w:val="14"/>
    <w:unhideWhenUsed/>
    <w:qFormat/>
    <w:uiPriority w:val="0"/>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8">
    <w:name w:val="表格文字"/>
    <w:next w:val="2"/>
    <w:qFormat/>
    <w:uiPriority w:val="0"/>
    <w:pPr>
      <w:widowControl w:val="0"/>
      <w:spacing w:line="420" w:lineRule="atLeast"/>
      <w:jc w:val="both"/>
    </w:pPr>
    <w:rPr>
      <w:rFonts w:asciiTheme="minorHAnsi" w:hAnsiTheme="minorHAnsi" w:eastAsiaTheme="minorEastAsia" w:cstheme="minorBidi"/>
      <w:kern w:val="2"/>
      <w:sz w:val="21"/>
      <w:szCs w:val="24"/>
      <w:lang w:val="en-US" w:eastAsia="zh-CN" w:bidi="ar-SA"/>
    </w:rPr>
  </w:style>
  <w:style w:type="paragraph" w:customStyle="1" w:styleId="19">
    <w:name w:val="样式 标题 1 + 四号 居中 段前: 12 磅 段后: 12 磅 行距: 单倍行距"/>
    <w:qFormat/>
    <w:uiPriority w:val="0"/>
    <w:pPr>
      <w:keepNext/>
      <w:keepLines/>
      <w:widowControl w:val="0"/>
      <w:adjustRightInd w:val="0"/>
      <w:spacing w:before="240" w:after="240"/>
      <w:ind w:left="252" w:firstLine="288"/>
      <w:jc w:val="center"/>
      <w:textAlignment w:val="baseline"/>
      <w:outlineLvl w:val="0"/>
    </w:pPr>
    <w:rPr>
      <w:rFonts w:ascii="Times New Roman" w:hAnsi="Times New Roman" w:eastAsia="宋体" w:cs="宋体"/>
      <w:b/>
      <w:bCs/>
      <w:kern w:val="44"/>
      <w:sz w:val="28"/>
      <w:lang w:val="en-US" w:eastAsia="zh-CN" w:bidi="ar-SA"/>
    </w:rPr>
  </w:style>
  <w:style w:type="paragraph" w:customStyle="1" w:styleId="20">
    <w:name w:val="样式 样式 样式 左侧:  2 字符1 + 首行缩进:  2 字符1 + 首行缩进:  2 字符"/>
    <w:qFormat/>
    <w:uiPriority w:val="0"/>
    <w:pPr>
      <w:adjustRightInd w:val="0"/>
      <w:spacing w:before="60" w:after="120" w:line="440" w:lineRule="atLeast"/>
      <w:ind w:firstLine="480"/>
      <w:jc w:val="both"/>
      <w:textAlignment w:val="baseline"/>
    </w:pPr>
    <w:rPr>
      <w:rFonts w:ascii="Times New Roman" w:hAnsi="Times New Roman" w:eastAsia="宋体" w:cs="Times New Roman"/>
      <w:kern w:val="2"/>
      <w:sz w:val="24"/>
      <w:lang w:val="en-US" w:eastAsia="zh-CN" w:bidi="ar-SA"/>
    </w:rPr>
  </w:style>
  <w:style w:type="paragraph" w:customStyle="1" w:styleId="21">
    <w:name w:val="样式1"/>
    <w:qFormat/>
    <w:uiPriority w:val="0"/>
    <w:pPr>
      <w:widowControl w:val="0"/>
      <w:adjustRightInd w:val="0"/>
      <w:jc w:val="both"/>
      <w:textAlignment w:val="baseline"/>
    </w:pPr>
    <w:rPr>
      <w:rFonts w:ascii="宋体" w:hAnsi="宋体" w:eastAsia="宋体" w:cs="Times New Roman"/>
      <w:sz w:val="21"/>
      <w:szCs w:val="21"/>
      <w:lang w:val="en-US" w:eastAsia="zh-CN" w:bidi="ar-SA"/>
    </w:rPr>
  </w:style>
  <w:style w:type="paragraph" w:customStyle="1" w:styleId="22">
    <w:name w:val="DAS正文"/>
    <w:qFormat/>
    <w:uiPriority w:val="0"/>
    <w:pPr>
      <w:widowControl w:val="0"/>
      <w:spacing w:line="360" w:lineRule="auto"/>
      <w:ind w:right="181" w:firstLine="480" w:firstLineChars="200"/>
      <w:jc w:val="both"/>
    </w:pPr>
    <w:rPr>
      <w:rFonts w:ascii="Verdana" w:hAnsi="Verdana" w:eastAsia="宋体" w:cs="Times New Roman"/>
      <w:kern w:val="2"/>
      <w:sz w:val="24"/>
      <w:szCs w:val="24"/>
      <w:lang w:val="en-US" w:eastAsia="zh-CN" w:bidi="ar-SA"/>
    </w:rPr>
  </w:style>
  <w:style w:type="character" w:customStyle="1" w:styleId="23">
    <w:name w:val="标题 2 Char"/>
    <w:link w:val="4"/>
    <w:qFormat/>
    <w:uiPriority w:val="0"/>
    <w:rPr>
      <w:rFonts w:ascii="Arial" w:hAnsi="Arial" w:eastAsia="宋体" w:cs="Times New Roman"/>
      <w:b/>
      <w:bCs/>
      <w:sz w:val="28"/>
      <w:szCs w:val="32"/>
      <w:lang w:val="en-US" w:eastAsia="zh-CN" w:bidi="ar-SA"/>
    </w:rPr>
  </w:style>
  <w:style w:type="character" w:customStyle="1" w:styleId="24">
    <w:name w:val="标题 3 Char"/>
    <w:link w:val="5"/>
    <w:qFormat/>
    <w:uiPriority w:val="0"/>
    <w:rPr>
      <w:b/>
      <w:sz w:val="32"/>
    </w:rPr>
  </w:style>
  <w:style w:type="paragraph" w:customStyle="1" w:styleId="25">
    <w:name w:val="标书_正文"/>
    <w:qFormat/>
    <w:uiPriority w:val="0"/>
    <w:pPr>
      <w:spacing w:after="200" w:line="360" w:lineRule="auto"/>
      <w:ind w:firstLine="480" w:firstLineChars="200"/>
    </w:pPr>
    <w:rPr>
      <w:rFonts w:hint="eastAsia" w:ascii="宋体" w:hAnsi="宋体" w:eastAsia="宋体" w:cs="Times New Roman"/>
      <w:sz w:val="24"/>
      <w:szCs w:val="22"/>
      <w:lang w:val="en-US" w:eastAsia="zh-CN" w:bidi="ar-SA"/>
    </w:rPr>
  </w:style>
  <w:style w:type="character" w:customStyle="1" w:styleId="26">
    <w:name w:val="页眉 Char"/>
    <w:basedOn w:val="14"/>
    <w:link w:val="11"/>
    <w:qFormat/>
    <w:uiPriority w:val="0"/>
    <w:rPr>
      <w:sz w:val="18"/>
      <w:szCs w:val="18"/>
    </w:rPr>
  </w:style>
  <w:style w:type="character" w:customStyle="1" w:styleId="27">
    <w:name w:val="页脚 Char"/>
    <w:basedOn w:val="14"/>
    <w:link w:val="10"/>
    <w:qFormat/>
    <w:uiPriority w:val="0"/>
    <w:rPr>
      <w:sz w:val="18"/>
      <w:szCs w:val="18"/>
    </w:rPr>
  </w:style>
  <w:style w:type="paragraph" w:customStyle="1" w:styleId="28">
    <w:name w:val="List Paragraph"/>
    <w:basedOn w:val="1"/>
    <w:qFormat/>
    <w:uiPriority w:val="99"/>
    <w:pPr>
      <w:ind w:firstLine="420" w:firstLineChars="200"/>
    </w:pPr>
  </w:style>
  <w:style w:type="character" w:customStyle="1" w:styleId="29">
    <w:name w:val="标题 1 Char"/>
    <w:basedOn w:val="14"/>
    <w:link w:val="3"/>
    <w:qFormat/>
    <w:uiPriority w:val="99"/>
    <w:rPr>
      <w:b/>
      <w:bCs/>
      <w:kern w:val="44"/>
      <w:sz w:val="44"/>
      <w:szCs w:val="44"/>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2">
    <w:name w:val="NormalCharacter"/>
    <w:qFormat/>
    <w:uiPriority w:val="0"/>
  </w:style>
  <w:style w:type="table" w:customStyle="1" w:styleId="33">
    <w:name w:val="Table Normal"/>
    <w:unhideWhenUsed/>
    <w:qFormat/>
    <w:uiPriority w:val="0"/>
    <w:tblPr>
      <w:tblLayout w:type="fixed"/>
      <w:tblCellMar>
        <w:top w:w="0" w:type="dxa"/>
        <w:left w:w="0" w:type="dxa"/>
        <w:bottom w:w="0" w:type="dxa"/>
        <w:right w:w="0" w:type="dxa"/>
      </w:tblCellMar>
    </w:tblPr>
  </w:style>
  <w:style w:type="character" w:customStyle="1" w:styleId="34">
    <w:name w:val="批注框文本 Char"/>
    <w:basedOn w:val="14"/>
    <w:link w:val="9"/>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12</Pages>
  <Words>1698</Words>
  <Characters>9680</Characters>
  <Lines>80</Lines>
  <Paragraphs>22</Paragraphs>
  <TotalTime>0</TotalTime>
  <ScaleCrop>false</ScaleCrop>
  <LinksUpToDate>false</LinksUpToDate>
  <CharactersWithSpaces>11356</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2023-02-28T09:11:00Z</dcterms:created>
  <dc:creator>++</dc:creator>
  <cp:lastModifiedBy>lenovo</cp:lastModifiedBy>
  <cp:lastPrinted>2023-02-25T11:24:00Z</cp:lastPrinted>
  <dcterms:modified xsi:type="dcterms:W3CDTF">2024-05-20T09:17:42Z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CC2DDB48FB1C4823B373E3CF79A5096F_13</vt:lpwstr>
  </property>
</Properties>
</file>