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79587">
      <w:pPr>
        <w:numPr>
          <w:ilvl w:val="0"/>
          <w:numId w:val="0"/>
        </w:numPr>
        <w:spacing w:line="360" w:lineRule="auto"/>
        <w:rPr>
          <w:rFonts w:hint="eastAsia" w:eastAsia="宋体"/>
          <w:color w:val="auto"/>
          <w:sz w:val="24"/>
          <w:szCs w:val="24"/>
          <w:highlight w:val="none"/>
          <w:lang w:val="en-US" w:eastAsia="zh-CN"/>
        </w:rPr>
      </w:pPr>
      <w:r>
        <w:rPr>
          <w:rFonts w:hint="eastAsia"/>
          <w:color w:val="auto"/>
          <w:sz w:val="24"/>
          <w:szCs w:val="24"/>
          <w:highlight w:val="none"/>
          <w:lang w:val="en-US" w:eastAsia="zh-CN"/>
        </w:rPr>
        <w:t>一、资格要求</w:t>
      </w:r>
    </w:p>
    <w:p w14:paraId="6624B244">
      <w:pPr>
        <w:numPr>
          <w:ilvl w:val="0"/>
          <w:numId w:val="0"/>
        </w:numPr>
        <w:spacing w:line="360" w:lineRule="auto"/>
        <w:ind w:firstLine="480" w:firstLineChars="200"/>
        <w:rPr>
          <w:color w:val="auto"/>
          <w:spacing w:val="0"/>
          <w:w w:val="100"/>
          <w:sz w:val="24"/>
          <w:szCs w:val="24"/>
          <w:highlight w:val="none"/>
          <w:lang w:val="en-US"/>
        </w:rPr>
      </w:pPr>
      <w:r>
        <w:rPr>
          <w:rFonts w:hint="default" w:ascii="宋体" w:hAnsi="宋体" w:eastAsia="宋体" w:cs="宋体"/>
          <w:b w:val="0"/>
          <w:bCs w:val="0"/>
          <w:color w:val="auto"/>
          <w:spacing w:val="0"/>
          <w:w w:val="100"/>
          <w:sz w:val="24"/>
          <w:szCs w:val="24"/>
          <w:lang w:val="en-US" w:eastAsia="zh-CN" w:bidi="zh-CN"/>
        </w:rPr>
        <w:t>1、</w:t>
      </w:r>
      <w:r>
        <w:rPr>
          <w:rFonts w:hint="eastAsia"/>
          <w:color w:val="auto"/>
          <w:spacing w:val="0"/>
          <w:w w:val="100"/>
          <w:sz w:val="24"/>
          <w:szCs w:val="24"/>
          <w:highlight w:val="none"/>
        </w:rPr>
        <w:t>满足《中华人民共和国政府采购法》第二十二条规定</w:t>
      </w:r>
      <w:r>
        <w:rPr>
          <w:rFonts w:hint="eastAsia"/>
          <w:color w:val="auto"/>
          <w:spacing w:val="0"/>
          <w:w w:val="100"/>
          <w:sz w:val="24"/>
          <w:szCs w:val="24"/>
          <w:highlight w:val="none"/>
          <w:lang w:val="en-US"/>
        </w:rPr>
        <w:t>。</w:t>
      </w:r>
    </w:p>
    <w:p w14:paraId="7A6D6114">
      <w:pPr>
        <w:pStyle w:val="11"/>
        <w:autoSpaceDE/>
        <w:autoSpaceDN/>
        <w:spacing w:line="360" w:lineRule="auto"/>
        <w:ind w:firstLine="480" w:firstLineChars="200"/>
        <w:rPr>
          <w:rFonts w:hint="eastAsia" w:eastAsia="宋体"/>
          <w:b/>
          <w:color w:val="auto"/>
          <w:spacing w:val="0"/>
          <w:w w:val="100"/>
          <w:sz w:val="24"/>
          <w:szCs w:val="24"/>
          <w:highlight w:val="none"/>
          <w:lang w:eastAsia="zh-CN"/>
        </w:rPr>
      </w:pPr>
      <w:r>
        <w:rPr>
          <w:rFonts w:hint="eastAsia"/>
          <w:color w:val="auto"/>
          <w:spacing w:val="0"/>
          <w:w w:val="100"/>
          <w:sz w:val="24"/>
          <w:szCs w:val="24"/>
          <w:highlight w:val="none"/>
          <w:lang w:val="en-US"/>
        </w:rPr>
        <w:t>2、</w:t>
      </w:r>
      <w:r>
        <w:rPr>
          <w:rFonts w:hint="eastAsia"/>
          <w:color w:val="auto"/>
          <w:spacing w:val="0"/>
          <w:w w:val="100"/>
          <w:sz w:val="24"/>
          <w:szCs w:val="24"/>
          <w:highlight w:val="none"/>
        </w:rPr>
        <w:t>落实政府采购政策需满足的资格要求：</w:t>
      </w:r>
      <w:r>
        <w:rPr>
          <w:rFonts w:hint="eastAsia" w:ascii="宋体" w:hAnsi="宋体" w:eastAsia="宋体" w:cs="宋体"/>
          <w:color w:val="auto"/>
          <w:spacing w:val="0"/>
          <w:w w:val="100"/>
          <w:sz w:val="24"/>
          <w:szCs w:val="24"/>
          <w:highlight w:val="none"/>
          <w:lang w:eastAsia="zh-CN"/>
        </w:rPr>
        <w:t>(1）货物服务采购项目对小、微型(含监狱企业/残疾人福利性单位)产品的价格给予20%的扣除，大中型企业与小微企业组成联合体或者大中型企业向小微企业分包的，评审优惠幅度提高至6%。用扣除后的价格参与评审，严格按照（财库[2022]19号）《财政部关于进一步加大政府采购支持中小企业力度的通知》执行，提供的声明函必须真实，如有虚假，将依法承担相应责任；符合条件的残疾人福利性单位在参加政府采购活动时，应当提供财库【2017】141号规定的《残疾人福利性单位声明函》，提供的声明函必须真实，如有虚假，将依法承担相应责任。（2）对原产地在少数民族自治区和享受少数民族自治待遇的省份（云南、贵州、青海）的投标主产品（不含附带产品），在总得分基础上加3分。投标主产品按照不得低于本采购项目预算金额50%加以确定。（3）投标产品属于“节能产品清单”或“环保产品清单”有效期内中的产品（强制采购产品除外），在总得分基础上，每一项加0.3分；如投标产品同时属于“节能产品清单”和“环保产品清单”两个清单中产品的，每一项加0.5分，最高不得超过2分（须提供列入品目清单的产品类别（可在中国政府采购网www.ccgp.gov.cn 查询）</w:t>
      </w:r>
      <w:r>
        <w:rPr>
          <w:rFonts w:hint="eastAsia" w:ascii="宋体" w:hAnsi="宋体" w:eastAsia="宋体" w:cs="宋体"/>
          <w:i w:val="0"/>
          <w:iCs w:val="0"/>
          <w:caps w:val="0"/>
          <w:color w:val="000000"/>
          <w:spacing w:val="0"/>
          <w:w w:val="100"/>
          <w:sz w:val="24"/>
          <w:szCs w:val="24"/>
          <w:highlight w:val="none"/>
          <w:shd w:val="clear" w:fill="FFFFFF"/>
          <w:lang w:eastAsia="zh-CN"/>
        </w:rPr>
        <w:t>。</w:t>
      </w:r>
    </w:p>
    <w:p w14:paraId="16EBDE92">
      <w:pPr>
        <w:autoSpaceDE/>
        <w:autoSpaceDN/>
        <w:spacing w:line="360" w:lineRule="auto"/>
        <w:ind w:firstLine="480" w:firstLineChars="200"/>
        <w:outlineLvl w:val="1"/>
        <w:rPr>
          <w:color w:val="auto"/>
          <w:spacing w:val="0"/>
          <w:w w:val="100"/>
          <w:sz w:val="24"/>
          <w:szCs w:val="24"/>
          <w:highlight w:val="none"/>
        </w:rPr>
      </w:pPr>
      <w:bookmarkStart w:id="0" w:name="_Toc22523"/>
      <w:r>
        <w:rPr>
          <w:rFonts w:hint="eastAsia"/>
          <w:color w:val="auto"/>
          <w:spacing w:val="0"/>
          <w:w w:val="100"/>
          <w:sz w:val="24"/>
          <w:szCs w:val="24"/>
          <w:highlight w:val="none"/>
          <w:lang w:val="en-US"/>
        </w:rPr>
        <w:t>3、</w:t>
      </w:r>
      <w:r>
        <w:rPr>
          <w:rFonts w:hint="eastAsia"/>
          <w:color w:val="auto"/>
          <w:spacing w:val="0"/>
          <w:w w:val="100"/>
          <w:sz w:val="24"/>
          <w:szCs w:val="24"/>
          <w:highlight w:val="none"/>
        </w:rPr>
        <w:t>本项目的特定资格要求：</w:t>
      </w:r>
      <w:bookmarkEnd w:id="0"/>
      <w:r>
        <w:rPr>
          <w:rFonts w:hint="eastAsia" w:cs="宋体"/>
          <w:color w:val="auto"/>
          <w:spacing w:val="0"/>
          <w:w w:val="100"/>
          <w:sz w:val="24"/>
          <w:szCs w:val="24"/>
          <w:highlight w:val="none"/>
          <w:lang w:val="en-US" w:eastAsia="zh-CN" w:bidi="zh-CN"/>
        </w:rPr>
        <w:t>无。</w:t>
      </w:r>
    </w:p>
    <w:p w14:paraId="6F8D7498">
      <w:pPr>
        <w:rPr>
          <w:highlight w:val="none"/>
        </w:rPr>
      </w:pPr>
      <w:r>
        <w:rPr>
          <w:highlight w:val="none"/>
        </w:rPr>
        <w:br w:type="page"/>
      </w:r>
    </w:p>
    <w:p w14:paraId="7D0B2A13">
      <w:pPr>
        <w:spacing w:line="360" w:lineRule="auto"/>
        <w:ind w:firstLine="480" w:firstLineChars="200"/>
        <w:outlineLvl w:val="1"/>
        <w:rPr>
          <w:rFonts w:hint="eastAsia" w:eastAsia="宋体"/>
          <w:color w:val="auto"/>
          <w:sz w:val="24"/>
          <w:szCs w:val="24"/>
          <w:highlight w:val="none"/>
          <w:lang w:val="en-US" w:eastAsia="zh-CN"/>
        </w:rPr>
      </w:pPr>
      <w:r>
        <w:rPr>
          <w:rFonts w:hint="eastAsia"/>
          <w:color w:val="auto"/>
          <w:sz w:val="24"/>
          <w:szCs w:val="24"/>
          <w:highlight w:val="none"/>
          <w:lang w:val="en-US" w:eastAsia="zh-CN"/>
        </w:rPr>
        <w:t>二、评标办法</w:t>
      </w:r>
    </w:p>
    <w:p w14:paraId="332C3DD7">
      <w:pPr>
        <w:pStyle w:val="2"/>
        <w:ind w:left="0"/>
        <w:jc w:val="center"/>
        <w:rPr>
          <w:b/>
          <w:bCs/>
          <w:color w:val="auto"/>
          <w:spacing w:val="0"/>
          <w:w w:val="100"/>
          <w:highlight w:val="none"/>
        </w:rPr>
      </w:pPr>
      <w:r>
        <w:rPr>
          <w:b/>
          <w:bCs/>
          <w:color w:val="auto"/>
          <w:spacing w:val="0"/>
          <w:w w:val="100"/>
          <w:highlight w:val="none"/>
        </w:rPr>
        <w:t>评标方法</w:t>
      </w:r>
    </w:p>
    <w:p w14:paraId="708B3A35">
      <w:pPr>
        <w:spacing w:line="360" w:lineRule="auto"/>
        <w:ind w:firstLine="480" w:firstLineChars="200"/>
        <w:rPr>
          <w:color w:val="auto"/>
          <w:spacing w:val="0"/>
          <w:w w:val="100"/>
          <w:sz w:val="24"/>
          <w:szCs w:val="24"/>
          <w:highlight w:val="none"/>
          <w:lang w:val="en-US"/>
        </w:rPr>
      </w:pPr>
    </w:p>
    <w:p w14:paraId="6547A773">
      <w:pPr>
        <w:spacing w:line="360" w:lineRule="auto"/>
        <w:ind w:firstLine="480" w:firstLineChars="200"/>
        <w:outlineLvl w:val="1"/>
        <w:rPr>
          <w:color w:val="auto"/>
          <w:spacing w:val="0"/>
          <w:w w:val="100"/>
          <w:sz w:val="24"/>
          <w:szCs w:val="24"/>
          <w:highlight w:val="none"/>
          <w:lang w:val="en-US"/>
        </w:rPr>
      </w:pPr>
      <w:r>
        <w:rPr>
          <w:rFonts w:hint="eastAsia"/>
          <w:color w:val="auto"/>
          <w:spacing w:val="0"/>
          <w:w w:val="100"/>
          <w:sz w:val="24"/>
          <w:szCs w:val="24"/>
          <w:highlight w:val="none"/>
          <w:lang w:val="en-US"/>
        </w:rPr>
        <w:t>1.采用公开招标方式</w:t>
      </w:r>
    </w:p>
    <w:p w14:paraId="70A649AD">
      <w:pPr>
        <w:spacing w:line="360" w:lineRule="auto"/>
        <w:ind w:firstLine="480" w:firstLineChars="200"/>
        <w:outlineLvl w:val="1"/>
        <w:rPr>
          <w:color w:val="auto"/>
          <w:spacing w:val="0"/>
          <w:w w:val="100"/>
          <w:sz w:val="24"/>
          <w:szCs w:val="24"/>
          <w:highlight w:val="none"/>
          <w:lang w:val="en-US"/>
        </w:rPr>
      </w:pPr>
      <w:r>
        <w:rPr>
          <w:rFonts w:hint="eastAsia"/>
          <w:color w:val="auto"/>
          <w:spacing w:val="0"/>
          <w:w w:val="100"/>
          <w:sz w:val="24"/>
          <w:szCs w:val="24"/>
          <w:highlight w:val="none"/>
          <w:lang w:val="en-US"/>
        </w:rPr>
        <w:t>2.评标方法按照《中华人民共和国政府采购法》、《中华人民共和国政府采购法实施条例》等相关法律法规的规定，本次评标采用综合评分法，即在最大限度地满足招标文件实质性要求前提下，按照招标文件中规定的各项因素和相应的权重分值进行综合评审后，以总得分最高的投标供应商作为第一中标候人并依次排序。</w:t>
      </w:r>
    </w:p>
    <w:p w14:paraId="5454A9F7">
      <w:pPr>
        <w:spacing w:line="360" w:lineRule="auto"/>
        <w:ind w:firstLine="480" w:firstLineChars="200"/>
        <w:outlineLvl w:val="1"/>
        <w:rPr>
          <w:color w:val="auto"/>
          <w:spacing w:val="0"/>
          <w:w w:val="100"/>
          <w:sz w:val="24"/>
          <w:szCs w:val="24"/>
          <w:highlight w:val="none"/>
        </w:rPr>
      </w:pPr>
      <w:r>
        <w:rPr>
          <w:rFonts w:hint="eastAsia"/>
          <w:color w:val="auto"/>
          <w:spacing w:val="0"/>
          <w:w w:val="100"/>
          <w:sz w:val="24"/>
          <w:szCs w:val="24"/>
          <w:highlight w:val="none"/>
          <w:lang w:val="en-US"/>
        </w:rPr>
        <w:t>3.</w:t>
      </w:r>
      <w:r>
        <w:rPr>
          <w:rFonts w:hint="eastAsia"/>
          <w:color w:val="auto"/>
          <w:spacing w:val="0"/>
          <w:w w:val="100"/>
          <w:sz w:val="24"/>
          <w:szCs w:val="24"/>
          <w:highlight w:val="none"/>
        </w:rPr>
        <w:t>评标程序</w:t>
      </w:r>
    </w:p>
    <w:p w14:paraId="0573367F">
      <w:pPr>
        <w:spacing w:line="360" w:lineRule="auto"/>
        <w:ind w:firstLine="480" w:firstLineChars="200"/>
        <w:rPr>
          <w:color w:val="auto"/>
          <w:spacing w:val="0"/>
          <w:w w:val="100"/>
          <w:sz w:val="24"/>
          <w:szCs w:val="24"/>
          <w:highlight w:val="none"/>
        </w:rPr>
      </w:pPr>
      <w:r>
        <w:rPr>
          <w:rFonts w:hint="eastAsia"/>
          <w:color w:val="auto"/>
          <w:spacing w:val="0"/>
          <w:w w:val="100"/>
          <w:sz w:val="24"/>
          <w:szCs w:val="24"/>
          <w:highlight w:val="none"/>
        </w:rPr>
        <w:t>按照资格性审查、符合性审查、综合评审三个步骤进行评标。在上一步评审中不合格者，不进入下一步的评审。</w:t>
      </w:r>
    </w:p>
    <w:p w14:paraId="403BC7D2">
      <w:pPr>
        <w:spacing w:line="360" w:lineRule="auto"/>
        <w:ind w:firstLine="480" w:firstLineChars="200"/>
        <w:rPr>
          <w:color w:val="auto"/>
          <w:spacing w:val="0"/>
          <w:w w:val="100"/>
          <w:sz w:val="24"/>
          <w:szCs w:val="24"/>
          <w:highlight w:val="none"/>
        </w:rPr>
      </w:pPr>
      <w:r>
        <w:rPr>
          <w:rFonts w:hint="eastAsia"/>
          <w:color w:val="auto"/>
          <w:spacing w:val="0"/>
          <w:w w:val="100"/>
          <w:sz w:val="24"/>
          <w:szCs w:val="24"/>
          <w:highlight w:val="none"/>
          <w:lang w:val="en-US"/>
        </w:rPr>
        <w:t>3.1投标文件的资格性审查。公开招标采购项目开标结束后，采购人应当依法对投标供应商的资格进行审查</w:t>
      </w:r>
      <w:r>
        <w:rPr>
          <w:rFonts w:hint="eastAsia"/>
          <w:color w:val="auto"/>
          <w:spacing w:val="0"/>
          <w:w w:val="100"/>
          <w:sz w:val="24"/>
          <w:szCs w:val="24"/>
          <w:highlight w:val="none"/>
        </w:rPr>
        <w:t>。未通过符合性审查的投标文件不参与符合性审查和中标候选人推荐。通过初步审查的供应商不足三家的，本项目作废标处理，审查工作结束。</w:t>
      </w:r>
    </w:p>
    <w:p w14:paraId="45DF5099">
      <w:pPr>
        <w:spacing w:line="360" w:lineRule="auto"/>
        <w:ind w:firstLine="480" w:firstLineChars="200"/>
        <w:rPr>
          <w:color w:val="auto"/>
          <w:spacing w:val="0"/>
          <w:w w:val="100"/>
          <w:sz w:val="24"/>
          <w:szCs w:val="24"/>
          <w:highlight w:val="none"/>
          <w:lang w:val="en-US"/>
        </w:rPr>
      </w:pPr>
      <w:r>
        <w:rPr>
          <w:rFonts w:hint="eastAsia"/>
          <w:color w:val="auto"/>
          <w:spacing w:val="0"/>
          <w:w w:val="100"/>
          <w:sz w:val="24"/>
          <w:szCs w:val="24"/>
          <w:highlight w:val="none"/>
          <w:lang w:val="en-US"/>
        </w:rPr>
        <w:t>3.2投标文件的符合性审查。评标委员会审查投标文件是否对招标文件作了实质性响应，即投标文件是否满足或响应招标文件技术、商务方面的要求。技术符合性：投标产品的技术成熟性、适用性、性能、参数和规格等满足招标文件要求，无实质性负偏离、反对、设定条件或提出保留；商务符合性：质保、售后服务、业绩、交货期、付款条件等符合招标文件要求；不低于成本报价，不高于采购预算价；投标文件的组成、投标文件的完整性和有效性等符合招标文件规定，无实质性负偏离、反对、设定条件或提出保留。</w:t>
      </w:r>
    </w:p>
    <w:p w14:paraId="363911A0">
      <w:pPr>
        <w:spacing w:line="360" w:lineRule="auto"/>
        <w:ind w:firstLine="480" w:firstLineChars="200"/>
        <w:rPr>
          <w:color w:val="auto"/>
          <w:spacing w:val="0"/>
          <w:w w:val="100"/>
          <w:sz w:val="24"/>
          <w:szCs w:val="24"/>
          <w:highlight w:val="none"/>
          <w:lang w:val="en-US"/>
        </w:rPr>
      </w:pPr>
      <w:r>
        <w:rPr>
          <w:rFonts w:hint="eastAsia"/>
          <w:color w:val="auto"/>
          <w:spacing w:val="0"/>
          <w:w w:val="100"/>
          <w:sz w:val="24"/>
          <w:szCs w:val="24"/>
          <w:highlight w:val="none"/>
          <w:lang w:val="en-US"/>
        </w:rPr>
        <w:t>3.3对于投标文件中可能出现的不一致或算术计算错误按以下方法更正：</w:t>
      </w:r>
    </w:p>
    <w:p w14:paraId="2CC9BF9D">
      <w:pPr>
        <w:spacing w:line="360" w:lineRule="auto"/>
        <w:ind w:firstLine="480" w:firstLineChars="200"/>
        <w:rPr>
          <w:color w:val="auto"/>
          <w:spacing w:val="0"/>
          <w:w w:val="100"/>
          <w:sz w:val="24"/>
          <w:szCs w:val="24"/>
          <w:highlight w:val="none"/>
          <w:lang w:val="en-US"/>
        </w:rPr>
      </w:pPr>
      <w:r>
        <w:rPr>
          <w:rFonts w:hint="eastAsia"/>
          <w:color w:val="auto"/>
          <w:spacing w:val="0"/>
          <w:w w:val="100"/>
          <w:sz w:val="24"/>
          <w:szCs w:val="24"/>
          <w:highlight w:val="none"/>
          <w:lang w:val="en-US"/>
        </w:rPr>
        <w:t>（1）对于投标文件中含义不明确、同类问题表述不一致或者有明显文字和计算错误的内容，评标委员会应当以书面形式要求投标供应商作出必要的澄清、说明或者补正。</w:t>
      </w:r>
    </w:p>
    <w:p w14:paraId="58B58DAD">
      <w:pPr>
        <w:spacing w:line="360" w:lineRule="auto"/>
        <w:ind w:firstLine="480" w:firstLineChars="200"/>
        <w:rPr>
          <w:color w:val="auto"/>
          <w:spacing w:val="0"/>
          <w:w w:val="100"/>
          <w:sz w:val="24"/>
          <w:szCs w:val="24"/>
          <w:highlight w:val="none"/>
          <w:lang w:val="en-US"/>
        </w:rPr>
      </w:pPr>
      <w:r>
        <w:rPr>
          <w:rFonts w:hint="eastAsia"/>
          <w:color w:val="auto"/>
          <w:spacing w:val="0"/>
          <w:w w:val="100"/>
          <w:sz w:val="24"/>
          <w:szCs w:val="24"/>
          <w:highlight w:val="none"/>
          <w:lang w:val="en-US"/>
        </w:rPr>
        <w:t>（2）投标供应商的澄清、说明或者补正应当采用书面形式，并加盖公章，或者由法定代表人或其授权的代表签字。投标供应商的澄清、说明或者补正不得超出投标文件的范围或者改变投标文件的实质性内容。</w:t>
      </w:r>
    </w:p>
    <w:p w14:paraId="0C5CB9B0">
      <w:pPr>
        <w:spacing w:line="360" w:lineRule="auto"/>
        <w:ind w:firstLine="480" w:firstLineChars="200"/>
        <w:rPr>
          <w:color w:val="auto"/>
          <w:spacing w:val="0"/>
          <w:w w:val="100"/>
          <w:sz w:val="24"/>
          <w:szCs w:val="24"/>
          <w:highlight w:val="none"/>
          <w:lang w:val="en-US"/>
        </w:rPr>
      </w:pPr>
      <w:r>
        <w:rPr>
          <w:rFonts w:hint="eastAsia"/>
          <w:color w:val="auto"/>
          <w:spacing w:val="0"/>
          <w:w w:val="100"/>
          <w:sz w:val="24"/>
          <w:szCs w:val="24"/>
          <w:highlight w:val="none"/>
          <w:lang w:val="en-US"/>
        </w:rPr>
        <w:t>3.4综合评审和推荐中标排序：对于经资格性、符合性评审合格的所有投标供应商，由评标委员会各成员按照</w:t>
      </w:r>
      <w:r>
        <w:rPr>
          <w:rFonts w:hint="eastAsia"/>
          <w:color w:val="auto"/>
          <w:spacing w:val="0"/>
          <w:w w:val="100"/>
          <w:sz w:val="24"/>
          <w:szCs w:val="24"/>
          <w:highlight w:val="none"/>
        </w:rPr>
        <w:t>下列《综合评分明细表》规定的内容独</w:t>
      </w:r>
      <w:r>
        <w:rPr>
          <w:rFonts w:hint="eastAsia"/>
          <w:color w:val="auto"/>
          <w:spacing w:val="0"/>
          <w:w w:val="100"/>
          <w:sz w:val="24"/>
          <w:szCs w:val="24"/>
          <w:highlight w:val="none"/>
          <w:lang w:val="en-US"/>
        </w:rPr>
        <w:t>立进行综合评价、比较打分，然后汇总每个投标供应商的得分，按从高到低依次排序，推荐中标候选人。</w:t>
      </w:r>
    </w:p>
    <w:p w14:paraId="6D949F0E">
      <w:pPr>
        <w:spacing w:line="360" w:lineRule="auto"/>
        <w:ind w:firstLine="480" w:firstLineChars="200"/>
        <w:rPr>
          <w:color w:val="auto"/>
          <w:spacing w:val="0"/>
          <w:w w:val="100"/>
          <w:sz w:val="24"/>
          <w:szCs w:val="24"/>
          <w:highlight w:val="none"/>
          <w:lang w:val="en-US"/>
        </w:rPr>
      </w:pPr>
      <w:r>
        <w:rPr>
          <w:rFonts w:hint="eastAsia"/>
          <w:color w:val="auto"/>
          <w:spacing w:val="0"/>
          <w:w w:val="100"/>
          <w:sz w:val="24"/>
          <w:szCs w:val="24"/>
          <w:highlight w:val="none"/>
          <w:lang w:val="en-US"/>
        </w:rPr>
        <w:t>3.5评标委员会成员对需要共同认定的事项存在争议的，应当按照少数服从多数的原则作出结论。持不同意见的评标委员会成员应当在评标报告上签署不同意见及理由，否则视为同意评标报告。</w:t>
      </w:r>
    </w:p>
    <w:p w14:paraId="10A40191">
      <w:pPr>
        <w:spacing w:line="360" w:lineRule="auto"/>
        <w:ind w:firstLine="480" w:firstLineChars="200"/>
        <w:rPr>
          <w:color w:val="auto"/>
          <w:spacing w:val="0"/>
          <w:w w:val="100"/>
          <w:sz w:val="24"/>
          <w:szCs w:val="24"/>
          <w:highlight w:val="none"/>
          <w:lang w:val="en-US"/>
        </w:rPr>
      </w:pPr>
      <w:r>
        <w:rPr>
          <w:rFonts w:hint="eastAsia"/>
          <w:color w:val="auto"/>
          <w:spacing w:val="0"/>
          <w:w w:val="100"/>
          <w:sz w:val="24"/>
          <w:szCs w:val="24"/>
          <w:highlight w:val="none"/>
          <w:lang w:val="en-US"/>
        </w:rPr>
        <w:t>3.6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9AB0FB7">
      <w:pPr>
        <w:spacing w:line="360" w:lineRule="auto"/>
        <w:ind w:firstLine="480" w:firstLineChars="200"/>
        <w:outlineLvl w:val="1"/>
        <w:rPr>
          <w:color w:val="auto"/>
          <w:spacing w:val="0"/>
          <w:w w:val="100"/>
          <w:sz w:val="24"/>
          <w:szCs w:val="24"/>
          <w:highlight w:val="none"/>
          <w:lang w:val="en-US"/>
        </w:rPr>
      </w:pPr>
      <w:r>
        <w:rPr>
          <w:rFonts w:hint="eastAsia"/>
          <w:color w:val="auto"/>
          <w:spacing w:val="0"/>
          <w:w w:val="100"/>
          <w:sz w:val="24"/>
          <w:szCs w:val="24"/>
          <w:highlight w:val="none"/>
          <w:lang w:val="en-US"/>
        </w:rPr>
        <w:t>4.评审</w:t>
      </w:r>
    </w:p>
    <w:p w14:paraId="1C9CCA97">
      <w:pPr>
        <w:spacing w:line="360" w:lineRule="auto"/>
        <w:ind w:firstLine="480" w:firstLineChars="200"/>
        <w:rPr>
          <w:color w:val="auto"/>
          <w:spacing w:val="0"/>
          <w:w w:val="100"/>
          <w:sz w:val="24"/>
          <w:szCs w:val="24"/>
          <w:highlight w:val="none"/>
          <w:lang w:val="en-US"/>
        </w:rPr>
      </w:pPr>
      <w:r>
        <w:rPr>
          <w:rFonts w:hint="eastAsia"/>
          <w:color w:val="auto"/>
          <w:spacing w:val="0"/>
          <w:w w:val="100"/>
          <w:sz w:val="24"/>
          <w:szCs w:val="24"/>
          <w:highlight w:val="none"/>
          <w:lang w:val="en-US"/>
        </w:rPr>
        <w:t>4.1资格性审查和符合性审查</w:t>
      </w:r>
    </w:p>
    <w:tbl>
      <w:tblPr>
        <w:tblStyle w:val="8"/>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3501"/>
        <w:gridCol w:w="5476"/>
      </w:tblGrid>
      <w:tr w14:paraId="54B9D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2" w:type="dxa"/>
          </w:tcPr>
          <w:p w14:paraId="2D8AAD44">
            <w:pPr>
              <w:spacing w:line="360" w:lineRule="auto"/>
              <w:rPr>
                <w:color w:val="auto"/>
                <w:spacing w:val="0"/>
                <w:w w:val="100"/>
                <w:sz w:val="24"/>
                <w:szCs w:val="24"/>
                <w:highlight w:val="none"/>
              </w:rPr>
            </w:pPr>
            <w:r>
              <w:rPr>
                <w:rFonts w:hint="eastAsia"/>
                <w:color w:val="auto"/>
                <w:spacing w:val="0"/>
                <w:w w:val="100"/>
                <w:sz w:val="24"/>
                <w:szCs w:val="24"/>
                <w:highlight w:val="none"/>
              </w:rPr>
              <w:t>序号</w:t>
            </w:r>
          </w:p>
        </w:tc>
        <w:tc>
          <w:tcPr>
            <w:tcW w:w="3501" w:type="dxa"/>
          </w:tcPr>
          <w:p w14:paraId="5BD84C97">
            <w:pPr>
              <w:spacing w:line="360" w:lineRule="auto"/>
              <w:jc w:val="center"/>
              <w:rPr>
                <w:color w:val="auto"/>
                <w:spacing w:val="0"/>
                <w:w w:val="100"/>
                <w:sz w:val="24"/>
                <w:szCs w:val="24"/>
                <w:highlight w:val="none"/>
              </w:rPr>
            </w:pPr>
            <w:r>
              <w:rPr>
                <w:rFonts w:hint="eastAsia"/>
                <w:color w:val="auto"/>
                <w:spacing w:val="0"/>
                <w:w w:val="100"/>
                <w:sz w:val="24"/>
                <w:szCs w:val="24"/>
                <w:highlight w:val="none"/>
              </w:rPr>
              <w:t>审查内容</w:t>
            </w:r>
          </w:p>
        </w:tc>
        <w:tc>
          <w:tcPr>
            <w:tcW w:w="5476" w:type="dxa"/>
          </w:tcPr>
          <w:p w14:paraId="2AB43669">
            <w:pPr>
              <w:spacing w:line="360" w:lineRule="auto"/>
              <w:ind w:firstLine="960" w:firstLineChars="400"/>
              <w:rPr>
                <w:color w:val="auto"/>
                <w:spacing w:val="0"/>
                <w:w w:val="100"/>
                <w:sz w:val="24"/>
                <w:szCs w:val="24"/>
                <w:highlight w:val="none"/>
              </w:rPr>
            </w:pPr>
            <w:r>
              <w:rPr>
                <w:rFonts w:hint="eastAsia"/>
                <w:color w:val="auto"/>
                <w:spacing w:val="0"/>
                <w:w w:val="100"/>
                <w:sz w:val="24"/>
                <w:szCs w:val="24"/>
                <w:highlight w:val="none"/>
              </w:rPr>
              <w:t>审查标准</w:t>
            </w:r>
          </w:p>
        </w:tc>
      </w:tr>
      <w:tr w14:paraId="41721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779" w:type="dxa"/>
            <w:gridSpan w:val="3"/>
          </w:tcPr>
          <w:p w14:paraId="29264A0B">
            <w:pPr>
              <w:tabs>
                <w:tab w:val="left" w:pos="2127"/>
              </w:tabs>
              <w:adjustRightInd w:val="0"/>
              <w:spacing w:line="360" w:lineRule="auto"/>
              <w:jc w:val="center"/>
              <w:rPr>
                <w:color w:val="auto"/>
                <w:spacing w:val="0"/>
                <w:w w:val="100"/>
                <w:sz w:val="24"/>
                <w:szCs w:val="24"/>
                <w:highlight w:val="none"/>
                <w:lang w:val="en-US"/>
              </w:rPr>
            </w:pPr>
            <w:r>
              <w:rPr>
                <w:rFonts w:hint="eastAsia"/>
                <w:color w:val="auto"/>
                <w:spacing w:val="0"/>
                <w:w w:val="100"/>
                <w:sz w:val="24"/>
                <w:szCs w:val="24"/>
                <w:highlight w:val="none"/>
                <w:lang w:val="en-US"/>
              </w:rPr>
              <w:t>资格性审查内容</w:t>
            </w:r>
          </w:p>
        </w:tc>
      </w:tr>
      <w:tr w14:paraId="28C2C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02" w:type="dxa"/>
            <w:vAlign w:val="center"/>
          </w:tcPr>
          <w:p w14:paraId="48FED307">
            <w:pPr>
              <w:spacing w:line="360" w:lineRule="auto"/>
              <w:jc w:val="center"/>
              <w:rPr>
                <w:color w:val="auto"/>
                <w:spacing w:val="0"/>
                <w:w w:val="100"/>
                <w:sz w:val="24"/>
                <w:szCs w:val="24"/>
                <w:highlight w:val="none"/>
                <w:lang w:val="en-US"/>
              </w:rPr>
            </w:pPr>
            <w:r>
              <w:rPr>
                <w:rFonts w:hint="eastAsia"/>
                <w:color w:val="auto"/>
                <w:spacing w:val="0"/>
                <w:w w:val="100"/>
                <w:sz w:val="24"/>
                <w:szCs w:val="24"/>
                <w:highlight w:val="none"/>
                <w:lang w:val="en-US"/>
              </w:rPr>
              <w:t>1</w:t>
            </w:r>
          </w:p>
        </w:tc>
        <w:tc>
          <w:tcPr>
            <w:tcW w:w="3501" w:type="dxa"/>
            <w:vAlign w:val="center"/>
          </w:tcPr>
          <w:p w14:paraId="436580D2">
            <w:pPr>
              <w:tabs>
                <w:tab w:val="left" w:pos="2127"/>
              </w:tabs>
              <w:adjustRightInd w:val="0"/>
              <w:spacing w:line="360" w:lineRule="auto"/>
              <w:rPr>
                <w:color w:val="auto"/>
                <w:spacing w:val="0"/>
                <w:w w:val="100"/>
                <w:sz w:val="24"/>
                <w:szCs w:val="24"/>
                <w:highlight w:val="none"/>
              </w:rPr>
            </w:pPr>
            <w:r>
              <w:rPr>
                <w:rFonts w:hint="eastAsia"/>
                <w:color w:val="auto"/>
                <w:spacing w:val="0"/>
                <w:w w:val="100"/>
                <w:sz w:val="24"/>
                <w:szCs w:val="24"/>
                <w:highlight w:val="none"/>
              </w:rPr>
              <w:t>具有独立承担民事责任的能力</w:t>
            </w:r>
          </w:p>
        </w:tc>
        <w:tc>
          <w:tcPr>
            <w:tcW w:w="5476" w:type="dxa"/>
            <w:vAlign w:val="center"/>
          </w:tcPr>
          <w:p w14:paraId="66B1C3D5">
            <w:pPr>
              <w:tabs>
                <w:tab w:val="left" w:pos="2127"/>
              </w:tabs>
              <w:adjustRightInd w:val="0"/>
              <w:spacing w:line="360" w:lineRule="auto"/>
              <w:rPr>
                <w:color w:val="auto"/>
                <w:spacing w:val="0"/>
                <w:w w:val="100"/>
                <w:sz w:val="24"/>
                <w:szCs w:val="24"/>
                <w:highlight w:val="none"/>
              </w:rPr>
            </w:pPr>
            <w:r>
              <w:rPr>
                <w:rFonts w:hint="eastAsia"/>
                <w:color w:val="auto"/>
                <w:spacing w:val="0"/>
                <w:w w:val="100"/>
                <w:sz w:val="24"/>
                <w:szCs w:val="24"/>
                <w:highlight w:val="none"/>
              </w:rPr>
              <w:t>提供法人或其他组织的营业执照等证明文件，或自然人身</w:t>
            </w:r>
            <w:r>
              <w:rPr>
                <w:rFonts w:hint="eastAsia"/>
                <w:color w:val="auto"/>
                <w:spacing w:val="0"/>
                <w:w w:val="100"/>
                <w:sz w:val="24"/>
                <w:szCs w:val="24"/>
                <w:highlight w:val="none"/>
                <w:lang w:val="en-US"/>
              </w:rPr>
              <w:t>份证</w:t>
            </w:r>
            <w:r>
              <w:rPr>
                <w:rFonts w:hint="eastAsia"/>
                <w:color w:val="auto"/>
                <w:spacing w:val="0"/>
                <w:w w:val="100"/>
                <w:sz w:val="24"/>
                <w:szCs w:val="24"/>
                <w:highlight w:val="none"/>
              </w:rPr>
              <w:t>明</w:t>
            </w:r>
            <w:r>
              <w:rPr>
                <w:rFonts w:hint="eastAsia"/>
                <w:color w:val="auto"/>
                <w:spacing w:val="0"/>
                <w:w w:val="100"/>
                <w:sz w:val="24"/>
                <w:szCs w:val="24"/>
                <w:highlight w:val="none"/>
                <w:lang w:val="en-US"/>
              </w:rPr>
              <w:t xml:space="preserve"> </w:t>
            </w:r>
          </w:p>
        </w:tc>
      </w:tr>
      <w:tr w14:paraId="2DFAE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02" w:type="dxa"/>
            <w:vAlign w:val="center"/>
          </w:tcPr>
          <w:p w14:paraId="5A273CD1">
            <w:pPr>
              <w:spacing w:line="360" w:lineRule="auto"/>
              <w:jc w:val="center"/>
              <w:rPr>
                <w:color w:val="auto"/>
                <w:spacing w:val="0"/>
                <w:w w:val="100"/>
                <w:sz w:val="24"/>
                <w:szCs w:val="24"/>
                <w:highlight w:val="none"/>
                <w:lang w:val="en-US"/>
              </w:rPr>
            </w:pPr>
            <w:r>
              <w:rPr>
                <w:rFonts w:hint="eastAsia"/>
                <w:color w:val="auto"/>
                <w:spacing w:val="0"/>
                <w:w w:val="100"/>
                <w:sz w:val="24"/>
                <w:szCs w:val="24"/>
                <w:highlight w:val="none"/>
                <w:lang w:val="en-US"/>
              </w:rPr>
              <w:t>2</w:t>
            </w:r>
          </w:p>
        </w:tc>
        <w:tc>
          <w:tcPr>
            <w:tcW w:w="3501" w:type="dxa"/>
            <w:vAlign w:val="center"/>
          </w:tcPr>
          <w:p w14:paraId="5232B3C4">
            <w:pPr>
              <w:tabs>
                <w:tab w:val="left" w:pos="2127"/>
              </w:tabs>
              <w:adjustRightInd w:val="0"/>
              <w:spacing w:line="360" w:lineRule="auto"/>
              <w:rPr>
                <w:color w:val="auto"/>
                <w:spacing w:val="0"/>
                <w:w w:val="100"/>
                <w:sz w:val="24"/>
                <w:szCs w:val="24"/>
                <w:highlight w:val="none"/>
              </w:rPr>
            </w:pPr>
            <w:r>
              <w:rPr>
                <w:rFonts w:hint="eastAsia"/>
                <w:color w:val="auto"/>
                <w:spacing w:val="0"/>
                <w:w w:val="100"/>
                <w:sz w:val="24"/>
                <w:szCs w:val="24"/>
                <w:highlight w:val="none"/>
              </w:rPr>
              <w:t>具有良好的商业信誉和健全的财务会计制度</w:t>
            </w:r>
          </w:p>
        </w:tc>
        <w:tc>
          <w:tcPr>
            <w:tcW w:w="5476" w:type="dxa"/>
          </w:tcPr>
          <w:p w14:paraId="61DEB954">
            <w:pPr>
              <w:tabs>
                <w:tab w:val="left" w:pos="2127"/>
              </w:tabs>
              <w:adjustRightInd w:val="0"/>
              <w:spacing w:line="360" w:lineRule="auto"/>
              <w:rPr>
                <w:rFonts w:eastAsiaTheme="minorEastAsia"/>
                <w:color w:val="auto"/>
                <w:spacing w:val="0"/>
                <w:w w:val="100"/>
                <w:sz w:val="24"/>
                <w:szCs w:val="24"/>
                <w:highlight w:val="none"/>
                <w:lang w:val="en-US"/>
              </w:rPr>
            </w:pPr>
            <w:r>
              <w:rPr>
                <w:rFonts w:hint="eastAsia" w:asciiTheme="minorEastAsia" w:hAnsiTheme="minorEastAsia" w:eastAsiaTheme="minorEastAsia" w:cstheme="minorEastAsia"/>
                <w:color w:val="auto"/>
                <w:spacing w:val="0"/>
                <w:w w:val="100"/>
                <w:sz w:val="24"/>
                <w:szCs w:val="24"/>
                <w:highlight w:val="none"/>
                <w:lang w:val="en-US"/>
              </w:rPr>
              <w:t>提供</w:t>
            </w:r>
            <w:r>
              <w:rPr>
                <w:rFonts w:hint="eastAsia" w:asciiTheme="minorEastAsia" w:hAnsiTheme="minorEastAsia" w:eastAsiaTheme="minorEastAsia" w:cstheme="minorEastAsia"/>
                <w:color w:val="auto"/>
                <w:spacing w:val="0"/>
                <w:w w:val="100"/>
                <w:sz w:val="24"/>
                <w:szCs w:val="24"/>
                <w:highlight w:val="none"/>
                <w:lang w:val="en-US" w:eastAsia="zh-CN"/>
              </w:rPr>
              <w:t>2024年经审计的财务报告</w:t>
            </w:r>
            <w:r>
              <w:rPr>
                <w:rFonts w:hint="eastAsia" w:asciiTheme="minorEastAsia" w:hAnsiTheme="minorEastAsia" w:eastAsiaTheme="minorEastAsia" w:cstheme="minorEastAsia"/>
                <w:color w:val="auto"/>
                <w:spacing w:val="0"/>
                <w:w w:val="100"/>
                <w:sz w:val="24"/>
                <w:szCs w:val="24"/>
                <w:highlight w:val="none"/>
                <w:lang w:val="en-US"/>
              </w:rPr>
              <w:t>（包括“四表一注”或“三表一注”）或其银行出具的资信证明</w:t>
            </w:r>
          </w:p>
        </w:tc>
      </w:tr>
      <w:tr w14:paraId="76DA4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2" w:type="dxa"/>
            <w:vAlign w:val="center"/>
          </w:tcPr>
          <w:p w14:paraId="774C0711">
            <w:pPr>
              <w:spacing w:line="360" w:lineRule="auto"/>
              <w:jc w:val="center"/>
              <w:rPr>
                <w:color w:val="auto"/>
                <w:spacing w:val="0"/>
                <w:w w:val="100"/>
                <w:sz w:val="24"/>
                <w:szCs w:val="24"/>
                <w:highlight w:val="none"/>
              </w:rPr>
            </w:pPr>
            <w:r>
              <w:rPr>
                <w:rFonts w:hint="eastAsia"/>
                <w:color w:val="auto"/>
                <w:spacing w:val="0"/>
                <w:w w:val="100"/>
                <w:sz w:val="24"/>
                <w:szCs w:val="24"/>
                <w:highlight w:val="none"/>
                <w:lang w:val="en-US"/>
              </w:rPr>
              <w:t xml:space="preserve">3 </w:t>
            </w:r>
          </w:p>
        </w:tc>
        <w:tc>
          <w:tcPr>
            <w:tcW w:w="3501" w:type="dxa"/>
            <w:vAlign w:val="center"/>
          </w:tcPr>
          <w:p w14:paraId="78399629">
            <w:pPr>
              <w:tabs>
                <w:tab w:val="left" w:pos="2127"/>
              </w:tabs>
              <w:adjustRightInd w:val="0"/>
              <w:spacing w:line="360" w:lineRule="auto"/>
              <w:rPr>
                <w:color w:val="auto"/>
                <w:spacing w:val="0"/>
                <w:w w:val="100"/>
                <w:sz w:val="24"/>
                <w:szCs w:val="24"/>
                <w:highlight w:val="none"/>
              </w:rPr>
            </w:pPr>
            <w:r>
              <w:rPr>
                <w:rFonts w:hint="eastAsia"/>
                <w:color w:val="auto"/>
                <w:spacing w:val="0"/>
                <w:w w:val="100"/>
                <w:sz w:val="24"/>
                <w:szCs w:val="24"/>
                <w:highlight w:val="none"/>
              </w:rPr>
              <w:t>具有履行合同所必须的设备和专业技术能力</w:t>
            </w:r>
          </w:p>
        </w:tc>
        <w:tc>
          <w:tcPr>
            <w:tcW w:w="5476" w:type="dxa"/>
          </w:tcPr>
          <w:p w14:paraId="7A50B2DE">
            <w:pPr>
              <w:tabs>
                <w:tab w:val="left" w:pos="2127"/>
              </w:tabs>
              <w:adjustRightInd w:val="0"/>
              <w:spacing w:line="360" w:lineRule="auto"/>
              <w:rPr>
                <w:color w:val="auto"/>
                <w:spacing w:val="0"/>
                <w:w w:val="100"/>
                <w:sz w:val="24"/>
                <w:szCs w:val="24"/>
                <w:highlight w:val="none"/>
              </w:rPr>
            </w:pPr>
            <w:r>
              <w:rPr>
                <w:rFonts w:hint="eastAsia"/>
                <w:color w:val="auto"/>
                <w:spacing w:val="0"/>
                <w:w w:val="100"/>
                <w:sz w:val="24"/>
                <w:szCs w:val="24"/>
                <w:highlight w:val="none"/>
                <w:lang w:val="en-US"/>
              </w:rPr>
              <w:t>提供履行合同所需设备和专业技术能力的承诺，并加盖投标供应商公章</w:t>
            </w:r>
          </w:p>
        </w:tc>
      </w:tr>
      <w:tr w14:paraId="08256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02" w:type="dxa"/>
            <w:vAlign w:val="center"/>
          </w:tcPr>
          <w:p w14:paraId="726D526C">
            <w:pPr>
              <w:spacing w:line="360" w:lineRule="auto"/>
              <w:jc w:val="center"/>
              <w:rPr>
                <w:color w:val="auto"/>
                <w:spacing w:val="0"/>
                <w:w w:val="100"/>
                <w:sz w:val="24"/>
                <w:szCs w:val="24"/>
                <w:highlight w:val="none"/>
              </w:rPr>
            </w:pPr>
            <w:r>
              <w:rPr>
                <w:rFonts w:hint="eastAsia"/>
                <w:color w:val="auto"/>
                <w:spacing w:val="0"/>
                <w:w w:val="100"/>
                <w:sz w:val="24"/>
                <w:szCs w:val="24"/>
                <w:highlight w:val="none"/>
                <w:lang w:val="en-US"/>
              </w:rPr>
              <w:t>4</w:t>
            </w:r>
          </w:p>
        </w:tc>
        <w:tc>
          <w:tcPr>
            <w:tcW w:w="3501" w:type="dxa"/>
            <w:vAlign w:val="center"/>
          </w:tcPr>
          <w:p w14:paraId="4E39AB5F">
            <w:pPr>
              <w:tabs>
                <w:tab w:val="left" w:pos="2127"/>
              </w:tabs>
              <w:adjustRightInd w:val="0"/>
              <w:spacing w:line="360" w:lineRule="auto"/>
              <w:rPr>
                <w:color w:val="auto"/>
                <w:spacing w:val="0"/>
                <w:w w:val="100"/>
                <w:sz w:val="24"/>
                <w:szCs w:val="24"/>
                <w:highlight w:val="none"/>
              </w:rPr>
            </w:pPr>
            <w:r>
              <w:rPr>
                <w:rFonts w:hint="eastAsia"/>
                <w:color w:val="auto"/>
                <w:spacing w:val="0"/>
                <w:w w:val="100"/>
                <w:sz w:val="24"/>
                <w:szCs w:val="24"/>
                <w:highlight w:val="none"/>
              </w:rPr>
              <w:t>具有依法缴纳税收和社会保障资金的良好记录</w:t>
            </w:r>
          </w:p>
        </w:tc>
        <w:tc>
          <w:tcPr>
            <w:tcW w:w="5476" w:type="dxa"/>
          </w:tcPr>
          <w:p w14:paraId="24EE9007">
            <w:pPr>
              <w:tabs>
                <w:tab w:val="left" w:pos="2127"/>
              </w:tabs>
              <w:adjustRightInd w:val="0"/>
              <w:spacing w:line="360" w:lineRule="auto"/>
              <w:rPr>
                <w:rFonts w:hint="eastAsia" w:eastAsiaTheme="minorEastAsia"/>
                <w:color w:val="auto"/>
                <w:spacing w:val="0"/>
                <w:w w:val="100"/>
                <w:sz w:val="24"/>
                <w:szCs w:val="24"/>
                <w:highlight w:val="none"/>
                <w:lang w:eastAsia="zh-CN"/>
              </w:rPr>
            </w:pPr>
            <w:r>
              <w:rPr>
                <w:rFonts w:hint="eastAsia" w:asciiTheme="minorEastAsia" w:hAnsiTheme="minorEastAsia" w:eastAsiaTheme="minorEastAsia" w:cstheme="minorEastAsia"/>
                <w:color w:val="auto"/>
                <w:spacing w:val="0"/>
                <w:w w:val="100"/>
                <w:sz w:val="24"/>
                <w:szCs w:val="24"/>
                <w:highlight w:val="none"/>
                <w:lang w:val="en-US"/>
              </w:rPr>
              <w:t>提供</w:t>
            </w:r>
            <w:r>
              <w:rPr>
                <w:rFonts w:hint="eastAsia" w:asciiTheme="minorEastAsia" w:hAnsiTheme="minorEastAsia" w:eastAsiaTheme="minorEastAsia" w:cstheme="minorEastAsia"/>
                <w:color w:val="auto"/>
                <w:spacing w:val="0"/>
                <w:w w:val="100"/>
                <w:sz w:val="24"/>
                <w:szCs w:val="24"/>
                <w:highlight w:val="none"/>
                <w:lang w:val="en-US" w:eastAsia="zh-CN"/>
              </w:rPr>
              <w:t>2024年1月至今任意1个月</w:t>
            </w:r>
            <w:r>
              <w:rPr>
                <w:rFonts w:hint="eastAsia" w:asciiTheme="minorEastAsia" w:hAnsiTheme="minorEastAsia" w:eastAsiaTheme="minorEastAsia" w:cstheme="minorEastAsia"/>
                <w:color w:val="auto"/>
                <w:spacing w:val="0"/>
                <w:w w:val="100"/>
                <w:sz w:val="24"/>
                <w:szCs w:val="24"/>
                <w:highlight w:val="none"/>
                <w:lang w:val="en-US"/>
              </w:rPr>
              <w:t>的缴纳税收和社会保障资金的相关材料</w:t>
            </w:r>
            <w:r>
              <w:rPr>
                <w:rFonts w:hint="eastAsia" w:asciiTheme="minorEastAsia" w:hAnsiTheme="minorEastAsia" w:eastAsiaTheme="minorEastAsia" w:cstheme="minorEastAsia"/>
                <w:color w:val="auto"/>
                <w:spacing w:val="0"/>
                <w:w w:val="100"/>
                <w:sz w:val="24"/>
                <w:szCs w:val="24"/>
                <w:highlight w:val="none"/>
                <w:lang w:val="en-US" w:eastAsia="zh-CN"/>
              </w:rPr>
              <w:t>；</w:t>
            </w:r>
            <w:r>
              <w:rPr>
                <w:rFonts w:hint="eastAsia" w:asciiTheme="minorEastAsia" w:hAnsiTheme="minorEastAsia" w:eastAsiaTheme="minorEastAsia" w:cstheme="minorEastAsia"/>
                <w:color w:val="auto"/>
                <w:spacing w:val="0"/>
                <w:w w:val="100"/>
                <w:sz w:val="24"/>
                <w:szCs w:val="24"/>
                <w:highlight w:val="none"/>
                <w:lang w:val="en-US"/>
              </w:rPr>
              <w:t>成立不足3个月的投标供应商提供承诺函。依法免税或不需要缴纳社会保障资金的供应商，应提供相应文件证明其依法免税或不需要缴纳社会保障资金</w:t>
            </w:r>
          </w:p>
        </w:tc>
      </w:tr>
      <w:tr w14:paraId="268B0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2" w:type="dxa"/>
            <w:vAlign w:val="center"/>
          </w:tcPr>
          <w:p w14:paraId="41786E84">
            <w:pPr>
              <w:spacing w:line="360" w:lineRule="auto"/>
              <w:jc w:val="center"/>
              <w:rPr>
                <w:color w:val="auto"/>
                <w:spacing w:val="0"/>
                <w:w w:val="100"/>
                <w:sz w:val="24"/>
                <w:szCs w:val="24"/>
                <w:highlight w:val="none"/>
                <w:lang w:val="en-US"/>
              </w:rPr>
            </w:pPr>
            <w:r>
              <w:rPr>
                <w:rFonts w:hint="eastAsia"/>
                <w:color w:val="auto"/>
                <w:spacing w:val="0"/>
                <w:w w:val="100"/>
                <w:sz w:val="24"/>
                <w:szCs w:val="24"/>
                <w:highlight w:val="none"/>
                <w:lang w:val="en-US"/>
              </w:rPr>
              <w:t>5</w:t>
            </w:r>
          </w:p>
        </w:tc>
        <w:tc>
          <w:tcPr>
            <w:tcW w:w="3501" w:type="dxa"/>
            <w:vAlign w:val="center"/>
          </w:tcPr>
          <w:p w14:paraId="3D53FE92">
            <w:pPr>
              <w:tabs>
                <w:tab w:val="left" w:pos="2127"/>
              </w:tabs>
              <w:adjustRightInd w:val="0"/>
              <w:spacing w:line="360" w:lineRule="auto"/>
              <w:rPr>
                <w:color w:val="auto"/>
                <w:spacing w:val="0"/>
                <w:w w:val="100"/>
                <w:sz w:val="24"/>
                <w:szCs w:val="24"/>
                <w:highlight w:val="none"/>
              </w:rPr>
            </w:pPr>
            <w:r>
              <w:rPr>
                <w:rFonts w:hint="eastAsia"/>
                <w:color w:val="auto"/>
                <w:spacing w:val="0"/>
                <w:w w:val="100"/>
                <w:sz w:val="24"/>
                <w:szCs w:val="24"/>
                <w:highlight w:val="none"/>
              </w:rPr>
              <w:t>参加本次采购活动前三年内，在经营活动中没有重大违法记录</w:t>
            </w:r>
          </w:p>
        </w:tc>
        <w:tc>
          <w:tcPr>
            <w:tcW w:w="5476" w:type="dxa"/>
          </w:tcPr>
          <w:p w14:paraId="34A6FD9F">
            <w:pPr>
              <w:tabs>
                <w:tab w:val="left" w:pos="2127"/>
              </w:tabs>
              <w:adjustRightInd w:val="0"/>
              <w:spacing w:line="360" w:lineRule="auto"/>
              <w:rPr>
                <w:color w:val="auto"/>
                <w:spacing w:val="0"/>
                <w:w w:val="100"/>
                <w:sz w:val="24"/>
                <w:szCs w:val="24"/>
                <w:highlight w:val="none"/>
              </w:rPr>
            </w:pPr>
            <w:r>
              <w:rPr>
                <w:rFonts w:hint="eastAsia"/>
                <w:color w:val="auto"/>
                <w:spacing w:val="0"/>
                <w:w w:val="100"/>
                <w:sz w:val="24"/>
                <w:szCs w:val="24"/>
                <w:highlight w:val="none"/>
              </w:rPr>
              <w:t>提供参加采购活动前3年内在经营活动中没有重大违法记录的书面声明（格式自拟）</w:t>
            </w:r>
          </w:p>
        </w:tc>
      </w:tr>
      <w:tr w14:paraId="03556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02" w:type="dxa"/>
            <w:vAlign w:val="center"/>
          </w:tcPr>
          <w:p w14:paraId="7A623F40">
            <w:pPr>
              <w:spacing w:line="360" w:lineRule="auto"/>
              <w:jc w:val="center"/>
              <w:rPr>
                <w:color w:val="auto"/>
                <w:spacing w:val="0"/>
                <w:w w:val="100"/>
                <w:sz w:val="24"/>
                <w:szCs w:val="24"/>
                <w:highlight w:val="none"/>
                <w:lang w:val="en-US"/>
              </w:rPr>
            </w:pPr>
            <w:r>
              <w:rPr>
                <w:rFonts w:hint="eastAsia"/>
                <w:color w:val="auto"/>
                <w:spacing w:val="0"/>
                <w:w w:val="100"/>
                <w:sz w:val="24"/>
                <w:szCs w:val="24"/>
                <w:highlight w:val="none"/>
                <w:lang w:val="en-US"/>
              </w:rPr>
              <w:t>6</w:t>
            </w:r>
          </w:p>
        </w:tc>
        <w:tc>
          <w:tcPr>
            <w:tcW w:w="3501" w:type="dxa"/>
            <w:vAlign w:val="center"/>
          </w:tcPr>
          <w:p w14:paraId="0AA94B11">
            <w:pPr>
              <w:tabs>
                <w:tab w:val="left" w:pos="2127"/>
              </w:tabs>
              <w:adjustRightInd w:val="0"/>
              <w:spacing w:line="360" w:lineRule="auto"/>
              <w:rPr>
                <w:color w:val="auto"/>
                <w:spacing w:val="0"/>
                <w:w w:val="100"/>
                <w:sz w:val="24"/>
                <w:szCs w:val="24"/>
                <w:highlight w:val="none"/>
              </w:rPr>
            </w:pPr>
            <w:r>
              <w:rPr>
                <w:rFonts w:hint="eastAsia"/>
                <w:color w:val="auto"/>
                <w:spacing w:val="0"/>
                <w:w w:val="100"/>
                <w:sz w:val="24"/>
                <w:szCs w:val="24"/>
                <w:highlight w:val="none"/>
              </w:rPr>
              <w:t>法律、行政法规规定的其他条件</w:t>
            </w:r>
          </w:p>
        </w:tc>
        <w:tc>
          <w:tcPr>
            <w:tcW w:w="5476" w:type="dxa"/>
            <w:vAlign w:val="center"/>
          </w:tcPr>
          <w:p w14:paraId="6B0D7A21">
            <w:pPr>
              <w:tabs>
                <w:tab w:val="left" w:pos="2127"/>
              </w:tabs>
              <w:adjustRightInd w:val="0"/>
              <w:spacing w:line="360" w:lineRule="auto"/>
              <w:rPr>
                <w:color w:val="auto"/>
                <w:spacing w:val="0"/>
                <w:w w:val="100"/>
                <w:sz w:val="24"/>
                <w:szCs w:val="24"/>
                <w:highlight w:val="none"/>
                <w:lang w:val="en-US"/>
              </w:rPr>
            </w:pPr>
            <w:r>
              <w:rPr>
                <w:rFonts w:hint="eastAsia"/>
                <w:color w:val="auto"/>
                <w:spacing w:val="0"/>
                <w:w w:val="100"/>
                <w:sz w:val="24"/>
                <w:szCs w:val="24"/>
                <w:highlight w:val="none"/>
                <w:lang w:val="en-US"/>
              </w:rPr>
              <w:t>1.</w:t>
            </w:r>
            <w:r>
              <w:rPr>
                <w:rFonts w:hint="eastAsia"/>
                <w:color w:val="auto"/>
                <w:spacing w:val="0"/>
                <w:w w:val="100"/>
                <w:sz w:val="24"/>
                <w:szCs w:val="24"/>
                <w:highlight w:val="none"/>
              </w:rPr>
              <w:t>提供“信用中国”网站、中国政府采购网</w:t>
            </w:r>
            <w:r>
              <w:rPr>
                <w:rFonts w:hint="eastAsia"/>
                <w:color w:val="auto"/>
                <w:spacing w:val="0"/>
                <w:w w:val="100"/>
                <w:sz w:val="24"/>
                <w:szCs w:val="24"/>
                <w:highlight w:val="none"/>
                <w:lang w:val="en-US"/>
              </w:rPr>
              <w:t>等渠道查询</w:t>
            </w:r>
            <w:r>
              <w:rPr>
                <w:rFonts w:hint="eastAsia"/>
                <w:color w:val="auto"/>
                <w:spacing w:val="0"/>
                <w:w w:val="100"/>
                <w:sz w:val="24"/>
                <w:szCs w:val="24"/>
                <w:highlight w:val="none"/>
                <w:lang w:eastAsia="zh-CN"/>
              </w:rPr>
              <w:t>未被列入失信被执行人（中国执行信息公开网查询）</w:t>
            </w:r>
            <w:r>
              <w:rPr>
                <w:rFonts w:hint="eastAsia"/>
                <w:color w:val="auto"/>
                <w:spacing w:val="0"/>
                <w:w w:val="100"/>
                <w:sz w:val="24"/>
                <w:szCs w:val="24"/>
                <w:highlight w:val="none"/>
              </w:rPr>
              <w:t>、重大税收违法案件当事人名单、政府采购严重违法失信行为记录名单的网页截图（提供公告发布后至开标前的截图）；</w:t>
            </w:r>
            <w:r>
              <w:rPr>
                <w:rFonts w:hint="eastAsia"/>
                <w:color w:val="auto"/>
                <w:spacing w:val="0"/>
                <w:w w:val="100"/>
                <w:sz w:val="24"/>
                <w:szCs w:val="24"/>
                <w:highlight w:val="none"/>
                <w:lang w:val="en-US"/>
              </w:rPr>
              <w:t>2.提供承诺不存在下述情形：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color w:val="auto"/>
                <w:spacing w:val="0"/>
                <w:w w:val="100"/>
                <w:sz w:val="24"/>
                <w:szCs w:val="24"/>
                <w:highlight w:val="none"/>
              </w:rPr>
              <w:t>（格式自拟）；</w:t>
            </w:r>
            <w:r>
              <w:rPr>
                <w:rFonts w:hint="eastAsia" w:asciiTheme="minorEastAsia" w:hAnsiTheme="minorEastAsia" w:eastAsiaTheme="minorEastAsia" w:cstheme="minorEastAsia"/>
                <w:color w:val="auto"/>
                <w:spacing w:val="0"/>
                <w:w w:val="100"/>
                <w:sz w:val="24"/>
                <w:szCs w:val="24"/>
                <w:highlight w:val="none"/>
                <w:lang w:val="en-US"/>
              </w:rPr>
              <w:t>3.根据《省发展改革委省法院 省公共资源交易中心关于推进全省公共资源交易领域对法院失信被执行人实施信用联合惩戒的通知》黔发改财金（2020）421号文件要求，采购人或采购代理机构在递交投标文件截止时间后现场根据贵州信用联合惩戒平台反馈信息，查询投标供应商是否属于法院失信被执行人，如被列入将拒绝其参与本次政府采购活动</w:t>
            </w:r>
            <w:r>
              <w:rPr>
                <w:rFonts w:hint="eastAsia"/>
                <w:color w:val="auto"/>
                <w:spacing w:val="0"/>
                <w:w w:val="100"/>
                <w:sz w:val="24"/>
                <w:szCs w:val="24"/>
                <w:highlight w:val="none"/>
                <w:lang w:val="en-US"/>
              </w:rPr>
              <w:t>。</w:t>
            </w:r>
          </w:p>
        </w:tc>
      </w:tr>
      <w:tr w14:paraId="39C9C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779" w:type="dxa"/>
            <w:gridSpan w:val="3"/>
            <w:vAlign w:val="center"/>
          </w:tcPr>
          <w:p w14:paraId="0F681C09">
            <w:pPr>
              <w:tabs>
                <w:tab w:val="left" w:pos="2127"/>
              </w:tabs>
              <w:adjustRightInd w:val="0"/>
              <w:spacing w:line="360" w:lineRule="auto"/>
              <w:jc w:val="center"/>
              <w:rPr>
                <w:color w:val="auto"/>
                <w:spacing w:val="0"/>
                <w:w w:val="100"/>
                <w:sz w:val="24"/>
                <w:szCs w:val="24"/>
                <w:highlight w:val="none"/>
                <w:lang w:val="en-US"/>
              </w:rPr>
            </w:pPr>
            <w:r>
              <w:rPr>
                <w:rFonts w:hint="eastAsia"/>
                <w:b/>
                <w:bCs/>
                <w:color w:val="auto"/>
                <w:spacing w:val="0"/>
                <w:w w:val="100"/>
                <w:sz w:val="24"/>
                <w:szCs w:val="24"/>
                <w:highlight w:val="none"/>
                <w:lang w:val="en-US"/>
              </w:rPr>
              <w:t>以上评审由采购人对投标供应商的资格进行审查，资格性审查完成后进入符合性审查。</w:t>
            </w:r>
            <w:r>
              <w:rPr>
                <w:rFonts w:hint="eastAsia"/>
                <w:b/>
                <w:bCs/>
                <w:color w:val="auto"/>
                <w:spacing w:val="0"/>
                <w:w w:val="100"/>
                <w:sz w:val="24"/>
                <w:szCs w:val="24"/>
                <w:highlight w:val="none"/>
              </w:rPr>
              <w:t>合格投标供应商不足3家的，不得评标。</w:t>
            </w:r>
          </w:p>
        </w:tc>
      </w:tr>
      <w:tr w14:paraId="2B505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779" w:type="dxa"/>
            <w:gridSpan w:val="3"/>
            <w:vAlign w:val="center"/>
          </w:tcPr>
          <w:p w14:paraId="683D9AB2">
            <w:pPr>
              <w:tabs>
                <w:tab w:val="left" w:pos="2127"/>
              </w:tabs>
              <w:adjustRightInd w:val="0"/>
              <w:spacing w:line="360" w:lineRule="auto"/>
              <w:jc w:val="center"/>
              <w:rPr>
                <w:color w:val="auto"/>
                <w:spacing w:val="0"/>
                <w:w w:val="100"/>
                <w:sz w:val="24"/>
                <w:szCs w:val="24"/>
                <w:highlight w:val="none"/>
              </w:rPr>
            </w:pPr>
            <w:r>
              <w:rPr>
                <w:rFonts w:hint="eastAsia"/>
                <w:color w:val="auto"/>
                <w:spacing w:val="0"/>
                <w:w w:val="100"/>
                <w:sz w:val="24"/>
                <w:szCs w:val="24"/>
                <w:highlight w:val="none"/>
              </w:rPr>
              <w:t>符合性审查内容</w:t>
            </w:r>
          </w:p>
        </w:tc>
      </w:tr>
      <w:tr w14:paraId="002B9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02" w:type="dxa"/>
          </w:tcPr>
          <w:p w14:paraId="529FCF60">
            <w:pPr>
              <w:spacing w:line="360" w:lineRule="auto"/>
              <w:ind w:firstLine="240" w:firstLineChars="100"/>
              <w:rPr>
                <w:color w:val="auto"/>
                <w:spacing w:val="0"/>
                <w:w w:val="100"/>
                <w:sz w:val="24"/>
                <w:szCs w:val="24"/>
                <w:highlight w:val="none"/>
                <w:lang w:val="en-US"/>
              </w:rPr>
            </w:pPr>
            <w:r>
              <w:rPr>
                <w:rFonts w:hint="eastAsia"/>
                <w:color w:val="auto"/>
                <w:spacing w:val="0"/>
                <w:w w:val="100"/>
                <w:sz w:val="24"/>
                <w:szCs w:val="24"/>
                <w:highlight w:val="none"/>
                <w:lang w:val="en-US"/>
              </w:rPr>
              <w:t>1</w:t>
            </w:r>
          </w:p>
        </w:tc>
        <w:tc>
          <w:tcPr>
            <w:tcW w:w="3501" w:type="dxa"/>
            <w:vAlign w:val="center"/>
          </w:tcPr>
          <w:p w14:paraId="4E5921C2">
            <w:pPr>
              <w:spacing w:line="360" w:lineRule="auto"/>
              <w:rPr>
                <w:color w:val="auto"/>
                <w:spacing w:val="0"/>
                <w:w w:val="100"/>
                <w:sz w:val="24"/>
                <w:szCs w:val="24"/>
                <w:highlight w:val="none"/>
              </w:rPr>
            </w:pPr>
            <w:r>
              <w:rPr>
                <w:rFonts w:hint="eastAsia" w:asciiTheme="minorEastAsia" w:hAnsiTheme="minorEastAsia" w:eastAsiaTheme="minorEastAsia" w:cstheme="minorEastAsia"/>
                <w:color w:val="auto"/>
                <w:spacing w:val="0"/>
                <w:w w:val="100"/>
                <w:sz w:val="24"/>
                <w:highlight w:val="none"/>
              </w:rPr>
              <w:t>商务实质性响应审查</w:t>
            </w:r>
          </w:p>
        </w:tc>
        <w:tc>
          <w:tcPr>
            <w:tcW w:w="5476" w:type="dxa"/>
          </w:tcPr>
          <w:p w14:paraId="2095961B">
            <w:pPr>
              <w:tabs>
                <w:tab w:val="left" w:pos="2127"/>
              </w:tabs>
              <w:adjustRightInd w:val="0"/>
              <w:spacing w:line="360" w:lineRule="auto"/>
              <w:rPr>
                <w:color w:val="auto"/>
                <w:spacing w:val="0"/>
                <w:w w:val="100"/>
                <w:sz w:val="24"/>
                <w:szCs w:val="24"/>
                <w:highlight w:val="none"/>
              </w:rPr>
            </w:pPr>
            <w:r>
              <w:rPr>
                <w:rFonts w:hint="eastAsia"/>
                <w:color w:val="auto"/>
                <w:spacing w:val="0"/>
                <w:w w:val="100"/>
                <w:sz w:val="24"/>
                <w:szCs w:val="24"/>
                <w:highlight w:val="none"/>
                <w:lang w:val="en-US"/>
              </w:rPr>
              <w:t>商务要求中</w:t>
            </w:r>
            <w:r>
              <w:rPr>
                <w:rFonts w:hint="eastAsia"/>
                <w:color w:val="auto"/>
                <w:spacing w:val="0"/>
                <w:w w:val="100"/>
                <w:sz w:val="24"/>
                <w:szCs w:val="24"/>
                <w:highlight w:val="none"/>
              </w:rPr>
              <w:t>“</w:t>
            </w:r>
            <w:r>
              <w:rPr>
                <w:rFonts w:hint="eastAsia"/>
                <w:color w:val="auto"/>
                <w:spacing w:val="0"/>
                <w:w w:val="100"/>
                <w:sz w:val="24"/>
                <w:szCs w:val="24"/>
                <w:highlight w:val="none"/>
                <w:lang w:val="en-US" w:eastAsia="zh-CN"/>
              </w:rPr>
              <w:t>★</w:t>
            </w:r>
            <w:r>
              <w:rPr>
                <w:rFonts w:hint="eastAsia"/>
                <w:color w:val="auto"/>
                <w:spacing w:val="0"/>
                <w:w w:val="100"/>
                <w:sz w:val="24"/>
                <w:szCs w:val="24"/>
                <w:highlight w:val="none"/>
              </w:rPr>
              <w:t>”条款审查</w:t>
            </w:r>
          </w:p>
        </w:tc>
      </w:tr>
      <w:tr w14:paraId="0E845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02" w:type="dxa"/>
          </w:tcPr>
          <w:p w14:paraId="33F4A94D">
            <w:pPr>
              <w:spacing w:line="360" w:lineRule="auto"/>
              <w:ind w:firstLine="240" w:firstLineChars="100"/>
              <w:rPr>
                <w:rFonts w:hint="eastAsia" w:eastAsia="宋体"/>
                <w:color w:val="auto"/>
                <w:spacing w:val="0"/>
                <w:w w:val="100"/>
                <w:sz w:val="24"/>
                <w:szCs w:val="24"/>
                <w:highlight w:val="none"/>
                <w:lang w:val="en-US" w:eastAsia="zh-CN"/>
              </w:rPr>
            </w:pPr>
            <w:r>
              <w:rPr>
                <w:rFonts w:hint="eastAsia"/>
                <w:color w:val="auto"/>
                <w:spacing w:val="0"/>
                <w:w w:val="100"/>
                <w:sz w:val="24"/>
                <w:szCs w:val="24"/>
                <w:highlight w:val="none"/>
                <w:lang w:val="en-US" w:eastAsia="zh-CN"/>
              </w:rPr>
              <w:t>2</w:t>
            </w:r>
          </w:p>
        </w:tc>
        <w:tc>
          <w:tcPr>
            <w:tcW w:w="3501" w:type="dxa"/>
            <w:shd w:val="clear" w:color="auto" w:fill="auto"/>
            <w:vAlign w:val="center"/>
          </w:tcPr>
          <w:p w14:paraId="50816CF1">
            <w:pPr>
              <w:spacing w:line="360" w:lineRule="auto"/>
              <w:rPr>
                <w:rFonts w:hint="eastAsia" w:ascii="宋体" w:hAnsi="宋体" w:eastAsia="宋体" w:cs="宋体"/>
                <w:color w:val="auto"/>
                <w:spacing w:val="0"/>
                <w:w w:val="100"/>
                <w:sz w:val="24"/>
                <w:szCs w:val="24"/>
                <w:highlight w:val="none"/>
                <w:lang w:val="zh-CN" w:eastAsia="zh-CN" w:bidi="zh-CN"/>
              </w:rPr>
            </w:pPr>
            <w:r>
              <w:rPr>
                <w:rFonts w:hint="eastAsia" w:asciiTheme="minorEastAsia" w:hAnsiTheme="minorEastAsia" w:eastAsiaTheme="minorEastAsia" w:cstheme="minorEastAsia"/>
                <w:color w:val="auto"/>
                <w:spacing w:val="0"/>
                <w:w w:val="100"/>
                <w:sz w:val="24"/>
                <w:highlight w:val="none"/>
                <w:lang w:val="en-US" w:eastAsia="zh-CN"/>
              </w:rPr>
              <w:t>技术</w:t>
            </w:r>
            <w:r>
              <w:rPr>
                <w:rFonts w:hint="eastAsia" w:asciiTheme="minorEastAsia" w:hAnsiTheme="minorEastAsia" w:eastAsiaTheme="minorEastAsia" w:cstheme="minorEastAsia"/>
                <w:color w:val="auto"/>
                <w:spacing w:val="0"/>
                <w:w w:val="100"/>
                <w:sz w:val="24"/>
                <w:highlight w:val="none"/>
              </w:rPr>
              <w:t>实质性响应审查</w:t>
            </w:r>
          </w:p>
        </w:tc>
        <w:tc>
          <w:tcPr>
            <w:tcW w:w="5476" w:type="dxa"/>
            <w:shd w:val="clear" w:color="auto" w:fill="auto"/>
            <w:vAlign w:val="top"/>
          </w:tcPr>
          <w:p w14:paraId="4F619114">
            <w:pPr>
              <w:tabs>
                <w:tab w:val="left" w:pos="2127"/>
              </w:tabs>
              <w:adjustRightInd w:val="0"/>
              <w:spacing w:line="360" w:lineRule="auto"/>
              <w:rPr>
                <w:rFonts w:hint="eastAsia" w:ascii="宋体" w:hAnsi="宋体" w:eastAsia="宋体" w:cs="宋体"/>
                <w:color w:val="auto"/>
                <w:spacing w:val="0"/>
                <w:w w:val="100"/>
                <w:sz w:val="24"/>
                <w:szCs w:val="24"/>
                <w:highlight w:val="none"/>
                <w:lang w:val="en-US" w:eastAsia="zh-CN" w:bidi="zh-CN"/>
              </w:rPr>
            </w:pPr>
            <w:r>
              <w:rPr>
                <w:rFonts w:hint="eastAsia"/>
                <w:color w:val="auto"/>
                <w:spacing w:val="0"/>
                <w:w w:val="100"/>
                <w:sz w:val="24"/>
                <w:szCs w:val="24"/>
                <w:highlight w:val="none"/>
                <w:lang w:val="en-US" w:eastAsia="zh-CN"/>
              </w:rPr>
              <w:t>技术</w:t>
            </w:r>
            <w:r>
              <w:rPr>
                <w:rFonts w:hint="eastAsia"/>
                <w:color w:val="auto"/>
                <w:spacing w:val="0"/>
                <w:w w:val="100"/>
                <w:sz w:val="24"/>
                <w:szCs w:val="24"/>
                <w:highlight w:val="none"/>
                <w:lang w:val="en-US"/>
              </w:rPr>
              <w:t>要求中</w:t>
            </w:r>
            <w:r>
              <w:rPr>
                <w:rFonts w:hint="eastAsia"/>
                <w:color w:val="auto"/>
                <w:spacing w:val="0"/>
                <w:w w:val="100"/>
                <w:sz w:val="24"/>
                <w:szCs w:val="24"/>
                <w:highlight w:val="none"/>
              </w:rPr>
              <w:t>“</w:t>
            </w:r>
            <w:r>
              <w:rPr>
                <w:rFonts w:hint="eastAsia"/>
                <w:color w:val="auto"/>
                <w:spacing w:val="0"/>
                <w:w w:val="100"/>
                <w:sz w:val="24"/>
                <w:szCs w:val="24"/>
                <w:highlight w:val="none"/>
                <w:lang w:val="en-US" w:eastAsia="zh-CN"/>
              </w:rPr>
              <w:t>★</w:t>
            </w:r>
            <w:r>
              <w:rPr>
                <w:rFonts w:hint="eastAsia"/>
                <w:color w:val="auto"/>
                <w:spacing w:val="0"/>
                <w:w w:val="100"/>
                <w:sz w:val="24"/>
                <w:szCs w:val="24"/>
                <w:highlight w:val="none"/>
              </w:rPr>
              <w:t>”条款审查</w:t>
            </w:r>
          </w:p>
        </w:tc>
      </w:tr>
      <w:tr w14:paraId="4F074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02" w:type="dxa"/>
            <w:vAlign w:val="center"/>
          </w:tcPr>
          <w:p w14:paraId="107211C7">
            <w:pPr>
              <w:spacing w:line="360" w:lineRule="auto"/>
              <w:jc w:val="center"/>
              <w:rPr>
                <w:rFonts w:hint="eastAsia" w:eastAsia="宋体"/>
                <w:color w:val="auto"/>
                <w:spacing w:val="0"/>
                <w:w w:val="100"/>
                <w:sz w:val="24"/>
                <w:szCs w:val="24"/>
                <w:highlight w:val="none"/>
                <w:lang w:val="en-US" w:eastAsia="zh-CN"/>
              </w:rPr>
            </w:pPr>
            <w:r>
              <w:rPr>
                <w:rFonts w:hint="eastAsia"/>
                <w:color w:val="auto"/>
                <w:spacing w:val="0"/>
                <w:w w:val="100"/>
                <w:sz w:val="24"/>
                <w:szCs w:val="24"/>
                <w:highlight w:val="none"/>
                <w:lang w:val="en-US" w:eastAsia="zh-CN"/>
              </w:rPr>
              <w:t>3</w:t>
            </w:r>
          </w:p>
        </w:tc>
        <w:tc>
          <w:tcPr>
            <w:tcW w:w="3501" w:type="dxa"/>
            <w:vAlign w:val="center"/>
          </w:tcPr>
          <w:p w14:paraId="62759125">
            <w:pPr>
              <w:spacing w:line="360" w:lineRule="auto"/>
              <w:rPr>
                <w:rFonts w:eastAsiaTheme="minorEastAsia"/>
                <w:color w:val="auto"/>
                <w:spacing w:val="0"/>
                <w:w w:val="100"/>
                <w:sz w:val="24"/>
                <w:szCs w:val="24"/>
                <w:highlight w:val="none"/>
              </w:rPr>
            </w:pPr>
            <w:r>
              <w:rPr>
                <w:rFonts w:hint="eastAsia" w:asciiTheme="minorEastAsia" w:hAnsiTheme="minorEastAsia" w:eastAsiaTheme="minorEastAsia" w:cstheme="minorEastAsia"/>
                <w:color w:val="auto"/>
                <w:spacing w:val="0"/>
                <w:w w:val="100"/>
                <w:sz w:val="24"/>
                <w:highlight w:val="none"/>
              </w:rPr>
              <w:t>报价审查</w:t>
            </w:r>
          </w:p>
        </w:tc>
        <w:tc>
          <w:tcPr>
            <w:tcW w:w="5476" w:type="dxa"/>
            <w:vAlign w:val="center"/>
          </w:tcPr>
          <w:p w14:paraId="1E7E34A0">
            <w:pPr>
              <w:spacing w:line="360" w:lineRule="auto"/>
              <w:rPr>
                <w:color w:val="auto"/>
                <w:spacing w:val="0"/>
                <w:w w:val="100"/>
                <w:sz w:val="24"/>
                <w:szCs w:val="24"/>
                <w:highlight w:val="none"/>
              </w:rPr>
            </w:pPr>
            <w:r>
              <w:rPr>
                <w:rFonts w:hint="eastAsia" w:asciiTheme="minorEastAsia" w:hAnsiTheme="minorEastAsia" w:eastAsiaTheme="minorEastAsia" w:cstheme="minorEastAsia"/>
                <w:color w:val="auto"/>
                <w:spacing w:val="0"/>
                <w:w w:val="100"/>
                <w:sz w:val="24"/>
                <w:highlight w:val="none"/>
              </w:rPr>
              <w:t>异常低价审查</w:t>
            </w:r>
          </w:p>
        </w:tc>
      </w:tr>
      <w:tr w14:paraId="68ABD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02" w:type="dxa"/>
            <w:vAlign w:val="center"/>
          </w:tcPr>
          <w:p w14:paraId="4B97A768">
            <w:pPr>
              <w:spacing w:line="360" w:lineRule="auto"/>
              <w:jc w:val="center"/>
              <w:rPr>
                <w:rFonts w:hint="eastAsia" w:eastAsia="宋体"/>
                <w:color w:val="auto"/>
                <w:spacing w:val="0"/>
                <w:w w:val="100"/>
                <w:sz w:val="24"/>
                <w:szCs w:val="24"/>
                <w:highlight w:val="none"/>
                <w:lang w:val="en-US" w:eastAsia="zh-CN"/>
              </w:rPr>
            </w:pPr>
            <w:r>
              <w:rPr>
                <w:rFonts w:hint="eastAsia"/>
                <w:color w:val="auto"/>
                <w:spacing w:val="0"/>
                <w:w w:val="100"/>
                <w:sz w:val="24"/>
                <w:szCs w:val="24"/>
                <w:highlight w:val="none"/>
                <w:lang w:val="en-US" w:eastAsia="zh-CN"/>
              </w:rPr>
              <w:t>4</w:t>
            </w:r>
          </w:p>
        </w:tc>
        <w:tc>
          <w:tcPr>
            <w:tcW w:w="3501" w:type="dxa"/>
            <w:vAlign w:val="center"/>
          </w:tcPr>
          <w:p w14:paraId="0BBB12B7">
            <w:pPr>
              <w:tabs>
                <w:tab w:val="left" w:pos="2127"/>
              </w:tabs>
              <w:adjustRightInd w:val="0"/>
              <w:spacing w:line="360" w:lineRule="auto"/>
              <w:rPr>
                <w:color w:val="auto"/>
                <w:spacing w:val="0"/>
                <w:w w:val="100"/>
                <w:sz w:val="24"/>
                <w:szCs w:val="24"/>
                <w:highlight w:val="none"/>
                <w:lang w:val="en-US"/>
              </w:rPr>
            </w:pPr>
            <w:r>
              <w:rPr>
                <w:rFonts w:hint="eastAsia"/>
                <w:color w:val="auto"/>
                <w:spacing w:val="0"/>
                <w:w w:val="100"/>
                <w:sz w:val="24"/>
                <w:szCs w:val="24"/>
                <w:highlight w:val="none"/>
                <w:lang w:val="en-US"/>
              </w:rPr>
              <w:t>无效标审查</w:t>
            </w:r>
          </w:p>
        </w:tc>
        <w:tc>
          <w:tcPr>
            <w:tcW w:w="5476" w:type="dxa"/>
            <w:vAlign w:val="center"/>
          </w:tcPr>
          <w:p w14:paraId="17EF7AB1">
            <w:pPr>
              <w:spacing w:line="360" w:lineRule="auto"/>
              <w:rPr>
                <w:color w:val="auto"/>
                <w:spacing w:val="0"/>
                <w:w w:val="100"/>
                <w:sz w:val="24"/>
                <w:szCs w:val="24"/>
                <w:highlight w:val="none"/>
              </w:rPr>
            </w:pPr>
            <w:r>
              <w:rPr>
                <w:rFonts w:hint="eastAsia" w:asciiTheme="minorEastAsia" w:hAnsiTheme="minorEastAsia" w:eastAsiaTheme="minorEastAsia" w:cstheme="minorEastAsia"/>
                <w:color w:val="auto"/>
                <w:spacing w:val="0"/>
                <w:w w:val="100"/>
                <w:sz w:val="24"/>
                <w:highlight w:val="none"/>
              </w:rPr>
              <w:t>按本章节第</w:t>
            </w:r>
            <w:r>
              <w:rPr>
                <w:rFonts w:hint="eastAsia" w:asciiTheme="minorEastAsia" w:hAnsiTheme="minorEastAsia" w:eastAsiaTheme="minorEastAsia" w:cstheme="minorEastAsia"/>
                <w:color w:val="auto"/>
                <w:spacing w:val="0"/>
                <w:w w:val="100"/>
                <w:sz w:val="24"/>
                <w:highlight w:val="none"/>
                <w:lang w:val="en-US"/>
              </w:rPr>
              <w:t>6点</w:t>
            </w:r>
            <w:r>
              <w:rPr>
                <w:rFonts w:hint="eastAsia" w:asciiTheme="minorEastAsia" w:hAnsiTheme="minorEastAsia" w:eastAsiaTheme="minorEastAsia" w:cstheme="minorEastAsia"/>
                <w:color w:val="auto"/>
                <w:spacing w:val="0"/>
                <w:w w:val="100"/>
                <w:sz w:val="24"/>
                <w:highlight w:val="none"/>
              </w:rPr>
              <w:t>无效标条款规定，审查是否通过</w:t>
            </w:r>
          </w:p>
        </w:tc>
      </w:tr>
      <w:tr w14:paraId="38F23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779" w:type="dxa"/>
            <w:gridSpan w:val="3"/>
            <w:vAlign w:val="center"/>
          </w:tcPr>
          <w:p w14:paraId="29AE92CB">
            <w:pPr>
              <w:spacing w:line="360" w:lineRule="auto"/>
              <w:rPr>
                <w:color w:val="auto"/>
                <w:spacing w:val="0"/>
                <w:w w:val="100"/>
                <w:sz w:val="24"/>
                <w:szCs w:val="24"/>
                <w:highlight w:val="none"/>
              </w:rPr>
            </w:pPr>
            <w:r>
              <w:rPr>
                <w:rFonts w:hint="eastAsia" w:asciiTheme="minorEastAsia" w:hAnsiTheme="minorEastAsia" w:eastAsiaTheme="minorEastAsia" w:cstheme="minorEastAsia"/>
                <w:b/>
                <w:bCs/>
                <w:color w:val="auto"/>
                <w:spacing w:val="0"/>
                <w:w w:val="100"/>
                <w:sz w:val="24"/>
                <w:highlight w:val="none"/>
              </w:rPr>
              <w:t>备注：投标供应商</w:t>
            </w:r>
            <w:r>
              <w:rPr>
                <w:rFonts w:asciiTheme="minorEastAsia" w:hAnsiTheme="minorEastAsia" w:eastAsiaTheme="minorEastAsia" w:cstheme="minorEastAsia"/>
                <w:b/>
                <w:bCs/>
                <w:color w:val="auto"/>
                <w:spacing w:val="0"/>
                <w:w w:val="100"/>
                <w:sz w:val="24"/>
                <w:highlight w:val="none"/>
              </w:rPr>
              <w:t>的报价明显低于其他通过符合性审查</w:t>
            </w:r>
            <w:r>
              <w:rPr>
                <w:rFonts w:hint="eastAsia" w:asciiTheme="minorEastAsia" w:hAnsiTheme="minorEastAsia" w:eastAsiaTheme="minorEastAsia" w:cstheme="minorEastAsia"/>
                <w:b/>
                <w:bCs/>
                <w:color w:val="auto"/>
                <w:spacing w:val="0"/>
                <w:w w:val="100"/>
                <w:sz w:val="24"/>
                <w:highlight w:val="none"/>
              </w:rPr>
              <w:t>投标供应商</w:t>
            </w:r>
            <w:r>
              <w:rPr>
                <w:rFonts w:asciiTheme="minorEastAsia" w:hAnsiTheme="minorEastAsia" w:eastAsiaTheme="minorEastAsia" w:cstheme="minorEastAsia"/>
                <w:b/>
                <w:bCs/>
                <w:color w:val="auto"/>
                <w:spacing w:val="0"/>
                <w:w w:val="100"/>
                <w:sz w:val="24"/>
                <w:highlight w:val="none"/>
              </w:rPr>
              <w:t>的报价，有可能影响产品质量或者不能诚信履约的，应当要求其在评标现场合理的时间内提供书面说明，必要时提交相关证明材料；</w:t>
            </w:r>
            <w:r>
              <w:rPr>
                <w:rFonts w:hint="eastAsia" w:asciiTheme="minorEastAsia" w:hAnsiTheme="minorEastAsia" w:eastAsiaTheme="minorEastAsia" w:cstheme="minorEastAsia"/>
                <w:b/>
                <w:bCs/>
                <w:color w:val="auto"/>
                <w:spacing w:val="0"/>
                <w:w w:val="100"/>
                <w:sz w:val="24"/>
                <w:highlight w:val="none"/>
              </w:rPr>
              <w:t>投标供应商</w:t>
            </w:r>
            <w:r>
              <w:rPr>
                <w:rFonts w:asciiTheme="minorEastAsia" w:hAnsiTheme="minorEastAsia" w:eastAsiaTheme="minorEastAsia" w:cstheme="minorEastAsia"/>
                <w:b/>
                <w:bCs/>
                <w:color w:val="auto"/>
                <w:spacing w:val="0"/>
                <w:w w:val="100"/>
                <w:sz w:val="24"/>
                <w:highlight w:val="none"/>
              </w:rPr>
              <w:t>不能证明其报价合理性的，评标委员会应当将其作为无效投标处理。</w:t>
            </w:r>
            <w:r>
              <w:rPr>
                <w:rFonts w:hint="eastAsia"/>
                <w:b/>
                <w:bCs/>
                <w:color w:val="auto"/>
                <w:spacing w:val="0"/>
                <w:w w:val="100"/>
                <w:sz w:val="24"/>
                <w:szCs w:val="24"/>
                <w:highlight w:val="none"/>
              </w:rPr>
              <w:t>合格投标供应商不足3家的，不得评标。</w:t>
            </w:r>
          </w:p>
        </w:tc>
      </w:tr>
    </w:tbl>
    <w:p w14:paraId="7E182F54">
      <w:pPr>
        <w:rPr>
          <w:rFonts w:hint="eastAsia"/>
          <w:color w:val="auto"/>
          <w:spacing w:val="0"/>
          <w:w w:val="100"/>
          <w:sz w:val="24"/>
          <w:szCs w:val="28"/>
          <w:highlight w:val="none"/>
          <w:lang w:val="en-US"/>
        </w:rPr>
      </w:pPr>
      <w:r>
        <w:rPr>
          <w:rFonts w:hint="eastAsia"/>
          <w:color w:val="auto"/>
          <w:spacing w:val="0"/>
          <w:w w:val="100"/>
          <w:sz w:val="24"/>
          <w:szCs w:val="28"/>
          <w:highlight w:val="none"/>
          <w:lang w:val="en-US"/>
        </w:rPr>
        <w:br w:type="page"/>
      </w:r>
    </w:p>
    <w:p w14:paraId="3AADE4C5">
      <w:pPr>
        <w:spacing w:line="360" w:lineRule="auto"/>
        <w:rPr>
          <w:color w:val="auto"/>
          <w:spacing w:val="0"/>
          <w:w w:val="100"/>
          <w:sz w:val="24"/>
          <w:szCs w:val="28"/>
          <w:highlight w:val="none"/>
          <w:lang w:val="en-US"/>
        </w:rPr>
      </w:pPr>
      <w:r>
        <w:rPr>
          <w:rFonts w:hint="eastAsia"/>
          <w:color w:val="auto"/>
          <w:spacing w:val="0"/>
          <w:w w:val="100"/>
          <w:sz w:val="24"/>
          <w:szCs w:val="28"/>
          <w:highlight w:val="none"/>
          <w:lang w:val="en-US"/>
        </w:rPr>
        <w:t>4.2综合评审</w:t>
      </w:r>
    </w:p>
    <w:p w14:paraId="3758BC85">
      <w:pPr>
        <w:spacing w:line="360" w:lineRule="auto"/>
        <w:rPr>
          <w:rFonts w:hint="eastAsia"/>
          <w:color w:val="auto"/>
          <w:spacing w:val="0"/>
          <w:w w:val="100"/>
          <w:sz w:val="24"/>
          <w:szCs w:val="28"/>
          <w:highlight w:val="none"/>
          <w:lang w:val="en-US"/>
        </w:rPr>
      </w:pPr>
      <w:r>
        <w:rPr>
          <w:color w:val="auto"/>
          <w:spacing w:val="0"/>
          <w:w w:val="100"/>
          <w:sz w:val="24"/>
          <w:szCs w:val="28"/>
          <w:highlight w:val="none"/>
        </w:rPr>
        <w:t>本</w:t>
      </w:r>
      <w:r>
        <w:rPr>
          <w:rFonts w:hint="eastAsia"/>
          <w:color w:val="auto"/>
          <w:spacing w:val="0"/>
          <w:w w:val="100"/>
          <w:sz w:val="24"/>
          <w:szCs w:val="28"/>
          <w:highlight w:val="none"/>
          <w:lang w:val="en-US"/>
        </w:rPr>
        <w:t>办法计分实行百分制，满分 100 分，具体评标标准如下：</w:t>
      </w:r>
    </w:p>
    <w:tbl>
      <w:tblPr>
        <w:tblStyle w:val="8"/>
        <w:tblpPr w:leftFromText="180" w:rightFromText="180" w:vertAnchor="text" w:horzAnchor="page" w:tblpX="686" w:tblpY="775"/>
        <w:tblOverlap w:val="never"/>
        <w:tblW w:w="10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227"/>
        <w:gridCol w:w="1335"/>
        <w:gridCol w:w="6534"/>
        <w:gridCol w:w="477"/>
      </w:tblGrid>
      <w:tr w14:paraId="06C03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777" w:type="dxa"/>
            <w:vAlign w:val="center"/>
          </w:tcPr>
          <w:p w14:paraId="29E693B3">
            <w:pPr>
              <w:pageBreakBefore w:val="0"/>
              <w:kinsoku/>
              <w:overflowPunct/>
              <w:topLinePunct w:val="0"/>
              <w:bidi w:val="0"/>
              <w:spacing w:line="440" w:lineRule="exact"/>
              <w:rPr>
                <w:rFonts w:ascii="宋体" w:hAnsi="宋体" w:eastAsia="宋体" w:cs="宋体"/>
                <w:b/>
                <w:bCs/>
                <w:color w:val="auto"/>
                <w:spacing w:val="0"/>
                <w:w w:val="100"/>
                <w:sz w:val="24"/>
                <w:szCs w:val="24"/>
                <w:highlight w:val="none"/>
                <w:lang w:eastAsia="zh-CN"/>
              </w:rPr>
            </w:pPr>
            <w:r>
              <w:rPr>
                <w:rFonts w:hint="eastAsia" w:ascii="宋体" w:hAnsi="宋体" w:eastAsia="宋体" w:cs="宋体"/>
                <w:b/>
                <w:bCs/>
                <w:color w:val="auto"/>
                <w:spacing w:val="0"/>
                <w:w w:val="100"/>
                <w:sz w:val="24"/>
                <w:szCs w:val="24"/>
                <w:highlight w:val="none"/>
                <w:lang w:eastAsia="zh-CN"/>
              </w:rPr>
              <w:t>序号</w:t>
            </w:r>
          </w:p>
        </w:tc>
        <w:tc>
          <w:tcPr>
            <w:tcW w:w="1227" w:type="dxa"/>
            <w:vAlign w:val="center"/>
          </w:tcPr>
          <w:p w14:paraId="59D44D74">
            <w:pPr>
              <w:pageBreakBefore w:val="0"/>
              <w:kinsoku/>
              <w:overflowPunct/>
              <w:topLinePunct w:val="0"/>
              <w:bidi w:val="0"/>
              <w:spacing w:line="440" w:lineRule="exact"/>
              <w:rPr>
                <w:rFonts w:ascii="宋体" w:hAnsi="宋体" w:eastAsia="宋体" w:cs="宋体"/>
                <w:b/>
                <w:bCs/>
                <w:color w:val="auto"/>
                <w:spacing w:val="0"/>
                <w:w w:val="100"/>
                <w:sz w:val="24"/>
                <w:szCs w:val="24"/>
                <w:highlight w:val="none"/>
              </w:rPr>
            </w:pPr>
            <w:r>
              <w:rPr>
                <w:rFonts w:hint="eastAsia" w:ascii="宋体" w:hAnsi="宋体" w:eastAsia="宋体" w:cs="宋体"/>
                <w:b/>
                <w:bCs/>
                <w:color w:val="auto"/>
                <w:spacing w:val="0"/>
                <w:w w:val="100"/>
                <w:sz w:val="24"/>
                <w:szCs w:val="24"/>
                <w:highlight w:val="none"/>
              </w:rPr>
              <w:t>评分因素及权重</w:t>
            </w:r>
          </w:p>
        </w:tc>
        <w:tc>
          <w:tcPr>
            <w:tcW w:w="1335" w:type="dxa"/>
            <w:vAlign w:val="center"/>
          </w:tcPr>
          <w:p w14:paraId="0A566D9B">
            <w:pPr>
              <w:pageBreakBefore w:val="0"/>
              <w:kinsoku/>
              <w:overflowPunct/>
              <w:topLinePunct w:val="0"/>
              <w:bidi w:val="0"/>
              <w:spacing w:line="440" w:lineRule="exact"/>
              <w:rPr>
                <w:rFonts w:ascii="宋体" w:hAnsi="宋体" w:eastAsia="宋体" w:cs="宋体"/>
                <w:b/>
                <w:bCs/>
                <w:color w:val="auto"/>
                <w:spacing w:val="0"/>
                <w:w w:val="100"/>
                <w:sz w:val="24"/>
                <w:szCs w:val="24"/>
                <w:highlight w:val="none"/>
              </w:rPr>
            </w:pPr>
            <w:r>
              <w:rPr>
                <w:rFonts w:hint="eastAsia" w:ascii="宋体" w:hAnsi="宋体" w:eastAsia="宋体" w:cs="宋体"/>
                <w:b/>
                <w:bCs/>
                <w:color w:val="auto"/>
                <w:spacing w:val="0"/>
                <w:w w:val="100"/>
                <w:sz w:val="24"/>
                <w:szCs w:val="24"/>
                <w:highlight w:val="none"/>
              </w:rPr>
              <w:t>分值</w:t>
            </w:r>
          </w:p>
        </w:tc>
        <w:tc>
          <w:tcPr>
            <w:tcW w:w="6534" w:type="dxa"/>
            <w:vAlign w:val="center"/>
          </w:tcPr>
          <w:p w14:paraId="0265D748">
            <w:pPr>
              <w:pageBreakBefore w:val="0"/>
              <w:kinsoku/>
              <w:overflowPunct/>
              <w:topLinePunct w:val="0"/>
              <w:bidi w:val="0"/>
              <w:spacing w:line="440" w:lineRule="exact"/>
              <w:ind w:firstLine="482" w:firstLineChars="200"/>
              <w:jc w:val="center"/>
              <w:rPr>
                <w:rFonts w:ascii="宋体" w:hAnsi="宋体" w:eastAsia="宋体" w:cs="宋体"/>
                <w:b/>
                <w:bCs/>
                <w:color w:val="auto"/>
                <w:spacing w:val="0"/>
                <w:w w:val="100"/>
                <w:sz w:val="24"/>
                <w:szCs w:val="24"/>
                <w:highlight w:val="none"/>
              </w:rPr>
            </w:pPr>
            <w:r>
              <w:rPr>
                <w:rFonts w:hint="eastAsia" w:ascii="宋体" w:hAnsi="宋体" w:eastAsia="宋体" w:cs="宋体"/>
                <w:b/>
                <w:bCs/>
                <w:color w:val="auto"/>
                <w:spacing w:val="0"/>
                <w:w w:val="100"/>
                <w:sz w:val="24"/>
                <w:szCs w:val="24"/>
                <w:highlight w:val="none"/>
              </w:rPr>
              <w:t>评分标准</w:t>
            </w:r>
          </w:p>
        </w:tc>
        <w:tc>
          <w:tcPr>
            <w:tcW w:w="477" w:type="dxa"/>
            <w:vAlign w:val="center"/>
          </w:tcPr>
          <w:p w14:paraId="50A62752">
            <w:pPr>
              <w:pageBreakBefore w:val="0"/>
              <w:kinsoku/>
              <w:overflowPunct/>
              <w:topLinePunct w:val="0"/>
              <w:bidi w:val="0"/>
              <w:spacing w:line="440" w:lineRule="exact"/>
              <w:rPr>
                <w:rFonts w:ascii="宋体" w:hAnsi="宋体" w:eastAsia="宋体" w:cs="宋体"/>
                <w:b/>
                <w:bCs/>
                <w:color w:val="auto"/>
                <w:spacing w:val="0"/>
                <w:w w:val="100"/>
                <w:sz w:val="24"/>
                <w:szCs w:val="24"/>
                <w:highlight w:val="none"/>
                <w:lang w:eastAsia="zh-CN"/>
              </w:rPr>
            </w:pPr>
            <w:r>
              <w:rPr>
                <w:rFonts w:hint="eastAsia" w:ascii="宋体" w:hAnsi="宋体" w:eastAsia="宋体" w:cs="宋体"/>
                <w:b/>
                <w:bCs/>
                <w:color w:val="auto"/>
                <w:spacing w:val="0"/>
                <w:w w:val="100"/>
                <w:sz w:val="24"/>
                <w:szCs w:val="24"/>
                <w:highlight w:val="none"/>
                <w:lang w:eastAsia="zh-CN"/>
              </w:rPr>
              <w:t>说明</w:t>
            </w:r>
          </w:p>
        </w:tc>
      </w:tr>
      <w:tr w14:paraId="7ADEA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7" w:type="dxa"/>
            <w:vAlign w:val="center"/>
          </w:tcPr>
          <w:p w14:paraId="10402BC3">
            <w:pPr>
              <w:pageBreakBefore w:val="0"/>
              <w:kinsoku/>
              <w:overflowPunct/>
              <w:topLinePunct w:val="0"/>
              <w:bidi w:val="0"/>
              <w:spacing w:line="440" w:lineRule="exact"/>
              <w:rPr>
                <w:rFonts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w:t>
            </w:r>
          </w:p>
        </w:tc>
        <w:tc>
          <w:tcPr>
            <w:tcW w:w="1227" w:type="dxa"/>
            <w:vAlign w:val="center"/>
          </w:tcPr>
          <w:p w14:paraId="459F2CCC">
            <w:pPr>
              <w:pageBreakBefore w:val="0"/>
              <w:kinsoku/>
              <w:overflowPunct/>
              <w:topLinePunct w:val="0"/>
              <w:bidi w:val="0"/>
              <w:spacing w:line="440" w:lineRule="exact"/>
              <w:rPr>
                <w:rFonts w:ascii="宋体" w:hAnsi="宋体" w:eastAsia="宋体" w:cs="宋体"/>
                <w:color w:val="auto"/>
                <w:spacing w:val="0"/>
                <w:w w:val="100"/>
                <w:sz w:val="24"/>
                <w:szCs w:val="24"/>
                <w:highlight w:val="none"/>
              </w:rPr>
            </w:pPr>
            <w:r>
              <w:rPr>
                <w:rFonts w:hint="eastAsia" w:cs="宋体"/>
                <w:color w:val="auto"/>
                <w:spacing w:val="0"/>
                <w:w w:val="100"/>
                <w:sz w:val="24"/>
                <w:szCs w:val="24"/>
                <w:highlight w:val="none"/>
                <w:lang w:eastAsia="zh-CN"/>
              </w:rPr>
              <w:t>投标</w:t>
            </w:r>
            <w:r>
              <w:rPr>
                <w:rFonts w:hint="eastAsia" w:ascii="宋体" w:hAnsi="宋体" w:eastAsia="宋体" w:cs="宋体"/>
                <w:color w:val="auto"/>
                <w:spacing w:val="0"/>
                <w:w w:val="100"/>
                <w:sz w:val="24"/>
                <w:szCs w:val="24"/>
                <w:highlight w:val="none"/>
                <w:lang w:eastAsia="zh-CN"/>
              </w:rPr>
              <w:t>报价</w:t>
            </w:r>
            <w:r>
              <w:rPr>
                <w:rFonts w:hint="eastAsia" w:ascii="宋体" w:hAnsi="宋体" w:cs="宋体"/>
                <w:color w:val="auto"/>
                <w:spacing w:val="0"/>
                <w:w w:val="100"/>
                <w:sz w:val="24"/>
                <w:szCs w:val="24"/>
                <w:highlight w:val="none"/>
                <w:lang w:val="en-US" w:eastAsia="zh-CN"/>
              </w:rPr>
              <w:t>3</w:t>
            </w:r>
            <w:r>
              <w:rPr>
                <w:rFonts w:hint="eastAsia" w:ascii="宋体" w:hAnsi="宋体" w:eastAsia="宋体" w:cs="宋体"/>
                <w:color w:val="auto"/>
                <w:spacing w:val="0"/>
                <w:w w:val="100"/>
                <w:sz w:val="24"/>
                <w:szCs w:val="24"/>
                <w:highlight w:val="none"/>
                <w:lang w:eastAsia="zh-CN"/>
              </w:rPr>
              <w:t>0</w:t>
            </w:r>
            <w:r>
              <w:rPr>
                <w:rFonts w:hint="eastAsia" w:ascii="宋体" w:hAnsi="宋体" w:eastAsia="宋体" w:cs="宋体"/>
                <w:color w:val="auto"/>
                <w:spacing w:val="0"/>
                <w:w w:val="100"/>
                <w:sz w:val="24"/>
                <w:szCs w:val="24"/>
                <w:highlight w:val="none"/>
              </w:rPr>
              <w:t>%</w:t>
            </w:r>
          </w:p>
        </w:tc>
        <w:tc>
          <w:tcPr>
            <w:tcW w:w="1335" w:type="dxa"/>
            <w:vAlign w:val="center"/>
          </w:tcPr>
          <w:p w14:paraId="1A2BDACD">
            <w:pPr>
              <w:pageBreakBefore w:val="0"/>
              <w:kinsoku/>
              <w:overflowPunct/>
              <w:topLinePunct w:val="0"/>
              <w:bidi w:val="0"/>
              <w:spacing w:line="440" w:lineRule="exact"/>
              <w:rPr>
                <w:rFonts w:ascii="宋体" w:hAnsi="宋体" w:eastAsia="宋体" w:cs="宋体"/>
                <w:color w:val="auto"/>
                <w:spacing w:val="0"/>
                <w:w w:val="100"/>
                <w:sz w:val="24"/>
                <w:szCs w:val="24"/>
                <w:highlight w:val="none"/>
              </w:rPr>
            </w:pPr>
            <w:r>
              <w:rPr>
                <w:rFonts w:hint="eastAsia" w:ascii="宋体" w:hAnsi="宋体" w:cs="宋体"/>
                <w:color w:val="auto"/>
                <w:spacing w:val="0"/>
                <w:w w:val="100"/>
                <w:sz w:val="24"/>
                <w:szCs w:val="24"/>
                <w:highlight w:val="none"/>
                <w:lang w:val="en-US" w:eastAsia="zh-CN"/>
              </w:rPr>
              <w:t>3</w:t>
            </w:r>
            <w:r>
              <w:rPr>
                <w:rFonts w:hint="eastAsia" w:ascii="宋体" w:hAnsi="宋体" w:eastAsia="宋体" w:cs="宋体"/>
                <w:color w:val="auto"/>
                <w:spacing w:val="0"/>
                <w:w w:val="100"/>
                <w:sz w:val="24"/>
                <w:szCs w:val="24"/>
                <w:highlight w:val="none"/>
                <w:lang w:eastAsia="zh-CN"/>
              </w:rPr>
              <w:t>0分</w:t>
            </w:r>
          </w:p>
        </w:tc>
        <w:tc>
          <w:tcPr>
            <w:tcW w:w="6534" w:type="dxa"/>
            <w:vAlign w:val="center"/>
          </w:tcPr>
          <w:p w14:paraId="7EB5703D">
            <w:pPr>
              <w:pageBreakBefore w:val="0"/>
              <w:kinsoku/>
              <w:overflowPunct/>
              <w:topLinePunct w:val="0"/>
              <w:bidi w:val="0"/>
              <w:spacing w:line="440" w:lineRule="exact"/>
              <w:ind w:firstLine="480" w:firstLineChars="200"/>
              <w:rPr>
                <w:rFonts w:ascii="宋体" w:hAnsi="宋体" w:eastAsia="宋体" w:cs="宋体"/>
                <w:color w:val="auto"/>
                <w:spacing w:val="0"/>
                <w:w w:val="100"/>
                <w:sz w:val="24"/>
                <w:szCs w:val="24"/>
                <w:highlight w:val="none"/>
                <w:lang w:eastAsia="zh-CN"/>
              </w:rPr>
            </w:pPr>
            <w:r>
              <w:rPr>
                <w:rFonts w:hint="eastAsia" w:cs="宋体"/>
                <w:color w:val="auto"/>
                <w:spacing w:val="0"/>
                <w:w w:val="100"/>
                <w:sz w:val="24"/>
                <w:szCs w:val="24"/>
                <w:highlight w:val="none"/>
                <w:lang w:eastAsia="zh-CN"/>
              </w:rPr>
              <w:t>投标</w:t>
            </w:r>
            <w:r>
              <w:rPr>
                <w:rFonts w:hint="eastAsia" w:ascii="宋体" w:hAnsi="宋体" w:eastAsia="宋体" w:cs="宋体"/>
                <w:color w:val="auto"/>
                <w:spacing w:val="0"/>
                <w:w w:val="100"/>
                <w:sz w:val="24"/>
                <w:szCs w:val="24"/>
                <w:highlight w:val="none"/>
                <w:lang w:eastAsia="zh-CN"/>
              </w:rPr>
              <w:t>报价得分=（评标基准价/</w:t>
            </w:r>
            <w:r>
              <w:rPr>
                <w:rFonts w:hint="eastAsia" w:cs="宋体"/>
                <w:color w:val="auto"/>
                <w:spacing w:val="0"/>
                <w:w w:val="100"/>
                <w:sz w:val="24"/>
                <w:szCs w:val="24"/>
                <w:highlight w:val="none"/>
                <w:lang w:eastAsia="zh-CN"/>
              </w:rPr>
              <w:t>投标</w:t>
            </w:r>
            <w:r>
              <w:rPr>
                <w:rFonts w:hint="eastAsia" w:ascii="宋体" w:hAnsi="宋体" w:eastAsia="宋体" w:cs="宋体"/>
                <w:color w:val="auto"/>
                <w:spacing w:val="0"/>
                <w:w w:val="100"/>
                <w:sz w:val="24"/>
                <w:szCs w:val="24"/>
                <w:highlight w:val="none"/>
                <w:lang w:eastAsia="zh-CN"/>
              </w:rPr>
              <w:t>报价）×价格权值（</w:t>
            </w:r>
            <w:r>
              <w:rPr>
                <w:rFonts w:hint="eastAsia" w:ascii="宋体" w:hAnsi="宋体" w:cs="宋体"/>
                <w:color w:val="auto"/>
                <w:spacing w:val="0"/>
                <w:w w:val="100"/>
                <w:sz w:val="24"/>
                <w:szCs w:val="24"/>
                <w:highlight w:val="none"/>
                <w:lang w:val="en-US" w:eastAsia="zh-CN"/>
              </w:rPr>
              <w:t>3</w:t>
            </w:r>
            <w:r>
              <w:rPr>
                <w:rFonts w:hint="eastAsia" w:ascii="宋体" w:hAnsi="宋体" w:eastAsia="宋体" w:cs="宋体"/>
                <w:color w:val="auto"/>
                <w:spacing w:val="0"/>
                <w:w w:val="100"/>
                <w:sz w:val="24"/>
                <w:szCs w:val="24"/>
                <w:highlight w:val="none"/>
                <w:lang w:eastAsia="zh-CN"/>
              </w:rPr>
              <w:t>0）×100%</w:t>
            </w:r>
          </w:p>
          <w:p w14:paraId="316F56E8">
            <w:pPr>
              <w:pageBreakBefore w:val="0"/>
              <w:kinsoku/>
              <w:overflowPunct/>
              <w:topLinePunct w:val="0"/>
              <w:bidi w:val="0"/>
              <w:spacing w:line="440" w:lineRule="exact"/>
              <w:ind w:firstLine="480" w:firstLineChars="200"/>
              <w:rPr>
                <w:rFonts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备注：1</w:t>
            </w:r>
            <w:r>
              <w:rPr>
                <w:rFonts w:hint="eastAsia" w:ascii="宋体" w:hAnsi="宋体" w:eastAsia="宋体" w:cs="宋体"/>
                <w:color w:val="auto"/>
                <w:spacing w:val="0"/>
                <w:w w:val="100"/>
                <w:sz w:val="24"/>
                <w:szCs w:val="24"/>
                <w:highlight w:val="none"/>
                <w:lang w:val="en-US" w:eastAsia="zh-CN"/>
              </w:rPr>
              <w:t>.</w:t>
            </w:r>
            <w:r>
              <w:rPr>
                <w:rFonts w:hint="eastAsia" w:ascii="宋体" w:hAnsi="宋体" w:eastAsia="宋体" w:cs="宋体"/>
                <w:color w:val="auto"/>
                <w:spacing w:val="0"/>
                <w:w w:val="100"/>
                <w:sz w:val="24"/>
                <w:szCs w:val="24"/>
                <w:highlight w:val="none"/>
                <w:lang w:eastAsia="zh-CN"/>
              </w:rPr>
              <w:t>评标基准价为满足</w:t>
            </w:r>
            <w:r>
              <w:rPr>
                <w:rFonts w:hint="eastAsia" w:cs="宋体"/>
                <w:color w:val="auto"/>
                <w:spacing w:val="0"/>
                <w:w w:val="100"/>
                <w:sz w:val="24"/>
                <w:szCs w:val="24"/>
                <w:highlight w:val="none"/>
                <w:lang w:eastAsia="zh-CN"/>
              </w:rPr>
              <w:t>采购文件</w:t>
            </w:r>
            <w:r>
              <w:rPr>
                <w:rFonts w:hint="eastAsia" w:ascii="宋体" w:hAnsi="宋体" w:eastAsia="宋体" w:cs="宋体"/>
                <w:color w:val="auto"/>
                <w:spacing w:val="0"/>
                <w:w w:val="100"/>
                <w:sz w:val="24"/>
                <w:szCs w:val="24"/>
                <w:highlight w:val="none"/>
                <w:lang w:eastAsia="zh-CN"/>
              </w:rPr>
              <w:t>要求且经评审投标价格最低的</w:t>
            </w:r>
            <w:r>
              <w:rPr>
                <w:rFonts w:hint="eastAsia" w:cs="宋体"/>
                <w:color w:val="auto"/>
                <w:spacing w:val="0"/>
                <w:w w:val="100"/>
                <w:sz w:val="24"/>
                <w:szCs w:val="24"/>
                <w:highlight w:val="none"/>
                <w:lang w:eastAsia="zh-CN"/>
              </w:rPr>
              <w:t>投标</w:t>
            </w:r>
            <w:r>
              <w:rPr>
                <w:rFonts w:hint="eastAsia" w:ascii="宋体" w:hAnsi="宋体" w:eastAsia="宋体" w:cs="宋体"/>
                <w:color w:val="auto"/>
                <w:spacing w:val="0"/>
                <w:w w:val="100"/>
                <w:sz w:val="24"/>
                <w:szCs w:val="24"/>
                <w:highlight w:val="none"/>
                <w:lang w:eastAsia="zh-CN"/>
              </w:rPr>
              <w:t>报价；</w:t>
            </w:r>
          </w:p>
          <w:p w14:paraId="33FC6308">
            <w:pPr>
              <w:pageBreakBefore w:val="0"/>
              <w:kinsoku/>
              <w:overflowPunct/>
              <w:topLinePunct w:val="0"/>
              <w:bidi w:val="0"/>
              <w:spacing w:line="440" w:lineRule="exact"/>
              <w:ind w:firstLine="480" w:firstLineChars="200"/>
              <w:rPr>
                <w:rFonts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2</w:t>
            </w:r>
            <w:r>
              <w:rPr>
                <w:rFonts w:hint="eastAsia" w:ascii="宋体" w:hAnsi="宋体" w:eastAsia="宋体" w:cs="宋体"/>
                <w:color w:val="auto"/>
                <w:spacing w:val="0"/>
                <w:w w:val="100"/>
                <w:sz w:val="24"/>
                <w:szCs w:val="24"/>
                <w:highlight w:val="none"/>
                <w:lang w:val="en-US" w:eastAsia="zh-CN"/>
              </w:rPr>
              <w:t>.</w:t>
            </w:r>
            <w:r>
              <w:rPr>
                <w:rFonts w:hint="eastAsia" w:ascii="宋体" w:hAnsi="宋体" w:eastAsia="宋体" w:cs="宋体"/>
                <w:color w:val="auto"/>
                <w:spacing w:val="0"/>
                <w:w w:val="100"/>
                <w:sz w:val="24"/>
                <w:szCs w:val="24"/>
                <w:highlight w:val="none"/>
                <w:lang w:eastAsia="zh-CN"/>
              </w:rPr>
              <w:t>得分取两位小数点，第三位四舍五入。</w:t>
            </w:r>
          </w:p>
          <w:p w14:paraId="013B31A2">
            <w:pPr>
              <w:pageBreakBefore w:val="0"/>
              <w:kinsoku/>
              <w:overflowPunct/>
              <w:topLinePunct w:val="0"/>
              <w:bidi w:val="0"/>
              <w:spacing w:line="440" w:lineRule="exact"/>
              <w:ind w:firstLine="480" w:firstLineChars="200"/>
              <w:rPr>
                <w:rFonts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3</w:t>
            </w:r>
            <w:r>
              <w:rPr>
                <w:rFonts w:hint="eastAsia" w:ascii="宋体" w:hAnsi="宋体" w:eastAsia="宋体" w:cs="宋体"/>
                <w:color w:val="auto"/>
                <w:spacing w:val="0"/>
                <w:w w:val="100"/>
                <w:sz w:val="24"/>
                <w:szCs w:val="24"/>
                <w:highlight w:val="none"/>
                <w:lang w:val="en-US" w:eastAsia="zh-CN"/>
              </w:rPr>
              <w:t>.</w:t>
            </w:r>
            <w:r>
              <w:rPr>
                <w:rFonts w:hint="eastAsia" w:ascii="宋体" w:hAnsi="宋体" w:eastAsia="宋体" w:cs="宋体"/>
                <w:b/>
                <w:bCs/>
                <w:color w:val="auto"/>
                <w:spacing w:val="0"/>
                <w:w w:val="100"/>
                <w:sz w:val="24"/>
                <w:szCs w:val="24"/>
                <w:highlight w:val="none"/>
                <w:lang w:eastAsia="zh-CN"/>
              </w:rPr>
              <w:t>投标供应商的报价，经</w:t>
            </w:r>
            <w:r>
              <w:rPr>
                <w:rFonts w:hint="eastAsia" w:ascii="宋体" w:hAnsi="宋体" w:eastAsia="宋体" w:cs="宋体"/>
                <w:b/>
                <w:bCs/>
                <w:color w:val="auto"/>
                <w:spacing w:val="0"/>
                <w:w w:val="100"/>
                <w:sz w:val="24"/>
                <w:szCs w:val="24"/>
                <w:highlight w:val="none"/>
                <w:lang w:val="en-US" w:eastAsia="zh-CN"/>
              </w:rPr>
              <w:t>评审</w:t>
            </w:r>
            <w:r>
              <w:rPr>
                <w:rFonts w:hint="eastAsia" w:ascii="宋体" w:hAnsi="宋体" w:eastAsia="宋体" w:cs="宋体"/>
                <w:b/>
                <w:bCs/>
                <w:color w:val="auto"/>
                <w:spacing w:val="0"/>
                <w:w w:val="100"/>
                <w:sz w:val="24"/>
                <w:szCs w:val="24"/>
                <w:highlight w:val="none"/>
                <w:lang w:eastAsia="zh-CN"/>
              </w:rPr>
              <w:t>小组认为供应商的报价明显低于其他通过符合性审查供应商的报价，有可能影响产品质量或者不能诚信履约的，须在规定时间（</w:t>
            </w:r>
            <w:r>
              <w:rPr>
                <w:rFonts w:hint="eastAsia" w:ascii="宋体" w:hAnsi="宋体" w:eastAsia="宋体" w:cs="宋体"/>
                <w:b/>
                <w:bCs/>
                <w:color w:val="auto"/>
                <w:spacing w:val="0"/>
                <w:w w:val="100"/>
                <w:sz w:val="24"/>
                <w:szCs w:val="24"/>
                <w:highlight w:val="none"/>
                <w:lang w:val="en-US" w:eastAsia="zh-CN"/>
              </w:rPr>
              <w:t>20分钟内</w:t>
            </w:r>
            <w:r>
              <w:rPr>
                <w:rFonts w:hint="eastAsia" w:ascii="宋体" w:hAnsi="宋体" w:eastAsia="宋体" w:cs="宋体"/>
                <w:b/>
                <w:bCs/>
                <w:color w:val="auto"/>
                <w:spacing w:val="0"/>
                <w:w w:val="100"/>
                <w:sz w:val="24"/>
                <w:szCs w:val="24"/>
                <w:highlight w:val="none"/>
                <w:lang w:eastAsia="zh-CN"/>
              </w:rPr>
              <w:t>）提交说明资料，以证明其报价合理性。递交的证明材料</w:t>
            </w:r>
            <w:r>
              <w:rPr>
                <w:rFonts w:hint="eastAsia" w:ascii="宋体" w:hAnsi="宋体" w:eastAsia="宋体" w:cs="宋体"/>
                <w:b/>
                <w:bCs/>
                <w:color w:val="auto"/>
                <w:spacing w:val="0"/>
                <w:w w:val="100"/>
                <w:sz w:val="24"/>
                <w:szCs w:val="24"/>
                <w:highlight w:val="none"/>
                <w:lang w:val="en-US" w:eastAsia="zh-CN"/>
              </w:rPr>
              <w:t>包含（</w:t>
            </w:r>
            <w:r>
              <w:rPr>
                <w:rFonts w:hint="default" w:ascii="宋体" w:hAnsi="宋体" w:eastAsia="宋体" w:cs="宋体"/>
                <w:b/>
                <w:bCs/>
                <w:color w:val="auto"/>
                <w:spacing w:val="0"/>
                <w:w w:val="100"/>
                <w:sz w:val="24"/>
                <w:szCs w:val="24"/>
                <w:highlight w:val="none"/>
                <w:lang w:val="en-US" w:eastAsia="zh-CN"/>
              </w:rPr>
              <w:t>①</w:t>
            </w:r>
            <w:r>
              <w:rPr>
                <w:rFonts w:hint="eastAsia" w:ascii="宋体" w:hAnsi="宋体" w:eastAsia="宋体" w:cs="宋体"/>
                <w:b/>
                <w:bCs/>
                <w:color w:val="auto"/>
                <w:spacing w:val="0"/>
                <w:w w:val="100"/>
                <w:sz w:val="24"/>
                <w:szCs w:val="24"/>
                <w:highlight w:val="none"/>
                <w:lang w:val="en-US" w:eastAsia="zh-CN"/>
              </w:rPr>
              <w:t>管理费用；</w:t>
            </w:r>
            <w:r>
              <w:rPr>
                <w:rFonts w:hint="default" w:ascii="宋体" w:hAnsi="宋体" w:eastAsia="宋体" w:cs="宋体"/>
                <w:b/>
                <w:bCs/>
                <w:color w:val="auto"/>
                <w:spacing w:val="0"/>
                <w:w w:val="100"/>
                <w:sz w:val="24"/>
                <w:szCs w:val="24"/>
                <w:highlight w:val="none"/>
                <w:lang w:val="en-US" w:eastAsia="zh-CN"/>
              </w:rPr>
              <w:t>②</w:t>
            </w:r>
            <w:r>
              <w:rPr>
                <w:rFonts w:hint="eastAsia" w:ascii="宋体" w:hAnsi="宋体" w:eastAsia="宋体" w:cs="宋体"/>
                <w:b/>
                <w:bCs/>
                <w:color w:val="auto"/>
                <w:spacing w:val="0"/>
                <w:w w:val="100"/>
                <w:sz w:val="24"/>
                <w:szCs w:val="24"/>
                <w:highlight w:val="none"/>
                <w:lang w:val="en-US" w:eastAsia="zh-CN"/>
              </w:rPr>
              <w:t>财务费用；</w:t>
            </w:r>
            <w:r>
              <w:rPr>
                <w:rFonts w:hint="default" w:ascii="宋体" w:hAnsi="宋体" w:eastAsia="宋体" w:cs="宋体"/>
                <w:b/>
                <w:bCs/>
                <w:color w:val="auto"/>
                <w:spacing w:val="0"/>
                <w:w w:val="100"/>
                <w:sz w:val="24"/>
                <w:szCs w:val="24"/>
                <w:highlight w:val="none"/>
                <w:lang w:val="en-US" w:eastAsia="zh-CN"/>
              </w:rPr>
              <w:t>③</w:t>
            </w:r>
            <w:r>
              <w:rPr>
                <w:rFonts w:hint="eastAsia" w:ascii="宋体" w:hAnsi="宋体" w:eastAsia="宋体" w:cs="宋体"/>
                <w:b/>
                <w:bCs/>
                <w:color w:val="auto"/>
                <w:spacing w:val="0"/>
                <w:w w:val="100"/>
                <w:sz w:val="24"/>
                <w:szCs w:val="24"/>
                <w:highlight w:val="none"/>
                <w:lang w:val="en-US" w:eastAsia="zh-CN"/>
              </w:rPr>
              <w:t>销售费用；④销售税金等其他费用）并附上两年内三个同样下浮比例的成功项目案例资料，投标供应商不能证明其报价合理性的，评标委员会应当将其作为无效投标处理。</w:t>
            </w:r>
          </w:p>
        </w:tc>
        <w:tc>
          <w:tcPr>
            <w:tcW w:w="477" w:type="dxa"/>
            <w:vAlign w:val="center"/>
          </w:tcPr>
          <w:p w14:paraId="3FACB526">
            <w:pPr>
              <w:pageBreakBefore w:val="0"/>
              <w:kinsoku/>
              <w:overflowPunct/>
              <w:topLinePunct w:val="0"/>
              <w:bidi w:val="0"/>
              <w:spacing w:line="440" w:lineRule="exact"/>
              <w:ind w:firstLine="480" w:firstLineChars="200"/>
              <w:rPr>
                <w:rFonts w:ascii="宋体" w:hAnsi="宋体" w:eastAsia="宋体" w:cs="宋体"/>
                <w:color w:val="auto"/>
                <w:spacing w:val="0"/>
                <w:w w:val="100"/>
                <w:sz w:val="24"/>
                <w:szCs w:val="24"/>
                <w:highlight w:val="none"/>
                <w:lang w:eastAsia="zh-CN"/>
              </w:rPr>
            </w:pPr>
          </w:p>
        </w:tc>
      </w:tr>
      <w:tr w14:paraId="580B0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7" w:type="dxa"/>
            <w:vMerge w:val="restart"/>
            <w:vAlign w:val="center"/>
          </w:tcPr>
          <w:p w14:paraId="1E165C49">
            <w:pPr>
              <w:pageBreakBefore w:val="0"/>
              <w:kinsoku/>
              <w:overflowPunct/>
              <w:topLinePunct w:val="0"/>
              <w:bidi w:val="0"/>
              <w:spacing w:line="440" w:lineRule="exact"/>
              <w:rPr>
                <w:rFonts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2</w:t>
            </w:r>
          </w:p>
        </w:tc>
        <w:tc>
          <w:tcPr>
            <w:tcW w:w="1227" w:type="dxa"/>
            <w:vMerge w:val="restart"/>
            <w:vAlign w:val="center"/>
          </w:tcPr>
          <w:p w14:paraId="54E89CA6">
            <w:pPr>
              <w:pageBreakBefore w:val="0"/>
              <w:kinsoku/>
              <w:overflowPunct/>
              <w:topLinePunct w:val="0"/>
              <w:bidi w:val="0"/>
              <w:spacing w:line="440" w:lineRule="exact"/>
              <w:jc w:val="center"/>
              <w:rPr>
                <w:rFonts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rPr>
              <w:t>技术部分</w:t>
            </w:r>
          </w:p>
          <w:p w14:paraId="7A48FE86">
            <w:pPr>
              <w:pageBreakBefore w:val="0"/>
              <w:kinsoku/>
              <w:overflowPunct/>
              <w:topLinePunct w:val="0"/>
              <w:bidi w:val="0"/>
              <w:spacing w:line="440" w:lineRule="exact"/>
              <w:jc w:val="center"/>
              <w:rPr>
                <w:rFonts w:ascii="宋体" w:hAnsi="宋体" w:eastAsia="宋体" w:cs="宋体"/>
                <w:color w:val="auto"/>
                <w:spacing w:val="0"/>
                <w:w w:val="100"/>
                <w:sz w:val="24"/>
                <w:szCs w:val="24"/>
                <w:highlight w:val="none"/>
                <w:lang w:eastAsia="zh-CN"/>
              </w:rPr>
            </w:pPr>
            <w:r>
              <w:rPr>
                <w:rFonts w:hint="eastAsia" w:cs="宋体"/>
                <w:color w:val="auto"/>
                <w:spacing w:val="0"/>
                <w:w w:val="100"/>
                <w:sz w:val="24"/>
                <w:szCs w:val="24"/>
                <w:highlight w:val="none"/>
                <w:lang w:val="en-US" w:eastAsia="zh-CN"/>
              </w:rPr>
              <w:t>50</w:t>
            </w:r>
            <w:r>
              <w:rPr>
                <w:rFonts w:hint="eastAsia" w:ascii="宋体" w:hAnsi="宋体" w:eastAsia="宋体" w:cs="宋体"/>
                <w:color w:val="auto"/>
                <w:spacing w:val="0"/>
                <w:w w:val="100"/>
                <w:sz w:val="24"/>
                <w:szCs w:val="24"/>
                <w:highlight w:val="none"/>
                <w:lang w:eastAsia="zh-CN"/>
              </w:rPr>
              <w:t>%</w:t>
            </w:r>
          </w:p>
        </w:tc>
        <w:tc>
          <w:tcPr>
            <w:tcW w:w="1335" w:type="dxa"/>
            <w:vAlign w:val="center"/>
          </w:tcPr>
          <w:p w14:paraId="029B1D9E">
            <w:pPr>
              <w:pageBreakBefore w:val="0"/>
              <w:kinsoku/>
              <w:overflowPunct/>
              <w:topLinePunct w:val="0"/>
              <w:bidi w:val="0"/>
              <w:spacing w:line="440" w:lineRule="exact"/>
              <w:rPr>
                <w:rFonts w:ascii="宋体" w:hAnsi="宋体" w:eastAsia="宋体" w:cs="宋体"/>
                <w:color w:val="auto"/>
                <w:spacing w:val="0"/>
                <w:w w:val="100"/>
                <w:sz w:val="24"/>
                <w:szCs w:val="24"/>
                <w:highlight w:val="none"/>
                <w:lang w:eastAsia="zh-CN"/>
              </w:rPr>
            </w:pPr>
            <w:r>
              <w:rPr>
                <w:rFonts w:ascii="宋体" w:hAnsi="宋体" w:eastAsia="宋体" w:cs="宋体"/>
                <w:color w:val="auto"/>
                <w:spacing w:val="0"/>
                <w:w w:val="100"/>
                <w:sz w:val="24"/>
                <w:szCs w:val="24"/>
                <w:highlight w:val="none"/>
                <w:lang w:eastAsia="zh-CN"/>
              </w:rPr>
              <w:t>技术参数响应情况（</w:t>
            </w:r>
            <w:r>
              <w:rPr>
                <w:rFonts w:hint="eastAsia" w:cs="宋体"/>
                <w:color w:val="auto"/>
                <w:spacing w:val="0"/>
                <w:w w:val="100"/>
                <w:sz w:val="24"/>
                <w:szCs w:val="24"/>
                <w:highlight w:val="none"/>
                <w:lang w:val="en-US" w:eastAsia="zh-CN"/>
              </w:rPr>
              <w:t>35</w:t>
            </w:r>
            <w:r>
              <w:rPr>
                <w:rFonts w:ascii="宋体" w:hAnsi="宋体" w:eastAsia="宋体" w:cs="宋体"/>
                <w:color w:val="auto"/>
                <w:spacing w:val="0"/>
                <w:w w:val="100"/>
                <w:sz w:val="24"/>
                <w:szCs w:val="24"/>
                <w:highlight w:val="none"/>
                <w:lang w:eastAsia="zh-CN"/>
              </w:rPr>
              <w:t>分）</w:t>
            </w:r>
          </w:p>
        </w:tc>
        <w:tc>
          <w:tcPr>
            <w:tcW w:w="6534" w:type="dxa"/>
            <w:vAlign w:val="center"/>
          </w:tcPr>
          <w:p w14:paraId="03677D72">
            <w:pPr>
              <w:pageBreakBefore w:val="0"/>
              <w:kinsoku/>
              <w:overflowPunct/>
              <w:topLinePunct w:val="0"/>
              <w:bidi w:val="0"/>
              <w:spacing w:line="440" w:lineRule="exact"/>
              <w:rPr>
                <w:rFonts w:ascii="宋体" w:hAnsi="宋体" w:eastAsia="宋体" w:cs="宋体"/>
                <w:color w:val="auto"/>
                <w:spacing w:val="0"/>
                <w:w w:val="100"/>
                <w:sz w:val="24"/>
                <w:szCs w:val="24"/>
                <w:highlight w:val="none"/>
                <w:lang w:eastAsia="zh-CN"/>
              </w:rPr>
            </w:pPr>
            <w:r>
              <w:rPr>
                <w:spacing w:val="0"/>
                <w:w w:val="100"/>
                <w:kern w:val="2"/>
                <w:sz w:val="24"/>
                <w:szCs w:val="24"/>
                <w:highlight w:val="none"/>
                <w:lang w:val="en-US" w:bidi="ar-SA"/>
              </w:rPr>
              <w:t>投标人提供投标产品的技术参数完全满足或优于招标文件中的技术参数得</w:t>
            </w:r>
            <w:r>
              <w:rPr>
                <w:rFonts w:hint="eastAsia"/>
                <w:spacing w:val="0"/>
                <w:w w:val="100"/>
                <w:kern w:val="2"/>
                <w:sz w:val="24"/>
                <w:szCs w:val="24"/>
                <w:highlight w:val="none"/>
                <w:lang w:val="en-US" w:eastAsia="zh-CN" w:bidi="ar-SA"/>
              </w:rPr>
              <w:t>35</w:t>
            </w:r>
            <w:r>
              <w:rPr>
                <w:spacing w:val="0"/>
                <w:w w:val="100"/>
                <w:kern w:val="2"/>
                <w:sz w:val="24"/>
                <w:szCs w:val="24"/>
                <w:highlight w:val="none"/>
                <w:lang w:val="en-US" w:bidi="ar-SA"/>
              </w:rPr>
              <w:t>分。每不满足一个“</w:t>
            </w:r>
            <w:r>
              <w:rPr>
                <w:rFonts w:hint="eastAsia"/>
                <w:spacing w:val="0"/>
                <w:w w:val="100"/>
                <w:kern w:val="2"/>
                <w:sz w:val="24"/>
                <w:szCs w:val="24"/>
                <w:highlight w:val="none"/>
                <w:lang w:val="en-US" w:bidi="ar-SA"/>
              </w:rPr>
              <w:t>▲</w:t>
            </w:r>
            <w:r>
              <w:rPr>
                <w:spacing w:val="0"/>
                <w:w w:val="100"/>
                <w:kern w:val="2"/>
                <w:sz w:val="24"/>
                <w:szCs w:val="24"/>
                <w:highlight w:val="none"/>
                <w:lang w:val="en-US" w:bidi="ar-SA"/>
              </w:rPr>
              <w:t>”条款的，每个扣</w:t>
            </w:r>
            <w:r>
              <w:rPr>
                <w:rFonts w:hint="eastAsia"/>
                <w:spacing w:val="0"/>
                <w:w w:val="100"/>
                <w:kern w:val="2"/>
                <w:sz w:val="24"/>
                <w:szCs w:val="24"/>
                <w:highlight w:val="none"/>
                <w:lang w:val="en-US" w:eastAsia="zh-CN" w:bidi="ar-SA"/>
              </w:rPr>
              <w:t>4</w:t>
            </w:r>
            <w:r>
              <w:rPr>
                <w:spacing w:val="0"/>
                <w:w w:val="100"/>
                <w:kern w:val="2"/>
                <w:sz w:val="24"/>
                <w:szCs w:val="24"/>
                <w:highlight w:val="none"/>
                <w:lang w:val="en-US" w:bidi="ar-SA"/>
              </w:rPr>
              <w:t>分；每不满足一个非“</w:t>
            </w:r>
            <w:r>
              <w:rPr>
                <w:rFonts w:hint="eastAsia"/>
                <w:spacing w:val="0"/>
                <w:w w:val="100"/>
                <w:kern w:val="2"/>
                <w:sz w:val="24"/>
                <w:szCs w:val="24"/>
                <w:highlight w:val="none"/>
                <w:lang w:val="en-US" w:bidi="ar-SA"/>
              </w:rPr>
              <w:t>▲</w:t>
            </w:r>
            <w:r>
              <w:rPr>
                <w:spacing w:val="0"/>
                <w:w w:val="100"/>
                <w:kern w:val="2"/>
                <w:sz w:val="24"/>
                <w:szCs w:val="24"/>
                <w:highlight w:val="none"/>
                <w:lang w:val="en-US" w:bidi="ar-SA"/>
              </w:rPr>
              <w:t>”条款的，每个扣1分，扣完</w:t>
            </w:r>
            <w:r>
              <w:rPr>
                <w:rFonts w:hint="eastAsia"/>
                <w:spacing w:val="0"/>
                <w:w w:val="100"/>
                <w:kern w:val="2"/>
                <w:sz w:val="24"/>
                <w:szCs w:val="24"/>
                <w:highlight w:val="none"/>
                <w:lang w:val="en-US" w:bidi="ar-SA"/>
              </w:rPr>
              <w:t>为止</w:t>
            </w:r>
            <w:r>
              <w:rPr>
                <w:spacing w:val="0"/>
                <w:w w:val="100"/>
                <w:kern w:val="2"/>
                <w:sz w:val="24"/>
                <w:szCs w:val="24"/>
                <w:highlight w:val="none"/>
                <w:lang w:val="en-US" w:bidi="ar-SA"/>
              </w:rPr>
              <w:t>。</w:t>
            </w:r>
            <w:r>
              <w:rPr>
                <w:spacing w:val="0"/>
                <w:w w:val="100"/>
                <w:kern w:val="2"/>
                <w:sz w:val="24"/>
                <w:szCs w:val="24"/>
                <w:highlight w:val="none"/>
                <w:lang w:val="en-US" w:bidi="ar-SA"/>
              </w:rPr>
              <w:cr/>
            </w:r>
            <w:r>
              <w:rPr>
                <w:spacing w:val="0"/>
                <w:w w:val="100"/>
                <w:kern w:val="2"/>
                <w:sz w:val="24"/>
                <w:szCs w:val="24"/>
                <w:highlight w:val="none"/>
                <w:lang w:val="en-US" w:bidi="ar-SA"/>
              </w:rPr>
              <w:t>注：①技术参数中要求提供证明资料的，则响应文件中需提供对应的技术参数证明材料，否则</w:t>
            </w:r>
            <w:r>
              <w:rPr>
                <w:rFonts w:hint="eastAsia"/>
                <w:spacing w:val="0"/>
                <w:w w:val="100"/>
                <w:kern w:val="2"/>
                <w:sz w:val="24"/>
                <w:szCs w:val="24"/>
                <w:highlight w:val="none"/>
                <w:lang w:val="en-US" w:eastAsia="zh-CN" w:bidi="ar-SA"/>
              </w:rPr>
              <w:t>按负偏离处理</w:t>
            </w:r>
            <w:r>
              <w:rPr>
                <w:spacing w:val="0"/>
                <w:w w:val="100"/>
                <w:kern w:val="2"/>
                <w:sz w:val="24"/>
                <w:szCs w:val="24"/>
                <w:highlight w:val="none"/>
                <w:lang w:val="en-US" w:bidi="ar-SA"/>
              </w:rPr>
              <w:t>。</w:t>
            </w:r>
          </w:p>
        </w:tc>
        <w:tc>
          <w:tcPr>
            <w:tcW w:w="477" w:type="dxa"/>
            <w:vAlign w:val="center"/>
          </w:tcPr>
          <w:p w14:paraId="57DEC788">
            <w:pPr>
              <w:pageBreakBefore w:val="0"/>
              <w:kinsoku/>
              <w:overflowPunct/>
              <w:topLinePunct w:val="0"/>
              <w:bidi w:val="0"/>
              <w:spacing w:line="440" w:lineRule="exact"/>
              <w:ind w:firstLine="480" w:firstLineChars="200"/>
              <w:rPr>
                <w:rFonts w:ascii="宋体" w:hAnsi="宋体" w:eastAsia="宋体" w:cs="宋体"/>
                <w:dstrike/>
                <w:color w:val="auto"/>
                <w:spacing w:val="0"/>
                <w:w w:val="100"/>
                <w:sz w:val="24"/>
                <w:szCs w:val="24"/>
                <w:highlight w:val="none"/>
                <w:lang w:eastAsia="zh-CN"/>
              </w:rPr>
            </w:pPr>
          </w:p>
        </w:tc>
      </w:tr>
      <w:tr w14:paraId="34B2F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7" w:type="dxa"/>
            <w:vMerge w:val="continue"/>
            <w:vAlign w:val="center"/>
          </w:tcPr>
          <w:p w14:paraId="6C7A474C">
            <w:pPr>
              <w:pageBreakBefore w:val="0"/>
              <w:kinsoku/>
              <w:overflowPunct/>
              <w:topLinePunct w:val="0"/>
              <w:bidi w:val="0"/>
              <w:spacing w:line="440" w:lineRule="exact"/>
              <w:rPr>
                <w:rFonts w:ascii="宋体" w:hAnsi="宋体" w:eastAsia="宋体" w:cs="宋体"/>
                <w:color w:val="auto"/>
                <w:spacing w:val="0"/>
                <w:w w:val="100"/>
                <w:sz w:val="24"/>
                <w:szCs w:val="24"/>
                <w:highlight w:val="none"/>
                <w:lang w:eastAsia="zh-CN"/>
              </w:rPr>
            </w:pPr>
          </w:p>
        </w:tc>
        <w:tc>
          <w:tcPr>
            <w:tcW w:w="1227" w:type="dxa"/>
            <w:vMerge w:val="continue"/>
            <w:vAlign w:val="center"/>
          </w:tcPr>
          <w:p w14:paraId="1AB42690">
            <w:pPr>
              <w:pageBreakBefore w:val="0"/>
              <w:kinsoku/>
              <w:overflowPunct/>
              <w:topLinePunct w:val="0"/>
              <w:bidi w:val="0"/>
              <w:spacing w:line="440" w:lineRule="exact"/>
              <w:jc w:val="center"/>
              <w:rPr>
                <w:rFonts w:ascii="宋体" w:hAnsi="宋体" w:eastAsia="宋体" w:cs="宋体"/>
                <w:color w:val="auto"/>
                <w:spacing w:val="0"/>
                <w:w w:val="100"/>
                <w:sz w:val="24"/>
                <w:szCs w:val="24"/>
                <w:highlight w:val="none"/>
                <w:lang w:eastAsia="zh-CN"/>
              </w:rPr>
            </w:pPr>
          </w:p>
        </w:tc>
        <w:tc>
          <w:tcPr>
            <w:tcW w:w="1335" w:type="dxa"/>
            <w:vAlign w:val="center"/>
          </w:tcPr>
          <w:p w14:paraId="566CD401">
            <w:pPr>
              <w:keepLines/>
              <w:pageBreakBefore w:val="0"/>
              <w:kinsoku/>
              <w:overflowPunct/>
              <w:topLinePunct w:val="0"/>
              <w:autoSpaceDE w:val="0"/>
              <w:autoSpaceDN w:val="0"/>
              <w:bidi w:val="0"/>
              <w:spacing w:line="440" w:lineRule="exact"/>
              <w:rPr>
                <w:rFonts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kern w:val="2"/>
                <w:sz w:val="24"/>
                <w:szCs w:val="24"/>
                <w:highlight w:val="none"/>
                <w:lang w:eastAsia="zh-CN"/>
              </w:rPr>
              <w:t>供货方案（</w:t>
            </w:r>
            <w:r>
              <w:rPr>
                <w:rFonts w:hint="eastAsia" w:ascii="宋体" w:hAnsi="宋体" w:eastAsia="宋体" w:cs="宋体"/>
                <w:color w:val="auto"/>
                <w:spacing w:val="0"/>
                <w:w w:val="100"/>
                <w:kern w:val="2"/>
                <w:sz w:val="24"/>
                <w:szCs w:val="24"/>
                <w:highlight w:val="none"/>
                <w:lang w:val="en-US" w:eastAsia="zh-CN"/>
              </w:rPr>
              <w:t>10</w:t>
            </w:r>
            <w:r>
              <w:rPr>
                <w:rFonts w:hint="eastAsia" w:ascii="宋体" w:hAnsi="宋体" w:eastAsia="宋体" w:cs="宋体"/>
                <w:color w:val="auto"/>
                <w:spacing w:val="0"/>
                <w:w w:val="100"/>
                <w:kern w:val="2"/>
                <w:sz w:val="24"/>
                <w:szCs w:val="24"/>
                <w:highlight w:val="none"/>
                <w:lang w:eastAsia="zh-CN"/>
              </w:rPr>
              <w:t>分）</w:t>
            </w:r>
          </w:p>
        </w:tc>
        <w:tc>
          <w:tcPr>
            <w:tcW w:w="6534" w:type="dxa"/>
            <w:vAlign w:val="center"/>
          </w:tcPr>
          <w:p w14:paraId="741711C6">
            <w:pPr>
              <w:keepLines/>
              <w:pageBreakBefore w:val="0"/>
              <w:kinsoku/>
              <w:overflowPunct/>
              <w:topLinePunct w:val="0"/>
              <w:autoSpaceDE w:val="0"/>
              <w:autoSpaceDN w:val="0"/>
              <w:bidi w:val="0"/>
              <w:spacing w:line="440" w:lineRule="exact"/>
              <w:ind w:firstLine="240" w:firstLineChars="100"/>
              <w:jc w:val="left"/>
              <w:rPr>
                <w:rFonts w:hint="eastAsia" w:ascii="宋体" w:hAnsi="宋体" w:eastAsia="宋体" w:cs="宋体"/>
                <w:color w:val="auto"/>
                <w:spacing w:val="0"/>
                <w:w w:val="100"/>
                <w:kern w:val="2"/>
                <w:sz w:val="24"/>
                <w:szCs w:val="24"/>
                <w:highlight w:val="none"/>
                <w:lang w:val="zh-CN" w:eastAsia="zh-CN" w:bidi="zh-CN"/>
              </w:rPr>
            </w:pPr>
            <w:r>
              <w:rPr>
                <w:rFonts w:hint="eastAsia" w:ascii="宋体" w:hAnsi="宋体" w:eastAsia="宋体" w:cs="宋体"/>
                <w:color w:val="auto"/>
                <w:spacing w:val="0"/>
                <w:w w:val="100"/>
                <w:kern w:val="2"/>
                <w:sz w:val="24"/>
                <w:szCs w:val="24"/>
                <w:highlight w:val="none"/>
                <w:lang w:val="zh-CN" w:eastAsia="zh-CN" w:bidi="zh-CN"/>
              </w:rPr>
              <w:t>根据供应商制定的供货方案包含但不限于以下内容：</w:t>
            </w:r>
          </w:p>
          <w:p w14:paraId="1C1AFE5A">
            <w:pPr>
              <w:keepLines/>
              <w:pageBreakBefore w:val="0"/>
              <w:kinsoku/>
              <w:overflowPunct/>
              <w:topLinePunct w:val="0"/>
              <w:autoSpaceDE w:val="0"/>
              <w:autoSpaceDN w:val="0"/>
              <w:bidi w:val="0"/>
              <w:spacing w:line="440" w:lineRule="exact"/>
              <w:ind w:firstLine="240" w:firstLineChars="100"/>
              <w:jc w:val="left"/>
              <w:rPr>
                <w:rFonts w:ascii="宋体" w:hAnsi="宋体" w:eastAsia="宋体" w:cs="宋体"/>
                <w:color w:val="auto"/>
                <w:spacing w:val="0"/>
                <w:w w:val="100"/>
                <w:kern w:val="2"/>
                <w:sz w:val="24"/>
                <w:szCs w:val="24"/>
                <w:highlight w:val="none"/>
                <w:lang w:val="zh-CN" w:eastAsia="zh-CN" w:bidi="zh-CN"/>
              </w:rPr>
            </w:pPr>
            <w:r>
              <w:rPr>
                <w:rFonts w:hint="eastAsia" w:ascii="宋体" w:hAnsi="宋体" w:eastAsia="宋体" w:cs="宋体"/>
                <w:color w:val="auto"/>
                <w:spacing w:val="0"/>
                <w:w w:val="100"/>
                <w:kern w:val="2"/>
                <w:sz w:val="24"/>
                <w:szCs w:val="24"/>
                <w:highlight w:val="none"/>
                <w:lang w:val="zh-CN" w:eastAsia="zh-CN" w:bidi="zh-CN"/>
              </w:rPr>
              <w:t>供货运输配送方案、供货进度控制及保证措施、供货安全保证措施、产品的检验和质量保证措施等进行综合评分：</w:t>
            </w:r>
          </w:p>
          <w:p w14:paraId="7BF7CF1E">
            <w:pPr>
              <w:keepLines/>
              <w:pageBreakBefore w:val="0"/>
              <w:kinsoku/>
              <w:overflowPunct/>
              <w:topLinePunct w:val="0"/>
              <w:autoSpaceDE w:val="0"/>
              <w:autoSpaceDN w:val="0"/>
              <w:bidi w:val="0"/>
              <w:spacing w:line="440" w:lineRule="exact"/>
              <w:ind w:firstLine="240" w:firstLineChars="100"/>
              <w:jc w:val="left"/>
              <w:rPr>
                <w:rFonts w:ascii="宋体" w:hAnsi="宋体" w:eastAsia="宋体" w:cs="宋体"/>
                <w:color w:val="auto"/>
                <w:spacing w:val="0"/>
                <w:w w:val="100"/>
                <w:kern w:val="2"/>
                <w:sz w:val="24"/>
                <w:szCs w:val="24"/>
                <w:highlight w:val="none"/>
                <w:lang w:val="zh-CN" w:eastAsia="zh-CN" w:bidi="zh-CN"/>
              </w:rPr>
            </w:pPr>
            <w:r>
              <w:rPr>
                <w:rFonts w:hint="eastAsia" w:ascii="宋体" w:hAnsi="宋体" w:eastAsia="宋体" w:cs="宋体"/>
                <w:color w:val="auto"/>
                <w:spacing w:val="0"/>
                <w:w w:val="100"/>
                <w:kern w:val="2"/>
                <w:sz w:val="24"/>
                <w:szCs w:val="24"/>
                <w:highlight w:val="none"/>
                <w:lang w:val="zh-CN" w:eastAsia="zh-CN" w:bidi="zh-CN"/>
              </w:rPr>
              <w:t>①供货方案安排非常科学，可操作性强，人员安排非常合理，运输过程保证措施非常可靠，完全满足或优于用户需求的得</w:t>
            </w:r>
            <w:r>
              <w:rPr>
                <w:rFonts w:hint="eastAsia" w:ascii="宋体" w:hAnsi="宋体" w:eastAsia="宋体" w:cs="宋体"/>
                <w:color w:val="auto"/>
                <w:spacing w:val="0"/>
                <w:w w:val="100"/>
                <w:kern w:val="2"/>
                <w:sz w:val="24"/>
                <w:szCs w:val="24"/>
                <w:highlight w:val="none"/>
                <w:lang w:val="en-US" w:eastAsia="zh-CN" w:bidi="zh-CN"/>
              </w:rPr>
              <w:t>10</w:t>
            </w:r>
            <w:r>
              <w:rPr>
                <w:rFonts w:hint="eastAsia" w:ascii="宋体" w:hAnsi="宋体" w:eastAsia="宋体" w:cs="宋体"/>
                <w:color w:val="auto"/>
                <w:spacing w:val="0"/>
                <w:w w:val="100"/>
                <w:kern w:val="2"/>
                <w:sz w:val="24"/>
                <w:szCs w:val="24"/>
                <w:highlight w:val="none"/>
                <w:lang w:val="zh-CN" w:eastAsia="zh-CN" w:bidi="zh-CN"/>
              </w:rPr>
              <w:t>分；</w:t>
            </w:r>
          </w:p>
          <w:p w14:paraId="5A6F4785">
            <w:pPr>
              <w:keepLines/>
              <w:pageBreakBefore w:val="0"/>
              <w:kinsoku/>
              <w:overflowPunct/>
              <w:topLinePunct w:val="0"/>
              <w:autoSpaceDE w:val="0"/>
              <w:autoSpaceDN w:val="0"/>
              <w:bidi w:val="0"/>
              <w:spacing w:line="440" w:lineRule="exact"/>
              <w:ind w:firstLine="240" w:firstLineChars="100"/>
              <w:jc w:val="left"/>
              <w:rPr>
                <w:rFonts w:ascii="宋体" w:hAnsi="宋体" w:eastAsia="宋体" w:cs="宋体"/>
                <w:color w:val="auto"/>
                <w:spacing w:val="0"/>
                <w:w w:val="100"/>
                <w:kern w:val="2"/>
                <w:sz w:val="24"/>
                <w:szCs w:val="24"/>
                <w:highlight w:val="none"/>
                <w:lang w:val="zh-CN" w:eastAsia="zh-CN" w:bidi="zh-CN"/>
              </w:rPr>
            </w:pPr>
            <w:r>
              <w:rPr>
                <w:rFonts w:hint="eastAsia" w:ascii="宋体" w:hAnsi="宋体" w:eastAsia="宋体" w:cs="宋体"/>
                <w:color w:val="auto"/>
                <w:spacing w:val="0"/>
                <w:w w:val="100"/>
                <w:kern w:val="2"/>
                <w:sz w:val="24"/>
                <w:szCs w:val="24"/>
                <w:highlight w:val="none"/>
                <w:lang w:val="zh-CN" w:eastAsia="zh-CN" w:bidi="zh-CN"/>
              </w:rPr>
              <w:t>②供货方案安排比较科学，可操作性较强，人员安排较为合理，运输过程保证措施比较可靠，满足用户需求的得</w:t>
            </w:r>
            <w:r>
              <w:rPr>
                <w:rFonts w:hint="eastAsia" w:cs="宋体"/>
                <w:color w:val="auto"/>
                <w:spacing w:val="0"/>
                <w:w w:val="100"/>
                <w:kern w:val="2"/>
                <w:sz w:val="24"/>
                <w:szCs w:val="24"/>
                <w:highlight w:val="none"/>
                <w:lang w:val="en-US" w:eastAsia="zh-CN" w:bidi="zh-CN"/>
              </w:rPr>
              <w:t>7</w:t>
            </w:r>
            <w:r>
              <w:rPr>
                <w:rFonts w:hint="eastAsia" w:ascii="宋体" w:hAnsi="宋体" w:eastAsia="宋体" w:cs="宋体"/>
                <w:color w:val="auto"/>
                <w:spacing w:val="0"/>
                <w:w w:val="100"/>
                <w:kern w:val="2"/>
                <w:sz w:val="24"/>
                <w:szCs w:val="24"/>
                <w:highlight w:val="none"/>
                <w:lang w:val="zh-CN" w:eastAsia="zh-CN" w:bidi="zh-CN"/>
              </w:rPr>
              <w:t>分；</w:t>
            </w:r>
          </w:p>
          <w:p w14:paraId="277084FE">
            <w:pPr>
              <w:keepLines/>
              <w:pageBreakBefore w:val="0"/>
              <w:kinsoku/>
              <w:overflowPunct/>
              <w:topLinePunct w:val="0"/>
              <w:autoSpaceDE w:val="0"/>
              <w:autoSpaceDN w:val="0"/>
              <w:bidi w:val="0"/>
              <w:spacing w:line="440" w:lineRule="exact"/>
              <w:ind w:firstLine="240" w:firstLineChars="100"/>
              <w:jc w:val="left"/>
              <w:rPr>
                <w:rFonts w:ascii="宋体" w:hAnsi="宋体" w:eastAsia="宋体" w:cs="宋体"/>
                <w:color w:val="auto"/>
                <w:spacing w:val="0"/>
                <w:w w:val="100"/>
                <w:kern w:val="2"/>
                <w:sz w:val="24"/>
                <w:szCs w:val="24"/>
                <w:highlight w:val="none"/>
                <w:lang w:val="zh-CN" w:eastAsia="zh-CN" w:bidi="zh-CN"/>
              </w:rPr>
            </w:pPr>
            <w:r>
              <w:rPr>
                <w:rFonts w:hint="eastAsia" w:ascii="宋体" w:hAnsi="宋体" w:eastAsia="宋体" w:cs="宋体"/>
                <w:color w:val="auto"/>
                <w:spacing w:val="0"/>
                <w:w w:val="100"/>
                <w:kern w:val="2"/>
                <w:sz w:val="24"/>
                <w:szCs w:val="24"/>
                <w:highlight w:val="none"/>
                <w:lang w:val="zh-CN" w:eastAsia="zh-CN" w:bidi="zh-CN"/>
              </w:rPr>
              <w:t>③供货方案安排基本合理，具有一定可操作性，人员安排基本合理，运输过程保证措施基本可靠，基本满足用户需求的得</w:t>
            </w:r>
            <w:r>
              <w:rPr>
                <w:rFonts w:hint="eastAsia" w:cs="宋体"/>
                <w:color w:val="auto"/>
                <w:spacing w:val="0"/>
                <w:w w:val="100"/>
                <w:kern w:val="2"/>
                <w:sz w:val="24"/>
                <w:szCs w:val="24"/>
                <w:highlight w:val="none"/>
                <w:lang w:val="en-US" w:eastAsia="zh-CN" w:bidi="zh-CN"/>
              </w:rPr>
              <w:t>4</w:t>
            </w:r>
            <w:r>
              <w:rPr>
                <w:rFonts w:hint="eastAsia" w:ascii="宋体" w:hAnsi="宋体" w:eastAsia="宋体" w:cs="宋体"/>
                <w:color w:val="auto"/>
                <w:spacing w:val="0"/>
                <w:w w:val="100"/>
                <w:kern w:val="2"/>
                <w:sz w:val="24"/>
                <w:szCs w:val="24"/>
                <w:highlight w:val="none"/>
                <w:lang w:val="zh-CN" w:eastAsia="zh-CN" w:bidi="zh-CN"/>
              </w:rPr>
              <w:t>分；</w:t>
            </w:r>
          </w:p>
          <w:p w14:paraId="2EB4A07C">
            <w:pPr>
              <w:keepLines/>
              <w:pageBreakBefore w:val="0"/>
              <w:widowControl w:val="0"/>
              <w:kinsoku/>
              <w:overflowPunct/>
              <w:topLinePunct w:val="0"/>
              <w:autoSpaceDE w:val="0"/>
              <w:autoSpaceDN w:val="0"/>
              <w:bidi w:val="0"/>
              <w:spacing w:line="440" w:lineRule="exact"/>
              <w:ind w:firstLine="240" w:firstLineChars="100"/>
              <w:rPr>
                <w:rFonts w:ascii="宋体" w:hAnsi="宋体" w:eastAsia="宋体" w:cs="宋体"/>
                <w:color w:val="auto"/>
                <w:spacing w:val="0"/>
                <w:w w:val="100"/>
                <w:sz w:val="24"/>
                <w:highlight w:val="none"/>
                <w:lang w:eastAsia="zh-CN"/>
              </w:rPr>
            </w:pPr>
            <w:r>
              <w:rPr>
                <w:rFonts w:hint="eastAsia" w:ascii="宋体" w:hAnsi="宋体" w:eastAsia="宋体" w:cs="宋体"/>
                <w:color w:val="auto"/>
                <w:spacing w:val="0"/>
                <w:w w:val="100"/>
                <w:kern w:val="2"/>
                <w:sz w:val="24"/>
                <w:szCs w:val="24"/>
                <w:highlight w:val="none"/>
                <w:lang w:val="zh-CN" w:eastAsia="zh-CN" w:bidi="zh-CN"/>
              </w:rPr>
              <w:t>④不提供方案不得分。</w:t>
            </w:r>
          </w:p>
        </w:tc>
        <w:tc>
          <w:tcPr>
            <w:tcW w:w="477" w:type="dxa"/>
            <w:vAlign w:val="center"/>
          </w:tcPr>
          <w:p w14:paraId="4DB321A4">
            <w:pPr>
              <w:pageBreakBefore w:val="0"/>
              <w:kinsoku/>
              <w:overflowPunct/>
              <w:topLinePunct w:val="0"/>
              <w:bidi w:val="0"/>
              <w:spacing w:line="440" w:lineRule="exact"/>
              <w:ind w:firstLine="480" w:firstLineChars="200"/>
              <w:rPr>
                <w:rFonts w:ascii="宋体" w:hAnsi="宋体" w:eastAsia="宋体" w:cs="宋体"/>
                <w:dstrike/>
                <w:color w:val="auto"/>
                <w:spacing w:val="0"/>
                <w:w w:val="100"/>
                <w:sz w:val="24"/>
                <w:szCs w:val="24"/>
                <w:highlight w:val="none"/>
                <w:lang w:eastAsia="zh-CN"/>
              </w:rPr>
            </w:pPr>
          </w:p>
        </w:tc>
      </w:tr>
      <w:tr w14:paraId="7816F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7" w:type="dxa"/>
            <w:vMerge w:val="continue"/>
            <w:vAlign w:val="center"/>
          </w:tcPr>
          <w:p w14:paraId="1C3A630E">
            <w:pPr>
              <w:pageBreakBefore w:val="0"/>
              <w:kinsoku/>
              <w:overflowPunct/>
              <w:topLinePunct w:val="0"/>
              <w:bidi w:val="0"/>
              <w:spacing w:line="440" w:lineRule="exact"/>
              <w:rPr>
                <w:rFonts w:ascii="宋体" w:hAnsi="宋体" w:eastAsia="宋体" w:cs="宋体"/>
                <w:color w:val="auto"/>
                <w:spacing w:val="0"/>
                <w:w w:val="100"/>
                <w:sz w:val="24"/>
                <w:szCs w:val="24"/>
                <w:highlight w:val="none"/>
                <w:lang w:eastAsia="zh-CN"/>
              </w:rPr>
            </w:pPr>
          </w:p>
        </w:tc>
        <w:tc>
          <w:tcPr>
            <w:tcW w:w="1227" w:type="dxa"/>
            <w:vMerge w:val="continue"/>
            <w:vAlign w:val="center"/>
          </w:tcPr>
          <w:p w14:paraId="01C6ED90">
            <w:pPr>
              <w:pageBreakBefore w:val="0"/>
              <w:kinsoku/>
              <w:overflowPunct/>
              <w:topLinePunct w:val="0"/>
              <w:bidi w:val="0"/>
              <w:spacing w:line="440" w:lineRule="exact"/>
              <w:jc w:val="center"/>
              <w:rPr>
                <w:rFonts w:ascii="宋体" w:hAnsi="宋体" w:eastAsia="宋体" w:cs="宋体"/>
                <w:color w:val="auto"/>
                <w:spacing w:val="0"/>
                <w:w w:val="100"/>
                <w:sz w:val="24"/>
                <w:szCs w:val="24"/>
                <w:highlight w:val="none"/>
              </w:rPr>
            </w:pPr>
          </w:p>
        </w:tc>
        <w:tc>
          <w:tcPr>
            <w:tcW w:w="1335" w:type="dxa"/>
            <w:vAlign w:val="center"/>
          </w:tcPr>
          <w:p w14:paraId="1A0B8541">
            <w:pPr>
              <w:keepLines/>
              <w:pageBreakBefore w:val="0"/>
              <w:kinsoku/>
              <w:overflowPunct/>
              <w:topLinePunct w:val="0"/>
              <w:autoSpaceDE w:val="0"/>
              <w:autoSpaceDN w:val="0"/>
              <w:bidi w:val="0"/>
              <w:spacing w:line="440" w:lineRule="exact"/>
              <w:rPr>
                <w:rFonts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kern w:val="2"/>
                <w:sz w:val="24"/>
                <w:szCs w:val="24"/>
                <w:highlight w:val="none"/>
                <w:lang w:eastAsia="zh-CN"/>
              </w:rPr>
              <w:t>服务方案（</w:t>
            </w:r>
            <w:r>
              <w:rPr>
                <w:rFonts w:hint="eastAsia" w:ascii="宋体" w:hAnsi="宋体" w:cs="宋体"/>
                <w:color w:val="auto"/>
                <w:spacing w:val="0"/>
                <w:w w:val="100"/>
                <w:kern w:val="2"/>
                <w:sz w:val="24"/>
                <w:szCs w:val="24"/>
                <w:highlight w:val="none"/>
                <w:lang w:val="en-US" w:eastAsia="zh-CN"/>
              </w:rPr>
              <w:t>5</w:t>
            </w:r>
            <w:r>
              <w:rPr>
                <w:rFonts w:hint="eastAsia" w:ascii="宋体" w:hAnsi="宋体" w:eastAsia="宋体" w:cs="宋体"/>
                <w:color w:val="auto"/>
                <w:spacing w:val="0"/>
                <w:w w:val="100"/>
                <w:kern w:val="2"/>
                <w:sz w:val="24"/>
                <w:szCs w:val="24"/>
                <w:highlight w:val="none"/>
                <w:lang w:eastAsia="zh-CN"/>
              </w:rPr>
              <w:t>分）</w:t>
            </w:r>
          </w:p>
        </w:tc>
        <w:tc>
          <w:tcPr>
            <w:tcW w:w="6534" w:type="dxa"/>
            <w:vAlign w:val="center"/>
          </w:tcPr>
          <w:p w14:paraId="484DED68">
            <w:pPr>
              <w:keepLines/>
              <w:pageBreakBefore w:val="0"/>
              <w:kinsoku/>
              <w:overflowPunct/>
              <w:topLinePunct w:val="0"/>
              <w:autoSpaceDE w:val="0"/>
              <w:autoSpaceDN w:val="0"/>
              <w:bidi w:val="0"/>
              <w:spacing w:line="440" w:lineRule="exact"/>
              <w:jc w:val="left"/>
              <w:rPr>
                <w:rFonts w:ascii="宋体" w:hAnsi="宋体" w:eastAsia="宋体" w:cs="宋体"/>
                <w:color w:val="auto"/>
                <w:spacing w:val="0"/>
                <w:w w:val="100"/>
                <w:kern w:val="2"/>
                <w:sz w:val="24"/>
                <w:szCs w:val="24"/>
                <w:highlight w:val="none"/>
                <w:lang w:val="zh-CN" w:eastAsia="zh-CN" w:bidi="zh-CN"/>
              </w:rPr>
            </w:pPr>
            <w:r>
              <w:rPr>
                <w:rFonts w:hint="eastAsia" w:ascii="宋体" w:hAnsi="宋体" w:eastAsia="宋体" w:cs="宋体"/>
                <w:color w:val="auto"/>
                <w:spacing w:val="0"/>
                <w:w w:val="100"/>
                <w:kern w:val="2"/>
                <w:sz w:val="24"/>
                <w:szCs w:val="24"/>
                <w:highlight w:val="none"/>
                <w:lang w:val="zh-CN" w:eastAsia="zh-CN" w:bidi="zh-CN"/>
              </w:rPr>
              <w:t>根据供应商制定售后服务方案，包括但不限于（1）售后服务电话及维修响应时间；（2）售后服务内容与范围；（3）售后服务团队与服务；（</w:t>
            </w:r>
            <w:r>
              <w:rPr>
                <w:rFonts w:hint="eastAsia" w:ascii="宋体" w:hAnsi="宋体" w:eastAsia="宋体" w:cs="宋体"/>
                <w:color w:val="auto"/>
                <w:spacing w:val="0"/>
                <w:w w:val="100"/>
                <w:kern w:val="2"/>
                <w:sz w:val="24"/>
                <w:szCs w:val="24"/>
                <w:highlight w:val="none"/>
                <w:lang w:val="en-US" w:eastAsia="zh-CN" w:bidi="zh-CN"/>
              </w:rPr>
              <w:t>4</w:t>
            </w:r>
            <w:r>
              <w:rPr>
                <w:rFonts w:hint="eastAsia" w:ascii="宋体" w:hAnsi="宋体" w:eastAsia="宋体" w:cs="宋体"/>
                <w:color w:val="auto"/>
                <w:spacing w:val="0"/>
                <w:w w:val="100"/>
                <w:kern w:val="2"/>
                <w:sz w:val="24"/>
                <w:szCs w:val="24"/>
                <w:highlight w:val="none"/>
                <w:lang w:val="zh-CN" w:eastAsia="zh-CN" w:bidi="zh-CN"/>
              </w:rPr>
              <w:t>）产品质量问题处理方案；（</w:t>
            </w:r>
            <w:r>
              <w:rPr>
                <w:rFonts w:hint="eastAsia" w:ascii="宋体" w:hAnsi="宋体" w:eastAsia="宋体" w:cs="宋体"/>
                <w:color w:val="auto"/>
                <w:spacing w:val="0"/>
                <w:w w:val="100"/>
                <w:kern w:val="2"/>
                <w:sz w:val="24"/>
                <w:szCs w:val="24"/>
                <w:highlight w:val="none"/>
                <w:lang w:val="en-US" w:eastAsia="zh-CN" w:bidi="zh-CN"/>
              </w:rPr>
              <w:t>5</w:t>
            </w:r>
            <w:r>
              <w:rPr>
                <w:rFonts w:hint="eastAsia" w:ascii="宋体" w:hAnsi="宋体" w:eastAsia="宋体" w:cs="宋体"/>
                <w:color w:val="auto"/>
                <w:spacing w:val="0"/>
                <w:w w:val="100"/>
                <w:kern w:val="2"/>
                <w:sz w:val="24"/>
                <w:szCs w:val="24"/>
                <w:highlight w:val="none"/>
                <w:lang w:val="zh-CN" w:eastAsia="zh-CN" w:bidi="zh-CN"/>
              </w:rPr>
              <w:t>）应急预案等进行综合评审:</w:t>
            </w:r>
          </w:p>
          <w:p w14:paraId="2C7C7B04">
            <w:pPr>
              <w:keepLines/>
              <w:pageBreakBefore w:val="0"/>
              <w:kinsoku/>
              <w:overflowPunct/>
              <w:topLinePunct w:val="0"/>
              <w:autoSpaceDE w:val="0"/>
              <w:autoSpaceDN w:val="0"/>
              <w:bidi w:val="0"/>
              <w:spacing w:line="440" w:lineRule="exact"/>
              <w:jc w:val="left"/>
              <w:rPr>
                <w:rFonts w:ascii="宋体" w:hAnsi="宋体" w:eastAsia="宋体" w:cs="宋体"/>
                <w:color w:val="auto"/>
                <w:spacing w:val="0"/>
                <w:w w:val="100"/>
                <w:kern w:val="2"/>
                <w:sz w:val="24"/>
                <w:szCs w:val="24"/>
                <w:highlight w:val="none"/>
                <w:lang w:val="zh-CN" w:eastAsia="zh-CN" w:bidi="zh-CN"/>
              </w:rPr>
            </w:pPr>
            <w:r>
              <w:rPr>
                <w:rFonts w:hint="eastAsia" w:ascii="宋体" w:hAnsi="宋体" w:eastAsia="宋体" w:cs="宋体"/>
                <w:color w:val="auto"/>
                <w:spacing w:val="0"/>
                <w:w w:val="100"/>
                <w:kern w:val="2"/>
                <w:sz w:val="24"/>
                <w:szCs w:val="24"/>
                <w:highlight w:val="none"/>
                <w:lang w:val="zh-CN" w:eastAsia="zh-CN" w:bidi="zh-CN"/>
              </w:rPr>
              <w:t>①方案具体、能详细描述方案实施、可行性与合理性程度高得</w:t>
            </w:r>
            <w:r>
              <w:rPr>
                <w:rFonts w:hint="eastAsia" w:ascii="宋体" w:hAnsi="宋体" w:eastAsia="宋体" w:cs="宋体"/>
                <w:color w:val="auto"/>
                <w:spacing w:val="0"/>
                <w:w w:val="100"/>
                <w:kern w:val="2"/>
                <w:sz w:val="24"/>
                <w:szCs w:val="24"/>
                <w:highlight w:val="none"/>
                <w:lang w:val="en-US" w:eastAsia="zh-CN" w:bidi="zh-CN"/>
              </w:rPr>
              <w:t>5</w:t>
            </w:r>
            <w:r>
              <w:rPr>
                <w:rFonts w:hint="eastAsia" w:ascii="宋体" w:hAnsi="宋体" w:eastAsia="宋体" w:cs="宋体"/>
                <w:color w:val="auto"/>
                <w:spacing w:val="0"/>
                <w:w w:val="100"/>
                <w:kern w:val="2"/>
                <w:sz w:val="24"/>
                <w:szCs w:val="24"/>
                <w:highlight w:val="none"/>
                <w:lang w:val="zh-CN" w:eastAsia="zh-CN" w:bidi="zh-CN"/>
              </w:rPr>
              <w:t>分；</w:t>
            </w:r>
          </w:p>
          <w:p w14:paraId="5550E4AF">
            <w:pPr>
              <w:keepLines/>
              <w:pageBreakBefore w:val="0"/>
              <w:kinsoku/>
              <w:overflowPunct/>
              <w:topLinePunct w:val="0"/>
              <w:autoSpaceDE w:val="0"/>
              <w:autoSpaceDN w:val="0"/>
              <w:bidi w:val="0"/>
              <w:spacing w:line="440" w:lineRule="exact"/>
              <w:jc w:val="left"/>
              <w:rPr>
                <w:rFonts w:ascii="宋体" w:hAnsi="宋体" w:eastAsia="宋体" w:cs="宋体"/>
                <w:color w:val="auto"/>
                <w:spacing w:val="0"/>
                <w:w w:val="100"/>
                <w:kern w:val="2"/>
                <w:sz w:val="24"/>
                <w:szCs w:val="24"/>
                <w:highlight w:val="none"/>
                <w:lang w:val="zh-CN" w:eastAsia="zh-CN" w:bidi="zh-CN"/>
              </w:rPr>
            </w:pPr>
            <w:r>
              <w:rPr>
                <w:rFonts w:hint="eastAsia" w:ascii="宋体" w:hAnsi="宋体" w:eastAsia="宋体" w:cs="宋体"/>
                <w:color w:val="auto"/>
                <w:spacing w:val="0"/>
                <w:w w:val="100"/>
                <w:kern w:val="2"/>
                <w:sz w:val="24"/>
                <w:szCs w:val="24"/>
                <w:highlight w:val="none"/>
                <w:lang w:val="zh-CN" w:eastAsia="zh-CN" w:bidi="zh-CN"/>
              </w:rPr>
              <w:t>②方案较具体、能较好实施、可行性与合理性较好得</w:t>
            </w:r>
            <w:r>
              <w:rPr>
                <w:rFonts w:hint="eastAsia" w:ascii="宋体" w:hAnsi="宋体" w:eastAsia="宋体" w:cs="宋体"/>
                <w:color w:val="auto"/>
                <w:spacing w:val="0"/>
                <w:w w:val="100"/>
                <w:kern w:val="2"/>
                <w:sz w:val="24"/>
                <w:szCs w:val="24"/>
                <w:highlight w:val="none"/>
                <w:lang w:val="en-US" w:eastAsia="zh-CN" w:bidi="zh-CN"/>
              </w:rPr>
              <w:t>3</w:t>
            </w:r>
            <w:r>
              <w:rPr>
                <w:rFonts w:hint="eastAsia" w:ascii="宋体" w:hAnsi="宋体" w:eastAsia="宋体" w:cs="宋体"/>
                <w:color w:val="auto"/>
                <w:spacing w:val="0"/>
                <w:w w:val="100"/>
                <w:kern w:val="2"/>
                <w:sz w:val="24"/>
                <w:szCs w:val="24"/>
                <w:highlight w:val="none"/>
                <w:lang w:val="zh-CN" w:eastAsia="zh-CN" w:bidi="zh-CN"/>
              </w:rPr>
              <w:t>分；</w:t>
            </w:r>
          </w:p>
          <w:p w14:paraId="68DDD8AD">
            <w:pPr>
              <w:keepLines/>
              <w:pageBreakBefore w:val="0"/>
              <w:kinsoku/>
              <w:overflowPunct/>
              <w:topLinePunct w:val="0"/>
              <w:autoSpaceDE w:val="0"/>
              <w:autoSpaceDN w:val="0"/>
              <w:bidi w:val="0"/>
              <w:spacing w:line="440" w:lineRule="exact"/>
              <w:jc w:val="left"/>
              <w:rPr>
                <w:rFonts w:ascii="宋体" w:hAnsi="宋体" w:eastAsia="宋体" w:cs="宋体"/>
                <w:color w:val="auto"/>
                <w:spacing w:val="0"/>
                <w:w w:val="100"/>
                <w:kern w:val="2"/>
                <w:sz w:val="24"/>
                <w:szCs w:val="24"/>
                <w:highlight w:val="none"/>
                <w:lang w:val="zh-CN" w:eastAsia="zh-CN" w:bidi="zh-CN"/>
              </w:rPr>
            </w:pPr>
            <w:r>
              <w:rPr>
                <w:rFonts w:hint="eastAsia" w:ascii="宋体" w:hAnsi="宋体" w:eastAsia="宋体" w:cs="宋体"/>
                <w:color w:val="auto"/>
                <w:spacing w:val="0"/>
                <w:w w:val="100"/>
                <w:kern w:val="2"/>
                <w:sz w:val="24"/>
                <w:szCs w:val="24"/>
                <w:highlight w:val="none"/>
                <w:lang w:val="zh-CN" w:eastAsia="zh-CN" w:bidi="zh-CN"/>
              </w:rPr>
              <w:t>③方案</w:t>
            </w:r>
            <w:r>
              <w:rPr>
                <w:rFonts w:hint="eastAsia" w:ascii="宋体" w:hAnsi="宋体" w:eastAsia="宋体" w:cs="宋体"/>
                <w:color w:val="auto"/>
                <w:spacing w:val="0"/>
                <w:w w:val="100"/>
                <w:kern w:val="2"/>
                <w:sz w:val="24"/>
                <w:szCs w:val="24"/>
                <w:highlight w:val="none"/>
                <w:lang w:val="en-US" w:eastAsia="zh-CN" w:bidi="zh-CN"/>
              </w:rPr>
              <w:t>不具体</w:t>
            </w:r>
            <w:r>
              <w:rPr>
                <w:rFonts w:hint="eastAsia" w:ascii="宋体" w:hAnsi="宋体" w:eastAsia="宋体" w:cs="宋体"/>
                <w:color w:val="auto"/>
                <w:spacing w:val="0"/>
                <w:w w:val="100"/>
                <w:kern w:val="2"/>
                <w:sz w:val="24"/>
                <w:szCs w:val="24"/>
                <w:highlight w:val="none"/>
                <w:lang w:val="zh-CN" w:eastAsia="zh-CN" w:bidi="zh-CN"/>
              </w:rPr>
              <w:t>，可行性与合理性一般得</w:t>
            </w:r>
            <w:r>
              <w:rPr>
                <w:rFonts w:hint="eastAsia" w:ascii="宋体" w:hAnsi="宋体" w:eastAsia="宋体" w:cs="宋体"/>
                <w:color w:val="auto"/>
                <w:spacing w:val="0"/>
                <w:w w:val="100"/>
                <w:kern w:val="2"/>
                <w:sz w:val="24"/>
                <w:szCs w:val="24"/>
                <w:highlight w:val="none"/>
                <w:lang w:val="en-US" w:eastAsia="zh-CN" w:bidi="zh-CN"/>
              </w:rPr>
              <w:t>1</w:t>
            </w:r>
            <w:r>
              <w:rPr>
                <w:rFonts w:hint="eastAsia" w:ascii="宋体" w:hAnsi="宋体" w:eastAsia="宋体" w:cs="宋体"/>
                <w:color w:val="auto"/>
                <w:spacing w:val="0"/>
                <w:w w:val="100"/>
                <w:kern w:val="2"/>
                <w:sz w:val="24"/>
                <w:szCs w:val="24"/>
                <w:highlight w:val="none"/>
                <w:lang w:val="zh-CN" w:eastAsia="zh-CN" w:bidi="zh-CN"/>
              </w:rPr>
              <w:t>分；</w:t>
            </w:r>
          </w:p>
          <w:p w14:paraId="4ED83D34">
            <w:pPr>
              <w:keepLines/>
              <w:pageBreakBefore w:val="0"/>
              <w:kinsoku/>
              <w:overflowPunct/>
              <w:topLinePunct w:val="0"/>
              <w:autoSpaceDE w:val="0"/>
              <w:autoSpaceDN w:val="0"/>
              <w:bidi w:val="0"/>
              <w:spacing w:line="440" w:lineRule="exact"/>
              <w:jc w:val="left"/>
              <w:rPr>
                <w:rFonts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kern w:val="2"/>
                <w:sz w:val="24"/>
                <w:szCs w:val="24"/>
                <w:highlight w:val="none"/>
                <w:lang w:val="zh-CN" w:eastAsia="zh-CN" w:bidi="zh-CN"/>
              </w:rPr>
              <w:t>④不提供方案不得分。</w:t>
            </w:r>
          </w:p>
        </w:tc>
        <w:tc>
          <w:tcPr>
            <w:tcW w:w="477" w:type="dxa"/>
            <w:vAlign w:val="center"/>
          </w:tcPr>
          <w:p w14:paraId="636F9F01">
            <w:pPr>
              <w:pageBreakBefore w:val="0"/>
              <w:kinsoku/>
              <w:overflowPunct/>
              <w:topLinePunct w:val="0"/>
              <w:bidi w:val="0"/>
              <w:spacing w:line="440" w:lineRule="exact"/>
              <w:ind w:firstLine="480" w:firstLineChars="200"/>
              <w:rPr>
                <w:rFonts w:ascii="宋体" w:hAnsi="宋体" w:eastAsia="宋体" w:cs="宋体"/>
                <w:dstrike/>
                <w:color w:val="auto"/>
                <w:spacing w:val="0"/>
                <w:w w:val="100"/>
                <w:sz w:val="24"/>
                <w:szCs w:val="24"/>
                <w:highlight w:val="none"/>
                <w:lang w:eastAsia="zh-CN"/>
              </w:rPr>
            </w:pPr>
          </w:p>
        </w:tc>
      </w:tr>
      <w:tr w14:paraId="72B56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7" w:type="dxa"/>
            <w:vMerge w:val="restart"/>
            <w:vAlign w:val="center"/>
          </w:tcPr>
          <w:p w14:paraId="2101E7FA">
            <w:pPr>
              <w:pageBreakBefore w:val="0"/>
              <w:kinsoku/>
              <w:overflowPunct/>
              <w:topLinePunct w:val="0"/>
              <w:bidi w:val="0"/>
              <w:spacing w:line="440" w:lineRule="exact"/>
              <w:rPr>
                <w:rFonts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3</w:t>
            </w:r>
          </w:p>
        </w:tc>
        <w:tc>
          <w:tcPr>
            <w:tcW w:w="1227" w:type="dxa"/>
            <w:vMerge w:val="restart"/>
            <w:vAlign w:val="center"/>
          </w:tcPr>
          <w:p w14:paraId="67BECF1D">
            <w:pPr>
              <w:pageBreakBefore w:val="0"/>
              <w:kinsoku/>
              <w:overflowPunct/>
              <w:topLinePunct w:val="0"/>
              <w:bidi w:val="0"/>
              <w:spacing w:line="440" w:lineRule="exact"/>
              <w:jc w:val="center"/>
              <w:rPr>
                <w:rFonts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rPr>
              <w:t>商务部分</w:t>
            </w:r>
          </w:p>
          <w:p w14:paraId="4D4F2B9E">
            <w:pPr>
              <w:pageBreakBefore w:val="0"/>
              <w:kinsoku/>
              <w:overflowPunct/>
              <w:topLinePunct w:val="0"/>
              <w:bidi w:val="0"/>
              <w:spacing w:line="440" w:lineRule="exact"/>
              <w:jc w:val="center"/>
              <w:rPr>
                <w:rFonts w:ascii="宋体" w:hAnsi="宋体" w:eastAsia="宋体" w:cs="宋体"/>
                <w:color w:val="auto"/>
                <w:spacing w:val="0"/>
                <w:w w:val="100"/>
                <w:sz w:val="24"/>
                <w:szCs w:val="24"/>
                <w:highlight w:val="none"/>
                <w:lang w:eastAsia="zh-CN"/>
              </w:rPr>
            </w:pPr>
            <w:r>
              <w:rPr>
                <w:rFonts w:hint="eastAsia" w:cs="宋体"/>
                <w:color w:val="auto"/>
                <w:spacing w:val="0"/>
                <w:w w:val="100"/>
                <w:sz w:val="24"/>
                <w:szCs w:val="24"/>
                <w:highlight w:val="none"/>
                <w:lang w:val="en-US" w:eastAsia="zh-CN"/>
              </w:rPr>
              <w:t>2</w:t>
            </w:r>
            <w:r>
              <w:rPr>
                <w:rFonts w:hint="eastAsia" w:ascii="宋体" w:hAnsi="宋体" w:cs="宋体"/>
                <w:color w:val="auto"/>
                <w:spacing w:val="0"/>
                <w:w w:val="100"/>
                <w:sz w:val="24"/>
                <w:szCs w:val="24"/>
                <w:highlight w:val="none"/>
                <w:lang w:val="en-US" w:eastAsia="zh-CN"/>
              </w:rPr>
              <w:t>0</w:t>
            </w:r>
            <w:r>
              <w:rPr>
                <w:rFonts w:hint="eastAsia" w:ascii="宋体" w:hAnsi="宋体" w:eastAsia="宋体" w:cs="宋体"/>
                <w:color w:val="auto"/>
                <w:spacing w:val="0"/>
                <w:w w:val="100"/>
                <w:sz w:val="24"/>
                <w:szCs w:val="24"/>
                <w:highlight w:val="none"/>
                <w:lang w:eastAsia="zh-CN"/>
              </w:rPr>
              <w:t>%</w:t>
            </w:r>
          </w:p>
        </w:tc>
        <w:tc>
          <w:tcPr>
            <w:tcW w:w="1335" w:type="dxa"/>
            <w:vAlign w:val="center"/>
          </w:tcPr>
          <w:p w14:paraId="4224E405">
            <w:pPr>
              <w:keepNext w:val="0"/>
              <w:keepLines w:val="0"/>
              <w:pageBreakBefore w:val="0"/>
              <w:kinsoku/>
              <w:wordWrap/>
              <w:overflowPunct/>
              <w:topLinePunct w:val="0"/>
              <w:autoSpaceDE/>
              <w:autoSpaceDN/>
              <w:bidi w:val="0"/>
              <w:adjustRightInd/>
              <w:snapToGrid/>
              <w:spacing w:line="440" w:lineRule="exact"/>
              <w:ind w:right="0" w:rightChars="0"/>
              <w:jc w:val="left"/>
              <w:outlineLvl w:val="9"/>
              <w:rPr>
                <w:rFonts w:ascii="宋体" w:hAnsi="宋体" w:eastAsia="宋体" w:cs="宋体"/>
                <w:color w:val="auto"/>
                <w:spacing w:val="0"/>
                <w:w w:val="100"/>
                <w:sz w:val="24"/>
                <w:szCs w:val="24"/>
                <w:highlight w:val="none"/>
                <w:lang w:eastAsia="zh-CN"/>
              </w:rPr>
            </w:pPr>
            <w:r>
              <w:rPr>
                <w:rFonts w:hint="eastAsia" w:cs="宋体"/>
                <w:color w:val="auto"/>
                <w:spacing w:val="0"/>
                <w:w w:val="100"/>
                <w:sz w:val="24"/>
                <w:szCs w:val="24"/>
                <w:highlight w:val="none"/>
                <w:lang w:val="en-US" w:eastAsia="zh-CN"/>
              </w:rPr>
              <w:t>业绩</w:t>
            </w:r>
            <w:r>
              <w:rPr>
                <w:rFonts w:hint="eastAsia" w:ascii="宋体" w:hAnsi="宋体" w:eastAsia="宋体" w:cs="宋体"/>
                <w:color w:val="auto"/>
                <w:spacing w:val="0"/>
                <w:w w:val="100"/>
                <w:sz w:val="24"/>
                <w:szCs w:val="24"/>
                <w:highlight w:val="none"/>
                <w:lang w:val="en-US" w:eastAsia="zh-CN"/>
              </w:rPr>
              <w:t>（</w:t>
            </w:r>
            <w:r>
              <w:rPr>
                <w:rFonts w:hint="eastAsia" w:cs="宋体"/>
                <w:color w:val="auto"/>
                <w:spacing w:val="0"/>
                <w:w w:val="100"/>
                <w:sz w:val="24"/>
                <w:szCs w:val="24"/>
                <w:highlight w:val="none"/>
                <w:lang w:val="en-US" w:eastAsia="zh-CN"/>
              </w:rPr>
              <w:t>10</w:t>
            </w:r>
            <w:r>
              <w:rPr>
                <w:rFonts w:hint="eastAsia" w:ascii="宋体" w:hAnsi="宋体" w:eastAsia="宋体" w:cs="宋体"/>
                <w:color w:val="auto"/>
                <w:spacing w:val="0"/>
                <w:w w:val="100"/>
                <w:sz w:val="24"/>
                <w:szCs w:val="24"/>
                <w:highlight w:val="none"/>
                <w:lang w:val="en-US" w:eastAsia="zh-CN"/>
              </w:rPr>
              <w:t>分）</w:t>
            </w:r>
          </w:p>
        </w:tc>
        <w:tc>
          <w:tcPr>
            <w:tcW w:w="6534" w:type="dxa"/>
            <w:vAlign w:val="center"/>
          </w:tcPr>
          <w:p w14:paraId="3187D9BF">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left"/>
              <w:textAlignment w:val="center"/>
              <w:outlineLvl w:val="9"/>
              <w:rPr>
                <w:rFonts w:hint="eastAsia" w:ascii="宋体" w:hAnsi="宋体" w:eastAsia="宋体" w:cs="宋体"/>
                <w:color w:val="auto"/>
                <w:spacing w:val="0"/>
                <w:w w:val="100"/>
                <w:sz w:val="24"/>
                <w:szCs w:val="24"/>
                <w:highlight w:val="none"/>
                <w:lang w:eastAsia="zh-CN" w:bidi="ar"/>
              </w:rPr>
            </w:pPr>
            <w:r>
              <w:rPr>
                <w:rFonts w:hint="eastAsia"/>
                <w:spacing w:val="0"/>
                <w:w w:val="100"/>
                <w:sz w:val="24"/>
                <w:szCs w:val="24"/>
                <w:highlight w:val="none"/>
              </w:rPr>
              <w:t>根据投标人近</w:t>
            </w:r>
            <w:r>
              <w:rPr>
                <w:rFonts w:hint="eastAsia"/>
                <w:spacing w:val="0"/>
                <w:w w:val="100"/>
                <w:sz w:val="24"/>
                <w:szCs w:val="24"/>
                <w:highlight w:val="none"/>
                <w:lang w:val="en-US" w:eastAsia="zh-CN"/>
              </w:rPr>
              <w:t>3</w:t>
            </w:r>
            <w:r>
              <w:rPr>
                <w:rFonts w:hint="eastAsia"/>
                <w:spacing w:val="0"/>
                <w:w w:val="100"/>
                <w:sz w:val="24"/>
                <w:szCs w:val="24"/>
                <w:highlight w:val="none"/>
              </w:rPr>
              <w:t>年类似</w:t>
            </w:r>
            <w:r>
              <w:rPr>
                <w:rFonts w:hint="eastAsia"/>
                <w:spacing w:val="0"/>
                <w:w w:val="100"/>
                <w:sz w:val="24"/>
                <w:szCs w:val="24"/>
                <w:highlight w:val="none"/>
                <w:lang w:eastAsia="zh-CN"/>
              </w:rPr>
              <w:t>项目</w:t>
            </w:r>
            <w:r>
              <w:rPr>
                <w:rFonts w:hint="eastAsia"/>
                <w:spacing w:val="0"/>
                <w:w w:val="100"/>
                <w:sz w:val="24"/>
                <w:szCs w:val="24"/>
                <w:highlight w:val="none"/>
              </w:rPr>
              <w:t>业绩进行评审，</w:t>
            </w:r>
            <w:r>
              <w:rPr>
                <w:rFonts w:hint="eastAsia" w:ascii="宋体" w:hAnsi="宋体" w:eastAsia="宋体" w:cs="宋体"/>
                <w:color w:val="auto"/>
                <w:spacing w:val="0"/>
                <w:w w:val="100"/>
                <w:sz w:val="24"/>
                <w:szCs w:val="24"/>
                <w:highlight w:val="none"/>
                <w:lang w:eastAsia="zh-CN" w:bidi="ar"/>
              </w:rPr>
              <w:t>每提供一个类似业绩得</w:t>
            </w:r>
            <w:r>
              <w:rPr>
                <w:rFonts w:hint="eastAsia" w:ascii="宋体" w:hAnsi="宋体" w:cs="宋体"/>
                <w:color w:val="auto"/>
                <w:spacing w:val="0"/>
                <w:w w:val="100"/>
                <w:sz w:val="24"/>
                <w:szCs w:val="24"/>
                <w:highlight w:val="none"/>
                <w:lang w:val="en-US" w:eastAsia="zh-CN" w:bidi="ar"/>
              </w:rPr>
              <w:t>2</w:t>
            </w:r>
            <w:r>
              <w:rPr>
                <w:rFonts w:hint="eastAsia" w:ascii="宋体" w:hAnsi="宋体" w:eastAsia="宋体" w:cs="宋体"/>
                <w:color w:val="auto"/>
                <w:spacing w:val="0"/>
                <w:w w:val="100"/>
                <w:sz w:val="24"/>
                <w:szCs w:val="24"/>
                <w:highlight w:val="none"/>
                <w:lang w:eastAsia="zh-CN" w:bidi="ar"/>
              </w:rPr>
              <w:t>分，满分</w:t>
            </w:r>
            <w:r>
              <w:rPr>
                <w:rFonts w:hint="eastAsia" w:ascii="宋体" w:hAnsi="宋体" w:cs="宋体"/>
                <w:color w:val="auto"/>
                <w:spacing w:val="0"/>
                <w:w w:val="100"/>
                <w:sz w:val="24"/>
                <w:szCs w:val="24"/>
                <w:highlight w:val="none"/>
                <w:lang w:val="en-US" w:eastAsia="zh-CN" w:bidi="ar"/>
              </w:rPr>
              <w:t>10</w:t>
            </w:r>
            <w:r>
              <w:rPr>
                <w:rFonts w:hint="eastAsia" w:ascii="宋体" w:hAnsi="宋体" w:eastAsia="宋体" w:cs="宋体"/>
                <w:color w:val="auto"/>
                <w:spacing w:val="0"/>
                <w:w w:val="100"/>
                <w:sz w:val="24"/>
                <w:szCs w:val="24"/>
                <w:highlight w:val="none"/>
                <w:lang w:eastAsia="zh-CN" w:bidi="ar"/>
              </w:rPr>
              <w:t>分，其余不得分。</w:t>
            </w:r>
          </w:p>
          <w:p w14:paraId="4114A397">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left"/>
              <w:textAlignment w:val="center"/>
              <w:outlineLvl w:val="9"/>
              <w:rPr>
                <w:rFonts w:ascii="宋体" w:hAnsi="宋体" w:eastAsia="宋体" w:cs="宋体"/>
                <w:color w:val="auto"/>
                <w:spacing w:val="0"/>
                <w:w w:val="100"/>
                <w:sz w:val="24"/>
                <w:szCs w:val="24"/>
                <w:highlight w:val="none"/>
                <w:lang w:eastAsia="zh-CN" w:bidi="ar"/>
              </w:rPr>
            </w:pPr>
            <w:r>
              <w:rPr>
                <w:rFonts w:hint="eastAsia" w:ascii="宋体" w:hAnsi="宋体" w:eastAsia="宋体" w:cs="宋体"/>
                <w:color w:val="auto"/>
                <w:spacing w:val="0"/>
                <w:w w:val="100"/>
                <w:sz w:val="24"/>
                <w:szCs w:val="24"/>
                <w:highlight w:val="none"/>
                <w:lang w:eastAsia="zh-CN" w:bidi="ar"/>
              </w:rPr>
              <w:t>注:业绩以中标通知书或合同为证明文件。</w:t>
            </w:r>
          </w:p>
        </w:tc>
        <w:tc>
          <w:tcPr>
            <w:tcW w:w="477" w:type="dxa"/>
            <w:vAlign w:val="center"/>
          </w:tcPr>
          <w:p w14:paraId="72FA9C7B">
            <w:pPr>
              <w:pageBreakBefore w:val="0"/>
              <w:kinsoku/>
              <w:overflowPunct/>
              <w:topLinePunct w:val="0"/>
              <w:bidi w:val="0"/>
              <w:spacing w:line="440" w:lineRule="exact"/>
              <w:ind w:firstLine="480" w:firstLineChars="200"/>
              <w:rPr>
                <w:rFonts w:ascii="宋体" w:hAnsi="宋体" w:eastAsia="宋体" w:cs="宋体"/>
                <w:color w:val="auto"/>
                <w:spacing w:val="0"/>
                <w:w w:val="100"/>
                <w:sz w:val="24"/>
                <w:szCs w:val="24"/>
                <w:highlight w:val="none"/>
                <w:lang w:eastAsia="zh-CN"/>
              </w:rPr>
            </w:pPr>
          </w:p>
        </w:tc>
      </w:tr>
      <w:tr w14:paraId="39861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1" w:hRule="atLeast"/>
        </w:trPr>
        <w:tc>
          <w:tcPr>
            <w:tcW w:w="777" w:type="dxa"/>
            <w:vMerge w:val="continue"/>
            <w:vAlign w:val="center"/>
          </w:tcPr>
          <w:p w14:paraId="22AED9C4">
            <w:pPr>
              <w:pageBreakBefore w:val="0"/>
              <w:kinsoku/>
              <w:overflowPunct/>
              <w:topLinePunct w:val="0"/>
              <w:bidi w:val="0"/>
              <w:spacing w:line="440" w:lineRule="exact"/>
              <w:rPr>
                <w:rFonts w:hint="eastAsia" w:ascii="宋体" w:hAnsi="宋体" w:eastAsia="宋体" w:cs="宋体"/>
                <w:color w:val="auto"/>
                <w:spacing w:val="0"/>
                <w:w w:val="100"/>
                <w:sz w:val="24"/>
                <w:szCs w:val="24"/>
                <w:highlight w:val="none"/>
                <w:lang w:eastAsia="zh-CN"/>
              </w:rPr>
            </w:pPr>
          </w:p>
        </w:tc>
        <w:tc>
          <w:tcPr>
            <w:tcW w:w="1227" w:type="dxa"/>
            <w:vMerge w:val="continue"/>
            <w:vAlign w:val="center"/>
          </w:tcPr>
          <w:p w14:paraId="25734EF4">
            <w:pPr>
              <w:pageBreakBefore w:val="0"/>
              <w:kinsoku/>
              <w:overflowPunct/>
              <w:topLinePunct w:val="0"/>
              <w:bidi w:val="0"/>
              <w:spacing w:line="440" w:lineRule="exact"/>
              <w:jc w:val="center"/>
              <w:rPr>
                <w:rFonts w:hint="eastAsia" w:ascii="宋体" w:hAnsi="宋体" w:eastAsia="宋体" w:cs="宋体"/>
                <w:color w:val="auto"/>
                <w:spacing w:val="0"/>
                <w:w w:val="100"/>
                <w:sz w:val="24"/>
                <w:szCs w:val="24"/>
                <w:highlight w:val="none"/>
                <w:lang w:val="en-US" w:eastAsia="zh-CN"/>
              </w:rPr>
            </w:pPr>
          </w:p>
        </w:tc>
        <w:tc>
          <w:tcPr>
            <w:tcW w:w="1335" w:type="dxa"/>
            <w:vAlign w:val="center"/>
          </w:tcPr>
          <w:p w14:paraId="7672D3DC">
            <w:pPr>
              <w:keepNext w:val="0"/>
              <w:keepLines w:val="0"/>
              <w:pageBreakBefore w:val="0"/>
              <w:kinsoku/>
              <w:wordWrap/>
              <w:overflowPunct/>
              <w:topLinePunct w:val="0"/>
              <w:autoSpaceDE/>
              <w:autoSpaceDN/>
              <w:bidi w:val="0"/>
              <w:adjustRightInd/>
              <w:snapToGrid/>
              <w:spacing w:line="440" w:lineRule="exact"/>
              <w:ind w:right="0" w:rightChars="0"/>
              <w:jc w:val="left"/>
              <w:outlineLvl w:val="9"/>
              <w:rPr>
                <w:rFonts w:hint="eastAsia" w:ascii="宋体" w:hAnsi="宋体" w:eastAsia="宋体" w:cs="宋体"/>
                <w:color w:val="auto"/>
                <w:spacing w:val="0"/>
                <w:w w:val="100"/>
                <w:sz w:val="24"/>
                <w:szCs w:val="24"/>
                <w:highlight w:val="none"/>
                <w:lang w:val="en-US" w:eastAsia="zh-CN"/>
              </w:rPr>
            </w:pPr>
            <w:r>
              <w:rPr>
                <w:rFonts w:hint="eastAsia" w:ascii="宋体" w:hAnsi="宋体" w:eastAsia="宋体" w:cs="宋体"/>
                <w:color w:val="auto"/>
                <w:spacing w:val="0"/>
                <w:w w:val="100"/>
                <w:sz w:val="24"/>
                <w:szCs w:val="24"/>
                <w:highlight w:val="none"/>
                <w:lang w:val="en-US" w:eastAsia="zh-CN"/>
              </w:rPr>
              <w:t>售后服务（</w:t>
            </w:r>
            <w:r>
              <w:rPr>
                <w:rFonts w:hint="eastAsia" w:ascii="宋体" w:hAnsi="宋体" w:cs="宋体"/>
                <w:color w:val="auto"/>
                <w:spacing w:val="0"/>
                <w:w w:val="100"/>
                <w:sz w:val="24"/>
                <w:szCs w:val="24"/>
                <w:highlight w:val="none"/>
                <w:lang w:val="en-US" w:eastAsia="zh-CN"/>
              </w:rPr>
              <w:t>10</w:t>
            </w:r>
            <w:r>
              <w:rPr>
                <w:rFonts w:hint="eastAsia" w:ascii="宋体" w:hAnsi="宋体" w:eastAsia="宋体" w:cs="宋体"/>
                <w:color w:val="auto"/>
                <w:spacing w:val="0"/>
                <w:w w:val="100"/>
                <w:sz w:val="24"/>
                <w:szCs w:val="24"/>
                <w:highlight w:val="none"/>
                <w:lang w:val="en-US" w:eastAsia="zh-CN"/>
              </w:rPr>
              <w:t>分）</w:t>
            </w:r>
          </w:p>
        </w:tc>
        <w:tc>
          <w:tcPr>
            <w:tcW w:w="6534" w:type="dxa"/>
            <w:vAlign w:val="center"/>
          </w:tcPr>
          <w:p w14:paraId="567522D9">
            <w:pPr>
              <w:widowControl/>
              <w:numPr>
                <w:ilvl w:val="0"/>
                <w:numId w:val="1"/>
              </w:numPr>
              <w:spacing w:line="360" w:lineRule="auto"/>
              <w:textAlignment w:val="center"/>
              <w:rPr>
                <w:rFonts w:hint="eastAsia" w:ascii="宋体" w:hAnsi="宋体" w:eastAsia="宋体" w:cs="宋体"/>
                <w:color w:val="auto"/>
                <w:spacing w:val="0"/>
                <w:w w:val="100"/>
                <w:sz w:val="24"/>
                <w:szCs w:val="24"/>
                <w:highlight w:val="none"/>
                <w:lang w:eastAsia="zh-CN" w:bidi="ar"/>
              </w:rPr>
            </w:pPr>
            <w:r>
              <w:rPr>
                <w:rFonts w:hint="eastAsia" w:ascii="宋体" w:hAnsi="宋体" w:eastAsia="宋体" w:cs="宋体"/>
                <w:color w:val="auto"/>
                <w:spacing w:val="0"/>
                <w:w w:val="100"/>
                <w:sz w:val="24"/>
                <w:szCs w:val="24"/>
                <w:highlight w:val="none"/>
                <w:lang w:eastAsia="zh-CN" w:bidi="ar"/>
              </w:rPr>
              <w:t>售后响应时间：投标人承诺接到采购人电话0.5小时内响应，2小时内赶到现场处理并解决问题，得</w:t>
            </w:r>
            <w:r>
              <w:rPr>
                <w:rFonts w:hint="eastAsia" w:cs="宋体"/>
                <w:color w:val="auto"/>
                <w:spacing w:val="0"/>
                <w:w w:val="100"/>
                <w:sz w:val="24"/>
                <w:szCs w:val="24"/>
                <w:highlight w:val="none"/>
                <w:lang w:val="en-US" w:eastAsia="zh-CN" w:bidi="ar"/>
              </w:rPr>
              <w:t>3</w:t>
            </w:r>
            <w:r>
              <w:rPr>
                <w:rFonts w:hint="eastAsia" w:ascii="宋体" w:hAnsi="宋体" w:eastAsia="宋体" w:cs="宋体"/>
                <w:color w:val="auto"/>
                <w:spacing w:val="0"/>
                <w:w w:val="100"/>
                <w:sz w:val="24"/>
                <w:szCs w:val="24"/>
                <w:highlight w:val="none"/>
                <w:lang w:eastAsia="zh-CN" w:bidi="ar"/>
              </w:rPr>
              <w:t>分；在接到电话1小时响应，3小时内赶到现场处理并解决问题，得</w:t>
            </w:r>
            <w:r>
              <w:rPr>
                <w:rFonts w:hint="eastAsia" w:cs="宋体"/>
                <w:color w:val="auto"/>
                <w:spacing w:val="0"/>
                <w:w w:val="100"/>
                <w:sz w:val="24"/>
                <w:szCs w:val="24"/>
                <w:highlight w:val="none"/>
                <w:lang w:val="en-US" w:eastAsia="zh-CN" w:bidi="ar"/>
              </w:rPr>
              <w:t>1</w:t>
            </w:r>
            <w:r>
              <w:rPr>
                <w:rFonts w:hint="eastAsia" w:ascii="宋体" w:hAnsi="宋体" w:eastAsia="宋体" w:cs="宋体"/>
                <w:color w:val="auto"/>
                <w:spacing w:val="0"/>
                <w:w w:val="100"/>
                <w:sz w:val="24"/>
                <w:szCs w:val="24"/>
                <w:highlight w:val="none"/>
                <w:lang w:eastAsia="zh-CN" w:bidi="ar"/>
              </w:rPr>
              <w:t>分；超出此要求的不得分。</w:t>
            </w:r>
            <w:r>
              <w:rPr>
                <w:rFonts w:hint="eastAsia" w:ascii="宋体" w:hAnsi="宋体" w:eastAsia="宋体" w:cs="宋体"/>
                <w:color w:val="auto"/>
                <w:spacing w:val="0"/>
                <w:w w:val="100"/>
                <w:sz w:val="24"/>
                <w:szCs w:val="24"/>
                <w:highlight w:val="none"/>
                <w:lang w:val="en-US" w:eastAsia="zh-CN" w:bidi="ar"/>
              </w:rPr>
              <w:t>自行承诺，不提供不得分。</w:t>
            </w:r>
            <w:r>
              <w:rPr>
                <w:rFonts w:hint="eastAsia" w:ascii="宋体" w:hAnsi="宋体" w:eastAsia="宋体" w:cs="宋体"/>
                <w:color w:val="auto"/>
                <w:spacing w:val="0"/>
                <w:w w:val="100"/>
                <w:sz w:val="24"/>
                <w:szCs w:val="24"/>
                <w:highlight w:val="none"/>
                <w:lang w:eastAsia="zh-CN" w:bidi="ar"/>
              </w:rPr>
              <w:t xml:space="preserve"> </w:t>
            </w:r>
          </w:p>
          <w:p w14:paraId="5460F172">
            <w:pPr>
              <w:widowControl/>
              <w:numPr>
                <w:ilvl w:val="0"/>
                <w:numId w:val="1"/>
              </w:numPr>
              <w:spacing w:line="360" w:lineRule="auto"/>
              <w:textAlignment w:val="center"/>
              <w:rPr>
                <w:rFonts w:hint="default" w:ascii="宋体" w:hAnsi="宋体" w:eastAsia="宋体" w:cs="宋体"/>
                <w:color w:val="auto"/>
                <w:spacing w:val="0"/>
                <w:w w:val="100"/>
                <w:sz w:val="24"/>
                <w:szCs w:val="24"/>
                <w:highlight w:val="none"/>
                <w:lang w:val="en-US" w:eastAsia="zh-CN" w:bidi="ar"/>
              </w:rPr>
            </w:pPr>
            <w:r>
              <w:rPr>
                <w:rFonts w:hint="eastAsia" w:ascii="宋体" w:hAnsi="宋体" w:eastAsia="宋体" w:cs="宋体"/>
                <w:color w:val="auto"/>
                <w:spacing w:val="0"/>
                <w:w w:val="100"/>
                <w:sz w:val="24"/>
                <w:szCs w:val="24"/>
                <w:highlight w:val="none"/>
                <w:lang w:val="en-US" w:eastAsia="zh-CN" w:bidi="ar"/>
              </w:rPr>
              <w:t>投标人承诺在质保期内免费更换，非人为破坏损耗。超出质保期后，须按照市场价维修。提供承诺的</w:t>
            </w:r>
            <w:r>
              <w:rPr>
                <w:rFonts w:hint="eastAsia" w:cs="宋体"/>
                <w:color w:val="auto"/>
                <w:spacing w:val="0"/>
                <w:w w:val="100"/>
                <w:sz w:val="24"/>
                <w:szCs w:val="24"/>
                <w:highlight w:val="none"/>
                <w:lang w:val="en-US" w:eastAsia="zh-CN" w:bidi="ar"/>
              </w:rPr>
              <w:t>得3</w:t>
            </w:r>
            <w:r>
              <w:rPr>
                <w:rFonts w:hint="eastAsia" w:ascii="宋体" w:hAnsi="宋体" w:eastAsia="宋体" w:cs="宋体"/>
                <w:color w:val="auto"/>
                <w:spacing w:val="0"/>
                <w:w w:val="100"/>
                <w:sz w:val="24"/>
                <w:szCs w:val="24"/>
                <w:highlight w:val="none"/>
                <w:lang w:val="en-US" w:eastAsia="zh-CN" w:bidi="ar"/>
              </w:rPr>
              <w:t>分。不提供不得分。</w:t>
            </w:r>
          </w:p>
        </w:tc>
        <w:tc>
          <w:tcPr>
            <w:tcW w:w="477" w:type="dxa"/>
            <w:vAlign w:val="center"/>
          </w:tcPr>
          <w:p w14:paraId="48FB4AA1">
            <w:pPr>
              <w:pageBreakBefore w:val="0"/>
              <w:kinsoku/>
              <w:overflowPunct/>
              <w:topLinePunct w:val="0"/>
              <w:bidi w:val="0"/>
              <w:spacing w:line="440" w:lineRule="exact"/>
              <w:ind w:firstLine="480" w:firstLineChars="200"/>
              <w:rPr>
                <w:rFonts w:ascii="宋体" w:hAnsi="宋体" w:eastAsia="宋体" w:cs="宋体"/>
                <w:color w:val="auto"/>
                <w:spacing w:val="0"/>
                <w:w w:val="100"/>
                <w:sz w:val="24"/>
                <w:szCs w:val="24"/>
                <w:highlight w:val="none"/>
                <w:lang w:eastAsia="zh-CN"/>
              </w:rPr>
            </w:pPr>
          </w:p>
        </w:tc>
      </w:tr>
    </w:tbl>
    <w:tbl>
      <w:tblPr>
        <w:tblStyle w:val="8"/>
        <w:tblpPr w:leftFromText="180" w:rightFromText="180" w:vertAnchor="text" w:horzAnchor="page" w:tblpX="636" w:tblpY="135"/>
        <w:tblOverlap w:val="never"/>
        <w:tblW w:w="10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0350"/>
      </w:tblGrid>
      <w:tr w14:paraId="62863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3" w:hRule="atLeast"/>
        </w:trPr>
        <w:tc>
          <w:tcPr>
            <w:tcW w:w="10350" w:type="dxa"/>
            <w:vAlign w:val="center"/>
          </w:tcPr>
          <w:p w14:paraId="377078A0">
            <w:pPr>
              <w:spacing w:line="360" w:lineRule="auto"/>
              <w:jc w:val="center"/>
              <w:rPr>
                <w:color w:val="auto"/>
                <w:spacing w:val="0"/>
                <w:w w:val="100"/>
                <w:highlight w:val="none"/>
              </w:rPr>
            </w:pPr>
            <w:r>
              <w:rPr>
                <w:rFonts w:hint="eastAsia"/>
                <w:color w:val="auto"/>
                <w:spacing w:val="0"/>
                <w:w w:val="100"/>
                <w:sz w:val="24"/>
                <w:szCs w:val="24"/>
                <w:highlight w:val="none"/>
                <w:lang w:val="en-US"/>
              </w:rPr>
              <w:br w:type="page"/>
            </w:r>
            <w:r>
              <w:rPr>
                <w:rFonts w:hint="eastAsia"/>
                <w:b/>
                <w:color w:val="auto"/>
                <w:spacing w:val="0"/>
                <w:w w:val="100"/>
                <w:sz w:val="24"/>
                <w:szCs w:val="24"/>
                <w:highlight w:val="none"/>
              </w:rPr>
              <w:t>政策加分条款</w:t>
            </w:r>
          </w:p>
        </w:tc>
      </w:tr>
      <w:tr w14:paraId="38489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4" w:hRule="atLeast"/>
        </w:trPr>
        <w:tc>
          <w:tcPr>
            <w:tcW w:w="10350" w:type="dxa"/>
            <w:vAlign w:val="center"/>
          </w:tcPr>
          <w:p w14:paraId="7ED49177">
            <w:pPr>
              <w:pStyle w:val="11"/>
              <w:keepNext w:val="0"/>
              <w:keepLines w:val="0"/>
              <w:pageBreakBefore w:val="0"/>
              <w:widowControl w:val="0"/>
              <w:kinsoku/>
              <w:overflowPunct/>
              <w:topLinePunct w:val="0"/>
              <w:autoSpaceDE/>
              <w:autoSpaceDN/>
              <w:bidi w:val="0"/>
              <w:adjustRightInd/>
              <w:snapToGrid w:val="0"/>
              <w:spacing w:line="440" w:lineRule="exact"/>
              <w:ind w:left="0" w:firstLine="480" w:firstLineChars="200"/>
              <w:textAlignment w:val="auto"/>
              <w:rPr>
                <w:rFonts w:hint="eastAsia" w:eastAsia="宋体"/>
                <w:color w:val="auto"/>
                <w:spacing w:val="0"/>
                <w:w w:val="100"/>
                <w:highlight w:val="none"/>
                <w:lang w:eastAsia="zh-CN"/>
              </w:rPr>
            </w:pPr>
            <w:r>
              <w:rPr>
                <w:rFonts w:hint="eastAsia"/>
                <w:color w:val="auto"/>
                <w:spacing w:val="0"/>
                <w:w w:val="100"/>
                <w:sz w:val="24"/>
                <w:szCs w:val="24"/>
                <w:highlight w:val="none"/>
              </w:rPr>
              <w:t>落实政府采购政策需满足的资格要求：</w:t>
            </w:r>
            <w:r>
              <w:rPr>
                <w:rFonts w:hint="eastAsia" w:ascii="宋体" w:hAnsi="宋体" w:eastAsia="宋体" w:cs="宋体"/>
                <w:color w:val="auto"/>
                <w:spacing w:val="0"/>
                <w:w w:val="100"/>
                <w:sz w:val="24"/>
                <w:szCs w:val="24"/>
                <w:highlight w:val="none"/>
                <w:lang w:eastAsia="zh-CN"/>
              </w:rPr>
              <w:t>(1）货物服务采购项目对小、微型(含监狱企业/残疾人福利性单位)产品的价格给予20%的扣除，大中型企业与小微企业组成联合体或者大中型企业向小微企业分包的，评审优惠幅度提高至6%。用扣除后的价格参与评审，严格按照（财库[2022]19号）《财政部关于进一步加大政府采购支持中小企业力度的通知》执行，提供的声明函必须真实，如有虚假，将依法承担相应责任；符合条件的残疾人福利性单位在参加政府采购活动时，应当提供财库【2017】141号规定的《残疾人福利性单位声明函》，提供的声明函必须真实，如有虚假，将依法承担相应责任。（2）对原产地在少数民族自治区和享受少数民族自治待遇的省份（云南、贵州、青海）的投标主产品（不含附带产品），在总得分基础上加3分。投标主产品按照不得低于本采购项目预算金额50%加以确定。（3）投标产品属于“节能产品清单”或“环保产品清单”有效期内中的产品（强制采购产品除外），在总得分基础上，每一项加0.3分；如投标产品同时属于“节能产品清单”和“环保产品清单”两个清单中产品的，每一项加0.5分，最高不得超过2分（须提供列入品目清单的产品类别（可在中国政府采购网www.ccgp.gov.cn 查询）</w:t>
            </w:r>
          </w:p>
        </w:tc>
      </w:tr>
    </w:tbl>
    <w:p w14:paraId="53F6610C">
      <w:pPr>
        <w:spacing w:line="360" w:lineRule="auto"/>
        <w:ind w:firstLine="240" w:firstLineChars="100"/>
        <w:jc w:val="both"/>
        <w:textAlignment w:val="center"/>
        <w:rPr>
          <w:rFonts w:ascii="Times New Roman" w:cs="Times New Roman"/>
          <w:color w:val="auto"/>
          <w:spacing w:val="0"/>
          <w:w w:val="100"/>
          <w:sz w:val="24"/>
          <w:szCs w:val="24"/>
          <w:highlight w:val="none"/>
        </w:rPr>
      </w:pPr>
      <w:r>
        <w:rPr>
          <w:rFonts w:hint="eastAsia" w:ascii="Times New Roman" w:cs="Times New Roman"/>
          <w:color w:val="auto"/>
          <w:spacing w:val="0"/>
          <w:w w:val="100"/>
          <w:sz w:val="24"/>
          <w:szCs w:val="24"/>
          <w:highlight w:val="none"/>
        </w:rPr>
        <w:t>（备注：评审小组成员各自评审后，再采用算术平均方法计算各供应商的综合得分。）</w:t>
      </w:r>
    </w:p>
    <w:p w14:paraId="60039B2B">
      <w:pPr>
        <w:pStyle w:val="5"/>
        <w:spacing w:line="360" w:lineRule="auto"/>
        <w:ind w:firstLine="480" w:firstLineChars="200"/>
        <w:outlineLvl w:val="1"/>
        <w:rPr>
          <w:color w:val="auto"/>
          <w:spacing w:val="0"/>
          <w:w w:val="100"/>
          <w:sz w:val="24"/>
          <w:szCs w:val="24"/>
          <w:highlight w:val="none"/>
        </w:rPr>
      </w:pPr>
      <w:r>
        <w:rPr>
          <w:color w:val="auto"/>
          <w:spacing w:val="0"/>
          <w:w w:val="100"/>
          <w:sz w:val="24"/>
          <w:szCs w:val="24"/>
          <w:highlight w:val="none"/>
        </w:rPr>
        <w:t>5、</w:t>
      </w:r>
      <w:r>
        <w:rPr>
          <w:rFonts w:hint="eastAsia"/>
          <w:color w:val="auto"/>
          <w:spacing w:val="0"/>
          <w:w w:val="100"/>
          <w:sz w:val="24"/>
          <w:szCs w:val="24"/>
          <w:highlight w:val="none"/>
          <w:lang w:val="en-US"/>
        </w:rPr>
        <w:t>推荐中标</w:t>
      </w:r>
    </w:p>
    <w:p w14:paraId="3B44BE5C">
      <w:pPr>
        <w:pStyle w:val="14"/>
        <w:tabs>
          <w:tab w:val="left" w:pos="927"/>
        </w:tabs>
        <w:spacing w:line="360" w:lineRule="auto"/>
        <w:ind w:left="0" w:firstLine="480" w:firstLineChars="200"/>
        <w:rPr>
          <w:color w:val="auto"/>
          <w:spacing w:val="0"/>
          <w:w w:val="100"/>
          <w:sz w:val="24"/>
          <w:szCs w:val="24"/>
          <w:highlight w:val="none"/>
        </w:rPr>
      </w:pPr>
      <w:r>
        <w:rPr>
          <w:color w:val="auto"/>
          <w:spacing w:val="0"/>
          <w:w w:val="100"/>
          <w:sz w:val="24"/>
          <w:szCs w:val="24"/>
          <w:highlight w:val="none"/>
        </w:rPr>
        <w:t>5.1</w:t>
      </w:r>
      <w:r>
        <w:rPr>
          <w:rFonts w:hint="eastAsia"/>
          <w:color w:val="auto"/>
          <w:spacing w:val="0"/>
          <w:w w:val="100"/>
          <w:sz w:val="24"/>
          <w:szCs w:val="24"/>
          <w:highlight w:val="none"/>
        </w:rPr>
        <w:t>本次项目采用综合评分法评标，采购人将把合同授予被确定为实质上响应招标文件的要求并有履行合同能力的排名第一的投标供应商。</w:t>
      </w:r>
    </w:p>
    <w:p w14:paraId="5E9D5EB8">
      <w:pPr>
        <w:pStyle w:val="14"/>
        <w:tabs>
          <w:tab w:val="left" w:pos="927"/>
        </w:tabs>
        <w:spacing w:line="360" w:lineRule="auto"/>
        <w:ind w:left="0" w:firstLine="480" w:firstLineChars="200"/>
        <w:rPr>
          <w:color w:val="auto"/>
          <w:spacing w:val="0"/>
          <w:w w:val="100"/>
          <w:sz w:val="24"/>
          <w:szCs w:val="24"/>
          <w:highlight w:val="none"/>
        </w:rPr>
      </w:pPr>
      <w:r>
        <w:rPr>
          <w:color w:val="auto"/>
          <w:spacing w:val="0"/>
          <w:w w:val="100"/>
          <w:sz w:val="24"/>
          <w:szCs w:val="24"/>
          <w:highlight w:val="none"/>
        </w:rPr>
        <w:t>5.2</w:t>
      </w:r>
      <w:r>
        <w:rPr>
          <w:rFonts w:hint="eastAsia"/>
          <w:color w:val="auto"/>
          <w:spacing w:val="0"/>
          <w:w w:val="100"/>
          <w:sz w:val="24"/>
          <w:szCs w:val="24"/>
          <w:highlight w:val="none"/>
        </w:rPr>
        <w:t>投标产品品牌相同的投标供应商的规定</w:t>
      </w:r>
    </w:p>
    <w:p w14:paraId="20A5FC41">
      <w:pPr>
        <w:pStyle w:val="14"/>
        <w:tabs>
          <w:tab w:val="left" w:pos="927"/>
        </w:tabs>
        <w:spacing w:line="360" w:lineRule="auto"/>
        <w:ind w:left="0" w:firstLine="480" w:firstLineChars="200"/>
        <w:rPr>
          <w:color w:val="auto"/>
          <w:spacing w:val="0"/>
          <w:w w:val="100"/>
          <w:sz w:val="24"/>
          <w:szCs w:val="24"/>
          <w:highlight w:val="none"/>
        </w:rPr>
      </w:pPr>
      <w:r>
        <w:rPr>
          <w:rFonts w:hint="eastAsia"/>
          <w:color w:val="auto"/>
          <w:spacing w:val="0"/>
          <w:w w:val="100"/>
          <w:sz w:val="24"/>
          <w:szCs w:val="24"/>
          <w:highlight w:val="none"/>
          <w:lang w:val="en-US"/>
        </w:rPr>
        <w:t>5.2.1</w:t>
      </w:r>
      <w:r>
        <w:rPr>
          <w:rFonts w:hint="eastAsia"/>
          <w:color w:val="auto"/>
          <w:spacing w:val="0"/>
          <w:w w:val="100"/>
          <w:sz w:val="24"/>
          <w:szCs w:val="24"/>
          <w:highlight w:val="none"/>
        </w:rPr>
        <w:t>综合评分法的采购项目，提供相同品牌产品且通过资格审查、符合性审查的不同投标供应商参加同一合同项下投标的，按一家投标供应商计算，评审后得分最高的同品牌投标供应商获得中标人推荐资格；评审得分相同的，由采购人或者采购人委托评标委员会按照以下方式确定一个投标供应商获得中标人推荐资格，其他同品牌投标供应商不作为中标候选人。</w:t>
      </w:r>
    </w:p>
    <w:p w14:paraId="6E16EA85">
      <w:pPr>
        <w:pStyle w:val="14"/>
        <w:tabs>
          <w:tab w:val="left" w:pos="927"/>
        </w:tabs>
        <w:spacing w:line="360" w:lineRule="auto"/>
        <w:ind w:left="0" w:firstLine="480" w:firstLineChars="200"/>
        <w:rPr>
          <w:color w:val="auto"/>
          <w:spacing w:val="0"/>
          <w:w w:val="100"/>
          <w:sz w:val="24"/>
          <w:szCs w:val="24"/>
          <w:highlight w:val="none"/>
        </w:rPr>
      </w:pPr>
      <w:r>
        <w:rPr>
          <w:rFonts w:hint="eastAsia"/>
          <w:color w:val="auto"/>
          <w:spacing w:val="0"/>
          <w:w w:val="100"/>
          <w:sz w:val="24"/>
          <w:szCs w:val="24"/>
          <w:highlight w:val="none"/>
          <w:lang w:val="en-US"/>
        </w:rPr>
        <w:t>5.2.2</w:t>
      </w:r>
      <w:r>
        <w:rPr>
          <w:rFonts w:hint="eastAsia"/>
          <w:color w:val="auto"/>
          <w:spacing w:val="0"/>
          <w:w w:val="100"/>
          <w:sz w:val="24"/>
          <w:szCs w:val="24"/>
          <w:highlight w:val="none"/>
        </w:rPr>
        <w:t>确定方式：当评审得分相同，报价最低的同品牌投标供应商为中标候选人。</w:t>
      </w:r>
    </w:p>
    <w:p w14:paraId="4749B647">
      <w:pPr>
        <w:pStyle w:val="14"/>
        <w:tabs>
          <w:tab w:val="left" w:pos="927"/>
        </w:tabs>
        <w:spacing w:line="360" w:lineRule="auto"/>
        <w:ind w:left="0" w:firstLine="480" w:firstLineChars="200"/>
        <w:rPr>
          <w:color w:val="auto"/>
          <w:spacing w:val="0"/>
          <w:w w:val="100"/>
          <w:sz w:val="24"/>
          <w:szCs w:val="24"/>
          <w:highlight w:val="none"/>
        </w:rPr>
      </w:pPr>
      <w:r>
        <w:rPr>
          <w:rFonts w:hint="eastAsia"/>
          <w:color w:val="auto"/>
          <w:spacing w:val="0"/>
          <w:w w:val="100"/>
          <w:sz w:val="24"/>
          <w:szCs w:val="24"/>
          <w:highlight w:val="none"/>
          <w:lang w:val="en-US"/>
        </w:rPr>
        <w:t>5.2.3</w:t>
      </w:r>
      <w:r>
        <w:rPr>
          <w:rFonts w:hint="eastAsia"/>
          <w:color w:val="auto"/>
          <w:spacing w:val="0"/>
          <w:w w:val="100"/>
          <w:sz w:val="24"/>
          <w:szCs w:val="24"/>
          <w:highlight w:val="none"/>
        </w:rPr>
        <w:t>非单一产品采购项目，多家投标供应商提供的核心产品品牌相同的，按前两款规定处理。</w:t>
      </w:r>
    </w:p>
    <w:p w14:paraId="704A99A1">
      <w:pPr>
        <w:pStyle w:val="14"/>
        <w:tabs>
          <w:tab w:val="left" w:pos="927"/>
        </w:tabs>
        <w:spacing w:line="360" w:lineRule="auto"/>
        <w:ind w:left="0" w:firstLine="482" w:firstLineChars="200"/>
        <w:rPr>
          <w:b/>
          <w:bCs/>
          <w:color w:val="auto"/>
          <w:spacing w:val="0"/>
          <w:w w:val="100"/>
          <w:sz w:val="24"/>
          <w:szCs w:val="24"/>
          <w:highlight w:val="none"/>
        </w:rPr>
      </w:pPr>
      <w:r>
        <w:rPr>
          <w:b/>
          <w:bCs/>
          <w:color w:val="auto"/>
          <w:spacing w:val="0"/>
          <w:w w:val="100"/>
          <w:sz w:val="24"/>
          <w:szCs w:val="24"/>
          <w:highlight w:val="none"/>
        </w:rPr>
        <w:t>5.3</w:t>
      </w:r>
      <w:r>
        <w:rPr>
          <w:rFonts w:hint="eastAsia"/>
          <w:b/>
          <w:bCs/>
          <w:color w:val="auto"/>
          <w:spacing w:val="0"/>
          <w:w w:val="100"/>
          <w:sz w:val="24"/>
          <w:szCs w:val="24"/>
          <w:highlight w:val="none"/>
        </w:rPr>
        <w:t>出现下列情形之一的，采购人则可与排序下一位供应商签订合同，或者重新组织招标。</w:t>
      </w:r>
    </w:p>
    <w:p w14:paraId="4991A023">
      <w:pPr>
        <w:pStyle w:val="14"/>
        <w:tabs>
          <w:tab w:val="left" w:pos="927"/>
        </w:tabs>
        <w:spacing w:line="360" w:lineRule="auto"/>
        <w:ind w:left="0" w:firstLine="482" w:firstLineChars="200"/>
        <w:rPr>
          <w:b/>
          <w:bCs/>
          <w:color w:val="auto"/>
          <w:spacing w:val="0"/>
          <w:w w:val="100"/>
          <w:sz w:val="24"/>
          <w:szCs w:val="24"/>
          <w:highlight w:val="none"/>
        </w:rPr>
      </w:pPr>
      <w:r>
        <w:rPr>
          <w:b/>
          <w:bCs/>
          <w:color w:val="auto"/>
          <w:spacing w:val="0"/>
          <w:w w:val="100"/>
          <w:sz w:val="24"/>
          <w:szCs w:val="24"/>
          <w:highlight w:val="none"/>
        </w:rPr>
        <w:t>（1）</w:t>
      </w:r>
      <w:r>
        <w:rPr>
          <w:rFonts w:hint="eastAsia"/>
          <w:b/>
          <w:bCs/>
          <w:color w:val="auto"/>
          <w:spacing w:val="0"/>
          <w:w w:val="100"/>
          <w:sz w:val="24"/>
          <w:szCs w:val="24"/>
          <w:highlight w:val="none"/>
        </w:rPr>
        <w:t>中标供应商因自身原因放弃中标中标或因不可抗力不能履行合同的；</w:t>
      </w:r>
    </w:p>
    <w:p w14:paraId="33E131E4">
      <w:pPr>
        <w:pStyle w:val="14"/>
        <w:tabs>
          <w:tab w:val="left" w:pos="927"/>
        </w:tabs>
        <w:spacing w:line="360" w:lineRule="auto"/>
        <w:ind w:left="0" w:firstLine="482" w:firstLineChars="200"/>
        <w:rPr>
          <w:b/>
          <w:bCs/>
          <w:color w:val="auto"/>
          <w:spacing w:val="0"/>
          <w:w w:val="100"/>
          <w:sz w:val="24"/>
          <w:szCs w:val="24"/>
          <w:highlight w:val="none"/>
        </w:rPr>
      </w:pPr>
      <w:r>
        <w:rPr>
          <w:b/>
          <w:bCs/>
          <w:color w:val="auto"/>
          <w:spacing w:val="0"/>
          <w:w w:val="100"/>
          <w:sz w:val="24"/>
          <w:szCs w:val="24"/>
          <w:highlight w:val="none"/>
        </w:rPr>
        <w:t>（2）</w:t>
      </w:r>
      <w:r>
        <w:rPr>
          <w:rFonts w:hint="eastAsia"/>
          <w:b/>
          <w:bCs/>
          <w:color w:val="auto"/>
          <w:spacing w:val="0"/>
          <w:w w:val="100"/>
          <w:sz w:val="24"/>
          <w:szCs w:val="24"/>
          <w:highlight w:val="none"/>
        </w:rPr>
        <w:t>经质疑，评标委员会或采购代理机构审查确认因中标供应商在本次采购活动中存在违法违规行为或其他原因使质疑成立的。</w:t>
      </w:r>
    </w:p>
    <w:p w14:paraId="58126630">
      <w:pPr>
        <w:pStyle w:val="14"/>
        <w:tabs>
          <w:tab w:val="left" w:pos="927"/>
        </w:tabs>
        <w:spacing w:line="360" w:lineRule="auto"/>
        <w:ind w:left="0" w:firstLine="482" w:firstLineChars="200"/>
        <w:rPr>
          <w:b/>
          <w:bCs/>
          <w:color w:val="auto"/>
          <w:spacing w:val="0"/>
          <w:w w:val="100"/>
          <w:sz w:val="24"/>
          <w:szCs w:val="24"/>
          <w:highlight w:val="none"/>
          <w:lang w:val="en-US"/>
        </w:rPr>
      </w:pPr>
      <w:bookmarkStart w:id="1" w:name="第六章投标文件格式及构成"/>
      <w:bookmarkEnd w:id="1"/>
      <w:r>
        <w:rPr>
          <w:rFonts w:hint="eastAsia"/>
          <w:b/>
          <w:bCs/>
          <w:color w:val="auto"/>
          <w:spacing w:val="0"/>
          <w:w w:val="100"/>
          <w:sz w:val="24"/>
          <w:szCs w:val="24"/>
          <w:highlight w:val="none"/>
          <w:lang w:val="en-US"/>
        </w:rPr>
        <w:t>6、出现下列情形之一的，供应商递交的投标文件作无效标处理，该供应商的投标文件不参与评审，且不计算入投标供应商家数：</w:t>
      </w:r>
    </w:p>
    <w:p w14:paraId="456F1A40">
      <w:pPr>
        <w:pStyle w:val="14"/>
        <w:tabs>
          <w:tab w:val="left" w:pos="927"/>
        </w:tabs>
        <w:spacing w:line="360" w:lineRule="auto"/>
        <w:ind w:left="0" w:firstLine="482" w:firstLineChars="200"/>
        <w:rPr>
          <w:b/>
          <w:bCs/>
          <w:color w:val="auto"/>
          <w:spacing w:val="0"/>
          <w:w w:val="100"/>
          <w:sz w:val="24"/>
          <w:szCs w:val="24"/>
          <w:highlight w:val="none"/>
          <w:lang w:val="en-US"/>
        </w:rPr>
      </w:pPr>
      <w:r>
        <w:rPr>
          <w:rFonts w:hint="eastAsia"/>
          <w:b/>
          <w:bCs/>
          <w:color w:val="auto"/>
          <w:spacing w:val="0"/>
          <w:w w:val="100"/>
          <w:sz w:val="24"/>
          <w:szCs w:val="24"/>
          <w:highlight w:val="none"/>
          <w:lang w:val="en-US"/>
        </w:rPr>
        <w:t>6.1 递交的投标文件不完整或未按招标文件要求加盖公章及签字的；</w:t>
      </w:r>
    </w:p>
    <w:p w14:paraId="32863099">
      <w:pPr>
        <w:pStyle w:val="14"/>
        <w:tabs>
          <w:tab w:val="left" w:pos="927"/>
        </w:tabs>
        <w:spacing w:line="360" w:lineRule="auto"/>
        <w:ind w:left="0" w:firstLine="482" w:firstLineChars="200"/>
        <w:rPr>
          <w:b/>
          <w:bCs/>
          <w:color w:val="auto"/>
          <w:spacing w:val="0"/>
          <w:w w:val="100"/>
          <w:sz w:val="24"/>
          <w:szCs w:val="24"/>
          <w:highlight w:val="none"/>
          <w:lang w:val="en-US"/>
        </w:rPr>
      </w:pPr>
      <w:r>
        <w:rPr>
          <w:rFonts w:hint="eastAsia"/>
          <w:b/>
          <w:bCs/>
          <w:color w:val="auto"/>
          <w:spacing w:val="0"/>
          <w:w w:val="100"/>
          <w:sz w:val="24"/>
          <w:szCs w:val="24"/>
          <w:highlight w:val="none"/>
          <w:lang w:val="en-US"/>
        </w:rPr>
        <w:t>6.2 供应商不符合国家及招标文件规定的资格条件的；</w:t>
      </w:r>
    </w:p>
    <w:p w14:paraId="545B3FB3">
      <w:pPr>
        <w:pStyle w:val="14"/>
        <w:tabs>
          <w:tab w:val="left" w:pos="927"/>
        </w:tabs>
        <w:spacing w:line="360" w:lineRule="auto"/>
        <w:ind w:left="0" w:firstLine="482" w:firstLineChars="200"/>
        <w:rPr>
          <w:b/>
          <w:bCs/>
          <w:dstrike/>
          <w:color w:val="auto"/>
          <w:spacing w:val="0"/>
          <w:w w:val="100"/>
          <w:sz w:val="24"/>
          <w:szCs w:val="24"/>
          <w:highlight w:val="none"/>
          <w:lang w:val="en-US"/>
        </w:rPr>
      </w:pPr>
      <w:r>
        <w:rPr>
          <w:rFonts w:hint="eastAsia"/>
          <w:b/>
          <w:bCs/>
          <w:dstrike/>
          <w:color w:val="auto"/>
          <w:spacing w:val="0"/>
          <w:w w:val="100"/>
          <w:sz w:val="24"/>
          <w:szCs w:val="24"/>
          <w:highlight w:val="none"/>
          <w:lang w:val="en-US"/>
        </w:rPr>
        <w:t>6.3 项目接受联合体投标时，投标联合体未提交联合投标协议的；</w:t>
      </w:r>
    </w:p>
    <w:p w14:paraId="4A012DC0">
      <w:pPr>
        <w:pStyle w:val="14"/>
        <w:tabs>
          <w:tab w:val="left" w:pos="927"/>
        </w:tabs>
        <w:spacing w:line="360" w:lineRule="auto"/>
        <w:ind w:left="0" w:firstLine="482" w:firstLineChars="200"/>
        <w:rPr>
          <w:b/>
          <w:bCs/>
          <w:color w:val="auto"/>
          <w:spacing w:val="0"/>
          <w:w w:val="100"/>
          <w:sz w:val="24"/>
          <w:szCs w:val="24"/>
          <w:highlight w:val="none"/>
          <w:lang w:val="en-US"/>
        </w:rPr>
      </w:pPr>
      <w:r>
        <w:rPr>
          <w:rFonts w:hint="eastAsia"/>
          <w:b/>
          <w:bCs/>
          <w:color w:val="auto"/>
          <w:spacing w:val="0"/>
          <w:w w:val="100"/>
          <w:sz w:val="24"/>
          <w:szCs w:val="24"/>
          <w:highlight w:val="none"/>
          <w:lang w:val="en-US"/>
        </w:rPr>
        <w:t>6.4 投标报价被评审委员会认定投标供应商报价明显低于其他通过符合性审查投标供应商的报价，有可能影响产品质量或者不能诚信履约的，且不能证明其报价合理性的；</w:t>
      </w:r>
    </w:p>
    <w:p w14:paraId="0B0C0C6E">
      <w:pPr>
        <w:pStyle w:val="14"/>
        <w:tabs>
          <w:tab w:val="left" w:pos="927"/>
        </w:tabs>
        <w:spacing w:line="360" w:lineRule="auto"/>
        <w:ind w:left="0" w:firstLine="482" w:firstLineChars="200"/>
        <w:rPr>
          <w:b/>
          <w:bCs/>
          <w:color w:val="auto"/>
          <w:spacing w:val="0"/>
          <w:w w:val="100"/>
          <w:sz w:val="24"/>
          <w:szCs w:val="24"/>
          <w:highlight w:val="none"/>
          <w:lang w:val="en-US"/>
        </w:rPr>
      </w:pPr>
      <w:r>
        <w:rPr>
          <w:rFonts w:hint="eastAsia"/>
          <w:b/>
          <w:bCs/>
          <w:color w:val="auto"/>
          <w:spacing w:val="0"/>
          <w:w w:val="100"/>
          <w:sz w:val="24"/>
          <w:szCs w:val="24"/>
          <w:highlight w:val="none"/>
          <w:lang w:val="en-US"/>
        </w:rPr>
        <w:t>6.5 投标报价高于财政采购预算的；</w:t>
      </w:r>
    </w:p>
    <w:p w14:paraId="63D9182E">
      <w:pPr>
        <w:pStyle w:val="14"/>
        <w:tabs>
          <w:tab w:val="left" w:pos="927"/>
        </w:tabs>
        <w:spacing w:line="360" w:lineRule="auto"/>
        <w:ind w:left="0" w:firstLine="482" w:firstLineChars="200"/>
        <w:rPr>
          <w:b/>
          <w:bCs/>
          <w:color w:val="auto"/>
          <w:spacing w:val="0"/>
          <w:w w:val="100"/>
          <w:sz w:val="24"/>
          <w:szCs w:val="24"/>
          <w:highlight w:val="none"/>
          <w:lang w:val="en-US"/>
        </w:rPr>
      </w:pPr>
      <w:r>
        <w:rPr>
          <w:rFonts w:hint="eastAsia"/>
          <w:b/>
          <w:bCs/>
          <w:color w:val="auto"/>
          <w:spacing w:val="0"/>
          <w:w w:val="100"/>
          <w:sz w:val="24"/>
          <w:szCs w:val="24"/>
          <w:highlight w:val="none"/>
          <w:lang w:val="en-US"/>
        </w:rPr>
        <w:t>6.6 投标文件对招标文件的实质性要求和条件未作出响应的；</w:t>
      </w:r>
    </w:p>
    <w:p w14:paraId="6BD95392">
      <w:pPr>
        <w:pStyle w:val="14"/>
        <w:tabs>
          <w:tab w:val="left" w:pos="927"/>
        </w:tabs>
        <w:spacing w:line="360" w:lineRule="auto"/>
        <w:ind w:left="0" w:firstLine="482" w:firstLineChars="200"/>
        <w:rPr>
          <w:b/>
          <w:bCs/>
          <w:color w:val="auto"/>
          <w:spacing w:val="0"/>
          <w:w w:val="100"/>
          <w:sz w:val="24"/>
          <w:szCs w:val="24"/>
          <w:highlight w:val="none"/>
          <w:lang w:val="en-US"/>
        </w:rPr>
      </w:pPr>
      <w:r>
        <w:rPr>
          <w:rFonts w:hint="eastAsia"/>
          <w:b/>
          <w:bCs/>
          <w:color w:val="auto"/>
          <w:spacing w:val="0"/>
          <w:w w:val="100"/>
          <w:sz w:val="24"/>
          <w:szCs w:val="24"/>
          <w:highlight w:val="none"/>
          <w:lang w:val="en-US"/>
        </w:rPr>
        <w:t>6.7 供应商有串通投标、弄虚作假、行贿等违法行为的；</w:t>
      </w:r>
    </w:p>
    <w:p w14:paraId="7C86D357">
      <w:pPr>
        <w:pStyle w:val="14"/>
        <w:tabs>
          <w:tab w:val="left" w:pos="927"/>
        </w:tabs>
        <w:spacing w:line="360" w:lineRule="auto"/>
        <w:ind w:left="0" w:firstLine="482" w:firstLineChars="200"/>
        <w:rPr>
          <w:b/>
          <w:bCs/>
          <w:color w:val="auto"/>
          <w:spacing w:val="0"/>
          <w:w w:val="100"/>
          <w:sz w:val="24"/>
          <w:szCs w:val="24"/>
          <w:highlight w:val="none"/>
          <w:lang w:val="en-US"/>
        </w:rPr>
      </w:pPr>
      <w:r>
        <w:rPr>
          <w:rFonts w:hint="eastAsia"/>
          <w:b/>
          <w:bCs/>
          <w:color w:val="auto"/>
          <w:spacing w:val="0"/>
          <w:w w:val="100"/>
          <w:sz w:val="24"/>
          <w:szCs w:val="24"/>
          <w:highlight w:val="none"/>
          <w:lang w:val="en-US"/>
        </w:rPr>
        <w:t>6.8 有下列情形之一的，视为投标供应商串通投标，其投标无效：</w:t>
      </w:r>
    </w:p>
    <w:p w14:paraId="7C5FB1A2">
      <w:pPr>
        <w:pStyle w:val="14"/>
        <w:tabs>
          <w:tab w:val="left" w:pos="927"/>
        </w:tabs>
        <w:spacing w:line="360" w:lineRule="auto"/>
        <w:ind w:left="0" w:firstLine="482" w:firstLineChars="200"/>
        <w:rPr>
          <w:b/>
          <w:bCs/>
          <w:color w:val="auto"/>
          <w:spacing w:val="0"/>
          <w:w w:val="100"/>
          <w:sz w:val="24"/>
          <w:szCs w:val="24"/>
          <w:highlight w:val="none"/>
          <w:lang w:val="en-US"/>
        </w:rPr>
      </w:pPr>
      <w:r>
        <w:rPr>
          <w:rFonts w:hint="eastAsia"/>
          <w:b/>
          <w:bCs/>
          <w:color w:val="auto"/>
          <w:spacing w:val="0"/>
          <w:w w:val="100"/>
          <w:sz w:val="24"/>
          <w:szCs w:val="24"/>
          <w:highlight w:val="none"/>
          <w:lang w:val="en-US"/>
        </w:rPr>
        <w:t>6.8.1 不同投标供应商的投标文件由同一单位或者个人编制；</w:t>
      </w:r>
    </w:p>
    <w:p w14:paraId="341FB396">
      <w:pPr>
        <w:pStyle w:val="14"/>
        <w:tabs>
          <w:tab w:val="left" w:pos="927"/>
        </w:tabs>
        <w:spacing w:line="360" w:lineRule="auto"/>
        <w:ind w:left="0" w:firstLine="482" w:firstLineChars="200"/>
        <w:rPr>
          <w:b/>
          <w:bCs/>
          <w:color w:val="auto"/>
          <w:spacing w:val="0"/>
          <w:w w:val="100"/>
          <w:sz w:val="24"/>
          <w:szCs w:val="24"/>
          <w:highlight w:val="none"/>
          <w:lang w:val="en-US"/>
        </w:rPr>
      </w:pPr>
      <w:r>
        <w:rPr>
          <w:rFonts w:hint="eastAsia"/>
          <w:b/>
          <w:bCs/>
          <w:color w:val="auto"/>
          <w:spacing w:val="0"/>
          <w:w w:val="100"/>
          <w:sz w:val="24"/>
          <w:szCs w:val="24"/>
          <w:highlight w:val="none"/>
          <w:lang w:val="en-US"/>
        </w:rPr>
        <w:t>6.8.2 不同投标供应商委托同一单位或者个人办理投标事宜；</w:t>
      </w:r>
    </w:p>
    <w:p w14:paraId="1C8BC32A">
      <w:pPr>
        <w:pStyle w:val="14"/>
        <w:tabs>
          <w:tab w:val="left" w:pos="927"/>
        </w:tabs>
        <w:spacing w:line="360" w:lineRule="auto"/>
        <w:ind w:left="0" w:firstLine="482" w:firstLineChars="200"/>
        <w:rPr>
          <w:b/>
          <w:bCs/>
          <w:color w:val="auto"/>
          <w:spacing w:val="0"/>
          <w:w w:val="100"/>
          <w:sz w:val="24"/>
          <w:szCs w:val="24"/>
          <w:highlight w:val="none"/>
          <w:lang w:val="en-US"/>
        </w:rPr>
      </w:pPr>
      <w:r>
        <w:rPr>
          <w:rFonts w:hint="eastAsia"/>
          <w:b/>
          <w:bCs/>
          <w:color w:val="auto"/>
          <w:spacing w:val="0"/>
          <w:w w:val="100"/>
          <w:sz w:val="24"/>
          <w:szCs w:val="24"/>
          <w:highlight w:val="none"/>
          <w:lang w:val="en-US"/>
        </w:rPr>
        <w:t>6.8.3 不同投标供应商的投标文件载明的项目管理成员或者联系人员为同一人；</w:t>
      </w:r>
    </w:p>
    <w:p w14:paraId="62D701A5">
      <w:pPr>
        <w:pStyle w:val="14"/>
        <w:tabs>
          <w:tab w:val="left" w:pos="927"/>
        </w:tabs>
        <w:spacing w:line="360" w:lineRule="auto"/>
        <w:ind w:left="0" w:firstLine="482" w:firstLineChars="200"/>
        <w:rPr>
          <w:b/>
          <w:bCs/>
          <w:color w:val="auto"/>
          <w:spacing w:val="0"/>
          <w:w w:val="100"/>
          <w:sz w:val="24"/>
          <w:szCs w:val="24"/>
          <w:highlight w:val="none"/>
          <w:lang w:val="en-US"/>
        </w:rPr>
      </w:pPr>
      <w:r>
        <w:rPr>
          <w:rFonts w:hint="eastAsia"/>
          <w:b/>
          <w:bCs/>
          <w:color w:val="auto"/>
          <w:spacing w:val="0"/>
          <w:w w:val="100"/>
          <w:sz w:val="24"/>
          <w:szCs w:val="24"/>
          <w:highlight w:val="none"/>
          <w:lang w:val="en-US"/>
        </w:rPr>
        <w:t>6.8.4 不同投标供应商的投标文件异常一致或者投标报价呈规律性差异；</w:t>
      </w:r>
    </w:p>
    <w:p w14:paraId="0BCB1CCB">
      <w:pPr>
        <w:pStyle w:val="14"/>
        <w:tabs>
          <w:tab w:val="left" w:pos="927"/>
        </w:tabs>
        <w:spacing w:line="360" w:lineRule="auto"/>
        <w:ind w:left="0" w:firstLine="482" w:firstLineChars="200"/>
        <w:rPr>
          <w:b/>
          <w:bCs/>
          <w:color w:val="auto"/>
          <w:spacing w:val="0"/>
          <w:w w:val="100"/>
          <w:sz w:val="24"/>
          <w:szCs w:val="24"/>
          <w:highlight w:val="none"/>
          <w:lang w:val="en-US"/>
        </w:rPr>
      </w:pPr>
      <w:r>
        <w:rPr>
          <w:rFonts w:hint="eastAsia"/>
          <w:b/>
          <w:bCs/>
          <w:color w:val="auto"/>
          <w:spacing w:val="0"/>
          <w:w w:val="100"/>
          <w:sz w:val="24"/>
          <w:szCs w:val="24"/>
          <w:highlight w:val="none"/>
          <w:lang w:val="en-US"/>
        </w:rPr>
        <w:t>6.8.5 不同投标供应商的投标文件相互混装；</w:t>
      </w:r>
    </w:p>
    <w:p w14:paraId="341C2117">
      <w:pPr>
        <w:pStyle w:val="14"/>
        <w:tabs>
          <w:tab w:val="left" w:pos="927"/>
        </w:tabs>
        <w:spacing w:line="360" w:lineRule="auto"/>
        <w:ind w:left="0" w:firstLine="482" w:firstLineChars="200"/>
        <w:rPr>
          <w:b/>
          <w:bCs/>
          <w:color w:val="auto"/>
          <w:spacing w:val="0"/>
          <w:w w:val="100"/>
          <w:sz w:val="24"/>
          <w:szCs w:val="24"/>
          <w:highlight w:val="none"/>
          <w:lang w:val="en-US"/>
        </w:rPr>
      </w:pPr>
      <w:r>
        <w:rPr>
          <w:rFonts w:hint="eastAsia"/>
          <w:b/>
          <w:bCs/>
          <w:color w:val="auto"/>
          <w:spacing w:val="0"/>
          <w:w w:val="100"/>
          <w:sz w:val="24"/>
          <w:szCs w:val="24"/>
          <w:highlight w:val="none"/>
          <w:lang w:val="en-US"/>
        </w:rPr>
        <w:t>6.8.6 不同投标供应商的投标保证金从同一单位或者个人的账户转出。</w:t>
      </w:r>
    </w:p>
    <w:p w14:paraId="5DCD065C">
      <w:pPr>
        <w:pStyle w:val="14"/>
        <w:tabs>
          <w:tab w:val="left" w:pos="927"/>
        </w:tabs>
        <w:spacing w:line="360" w:lineRule="auto"/>
        <w:ind w:left="0" w:firstLine="482" w:firstLineChars="200"/>
        <w:rPr>
          <w:b/>
          <w:bCs/>
          <w:dstrike/>
          <w:color w:val="auto"/>
          <w:spacing w:val="0"/>
          <w:w w:val="100"/>
          <w:sz w:val="24"/>
          <w:szCs w:val="24"/>
          <w:highlight w:val="none"/>
          <w:lang w:val="en-US"/>
        </w:rPr>
      </w:pPr>
      <w:r>
        <w:rPr>
          <w:rFonts w:hint="eastAsia"/>
          <w:b/>
          <w:bCs/>
          <w:dstrike/>
          <w:color w:val="auto"/>
          <w:spacing w:val="0"/>
          <w:w w:val="100"/>
          <w:sz w:val="24"/>
          <w:szCs w:val="24"/>
          <w:highlight w:val="none"/>
          <w:lang w:val="en-US"/>
        </w:rPr>
        <w:t>6.9 未有效交纳投标保证金的；</w:t>
      </w:r>
    </w:p>
    <w:p w14:paraId="716AB289">
      <w:pPr>
        <w:pStyle w:val="14"/>
        <w:tabs>
          <w:tab w:val="left" w:pos="927"/>
        </w:tabs>
        <w:spacing w:line="360" w:lineRule="auto"/>
        <w:ind w:left="0" w:firstLine="482" w:firstLineChars="200"/>
        <w:rPr>
          <w:b/>
          <w:bCs/>
          <w:color w:val="auto"/>
          <w:spacing w:val="0"/>
          <w:w w:val="100"/>
          <w:sz w:val="24"/>
          <w:szCs w:val="24"/>
          <w:highlight w:val="none"/>
          <w:lang w:val="en-US"/>
        </w:rPr>
      </w:pPr>
      <w:r>
        <w:rPr>
          <w:rFonts w:hint="eastAsia"/>
          <w:b/>
          <w:bCs/>
          <w:color w:val="auto"/>
          <w:spacing w:val="0"/>
          <w:w w:val="100"/>
          <w:sz w:val="24"/>
          <w:szCs w:val="24"/>
          <w:highlight w:val="none"/>
          <w:lang w:val="en-US"/>
        </w:rPr>
        <w:t>6.10 投标有效期不满足招标文件要求的；</w:t>
      </w:r>
    </w:p>
    <w:p w14:paraId="1E1C970E">
      <w:pPr>
        <w:pStyle w:val="14"/>
        <w:tabs>
          <w:tab w:val="left" w:pos="927"/>
        </w:tabs>
        <w:spacing w:line="360" w:lineRule="auto"/>
        <w:ind w:left="0" w:firstLine="482" w:firstLineChars="200"/>
        <w:rPr>
          <w:b/>
          <w:bCs/>
          <w:color w:val="auto"/>
          <w:spacing w:val="0"/>
          <w:w w:val="100"/>
          <w:sz w:val="24"/>
          <w:szCs w:val="24"/>
          <w:highlight w:val="none"/>
          <w:lang w:val="en-US"/>
        </w:rPr>
      </w:pPr>
      <w:r>
        <w:rPr>
          <w:rFonts w:hint="eastAsia"/>
          <w:b/>
          <w:bCs/>
          <w:color w:val="auto"/>
          <w:spacing w:val="0"/>
          <w:w w:val="100"/>
          <w:sz w:val="24"/>
          <w:szCs w:val="24"/>
          <w:highlight w:val="none"/>
          <w:lang w:val="en-US"/>
        </w:rPr>
        <w:t>6.11 单位负责人为同一人或者存在直接控股、管理关系的不同供应商，不得参加同一合同项下的政府采购活动。</w:t>
      </w:r>
    </w:p>
    <w:p w14:paraId="46055E1A">
      <w:pPr>
        <w:pStyle w:val="14"/>
        <w:tabs>
          <w:tab w:val="left" w:pos="927"/>
        </w:tabs>
        <w:spacing w:line="360" w:lineRule="auto"/>
        <w:ind w:left="0" w:firstLine="482" w:firstLineChars="200"/>
        <w:rPr>
          <w:b/>
          <w:bCs/>
          <w:color w:val="auto"/>
          <w:spacing w:val="0"/>
          <w:w w:val="100"/>
          <w:sz w:val="24"/>
          <w:szCs w:val="24"/>
          <w:highlight w:val="none"/>
          <w:lang w:val="en-US"/>
        </w:rPr>
      </w:pPr>
      <w:r>
        <w:rPr>
          <w:rFonts w:hint="eastAsia"/>
          <w:b/>
          <w:bCs/>
          <w:color w:val="auto"/>
          <w:spacing w:val="0"/>
          <w:w w:val="100"/>
          <w:sz w:val="24"/>
          <w:szCs w:val="24"/>
          <w:highlight w:val="none"/>
          <w:lang w:val="en-US"/>
        </w:rPr>
        <w:t>6.12 除单一来源采购项目外，为采购项目提供整体设计、规范编制或者项目管理、监理、检测等服务的供应商，不得再参加该采购项目的其他采购活动。</w:t>
      </w:r>
    </w:p>
    <w:p w14:paraId="4F4CC037">
      <w:pPr>
        <w:pStyle w:val="14"/>
        <w:tabs>
          <w:tab w:val="left" w:pos="927"/>
        </w:tabs>
        <w:spacing w:line="360" w:lineRule="auto"/>
        <w:ind w:left="0" w:firstLine="482" w:firstLineChars="200"/>
        <w:rPr>
          <w:b/>
          <w:bCs/>
          <w:color w:val="auto"/>
          <w:spacing w:val="0"/>
          <w:w w:val="100"/>
          <w:sz w:val="24"/>
          <w:szCs w:val="24"/>
          <w:highlight w:val="none"/>
          <w:lang w:val="en-US"/>
        </w:rPr>
      </w:pPr>
      <w:r>
        <w:rPr>
          <w:rFonts w:hint="eastAsia"/>
          <w:b/>
          <w:bCs/>
          <w:color w:val="auto"/>
          <w:spacing w:val="0"/>
          <w:w w:val="100"/>
          <w:sz w:val="24"/>
          <w:szCs w:val="24"/>
          <w:highlight w:val="none"/>
          <w:lang w:val="en-US"/>
        </w:rPr>
        <w:t>6.13 违反政府采购法律法规,足以导致投标文件无效的情形。</w:t>
      </w:r>
    </w:p>
    <w:p w14:paraId="3C3F4D3A">
      <w:pPr>
        <w:pStyle w:val="14"/>
        <w:tabs>
          <w:tab w:val="left" w:pos="927"/>
        </w:tabs>
        <w:spacing w:line="360" w:lineRule="auto"/>
        <w:ind w:left="0" w:firstLine="482" w:firstLineChars="200"/>
        <w:rPr>
          <w:b/>
          <w:bCs/>
          <w:color w:val="auto"/>
          <w:spacing w:val="0"/>
          <w:w w:val="100"/>
          <w:sz w:val="24"/>
          <w:szCs w:val="24"/>
          <w:highlight w:val="none"/>
        </w:rPr>
      </w:pPr>
      <w:r>
        <w:rPr>
          <w:rFonts w:hint="eastAsia"/>
          <w:b/>
          <w:bCs/>
          <w:color w:val="auto"/>
          <w:spacing w:val="0"/>
          <w:w w:val="100"/>
          <w:sz w:val="24"/>
          <w:szCs w:val="24"/>
          <w:highlight w:val="none"/>
          <w:lang w:val="en-US"/>
        </w:rPr>
        <w:t>7</w:t>
      </w:r>
      <w:r>
        <w:rPr>
          <w:rFonts w:hint="eastAsia"/>
          <w:b/>
          <w:bCs/>
          <w:color w:val="auto"/>
          <w:spacing w:val="0"/>
          <w:w w:val="100"/>
          <w:sz w:val="24"/>
          <w:szCs w:val="24"/>
          <w:highlight w:val="none"/>
        </w:rPr>
        <w:t>、出现下列情形之一的，本项目/标项作废标处理,项目/标项评审终止：</w:t>
      </w:r>
    </w:p>
    <w:p w14:paraId="7BB4FD4A">
      <w:pPr>
        <w:pStyle w:val="14"/>
        <w:tabs>
          <w:tab w:val="left" w:pos="927"/>
        </w:tabs>
        <w:spacing w:line="360" w:lineRule="auto"/>
        <w:ind w:left="0" w:firstLine="482" w:firstLineChars="200"/>
        <w:rPr>
          <w:b/>
          <w:bCs/>
          <w:color w:val="auto"/>
          <w:spacing w:val="0"/>
          <w:w w:val="100"/>
          <w:sz w:val="24"/>
          <w:szCs w:val="24"/>
          <w:highlight w:val="none"/>
        </w:rPr>
      </w:pPr>
      <w:r>
        <w:rPr>
          <w:rFonts w:hint="eastAsia"/>
          <w:b/>
          <w:bCs/>
          <w:color w:val="auto"/>
          <w:spacing w:val="0"/>
          <w:w w:val="100"/>
          <w:sz w:val="24"/>
          <w:szCs w:val="24"/>
          <w:highlight w:val="none"/>
          <w:lang w:val="en-US"/>
        </w:rPr>
        <w:t>7.</w:t>
      </w:r>
      <w:r>
        <w:rPr>
          <w:rFonts w:hint="eastAsia"/>
          <w:b/>
          <w:bCs/>
          <w:color w:val="auto"/>
          <w:spacing w:val="0"/>
          <w:w w:val="100"/>
          <w:sz w:val="24"/>
          <w:szCs w:val="24"/>
          <w:highlight w:val="none"/>
        </w:rPr>
        <w:t>1符合专业条件的或对招标文件作实质响应的有效投标供应商不足三家的；</w:t>
      </w:r>
    </w:p>
    <w:p w14:paraId="7D7CE02D">
      <w:pPr>
        <w:pStyle w:val="14"/>
        <w:tabs>
          <w:tab w:val="left" w:pos="927"/>
        </w:tabs>
        <w:spacing w:line="360" w:lineRule="auto"/>
        <w:ind w:left="0" w:firstLine="482" w:firstLineChars="200"/>
        <w:rPr>
          <w:b/>
          <w:bCs/>
          <w:color w:val="auto"/>
          <w:spacing w:val="0"/>
          <w:w w:val="100"/>
          <w:sz w:val="24"/>
          <w:szCs w:val="24"/>
          <w:highlight w:val="none"/>
        </w:rPr>
      </w:pPr>
      <w:r>
        <w:rPr>
          <w:rFonts w:hint="eastAsia"/>
          <w:b/>
          <w:bCs/>
          <w:color w:val="auto"/>
          <w:spacing w:val="0"/>
          <w:w w:val="100"/>
          <w:sz w:val="24"/>
          <w:szCs w:val="24"/>
          <w:highlight w:val="none"/>
          <w:lang w:val="en-US"/>
        </w:rPr>
        <w:t>7.</w:t>
      </w:r>
      <w:r>
        <w:rPr>
          <w:rFonts w:hint="eastAsia"/>
          <w:b/>
          <w:bCs/>
          <w:color w:val="auto"/>
          <w:spacing w:val="0"/>
          <w:w w:val="100"/>
          <w:sz w:val="24"/>
          <w:szCs w:val="24"/>
          <w:highlight w:val="none"/>
        </w:rPr>
        <w:t>2出现影响采购公正的违法、违规行为的；</w:t>
      </w:r>
    </w:p>
    <w:p w14:paraId="7B9FE9D5">
      <w:pPr>
        <w:pStyle w:val="14"/>
        <w:tabs>
          <w:tab w:val="left" w:pos="927"/>
        </w:tabs>
        <w:spacing w:line="360" w:lineRule="auto"/>
        <w:ind w:left="0" w:firstLine="482" w:firstLineChars="200"/>
        <w:rPr>
          <w:b/>
          <w:bCs/>
          <w:color w:val="auto"/>
          <w:spacing w:val="0"/>
          <w:w w:val="100"/>
          <w:sz w:val="24"/>
          <w:szCs w:val="24"/>
          <w:highlight w:val="none"/>
        </w:rPr>
      </w:pPr>
      <w:r>
        <w:rPr>
          <w:rFonts w:hint="eastAsia"/>
          <w:b/>
          <w:bCs/>
          <w:color w:val="auto"/>
          <w:spacing w:val="0"/>
          <w:w w:val="100"/>
          <w:sz w:val="24"/>
          <w:szCs w:val="24"/>
          <w:highlight w:val="none"/>
          <w:lang w:val="en-US"/>
        </w:rPr>
        <w:t>7.</w:t>
      </w:r>
      <w:r>
        <w:rPr>
          <w:rFonts w:hint="eastAsia"/>
          <w:b/>
          <w:bCs/>
          <w:color w:val="auto"/>
          <w:spacing w:val="0"/>
          <w:w w:val="100"/>
          <w:sz w:val="24"/>
          <w:szCs w:val="24"/>
          <w:highlight w:val="none"/>
        </w:rPr>
        <w:t>3供应商报价均超过了采购预算的；</w:t>
      </w:r>
    </w:p>
    <w:p w14:paraId="1A2DB1D2">
      <w:pPr>
        <w:pStyle w:val="14"/>
        <w:tabs>
          <w:tab w:val="left" w:pos="927"/>
        </w:tabs>
        <w:spacing w:line="360" w:lineRule="auto"/>
        <w:ind w:left="0" w:firstLine="482" w:firstLineChars="200"/>
        <w:rPr>
          <w:b/>
          <w:bCs/>
          <w:color w:val="auto"/>
          <w:spacing w:val="0"/>
          <w:w w:val="100"/>
          <w:sz w:val="24"/>
          <w:szCs w:val="24"/>
          <w:highlight w:val="none"/>
        </w:rPr>
      </w:pPr>
      <w:r>
        <w:rPr>
          <w:rFonts w:hint="eastAsia"/>
          <w:b/>
          <w:bCs/>
          <w:color w:val="auto"/>
          <w:spacing w:val="0"/>
          <w:w w:val="100"/>
          <w:sz w:val="24"/>
          <w:szCs w:val="24"/>
          <w:highlight w:val="none"/>
          <w:lang w:val="en-US"/>
        </w:rPr>
        <w:t>7.</w:t>
      </w:r>
      <w:r>
        <w:rPr>
          <w:rFonts w:hint="eastAsia"/>
          <w:b/>
          <w:bCs/>
          <w:color w:val="auto"/>
          <w:spacing w:val="0"/>
          <w:w w:val="100"/>
          <w:sz w:val="24"/>
          <w:szCs w:val="24"/>
          <w:highlight w:val="none"/>
        </w:rPr>
        <w:t>4因重大变故，采购任务取消的；</w:t>
      </w:r>
    </w:p>
    <w:p w14:paraId="51DB6441">
      <w:pPr>
        <w:pStyle w:val="14"/>
        <w:tabs>
          <w:tab w:val="left" w:pos="927"/>
        </w:tabs>
        <w:spacing w:line="360" w:lineRule="auto"/>
        <w:ind w:left="0" w:firstLine="482" w:firstLineChars="200"/>
        <w:rPr>
          <w:rFonts w:hint="eastAsia" w:eastAsia="宋体"/>
          <w:b/>
          <w:bCs/>
          <w:color w:val="auto"/>
          <w:spacing w:val="0"/>
          <w:w w:val="100"/>
          <w:sz w:val="24"/>
          <w:szCs w:val="24"/>
          <w:highlight w:val="none"/>
          <w:lang w:eastAsia="zh-CN"/>
        </w:rPr>
        <w:sectPr>
          <w:footerReference r:id="rId3" w:type="default"/>
          <w:pgSz w:w="11911" w:h="16838"/>
          <w:pgMar w:top="1417" w:right="1020" w:bottom="1417" w:left="1020" w:header="794" w:footer="828" w:gutter="0"/>
          <w:cols w:space="0" w:num="1"/>
        </w:sectPr>
      </w:pPr>
      <w:r>
        <w:rPr>
          <w:rFonts w:hint="eastAsia"/>
          <w:b/>
          <w:bCs/>
          <w:color w:val="auto"/>
          <w:spacing w:val="0"/>
          <w:w w:val="100"/>
          <w:sz w:val="24"/>
          <w:szCs w:val="24"/>
          <w:highlight w:val="none"/>
          <w:lang w:val="en-US"/>
        </w:rPr>
        <w:t>7.</w:t>
      </w:r>
      <w:r>
        <w:rPr>
          <w:rFonts w:hint="eastAsia"/>
          <w:b/>
          <w:bCs/>
          <w:color w:val="auto"/>
          <w:spacing w:val="0"/>
          <w:w w:val="100"/>
          <w:sz w:val="24"/>
          <w:szCs w:val="24"/>
          <w:highlight w:val="none"/>
        </w:rPr>
        <w:t>5法律法规规定的其他情形</w:t>
      </w:r>
      <w:r>
        <w:rPr>
          <w:rFonts w:hint="eastAsia"/>
          <w:b/>
          <w:bCs/>
          <w:color w:val="auto"/>
          <w:spacing w:val="0"/>
          <w:w w:val="100"/>
          <w:sz w:val="24"/>
          <w:szCs w:val="24"/>
          <w:highlight w:val="none"/>
          <w:lang w:eastAsia="zh-CN"/>
        </w:rPr>
        <w:t>。</w:t>
      </w:r>
    </w:p>
    <w:p w14:paraId="063D42D8">
      <w:pPr>
        <w:rPr>
          <w:highlight w:val="none"/>
        </w:rPr>
      </w:pPr>
    </w:p>
    <w:p w14:paraId="3CEEB495">
      <w:pPr>
        <w:numPr>
          <w:ilvl w:val="0"/>
          <w:numId w:val="2"/>
        </w:numPr>
        <w:rPr>
          <w:rFonts w:hint="eastAsia"/>
          <w:highlight w:val="none"/>
          <w:lang w:eastAsia="zh-CN"/>
        </w:rPr>
      </w:pPr>
      <w:r>
        <w:rPr>
          <w:rFonts w:hint="eastAsia"/>
          <w:highlight w:val="none"/>
          <w:lang w:eastAsia="zh-CN"/>
        </w:rPr>
        <w:t>技术、商务要求</w:t>
      </w:r>
    </w:p>
    <w:p w14:paraId="65039807">
      <w:pPr>
        <w:pStyle w:val="4"/>
        <w:numPr>
          <w:numId w:val="0"/>
        </w:numPr>
        <w:ind w:leftChars="-1097" w:right="-29" w:rightChars="0" w:firstLine="5622" w:firstLineChars="2000"/>
        <w:jc w:val="both"/>
        <w:rPr>
          <w:rFonts w:hint="eastAsia"/>
          <w:color w:val="auto"/>
          <w:spacing w:val="0"/>
          <w:w w:val="100"/>
          <w:highlight w:val="none"/>
          <w:lang w:val="en-US" w:eastAsia="zh-CN"/>
        </w:rPr>
      </w:pPr>
      <w:r>
        <w:rPr>
          <w:rFonts w:hint="eastAsia"/>
          <w:color w:val="auto"/>
          <w:spacing w:val="0"/>
          <w:w w:val="100"/>
          <w:highlight w:val="none"/>
          <w:lang w:val="en-US" w:eastAsia="zh-CN"/>
        </w:rPr>
        <w:t>（一）技术要求</w:t>
      </w:r>
    </w:p>
    <w:tbl>
      <w:tblPr>
        <w:tblStyle w:val="9"/>
        <w:tblW w:w="9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974"/>
      </w:tblGrid>
      <w:tr w14:paraId="3B0D2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59" w:type="dxa"/>
            <w:noWrap/>
          </w:tcPr>
          <w:p w14:paraId="2B7AB6D5">
            <w:pPr>
              <w:jc w:val="center"/>
              <w:rPr>
                <w:b/>
                <w:bCs/>
                <w:color w:val="000000" w:themeColor="text1"/>
                <w:sz w:val="24"/>
                <w:szCs w:val="24"/>
                <w14:textFill>
                  <w14:solidFill>
                    <w14:schemeClr w14:val="tx1"/>
                  </w14:solidFill>
                </w14:textFill>
              </w:rPr>
            </w:pPr>
          </w:p>
        </w:tc>
        <w:tc>
          <w:tcPr>
            <w:tcW w:w="8974" w:type="dxa"/>
          </w:tcPr>
          <w:p w14:paraId="2B0C9A65">
            <w:pPr>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参数内容</w:t>
            </w:r>
          </w:p>
        </w:tc>
      </w:tr>
      <w:tr w14:paraId="1D7F2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59" w:type="dxa"/>
            <w:noWrap/>
          </w:tcPr>
          <w:p w14:paraId="16EC7C48">
            <w:pPr>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一</w:t>
            </w:r>
          </w:p>
        </w:tc>
        <w:tc>
          <w:tcPr>
            <w:tcW w:w="8974" w:type="dxa"/>
          </w:tcPr>
          <w:p w14:paraId="079F2EE2">
            <w:pPr>
              <w:jc w:val="left"/>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设备名称：彩色多普勒超声系统</w:t>
            </w:r>
          </w:p>
        </w:tc>
      </w:tr>
      <w:tr w14:paraId="3FC25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59" w:type="dxa"/>
            <w:noWrap/>
          </w:tcPr>
          <w:p w14:paraId="77A3C335">
            <w:pPr>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二</w:t>
            </w:r>
          </w:p>
        </w:tc>
        <w:tc>
          <w:tcPr>
            <w:tcW w:w="8974" w:type="dxa"/>
          </w:tcPr>
          <w:p w14:paraId="16BE7745">
            <w:pPr>
              <w:jc w:val="left"/>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用途说明</w:t>
            </w:r>
          </w:p>
        </w:tc>
      </w:tr>
      <w:tr w14:paraId="4A4E6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959" w:type="dxa"/>
            <w:noWrap/>
          </w:tcPr>
          <w:p w14:paraId="4B21F030">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2.1</w:t>
            </w:r>
          </w:p>
        </w:tc>
        <w:tc>
          <w:tcPr>
            <w:tcW w:w="8974" w:type="dxa"/>
          </w:tcPr>
          <w:p w14:paraId="3B24A138">
            <w:pPr>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彩色多普勒超声波诊断系统，主要用于腹部、产科、妇科、心脏、小器官、泌尿、血管、儿科、神经、急重症、盆底</w:t>
            </w:r>
            <w:r>
              <w:rPr>
                <w:rFonts w:hint="eastAsia"/>
                <w:color w:val="000000" w:themeColor="text1"/>
                <w:sz w:val="24"/>
                <w:szCs w:val="24"/>
                <w:lang w:val="en-US" w:eastAsia="zh-CN"/>
                <w14:textFill>
                  <w14:solidFill>
                    <w14:schemeClr w14:val="tx1"/>
                  </w14:solidFill>
                </w14:textFill>
              </w:rPr>
              <w:t>超声、子宫输卵管造影</w:t>
            </w:r>
            <w:r>
              <w:rPr>
                <w:rFonts w:hint="eastAsia"/>
                <w:color w:val="000000" w:themeColor="text1"/>
                <w:sz w:val="24"/>
                <w:szCs w:val="24"/>
                <w14:textFill>
                  <w14:solidFill>
                    <w14:schemeClr w14:val="tx1"/>
                  </w14:solidFill>
                </w14:textFill>
              </w:rPr>
              <w:t>等应用。</w:t>
            </w:r>
          </w:p>
        </w:tc>
      </w:tr>
      <w:tr w14:paraId="3CB1D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59" w:type="dxa"/>
            <w:noWrap/>
          </w:tcPr>
          <w:p w14:paraId="553FDF1A">
            <w:pPr>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三</w:t>
            </w:r>
          </w:p>
        </w:tc>
        <w:tc>
          <w:tcPr>
            <w:tcW w:w="8974" w:type="dxa"/>
          </w:tcPr>
          <w:p w14:paraId="1C48ADCD">
            <w:pPr>
              <w:jc w:val="left"/>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物理规格及人机交互要求</w:t>
            </w:r>
          </w:p>
        </w:tc>
      </w:tr>
      <w:tr w14:paraId="3051B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959" w:type="dxa"/>
            <w:noWrap/>
          </w:tcPr>
          <w:p w14:paraId="18917BFD">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3.1</w:t>
            </w:r>
          </w:p>
        </w:tc>
        <w:tc>
          <w:tcPr>
            <w:tcW w:w="8974" w:type="dxa"/>
          </w:tcPr>
          <w:p w14:paraId="6A31BD9B">
            <w:pPr>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显示器要求：≥</w:t>
            </w:r>
            <w:r>
              <w:rPr>
                <w:rFonts w:hint="eastAsia"/>
                <w:color w:val="000000" w:themeColor="text1"/>
                <w:sz w:val="24"/>
                <w:szCs w:val="24"/>
                <w:lang w:val="en-US" w:eastAsia="zh-CN"/>
                <w14:textFill>
                  <w14:solidFill>
                    <w14:schemeClr w14:val="tx1"/>
                  </w14:solidFill>
                </w14:textFill>
              </w:rPr>
              <w:t>25</w:t>
            </w:r>
            <w:r>
              <w:rPr>
                <w:rFonts w:hint="eastAsia"/>
                <w:color w:val="000000" w:themeColor="text1"/>
                <w:sz w:val="24"/>
                <w:szCs w:val="24"/>
                <w14:textFill>
                  <w14:solidFill>
                    <w14:schemeClr w14:val="tx1"/>
                  </w14:solidFill>
                </w14:textFill>
              </w:rPr>
              <w:t>英寸高分辨率彩色液晶显示器，分辨率≥2560*1440，可上下倾斜、左右旋转、前后拉伸。 前后移动距离≥45cm。</w:t>
            </w:r>
          </w:p>
        </w:tc>
      </w:tr>
      <w:tr w14:paraId="4723A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59" w:type="dxa"/>
            <w:noWrap/>
          </w:tcPr>
          <w:p w14:paraId="2B08FD41">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3.2</w:t>
            </w:r>
          </w:p>
        </w:tc>
        <w:tc>
          <w:tcPr>
            <w:tcW w:w="8974" w:type="dxa"/>
          </w:tcPr>
          <w:p w14:paraId="6CB45E63">
            <w:pPr>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主机系统具有控制面板集成一体化的触摸屏：大小尺寸≥</w:t>
            </w:r>
            <w:r>
              <w:rPr>
                <w:rFonts w:hint="eastAsia"/>
                <w:color w:val="000000" w:themeColor="text1"/>
                <w:sz w:val="24"/>
                <w:szCs w:val="24"/>
                <w:lang w:val="en-US" w:eastAsia="zh-CN"/>
                <w14:textFill>
                  <w14:solidFill>
                    <w14:schemeClr w14:val="tx1"/>
                  </w14:solidFill>
                </w14:textFill>
              </w:rPr>
              <w:t>15</w:t>
            </w:r>
            <w:r>
              <w:rPr>
                <w:rFonts w:hint="eastAsia"/>
                <w:color w:val="000000" w:themeColor="text1"/>
                <w:sz w:val="24"/>
                <w:szCs w:val="24"/>
                <w14:textFill>
                  <w14:solidFill>
                    <w14:schemeClr w14:val="tx1"/>
                  </w14:solidFill>
                </w14:textFill>
              </w:rPr>
              <w:t>英寸，触摸屏角度可以独立于主机调节（机身静止状态下，独立调节角度≥50度）</w:t>
            </w:r>
          </w:p>
        </w:tc>
      </w:tr>
      <w:tr w14:paraId="12CB0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59" w:type="dxa"/>
            <w:noWrap/>
          </w:tcPr>
          <w:p w14:paraId="6D7BBCF6">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3.3</w:t>
            </w:r>
          </w:p>
        </w:tc>
        <w:tc>
          <w:tcPr>
            <w:tcW w:w="8974" w:type="dxa"/>
          </w:tcPr>
          <w:p w14:paraId="423AFE55">
            <w:pPr>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触摸屏可显示自动记忆的最近使用过的检查探头及模式，支持一键切换探头及模式。</w:t>
            </w:r>
          </w:p>
        </w:tc>
      </w:tr>
      <w:tr w14:paraId="03B76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59" w:type="dxa"/>
            <w:noWrap/>
          </w:tcPr>
          <w:p w14:paraId="77A00233">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3.4</w:t>
            </w:r>
          </w:p>
        </w:tc>
        <w:tc>
          <w:tcPr>
            <w:tcW w:w="8974" w:type="dxa"/>
          </w:tcPr>
          <w:p w14:paraId="125433A1">
            <w:pPr>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操作面板具有6向独立的电动调节功能（即电动上下升降、左右旋转和前后平移），方便操作者进行操作。</w:t>
            </w:r>
          </w:p>
        </w:tc>
      </w:tr>
      <w:tr w14:paraId="3C934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59" w:type="dxa"/>
            <w:noWrap/>
          </w:tcPr>
          <w:p w14:paraId="74D7B5C2">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3.5</w:t>
            </w:r>
          </w:p>
        </w:tc>
        <w:tc>
          <w:tcPr>
            <w:tcW w:w="8974" w:type="dxa"/>
          </w:tcPr>
          <w:p w14:paraId="71DA46B5">
            <w:pPr>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探头接口数量≥5个，均为无针式接口且大小一致，可全激活。</w:t>
            </w:r>
          </w:p>
        </w:tc>
      </w:tr>
      <w:tr w14:paraId="2A73E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59" w:type="dxa"/>
            <w:noWrap/>
          </w:tcPr>
          <w:p w14:paraId="1FD8EB20">
            <w:pPr>
              <w:jc w:val="center"/>
              <w:rPr>
                <w:rFonts w:hint="eastAsia"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3.</w:t>
            </w:r>
            <w:r>
              <w:rPr>
                <w:rFonts w:hint="eastAsia"/>
                <w:color w:val="000000" w:themeColor="text1"/>
                <w:sz w:val="24"/>
                <w:szCs w:val="24"/>
                <w:lang w:val="en-US" w:eastAsia="zh-CN"/>
                <w14:textFill>
                  <w14:solidFill>
                    <w14:schemeClr w14:val="tx1"/>
                  </w14:solidFill>
                </w14:textFill>
              </w:rPr>
              <w:t>6</w:t>
            </w:r>
          </w:p>
        </w:tc>
        <w:tc>
          <w:tcPr>
            <w:tcW w:w="8974" w:type="dxa"/>
          </w:tcPr>
          <w:p w14:paraId="0833791F">
            <w:pPr>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中央刹车系统（提供机器图片）</w:t>
            </w:r>
          </w:p>
        </w:tc>
      </w:tr>
      <w:tr w14:paraId="32B97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59" w:type="dxa"/>
            <w:noWrap/>
          </w:tcPr>
          <w:p w14:paraId="354C76DA">
            <w:pPr>
              <w:jc w:val="center"/>
              <w:rPr>
                <w:rFonts w:hint="eastAsia"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*3.</w:t>
            </w:r>
            <w:r>
              <w:rPr>
                <w:rFonts w:hint="eastAsia"/>
                <w:color w:val="000000" w:themeColor="text1"/>
                <w:sz w:val="24"/>
                <w:szCs w:val="24"/>
                <w:lang w:val="en-US" w:eastAsia="zh-CN"/>
                <w14:textFill>
                  <w14:solidFill>
                    <w14:schemeClr w14:val="tx1"/>
                  </w14:solidFill>
                </w14:textFill>
              </w:rPr>
              <w:t>7</w:t>
            </w:r>
          </w:p>
        </w:tc>
        <w:tc>
          <w:tcPr>
            <w:tcW w:w="8974" w:type="dxa"/>
          </w:tcPr>
          <w:p w14:paraId="6C5B6380">
            <w:pPr>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要求所投机型为投标商超高档机型，近三年内推出的最新机型（以首次获批NMPA注册证书为准）</w:t>
            </w:r>
          </w:p>
        </w:tc>
      </w:tr>
      <w:tr w14:paraId="751C7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59" w:type="dxa"/>
            <w:noWrap/>
          </w:tcPr>
          <w:p w14:paraId="50C75724">
            <w:pPr>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四</w:t>
            </w:r>
          </w:p>
        </w:tc>
        <w:tc>
          <w:tcPr>
            <w:tcW w:w="8974" w:type="dxa"/>
          </w:tcPr>
          <w:p w14:paraId="621DD627">
            <w:pP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先进成像技术</w:t>
            </w:r>
          </w:p>
        </w:tc>
      </w:tr>
      <w:tr w14:paraId="5DCCB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59" w:type="dxa"/>
            <w:noWrap/>
          </w:tcPr>
          <w:p w14:paraId="7C8CB95C">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4.1</w:t>
            </w:r>
          </w:p>
        </w:tc>
        <w:tc>
          <w:tcPr>
            <w:tcW w:w="8974" w:type="dxa"/>
          </w:tcPr>
          <w:p w14:paraId="0A681C0B">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数字化全域动态聚焦，数字化可变孔径及动态变迹， A/D ≥ 16bit </w:t>
            </w:r>
          </w:p>
        </w:tc>
      </w:tr>
      <w:tr w14:paraId="11519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59" w:type="dxa"/>
            <w:noWrap/>
          </w:tcPr>
          <w:p w14:paraId="19F79AB2">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4.2</w:t>
            </w:r>
          </w:p>
        </w:tc>
        <w:tc>
          <w:tcPr>
            <w:tcW w:w="8974" w:type="dxa"/>
          </w:tcPr>
          <w:p w14:paraId="051805E8">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宽频可变频成像技术：灰阶、谐波、彩色、频谱支持独立变频，探头频率可视可调</w:t>
            </w:r>
          </w:p>
        </w:tc>
      </w:tr>
      <w:tr w14:paraId="4983A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59" w:type="dxa"/>
            <w:noWrap/>
          </w:tcPr>
          <w:p w14:paraId="0AA1D5F9">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4.3</w:t>
            </w:r>
          </w:p>
        </w:tc>
        <w:tc>
          <w:tcPr>
            <w:tcW w:w="8974" w:type="dxa"/>
          </w:tcPr>
          <w:p w14:paraId="3B16A877">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斑点噪声抑制技术：支持所有探头，7档可调，支持二维图像、三维图像、造影成像等技术。</w:t>
            </w:r>
          </w:p>
        </w:tc>
      </w:tr>
      <w:tr w14:paraId="61D13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59" w:type="dxa"/>
            <w:noWrap/>
          </w:tcPr>
          <w:p w14:paraId="38140EB6">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4.4</w:t>
            </w:r>
          </w:p>
        </w:tc>
        <w:tc>
          <w:tcPr>
            <w:tcW w:w="8974" w:type="dxa"/>
          </w:tcPr>
          <w:p w14:paraId="5645E95B">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多角度扫描空间复合成像技术，调节档位≥3档。</w:t>
            </w:r>
          </w:p>
        </w:tc>
      </w:tr>
      <w:tr w14:paraId="1BFD3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59" w:type="dxa"/>
            <w:noWrap/>
          </w:tcPr>
          <w:p w14:paraId="18F29AF6">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4.5</w:t>
            </w:r>
          </w:p>
        </w:tc>
        <w:tc>
          <w:tcPr>
            <w:tcW w:w="8974" w:type="dxa"/>
          </w:tcPr>
          <w:p w14:paraId="4F23FC0A">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声速匹配技术，根据人体组织真实情况，自动匹配至最佳成像声速，并将具体声速数值在屏幕上显示。</w:t>
            </w:r>
          </w:p>
        </w:tc>
      </w:tr>
      <w:tr w14:paraId="372A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59" w:type="dxa"/>
            <w:noWrap/>
          </w:tcPr>
          <w:p w14:paraId="69778161">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4.7</w:t>
            </w:r>
          </w:p>
        </w:tc>
        <w:tc>
          <w:tcPr>
            <w:tcW w:w="8974" w:type="dxa"/>
          </w:tcPr>
          <w:p w14:paraId="7535E691">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支持全屏放大，一键实时全屏图像放大功能，支持≥ 2 种放大模式，放大后图像可全屏显示</w:t>
            </w:r>
          </w:p>
        </w:tc>
      </w:tr>
      <w:tr w14:paraId="2CD85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959" w:type="dxa"/>
            <w:noWrap/>
          </w:tcPr>
          <w:p w14:paraId="781BC412">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4.8</w:t>
            </w:r>
          </w:p>
        </w:tc>
        <w:tc>
          <w:tcPr>
            <w:tcW w:w="8974" w:type="dxa"/>
          </w:tcPr>
          <w:p w14:paraId="1DF84826">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具备B模式局部ROI区域优化增强显示，提高感兴趣区的二维图像分辨率和细节分辨率，支持全局图像与局部增强图像的同屏左右双幅双实时显示，其中双幅双实时的局部图像支持彩色血流实时高清显示。</w:t>
            </w:r>
          </w:p>
        </w:tc>
      </w:tr>
      <w:tr w14:paraId="0F4CB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59" w:type="dxa"/>
            <w:noWrap/>
          </w:tcPr>
          <w:p w14:paraId="5B1249AF">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4.9</w:t>
            </w:r>
          </w:p>
        </w:tc>
        <w:tc>
          <w:tcPr>
            <w:tcW w:w="8974" w:type="dxa"/>
          </w:tcPr>
          <w:p w14:paraId="41FAD220">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具备二维灰阶图像呈现立体纤细效果的专用技术，可利用组织的结构信息和灰阶的梯度信息，通过增强算法使二维灰阶的组织结构与边界显示更纤细立体。</w:t>
            </w:r>
          </w:p>
        </w:tc>
      </w:tr>
      <w:tr w14:paraId="14D7A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959" w:type="dxa"/>
            <w:noWrap/>
          </w:tcPr>
          <w:p w14:paraId="3DDBB0B6">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4.10</w:t>
            </w:r>
          </w:p>
        </w:tc>
        <w:tc>
          <w:tcPr>
            <w:tcW w:w="8974" w:type="dxa"/>
          </w:tcPr>
          <w:p w14:paraId="5B307C14">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具备针对强</w:t>
            </w:r>
            <w:r>
              <w:rPr>
                <w:rFonts w:hint="eastAsia" w:ascii="宋体" w:hAnsi="宋体" w:eastAsia="宋体" w:cs="宋体"/>
                <w:bCs/>
                <w:color w:val="000000" w:themeColor="text1"/>
                <w:sz w:val="24"/>
                <w:szCs w:val="24"/>
                <w14:textFill>
                  <w14:solidFill>
                    <w14:schemeClr w14:val="tx1"/>
                  </w14:solidFill>
                </w14:textFill>
              </w:rPr>
              <w:t>回声结构产生的声影区图像进行增强优化的专用技术，可通过</w:t>
            </w:r>
            <w:r>
              <w:rPr>
                <w:rFonts w:hint="eastAsia"/>
                <w:color w:val="000000" w:themeColor="text1"/>
                <w:sz w:val="24"/>
                <w:szCs w:val="24"/>
                <w14:textFill>
                  <w14:solidFill>
                    <w14:schemeClr w14:val="tx1"/>
                  </w14:solidFill>
                </w14:textFill>
              </w:rPr>
              <w:t>声影抑制技术实现声影补偿和细节融合，清晰还原强回声后方组织细节，减少声影对后方组织造成图像不清等不利影响。</w:t>
            </w:r>
          </w:p>
        </w:tc>
      </w:tr>
      <w:tr w14:paraId="16266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59" w:type="dxa"/>
            <w:noWrap/>
          </w:tcPr>
          <w:p w14:paraId="034A74BD">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4.11</w:t>
            </w:r>
          </w:p>
        </w:tc>
        <w:tc>
          <w:tcPr>
            <w:tcW w:w="8974" w:type="dxa"/>
          </w:tcPr>
          <w:p w14:paraId="2E3B40FF">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扩展成像技术：凸阵、微凸阵、线阵，相控阵探头均具有此功能，且空间复合成像技术及斑点噪声抑制技术支持其扩展区域。</w:t>
            </w:r>
          </w:p>
        </w:tc>
      </w:tr>
      <w:tr w14:paraId="2BFA8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59" w:type="dxa"/>
            <w:noWrap/>
          </w:tcPr>
          <w:p w14:paraId="58654641">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4.12</w:t>
            </w:r>
          </w:p>
        </w:tc>
        <w:tc>
          <w:tcPr>
            <w:tcW w:w="8974" w:type="dxa"/>
          </w:tcPr>
          <w:p w14:paraId="70B86E90">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一键自动图像优化，可一键快速优化：二维灰阶、彩色多普勒、频谱多普勒、及造影图像。</w:t>
            </w:r>
          </w:p>
        </w:tc>
      </w:tr>
      <w:tr w14:paraId="757A1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959" w:type="dxa"/>
            <w:noWrap/>
          </w:tcPr>
          <w:p w14:paraId="1884EDFA">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4.13</w:t>
            </w:r>
          </w:p>
        </w:tc>
        <w:tc>
          <w:tcPr>
            <w:tcW w:w="8974" w:type="dxa"/>
          </w:tcPr>
          <w:p w14:paraId="0C12FE3D">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具备针对不同器官扫查场景的自动参数匹配技术，可一键快速获得最适宜当下扫查器官场景的成像效果，支持8种以上血流或器官扫查场景，适用于2D, Color, Power, 3D/4D等模式。</w:t>
            </w:r>
          </w:p>
        </w:tc>
      </w:tr>
      <w:tr w14:paraId="1617D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59" w:type="dxa"/>
            <w:noWrap/>
          </w:tcPr>
          <w:p w14:paraId="7B446E5D">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4.14</w:t>
            </w:r>
          </w:p>
        </w:tc>
        <w:tc>
          <w:tcPr>
            <w:tcW w:w="8974" w:type="dxa"/>
          </w:tcPr>
          <w:p w14:paraId="37E53B4D">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二维/彩色取样框角度独立偏转技术，彩色取样框偏转角度≥30度。</w:t>
            </w:r>
          </w:p>
        </w:tc>
      </w:tr>
      <w:tr w14:paraId="040D8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59" w:type="dxa"/>
            <w:noWrap/>
          </w:tcPr>
          <w:p w14:paraId="38F4F39F">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4.15</w:t>
            </w:r>
          </w:p>
        </w:tc>
        <w:tc>
          <w:tcPr>
            <w:tcW w:w="8974" w:type="dxa"/>
          </w:tcPr>
          <w:p w14:paraId="1C27D2D1">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频谱多普勒成像，连续多普勒成像（要求凸阵探头/相控阵探头支持连续多普勒成像）。</w:t>
            </w:r>
          </w:p>
        </w:tc>
      </w:tr>
      <w:tr w14:paraId="496A7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959" w:type="dxa"/>
            <w:noWrap/>
          </w:tcPr>
          <w:p w14:paraId="363F9032">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*4.16</w:t>
            </w:r>
          </w:p>
        </w:tc>
        <w:tc>
          <w:tcPr>
            <w:tcW w:w="8974" w:type="dxa"/>
          </w:tcPr>
          <w:p w14:paraId="5F810D62">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超微血流成像技术，对微细低速血流具有高敏感度，实现超高血流灵敏度和空间分辨率；可支持Color和Power模式； 可支持2D和3D微血流灌注的定量评估，其中2D下可分析彩色灰阶像素比，3D下可分析血管指数、血流指数和血管血流指数。</w:t>
            </w:r>
          </w:p>
        </w:tc>
      </w:tr>
      <w:tr w14:paraId="375FB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59" w:type="dxa"/>
            <w:noWrap/>
          </w:tcPr>
          <w:p w14:paraId="0A90C317">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4.17</w:t>
            </w:r>
          </w:p>
        </w:tc>
        <w:tc>
          <w:tcPr>
            <w:tcW w:w="8974" w:type="dxa"/>
          </w:tcPr>
          <w:p w14:paraId="65584D38">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自动血流跟踪技术:可以实现 ROI 框位置和角度的自动</w:t>
            </w:r>
          </w:p>
          <w:p w14:paraId="60B521E7">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优化，提供 Color/Power 模式下图像的实时动态优化。</w:t>
            </w:r>
          </w:p>
        </w:tc>
      </w:tr>
      <w:tr w14:paraId="62233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noWrap/>
          </w:tcPr>
          <w:p w14:paraId="629295CD">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4.18</w:t>
            </w:r>
          </w:p>
        </w:tc>
        <w:tc>
          <w:tcPr>
            <w:tcW w:w="8974" w:type="dxa"/>
          </w:tcPr>
          <w:p w14:paraId="0F25DFB3">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穿刺针增强显示功能，动态增强超声图像中针体显示，具有双屏实时对比显示，增强前后效果，支持自适应校正角度，帮助清晰显示穿刺路径，提高穿刺活检及介入治疗操作信心 及成功率。</w:t>
            </w:r>
          </w:p>
        </w:tc>
      </w:tr>
      <w:tr w14:paraId="4384A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59" w:type="dxa"/>
            <w:noWrap/>
          </w:tcPr>
          <w:p w14:paraId="6BCBFCB7">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4.19</w:t>
            </w:r>
          </w:p>
        </w:tc>
        <w:tc>
          <w:tcPr>
            <w:tcW w:w="8974" w:type="dxa"/>
          </w:tcPr>
          <w:p w14:paraId="6E8BE2A5">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解剖M型模式（≥3条取样线，360度自由旋转）</w:t>
            </w:r>
          </w:p>
        </w:tc>
      </w:tr>
      <w:tr w14:paraId="16694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59" w:type="dxa"/>
            <w:noWrap/>
          </w:tcPr>
          <w:p w14:paraId="2DD3A000">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4.20</w:t>
            </w:r>
          </w:p>
        </w:tc>
        <w:tc>
          <w:tcPr>
            <w:tcW w:w="8974" w:type="dxa"/>
          </w:tcPr>
          <w:p w14:paraId="0CB0DB17">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支持内置超声教学软件，同屏显示基本扫查技巧，包括探头扫查位置，解剖图和超声标准切面图</w:t>
            </w:r>
          </w:p>
        </w:tc>
      </w:tr>
      <w:tr w14:paraId="24FF3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59" w:type="dxa"/>
            <w:noWrap/>
          </w:tcPr>
          <w:p w14:paraId="526DE194">
            <w:pPr>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五</w:t>
            </w:r>
          </w:p>
        </w:tc>
        <w:tc>
          <w:tcPr>
            <w:tcW w:w="8974" w:type="dxa"/>
          </w:tcPr>
          <w:p w14:paraId="0465FDB7">
            <w:pP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高级成像功能</w:t>
            </w:r>
          </w:p>
        </w:tc>
      </w:tr>
      <w:tr w14:paraId="6EABE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59" w:type="dxa"/>
            <w:noWrap/>
          </w:tcPr>
          <w:p w14:paraId="2907DE30">
            <w:pPr>
              <w:jc w:val="center"/>
              <w:rPr>
                <w:rFonts w:hint="eastAsia" w:eastAsiaTheme="minorEastAsia"/>
                <w:b/>
                <w:bCs/>
                <w:color w:val="000000" w:themeColor="text1"/>
                <w:sz w:val="24"/>
                <w:szCs w:val="24"/>
                <w:lang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5.1</w:t>
            </w:r>
          </w:p>
        </w:tc>
        <w:tc>
          <w:tcPr>
            <w:tcW w:w="8974" w:type="dxa"/>
          </w:tcPr>
          <w:p w14:paraId="71AE0A7F">
            <w:pP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宽景成像</w:t>
            </w:r>
          </w:p>
        </w:tc>
      </w:tr>
      <w:tr w14:paraId="63B3A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59" w:type="dxa"/>
            <w:noWrap/>
          </w:tcPr>
          <w:p w14:paraId="3A2978D8">
            <w:pPr>
              <w:jc w:val="center"/>
              <w:rPr>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5.1</w:t>
            </w:r>
            <w:r>
              <w:rPr>
                <w:rFonts w:hint="eastAsia"/>
                <w:color w:val="000000" w:themeColor="text1"/>
                <w:sz w:val="24"/>
                <w:szCs w:val="24"/>
                <w14:textFill>
                  <w14:solidFill>
                    <w14:schemeClr w14:val="tx1"/>
                  </w14:solidFill>
                </w14:textFill>
              </w:rPr>
              <w:t>.1</w:t>
            </w:r>
          </w:p>
        </w:tc>
        <w:tc>
          <w:tcPr>
            <w:tcW w:w="8974" w:type="dxa"/>
          </w:tcPr>
          <w:p w14:paraId="47A05CC8">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宽景成像支持凸阵探头、线阵探头、腔内探头、相控阵探头、容积探头</w:t>
            </w:r>
          </w:p>
        </w:tc>
      </w:tr>
      <w:tr w14:paraId="6978C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59" w:type="dxa"/>
            <w:noWrap/>
          </w:tcPr>
          <w:p w14:paraId="049BA460">
            <w:pPr>
              <w:jc w:val="center"/>
              <w:rPr>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5.1</w:t>
            </w:r>
            <w:r>
              <w:rPr>
                <w:rFonts w:hint="eastAsia"/>
                <w:color w:val="000000" w:themeColor="text1"/>
                <w:sz w:val="24"/>
                <w:szCs w:val="24"/>
                <w14:textFill>
                  <w14:solidFill>
                    <w14:schemeClr w14:val="tx1"/>
                  </w14:solidFill>
                </w14:textFill>
              </w:rPr>
              <w:t>.2</w:t>
            </w:r>
          </w:p>
        </w:tc>
        <w:tc>
          <w:tcPr>
            <w:tcW w:w="8974" w:type="dxa"/>
          </w:tcPr>
          <w:p w14:paraId="43ED054E">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支持B模式宽景和Power模式宽景</w:t>
            </w:r>
          </w:p>
        </w:tc>
      </w:tr>
      <w:tr w14:paraId="6FCC2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59" w:type="dxa"/>
            <w:noWrap/>
          </w:tcPr>
          <w:p w14:paraId="431AC2E5">
            <w:pPr>
              <w:jc w:val="center"/>
              <w:rPr>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5.1</w:t>
            </w:r>
            <w:r>
              <w:rPr>
                <w:rFonts w:hint="eastAsia"/>
                <w:color w:val="000000" w:themeColor="text1"/>
                <w:sz w:val="24"/>
                <w:szCs w:val="24"/>
                <w14:textFill>
                  <w14:solidFill>
                    <w14:schemeClr w14:val="tx1"/>
                  </w14:solidFill>
                </w14:textFill>
              </w:rPr>
              <w:t>.3</w:t>
            </w:r>
          </w:p>
        </w:tc>
        <w:tc>
          <w:tcPr>
            <w:tcW w:w="8974" w:type="dxa"/>
          </w:tcPr>
          <w:p w14:paraId="5AA66477">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具备扫查速度指示，可对采集过程中的图像进行回放</w:t>
            </w:r>
          </w:p>
        </w:tc>
      </w:tr>
      <w:tr w14:paraId="77848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59" w:type="dxa"/>
            <w:noWrap/>
          </w:tcPr>
          <w:p w14:paraId="48DD1995">
            <w:pPr>
              <w:jc w:val="center"/>
              <w:rPr>
                <w:rFonts w:hint="eastAsia"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5.1</w:t>
            </w:r>
            <w:r>
              <w:rPr>
                <w:rFonts w:hint="eastAsia"/>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4</w:t>
            </w:r>
          </w:p>
        </w:tc>
        <w:tc>
          <w:tcPr>
            <w:tcW w:w="8974" w:type="dxa"/>
          </w:tcPr>
          <w:p w14:paraId="633F47D7">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宽景拼接长度不小于100cm</w:t>
            </w:r>
          </w:p>
        </w:tc>
      </w:tr>
      <w:tr w14:paraId="5FFD7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59" w:type="dxa"/>
            <w:noWrap/>
          </w:tcPr>
          <w:p w14:paraId="4CECF5B8">
            <w:pPr>
              <w:jc w:val="center"/>
              <w:rPr>
                <w:rFonts w:hint="eastAsia" w:eastAsiaTheme="minor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5.2</w:t>
            </w:r>
          </w:p>
        </w:tc>
        <w:tc>
          <w:tcPr>
            <w:tcW w:w="8974" w:type="dxa"/>
          </w:tcPr>
          <w:p w14:paraId="09D92FAA">
            <w:pP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 xml:space="preserve">3D/4D  </w:t>
            </w:r>
          </w:p>
        </w:tc>
      </w:tr>
      <w:tr w14:paraId="1EBC3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59" w:type="dxa"/>
            <w:noWrap/>
          </w:tcPr>
          <w:p w14:paraId="6275A8B3">
            <w:pPr>
              <w:jc w:val="center"/>
              <w:rPr>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5.2</w:t>
            </w:r>
            <w:r>
              <w:rPr>
                <w:rFonts w:hint="eastAsia"/>
                <w:color w:val="000000" w:themeColor="text1"/>
                <w:sz w:val="24"/>
                <w:szCs w:val="24"/>
                <w14:textFill>
                  <w14:solidFill>
                    <w14:schemeClr w14:val="tx1"/>
                  </w14:solidFill>
                </w14:textFill>
              </w:rPr>
              <w:t>.1</w:t>
            </w:r>
          </w:p>
        </w:tc>
        <w:tc>
          <w:tcPr>
            <w:tcW w:w="8974" w:type="dxa"/>
          </w:tcPr>
          <w:p w14:paraId="1D498E5E">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支持3D/4D模块：支持3D/4D成像；容积图像支持斑点噪声抑制</w:t>
            </w:r>
          </w:p>
        </w:tc>
      </w:tr>
      <w:tr w14:paraId="6F6F8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959" w:type="dxa"/>
            <w:noWrap/>
          </w:tcPr>
          <w:p w14:paraId="596387F4">
            <w:pPr>
              <w:jc w:val="center"/>
              <w:rPr>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5.2</w:t>
            </w:r>
            <w:r>
              <w:rPr>
                <w:rFonts w:hint="eastAsia"/>
                <w:color w:val="000000" w:themeColor="text1"/>
                <w:sz w:val="24"/>
                <w:szCs w:val="24"/>
                <w14:textFill>
                  <w14:solidFill>
                    <w14:schemeClr w14:val="tx1"/>
                  </w14:solidFill>
                </w14:textFill>
              </w:rPr>
              <w:t>.2</w:t>
            </w:r>
          </w:p>
        </w:tc>
        <w:tc>
          <w:tcPr>
            <w:tcW w:w="8974" w:type="dxa"/>
          </w:tcPr>
          <w:p w14:paraId="034FAE3C">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支持多光源模式的容积渲染：光源类型≥3种 ，包括点光源、探照灯光源和平行光源；光源类型和数量均可自由组合，光源方向可自由移动。同时支持透视剪影模式且透明度可调。</w:t>
            </w:r>
          </w:p>
        </w:tc>
      </w:tr>
      <w:tr w14:paraId="11B73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959" w:type="dxa"/>
            <w:noWrap/>
          </w:tcPr>
          <w:p w14:paraId="49D25C0B">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rFonts w:hint="eastAsia"/>
                <w:color w:val="000000" w:themeColor="text1"/>
                <w:sz w:val="24"/>
                <w:szCs w:val="24"/>
                <w:lang w:eastAsia="zh-CN"/>
                <w14:textFill>
                  <w14:solidFill>
                    <w14:schemeClr w14:val="tx1"/>
                  </w14:solidFill>
                </w14:textFill>
              </w:rPr>
              <w:t>5.2</w:t>
            </w:r>
            <w:r>
              <w:rPr>
                <w:rFonts w:hint="eastAsia"/>
                <w:color w:val="000000" w:themeColor="text1"/>
                <w:sz w:val="24"/>
                <w:szCs w:val="24"/>
                <w14:textFill>
                  <w14:solidFill>
                    <w14:schemeClr w14:val="tx1"/>
                  </w14:solidFill>
                </w14:textFill>
              </w:rPr>
              <w:t>.3</w:t>
            </w:r>
          </w:p>
        </w:tc>
        <w:tc>
          <w:tcPr>
            <w:tcW w:w="8974" w:type="dxa"/>
          </w:tcPr>
          <w:p w14:paraId="0B9EAC9D">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可基于3D容积数据实现不同临床场景的自动识别和差异化应用的场景化自动容积扫描功能，包括3D模式下的自动场景识别（脊椎、颅脑、长骨、面部；子宫内膜、卵巢、盆腔、肛管等），实现自动容积成像及优化，自动切面获取，自动定量分析等。</w:t>
            </w:r>
          </w:p>
        </w:tc>
      </w:tr>
      <w:tr w14:paraId="75761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59" w:type="dxa"/>
            <w:noWrap/>
          </w:tcPr>
          <w:p w14:paraId="6E6BE2DF">
            <w:pPr>
              <w:jc w:val="center"/>
              <w:rPr>
                <w:rFonts w:hint="default"/>
                <w:color w:val="000000" w:themeColor="text1"/>
                <w:sz w:val="24"/>
                <w:szCs w:val="24"/>
                <w:lang w:val="en-US"/>
                <w14:textFill>
                  <w14:solidFill>
                    <w14:schemeClr w14:val="tx1"/>
                  </w14:solidFill>
                </w14:textFill>
              </w:rPr>
            </w:pPr>
            <w:r>
              <w:rPr>
                <w:rFonts w:hint="eastAsia"/>
                <w:color w:val="000000" w:themeColor="text1"/>
                <w:sz w:val="24"/>
                <w:szCs w:val="24"/>
                <w:lang w:eastAsia="zh-CN"/>
                <w14:textFill>
                  <w14:solidFill>
                    <w14:schemeClr w14:val="tx1"/>
                  </w14:solidFill>
                </w14:textFill>
              </w:rPr>
              <w:t>5.2.</w:t>
            </w:r>
            <w:r>
              <w:rPr>
                <w:rFonts w:hint="eastAsia"/>
                <w:color w:val="000000" w:themeColor="text1"/>
                <w:sz w:val="24"/>
                <w:szCs w:val="24"/>
                <w:lang w:val="en-US" w:eastAsia="zh-CN"/>
                <w14:textFill>
                  <w14:solidFill>
                    <w14:schemeClr w14:val="tx1"/>
                  </w14:solidFill>
                </w14:textFill>
              </w:rPr>
              <w:t>4</w:t>
            </w:r>
          </w:p>
        </w:tc>
        <w:tc>
          <w:tcPr>
            <w:tcW w:w="8974" w:type="dxa"/>
          </w:tcPr>
          <w:p w14:paraId="684F270E">
            <w:pPr>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可支持</w:t>
            </w:r>
            <w:r>
              <w:rPr>
                <w:rFonts w:hint="eastAsia"/>
                <w:color w:val="000000" w:themeColor="text1"/>
                <w:sz w:val="24"/>
                <w:szCs w:val="24"/>
                <w14:textFill>
                  <w14:solidFill>
                    <w14:schemeClr w14:val="tx1"/>
                  </w14:solidFill>
                </w14:textFill>
              </w:rPr>
              <w:t>支持血管三维成像，要求彩色及能量模式均可用。</w:t>
            </w:r>
          </w:p>
        </w:tc>
      </w:tr>
      <w:tr w14:paraId="6C528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959" w:type="dxa"/>
            <w:noWrap/>
          </w:tcPr>
          <w:p w14:paraId="7EB2F7EF">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rFonts w:hint="eastAsia"/>
                <w:color w:val="000000" w:themeColor="text1"/>
                <w:sz w:val="24"/>
                <w:szCs w:val="24"/>
                <w:lang w:eastAsia="zh-CN"/>
                <w14:textFill>
                  <w14:solidFill>
                    <w14:schemeClr w14:val="tx1"/>
                  </w14:solidFill>
                </w14:textFill>
              </w:rPr>
              <w:t>5.2</w:t>
            </w:r>
            <w:r>
              <w:rPr>
                <w:rFonts w:hint="eastAsia"/>
                <w:color w:val="000000" w:themeColor="text1"/>
                <w:sz w:val="24"/>
                <w:szCs w:val="24"/>
                <w14:textFill>
                  <w14:solidFill>
                    <w14:schemeClr w14:val="tx1"/>
                  </w14:solidFill>
                </w14:textFill>
              </w:rPr>
              <w:t>.5</w:t>
            </w:r>
          </w:p>
        </w:tc>
        <w:tc>
          <w:tcPr>
            <w:tcW w:w="8974" w:type="dxa"/>
          </w:tcPr>
          <w:p w14:paraId="7A350DDE">
            <w:pPr>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可</w:t>
            </w:r>
            <w:r>
              <w:rPr>
                <w:rFonts w:hint="eastAsia"/>
                <w:color w:val="000000" w:themeColor="text1"/>
                <w:sz w:val="24"/>
                <w:szCs w:val="24"/>
                <w14:textFill>
                  <w14:solidFill>
                    <w14:schemeClr w14:val="tx1"/>
                  </w14:solidFill>
                </w14:textFill>
              </w:rPr>
              <w:t>支持自动盆底超声解决方案，支持前中后盆腔2D全自动测量，支持肛提肌裂孔全自动评估（自动识别、自动容积渲染成像、自动测量），支持肛提肌横断面全自动评估（自动识别、自动多切面成像、自动测量），支持肛门括约肌自动断层成像。</w:t>
            </w:r>
          </w:p>
        </w:tc>
      </w:tr>
      <w:tr w14:paraId="3FA05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959" w:type="dxa"/>
            <w:noWrap/>
          </w:tcPr>
          <w:p w14:paraId="2D1F1092">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rFonts w:hint="eastAsia"/>
                <w:color w:val="000000" w:themeColor="text1"/>
                <w:sz w:val="24"/>
                <w:szCs w:val="24"/>
                <w:lang w:eastAsia="zh-CN"/>
                <w14:textFill>
                  <w14:solidFill>
                    <w14:schemeClr w14:val="tx1"/>
                  </w14:solidFill>
                </w14:textFill>
              </w:rPr>
              <w:t>5.2</w:t>
            </w:r>
            <w:r>
              <w:rPr>
                <w:rFonts w:hint="eastAsia"/>
                <w:color w:val="000000" w:themeColor="text1"/>
                <w:sz w:val="24"/>
                <w:szCs w:val="24"/>
                <w14:textFill>
                  <w14:solidFill>
                    <w14:schemeClr w14:val="tx1"/>
                  </w14:solidFill>
                </w14:textFill>
              </w:rPr>
              <w:t>.6</w:t>
            </w:r>
          </w:p>
        </w:tc>
        <w:tc>
          <w:tcPr>
            <w:tcW w:w="8974" w:type="dxa"/>
          </w:tcPr>
          <w:p w14:paraId="1AE4588B">
            <w:pPr>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可</w:t>
            </w:r>
            <w:r>
              <w:rPr>
                <w:rFonts w:hint="eastAsia"/>
                <w:color w:val="000000" w:themeColor="text1"/>
                <w:sz w:val="24"/>
                <w:szCs w:val="24"/>
                <w14:textFill>
                  <w14:solidFill>
                    <w14:schemeClr w14:val="tx1"/>
                  </w14:solidFill>
                </w14:textFill>
              </w:rPr>
              <w:t>支持胎儿面部自动容积成像，自动检测胎儿颜面部特征，在3D模式或4D模式下均可启动，其中4D模式下可实时自动去除胎儿颜面部前面的遮挡物。支持胎儿面部的显示方向一键摆正，支持正/反向橡皮擦。</w:t>
            </w:r>
          </w:p>
        </w:tc>
      </w:tr>
      <w:tr w14:paraId="5318E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959" w:type="dxa"/>
            <w:noWrap/>
          </w:tcPr>
          <w:p w14:paraId="0E6DF328">
            <w:pPr>
              <w:jc w:val="center"/>
              <w:rPr>
                <w:rFonts w:hint="eastAsia"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w:t>
            </w:r>
            <w:r>
              <w:rPr>
                <w:rFonts w:hint="eastAsia"/>
                <w:color w:val="000000" w:themeColor="text1"/>
                <w:sz w:val="24"/>
                <w:szCs w:val="24"/>
                <w:lang w:eastAsia="zh-CN"/>
                <w14:textFill>
                  <w14:solidFill>
                    <w14:schemeClr w14:val="tx1"/>
                  </w14:solidFill>
                </w14:textFill>
              </w:rPr>
              <w:t>5.2</w:t>
            </w:r>
            <w:r>
              <w:rPr>
                <w:rFonts w:hint="eastAsia"/>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7</w:t>
            </w:r>
          </w:p>
        </w:tc>
        <w:tc>
          <w:tcPr>
            <w:tcW w:w="8974" w:type="dxa"/>
          </w:tcPr>
          <w:p w14:paraId="4A8145C1">
            <w:pPr>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可</w:t>
            </w:r>
            <w:r>
              <w:rPr>
                <w:rFonts w:hint="eastAsia"/>
                <w:color w:val="000000" w:themeColor="text1"/>
                <w:sz w:val="24"/>
                <w:szCs w:val="24"/>
                <w14:textFill>
                  <w14:solidFill>
                    <w14:schemeClr w14:val="tx1"/>
                  </w14:solidFill>
                </w14:textFill>
              </w:rPr>
              <w:t>支持卵巢卵泡在2D和3D模式下的自动识别和自动测量。其中2D模式下可自动识别卵巢轮廓、大小，卵泡数量、大小并按照大小排序； 3D模式支持卵巢自动识别和渲染，以及卵巢体积的自动计算；支持卵泡和窦卵泡的自动识别、自动渲染成像并用以不同的颜色区分显示不同大小的卵泡或窦卵泡；支持卵巢间质比的自动计算。</w:t>
            </w:r>
          </w:p>
        </w:tc>
      </w:tr>
      <w:tr w14:paraId="5F902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59" w:type="dxa"/>
            <w:noWrap/>
          </w:tcPr>
          <w:p w14:paraId="65A0BA3F">
            <w:pPr>
              <w:jc w:val="center"/>
              <w:rPr>
                <w:rFonts w:hint="eastAsia"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5.2</w:t>
            </w:r>
            <w:r>
              <w:rPr>
                <w:rFonts w:hint="eastAsia"/>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8</w:t>
            </w:r>
          </w:p>
        </w:tc>
        <w:tc>
          <w:tcPr>
            <w:tcW w:w="8974" w:type="dxa"/>
          </w:tcPr>
          <w:p w14:paraId="689D7212">
            <w:pPr>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可</w:t>
            </w:r>
            <w:r>
              <w:rPr>
                <w:rFonts w:hint="eastAsia"/>
                <w:color w:val="000000" w:themeColor="text1"/>
                <w:sz w:val="24"/>
                <w:szCs w:val="24"/>
                <w14:textFill>
                  <w14:solidFill>
                    <w14:schemeClr w14:val="tx1"/>
                  </w14:solidFill>
                </w14:textFill>
              </w:rPr>
              <w:t>支持子宫内膜自动成像与容积分析功能，可全自动获取子宫内膜冠状面图像，并同时获取内膜容积及厚度测量值。</w:t>
            </w:r>
          </w:p>
        </w:tc>
      </w:tr>
      <w:tr w14:paraId="435B6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59" w:type="dxa"/>
            <w:shd w:val="clear" w:color="auto" w:fill="auto"/>
            <w:noWrap/>
            <w:vAlign w:val="top"/>
          </w:tcPr>
          <w:p w14:paraId="1569D251">
            <w:pPr>
              <w:jc w:val="center"/>
              <w:rPr>
                <w:rFonts w:hint="default" w:asciiTheme="minorHAnsi" w:hAnsiTheme="minorHAnsi" w:eastAsiaTheme="minorEastAsia" w:cstheme="minorBidi"/>
                <w:b/>
                <w:bCs/>
                <w:color w:val="000000" w:themeColor="text1"/>
                <w:kern w:val="2"/>
                <w:sz w:val="24"/>
                <w:szCs w:val="24"/>
                <w:lang w:val="en-US" w:eastAsia="zh-CN" w:bidi="ar-SA"/>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5.</w:t>
            </w:r>
            <w:r>
              <w:rPr>
                <w:rFonts w:hint="eastAsia"/>
                <w:b/>
                <w:bCs/>
                <w:color w:val="000000" w:themeColor="text1"/>
                <w:sz w:val="24"/>
                <w:szCs w:val="24"/>
                <w:lang w:val="en-US" w:eastAsia="zh-CN"/>
                <w14:textFill>
                  <w14:solidFill>
                    <w14:schemeClr w14:val="tx1"/>
                  </w14:solidFill>
                </w14:textFill>
              </w:rPr>
              <w:t>3</w:t>
            </w:r>
          </w:p>
        </w:tc>
        <w:tc>
          <w:tcPr>
            <w:tcW w:w="8974" w:type="dxa"/>
            <w:shd w:val="clear" w:color="auto" w:fill="auto"/>
            <w:vAlign w:val="top"/>
          </w:tcPr>
          <w:p w14:paraId="7539547B">
            <w:pPr>
              <w:rPr>
                <w:rFonts w:hint="default" w:asciiTheme="minorHAnsi" w:hAnsiTheme="minorHAnsi" w:eastAsiaTheme="minorEastAsia" w:cstheme="minorBidi"/>
                <w:b/>
                <w:bCs/>
                <w:color w:val="000000" w:themeColor="text1"/>
                <w:kern w:val="2"/>
                <w:sz w:val="24"/>
                <w:szCs w:val="24"/>
                <w:lang w:val="en-US" w:eastAsia="zh-CN" w:bidi="ar-SA"/>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可选配粘弹性成像功能</w:t>
            </w:r>
          </w:p>
        </w:tc>
      </w:tr>
      <w:tr w14:paraId="5AACB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59" w:type="dxa"/>
            <w:shd w:val="clear" w:color="auto" w:fill="auto"/>
            <w:noWrap/>
            <w:vAlign w:val="top"/>
          </w:tcPr>
          <w:p w14:paraId="7317810E">
            <w:pPr>
              <w:jc w:val="center"/>
              <w:rPr>
                <w:rFonts w:hint="default"/>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5.3.1</w:t>
            </w:r>
          </w:p>
        </w:tc>
        <w:tc>
          <w:tcPr>
            <w:tcW w:w="8974" w:type="dxa"/>
            <w:shd w:val="clear" w:color="auto" w:fill="auto"/>
            <w:vAlign w:val="top"/>
          </w:tcPr>
          <w:p w14:paraId="1E6560A9">
            <w:pPr>
              <w:rPr>
                <w:rFonts w:hint="default"/>
                <w:b/>
                <w:bCs/>
                <w:color w:val="000000" w:themeColor="text1"/>
                <w:sz w:val="24"/>
                <w:szCs w:val="24"/>
                <w:lang w:val="en-US" w:eastAsia="zh-CN"/>
                <w14:textFill>
                  <w14:solidFill>
                    <w14:schemeClr w14:val="tx1"/>
                  </w14:solidFill>
                </w14:textFill>
              </w:rPr>
            </w:pPr>
            <w:r>
              <w:rPr>
                <w:rFonts w:hint="eastAsia"/>
                <w:b w:val="0"/>
                <w:bCs w:val="0"/>
                <w:color w:val="000000" w:themeColor="text1"/>
                <w:sz w:val="24"/>
                <w:szCs w:val="24"/>
                <w:lang w:val="en-US" w:eastAsia="zh-CN"/>
                <w14:textFill>
                  <w14:solidFill>
                    <w14:schemeClr w14:val="tx1"/>
                  </w14:solidFill>
                </w14:textFill>
              </w:rPr>
              <w:t>可选配腔内粘弹性功能，支持</w:t>
            </w:r>
            <w:r>
              <w:rPr>
                <w:rFonts w:hint="eastAsia"/>
                <w:sz w:val="24"/>
                <w:szCs w:val="24"/>
              </w:rPr>
              <w:t>粘度系数和频散系数测量</w:t>
            </w:r>
          </w:p>
        </w:tc>
      </w:tr>
      <w:tr w14:paraId="1A61F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59" w:type="dxa"/>
            <w:noWrap/>
          </w:tcPr>
          <w:p w14:paraId="58FFAA0C">
            <w:pPr>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六</w:t>
            </w:r>
          </w:p>
        </w:tc>
        <w:tc>
          <w:tcPr>
            <w:tcW w:w="8974" w:type="dxa"/>
          </w:tcPr>
          <w:p w14:paraId="724931ED">
            <w:pP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测量分析和报告</w:t>
            </w:r>
          </w:p>
        </w:tc>
      </w:tr>
      <w:tr w14:paraId="7604B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59" w:type="dxa"/>
            <w:noWrap/>
          </w:tcPr>
          <w:p w14:paraId="0714ED46">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6.1</w:t>
            </w:r>
          </w:p>
        </w:tc>
        <w:tc>
          <w:tcPr>
            <w:tcW w:w="8974" w:type="dxa"/>
          </w:tcPr>
          <w:p w14:paraId="287B3641">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全科测量包，自动生成报告： 腹部、妇科、产科、心脏、泌尿、小器官、儿科、血管、神经、急诊科</w:t>
            </w:r>
          </w:p>
        </w:tc>
      </w:tr>
      <w:tr w14:paraId="1223E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59" w:type="dxa"/>
            <w:noWrap/>
          </w:tcPr>
          <w:p w14:paraId="458F7098">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6.2</w:t>
            </w:r>
          </w:p>
        </w:tc>
        <w:tc>
          <w:tcPr>
            <w:tcW w:w="8974" w:type="dxa"/>
          </w:tcPr>
          <w:p w14:paraId="5D46B949">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自动识别病灶边界，帮助用户对病灶进行描迹。测量封闭区域的长短轴长度，面积及周长</w:t>
            </w:r>
          </w:p>
        </w:tc>
      </w:tr>
      <w:tr w14:paraId="622E2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59" w:type="dxa"/>
            <w:noWrap/>
          </w:tcPr>
          <w:p w14:paraId="39814FF6">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6.3</w:t>
            </w:r>
          </w:p>
        </w:tc>
        <w:tc>
          <w:tcPr>
            <w:tcW w:w="8974" w:type="dxa"/>
          </w:tcPr>
          <w:p w14:paraId="4E916D3B">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小儿髋关节自动测量功能，自动计算α角,β角，自动进行 Graf 分型。</w:t>
            </w:r>
          </w:p>
        </w:tc>
      </w:tr>
      <w:tr w14:paraId="217A1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959" w:type="dxa"/>
            <w:noWrap/>
          </w:tcPr>
          <w:p w14:paraId="00E0F402">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6.4</w:t>
            </w:r>
          </w:p>
        </w:tc>
        <w:tc>
          <w:tcPr>
            <w:tcW w:w="8974" w:type="dxa"/>
          </w:tcPr>
          <w:p w14:paraId="536F8A22">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自动工作流协议（非预设条件），检查过程中可根据定义的协议自动切换图像模式，自动标记体标示意图，自动注释等，节省操作时间。操作协议可用户自定义，并可支持导出协议到其他机器上使用，有利于规范化管理。</w:t>
            </w:r>
          </w:p>
        </w:tc>
      </w:tr>
      <w:tr w14:paraId="3817D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59" w:type="dxa"/>
            <w:noWrap/>
          </w:tcPr>
          <w:p w14:paraId="25AE1C57">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6.13</w:t>
            </w:r>
          </w:p>
        </w:tc>
        <w:tc>
          <w:tcPr>
            <w:tcW w:w="8974" w:type="dxa"/>
          </w:tcPr>
          <w:p w14:paraId="1EA073E6">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支持子宫内膜二维妇产场景自动配置，无需手动划线或手动ROI设置，即可自动完成子宫内膜识别和厚度测量。同时支持血流ROI框自动设置和血流定量分析。</w:t>
            </w:r>
          </w:p>
        </w:tc>
      </w:tr>
      <w:tr w14:paraId="2AF34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59" w:type="dxa"/>
            <w:noWrap/>
          </w:tcPr>
          <w:p w14:paraId="6F6E3694">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6.14</w:t>
            </w:r>
          </w:p>
        </w:tc>
        <w:tc>
          <w:tcPr>
            <w:tcW w:w="8974" w:type="dxa"/>
          </w:tcPr>
          <w:p w14:paraId="1F424B2C">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支持卵巢二维妇产场景自动配置，可自动识别卵巢和卵泡，完成二维卵巢经线自动测量和卵泡自动测量。同时支持血流ROI框自动设置和血流定量分析。</w:t>
            </w:r>
          </w:p>
        </w:tc>
      </w:tr>
      <w:tr w14:paraId="4C51B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 w:type="dxa"/>
            <w:noWrap/>
          </w:tcPr>
          <w:p w14:paraId="1193EC84">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6.15</w:t>
            </w:r>
          </w:p>
        </w:tc>
        <w:tc>
          <w:tcPr>
            <w:tcW w:w="8974" w:type="dxa"/>
          </w:tcPr>
          <w:p w14:paraId="3213934E">
            <w:pPr>
              <w:tabs>
                <w:tab w:val="left" w:pos="1899"/>
              </w:tabs>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支持自动胎心率测量，可在B模式和M模式下自动计算胎心率；支持胎心节律自动评估功能，支持两条M取样线全自动摆放和M取样线自适应放大。</w:t>
            </w:r>
          </w:p>
        </w:tc>
      </w:tr>
      <w:tr w14:paraId="0D980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959" w:type="dxa"/>
            <w:shd w:val="clear" w:color="auto" w:fill="FFFFFF" w:themeFill="background1"/>
            <w:noWrap/>
          </w:tcPr>
          <w:p w14:paraId="3EFE0378">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6.16</w:t>
            </w:r>
          </w:p>
        </w:tc>
        <w:tc>
          <w:tcPr>
            <w:tcW w:w="8974" w:type="dxa"/>
            <w:shd w:val="clear" w:color="auto" w:fill="FFFFFF" w:themeFill="background1"/>
          </w:tcPr>
          <w:p w14:paraId="34B813F4">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支持AI产科切面自动识别，支持AI产科切面自动识别，基于大数据及 AI 深度学习，实现产科切面智能识别，存储，及质控等；可识别标准切面数量≥50个；支持多元存图工作流（实时抓图 + 手动跳转选图）。</w:t>
            </w:r>
          </w:p>
        </w:tc>
      </w:tr>
      <w:tr w14:paraId="14566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59" w:type="dxa"/>
            <w:shd w:val="clear" w:color="auto" w:fill="FFFFFF" w:themeFill="background1"/>
            <w:noWrap/>
          </w:tcPr>
          <w:p w14:paraId="0ED2A48E">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6.17</w:t>
            </w:r>
          </w:p>
        </w:tc>
        <w:tc>
          <w:tcPr>
            <w:tcW w:w="8974" w:type="dxa"/>
            <w:shd w:val="clear" w:color="auto" w:fill="FFFFFF" w:themeFill="background1"/>
          </w:tcPr>
          <w:p w14:paraId="032F8C8B">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支持自动产科测量，可自动识别和测量产科生物学参数，B模式下的自动测量项目≥40项，包括早孕、中孕及胎心专项检查的测量项目。</w:t>
            </w:r>
          </w:p>
        </w:tc>
      </w:tr>
      <w:tr w14:paraId="0987A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59" w:type="dxa"/>
            <w:noWrap/>
          </w:tcPr>
          <w:p w14:paraId="729E6FC1">
            <w:pPr>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七</w:t>
            </w:r>
          </w:p>
        </w:tc>
        <w:tc>
          <w:tcPr>
            <w:tcW w:w="8974" w:type="dxa"/>
          </w:tcPr>
          <w:p w14:paraId="20E423D2">
            <w:pP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电影回放、原始数据处理和检查存储管理系统</w:t>
            </w:r>
          </w:p>
        </w:tc>
      </w:tr>
      <w:tr w14:paraId="2ED8A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959" w:type="dxa"/>
            <w:noWrap/>
          </w:tcPr>
          <w:p w14:paraId="2F4D303D">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7.1</w:t>
            </w:r>
          </w:p>
        </w:tc>
        <w:tc>
          <w:tcPr>
            <w:tcW w:w="8974" w:type="dxa"/>
          </w:tcPr>
          <w:p w14:paraId="025D93DB">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电影回放所有模式下可用，支持手动、自动回放，支持4D 电影回放</w:t>
            </w:r>
          </w:p>
        </w:tc>
      </w:tr>
      <w:tr w14:paraId="0BA05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59" w:type="dxa"/>
            <w:noWrap/>
          </w:tcPr>
          <w:p w14:paraId="1518CE59">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7.2</w:t>
            </w:r>
          </w:p>
        </w:tc>
        <w:tc>
          <w:tcPr>
            <w:tcW w:w="8974" w:type="dxa"/>
          </w:tcPr>
          <w:p w14:paraId="34360460">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原始数据处理，最大可进行32项参数调节（包括B模式10种、M型模式6种、彩色模式7种、PW模式9种）</w:t>
            </w:r>
          </w:p>
        </w:tc>
      </w:tr>
      <w:tr w14:paraId="4D18B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59" w:type="dxa"/>
            <w:noWrap/>
          </w:tcPr>
          <w:p w14:paraId="10A78DEE">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7.3</w:t>
            </w:r>
          </w:p>
        </w:tc>
        <w:tc>
          <w:tcPr>
            <w:tcW w:w="8974" w:type="dxa"/>
          </w:tcPr>
          <w:p w14:paraId="3CA2AB83">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支持导出数字化图像格式：BMP/JPG/TIFF/DCM/AVI/MP4/WMV/MOV。</w:t>
            </w:r>
          </w:p>
        </w:tc>
      </w:tr>
      <w:tr w14:paraId="7B693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59" w:type="dxa"/>
            <w:noWrap/>
          </w:tcPr>
          <w:p w14:paraId="3C902F1A">
            <w:pPr>
              <w:jc w:val="center"/>
              <w:rPr>
                <w:rFonts w:hint="eastAsia"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7.</w:t>
            </w:r>
            <w:r>
              <w:rPr>
                <w:rFonts w:hint="eastAsia"/>
                <w:color w:val="000000" w:themeColor="text1"/>
                <w:sz w:val="24"/>
                <w:szCs w:val="24"/>
                <w:lang w:val="en-US" w:eastAsia="zh-CN"/>
                <w14:textFill>
                  <w14:solidFill>
                    <w14:schemeClr w14:val="tx1"/>
                  </w14:solidFill>
                </w14:textFill>
              </w:rPr>
              <w:t>4</w:t>
            </w:r>
          </w:p>
        </w:tc>
        <w:tc>
          <w:tcPr>
            <w:tcW w:w="8974" w:type="dxa"/>
          </w:tcPr>
          <w:p w14:paraId="0AEB9B48">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支持后台存储，导出、备份图像数据资料同时，可进行实时检查，不影响检查操作</w:t>
            </w:r>
          </w:p>
        </w:tc>
      </w:tr>
      <w:tr w14:paraId="4BE9C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59" w:type="dxa"/>
            <w:noWrap/>
          </w:tcPr>
          <w:p w14:paraId="7A38251B">
            <w:pPr>
              <w:jc w:val="center"/>
              <w:rPr>
                <w:rFonts w:hint="eastAsia"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7.</w:t>
            </w:r>
            <w:r>
              <w:rPr>
                <w:rFonts w:hint="eastAsia"/>
                <w:color w:val="000000" w:themeColor="text1"/>
                <w:sz w:val="24"/>
                <w:szCs w:val="24"/>
                <w:lang w:val="en-US" w:eastAsia="zh-CN"/>
                <w14:textFill>
                  <w14:solidFill>
                    <w14:schemeClr w14:val="tx1"/>
                  </w14:solidFill>
                </w14:textFill>
              </w:rPr>
              <w:t>5</w:t>
            </w:r>
          </w:p>
        </w:tc>
        <w:tc>
          <w:tcPr>
            <w:tcW w:w="8974" w:type="dxa"/>
          </w:tcPr>
          <w:p w14:paraId="4EE6D680">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支持本地固态硬盘存储≥1TB</w:t>
            </w:r>
          </w:p>
        </w:tc>
      </w:tr>
      <w:tr w14:paraId="3BC40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59" w:type="dxa"/>
            <w:noWrap/>
          </w:tcPr>
          <w:p w14:paraId="61DAB2CA">
            <w:pPr>
              <w:jc w:val="center"/>
              <w:rPr>
                <w:rFonts w:hint="eastAsia"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7.</w:t>
            </w:r>
            <w:r>
              <w:rPr>
                <w:rFonts w:hint="eastAsia"/>
                <w:color w:val="000000" w:themeColor="text1"/>
                <w:sz w:val="24"/>
                <w:szCs w:val="24"/>
                <w:lang w:val="en-US" w:eastAsia="zh-CN"/>
                <w14:textFill>
                  <w14:solidFill>
                    <w14:schemeClr w14:val="tx1"/>
                  </w14:solidFill>
                </w14:textFill>
              </w:rPr>
              <w:t>6</w:t>
            </w:r>
          </w:p>
        </w:tc>
        <w:tc>
          <w:tcPr>
            <w:tcW w:w="8974" w:type="dxa"/>
          </w:tcPr>
          <w:p w14:paraId="4E22B789">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支持外部USB移动存储</w:t>
            </w:r>
          </w:p>
        </w:tc>
      </w:tr>
      <w:tr w14:paraId="418B2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59" w:type="dxa"/>
            <w:noWrap/>
          </w:tcPr>
          <w:p w14:paraId="3990465D">
            <w:pPr>
              <w:jc w:val="center"/>
              <w:rPr>
                <w:rFonts w:hint="default"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7</w:t>
            </w:r>
            <w:r>
              <w:rPr>
                <w:rFonts w:hint="eastAsia"/>
                <w:color w:val="000000" w:themeColor="text1"/>
                <w:sz w:val="24"/>
                <w:szCs w:val="24"/>
                <w:lang w:val="en-US" w:eastAsia="zh-CN"/>
                <w14:textFill>
                  <w14:solidFill>
                    <w14:schemeClr w14:val="tx1"/>
                  </w14:solidFill>
                </w14:textFill>
              </w:rPr>
              <w:t>.7</w:t>
            </w:r>
          </w:p>
        </w:tc>
        <w:tc>
          <w:tcPr>
            <w:tcW w:w="8974" w:type="dxa"/>
          </w:tcPr>
          <w:p w14:paraId="78887E4E">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具备数据防御系统，可对不同人群设置数据开放度及访问权限</w:t>
            </w:r>
          </w:p>
        </w:tc>
      </w:tr>
      <w:tr w14:paraId="7DD34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59" w:type="dxa"/>
            <w:noWrap/>
          </w:tcPr>
          <w:p w14:paraId="7B9B9BCB">
            <w:pPr>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八</w:t>
            </w:r>
          </w:p>
        </w:tc>
        <w:tc>
          <w:tcPr>
            <w:tcW w:w="8974" w:type="dxa"/>
          </w:tcPr>
          <w:p w14:paraId="42FBED58">
            <w:pP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系统技术参数及要求</w:t>
            </w:r>
          </w:p>
        </w:tc>
      </w:tr>
      <w:tr w14:paraId="42C75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59" w:type="dxa"/>
            <w:noWrap/>
          </w:tcPr>
          <w:p w14:paraId="5A693071">
            <w:pPr>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8.1.</w:t>
            </w:r>
          </w:p>
        </w:tc>
        <w:tc>
          <w:tcPr>
            <w:tcW w:w="8974" w:type="dxa"/>
          </w:tcPr>
          <w:p w14:paraId="42DFC9DA">
            <w:pP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二维灰阶模式</w:t>
            </w:r>
          </w:p>
        </w:tc>
      </w:tr>
      <w:tr w14:paraId="55496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59" w:type="dxa"/>
            <w:noWrap/>
          </w:tcPr>
          <w:p w14:paraId="2949FD4D">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8.1</w:t>
            </w:r>
          </w:p>
        </w:tc>
        <w:tc>
          <w:tcPr>
            <w:tcW w:w="8974" w:type="dxa"/>
          </w:tcPr>
          <w:p w14:paraId="78B2A3FE">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最大显示深度:≥40cm</w:t>
            </w:r>
          </w:p>
        </w:tc>
      </w:tr>
      <w:tr w14:paraId="5CB22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59" w:type="dxa"/>
            <w:noWrap/>
          </w:tcPr>
          <w:p w14:paraId="1858C89D">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8.2</w:t>
            </w:r>
          </w:p>
        </w:tc>
        <w:tc>
          <w:tcPr>
            <w:tcW w:w="8974" w:type="dxa"/>
          </w:tcPr>
          <w:p w14:paraId="59F76A46">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动态范围:≥260dB</w:t>
            </w:r>
          </w:p>
        </w:tc>
      </w:tr>
      <w:tr w14:paraId="7CB10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59" w:type="dxa"/>
            <w:noWrap/>
          </w:tcPr>
          <w:p w14:paraId="38A84843">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8.3</w:t>
            </w:r>
          </w:p>
        </w:tc>
        <w:tc>
          <w:tcPr>
            <w:tcW w:w="8974" w:type="dxa"/>
          </w:tcPr>
          <w:p w14:paraId="1D402BB0">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TGC增益补偿: ≥8段，通过触摸屏调节（非物理按键）</w:t>
            </w:r>
          </w:p>
        </w:tc>
      </w:tr>
      <w:tr w14:paraId="59AEA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59" w:type="dxa"/>
            <w:noWrap/>
          </w:tcPr>
          <w:p w14:paraId="38724BE8">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8.4</w:t>
            </w:r>
          </w:p>
        </w:tc>
        <w:tc>
          <w:tcPr>
            <w:tcW w:w="8974" w:type="dxa"/>
          </w:tcPr>
          <w:p w14:paraId="217A3B67">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LGC侧向增益补偿: ≥8段，触摸屏上（非物理按键）</w:t>
            </w:r>
          </w:p>
        </w:tc>
      </w:tr>
      <w:tr w14:paraId="6DD47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59" w:type="dxa"/>
            <w:noWrap/>
          </w:tcPr>
          <w:p w14:paraId="3A7F78FE">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*8.5</w:t>
            </w:r>
          </w:p>
        </w:tc>
        <w:tc>
          <w:tcPr>
            <w:tcW w:w="8974" w:type="dxa"/>
          </w:tcPr>
          <w:p w14:paraId="432FBA63">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腹部</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14:textFill>
                  <w14:solidFill>
                    <w14:schemeClr w14:val="tx1"/>
                  </w14:solidFill>
                </w14:textFill>
              </w:rPr>
              <w:t>凸阵探头扫描角度:≥130度</w:t>
            </w:r>
          </w:p>
        </w:tc>
      </w:tr>
      <w:tr w14:paraId="2C73B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59" w:type="dxa"/>
            <w:noWrap/>
          </w:tcPr>
          <w:p w14:paraId="29501502">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8.6</w:t>
            </w:r>
          </w:p>
        </w:tc>
        <w:tc>
          <w:tcPr>
            <w:tcW w:w="8974" w:type="dxa"/>
          </w:tcPr>
          <w:p w14:paraId="4CB486D7">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腔内探头扫描角度:≥207度</w:t>
            </w:r>
          </w:p>
        </w:tc>
      </w:tr>
      <w:tr w14:paraId="3ED4F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59" w:type="dxa"/>
            <w:noWrap/>
          </w:tcPr>
          <w:p w14:paraId="0C9A0142">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8.8</w:t>
            </w:r>
          </w:p>
        </w:tc>
        <w:tc>
          <w:tcPr>
            <w:tcW w:w="8974" w:type="dxa"/>
          </w:tcPr>
          <w:p w14:paraId="06F48562">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电影回放：B模式电影容量≥10000 帧 </w:t>
            </w:r>
          </w:p>
        </w:tc>
      </w:tr>
      <w:tr w14:paraId="4624B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59" w:type="dxa"/>
            <w:noWrap/>
          </w:tcPr>
          <w:p w14:paraId="22E3FB9B">
            <w:pPr>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8.2</w:t>
            </w:r>
          </w:p>
        </w:tc>
        <w:tc>
          <w:tcPr>
            <w:tcW w:w="8974" w:type="dxa"/>
          </w:tcPr>
          <w:p w14:paraId="57028712">
            <w:pP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彩色多普勒成像</w:t>
            </w:r>
          </w:p>
        </w:tc>
      </w:tr>
      <w:tr w14:paraId="4332C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59" w:type="dxa"/>
            <w:noWrap/>
          </w:tcPr>
          <w:p w14:paraId="46E7A1CB">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8.2.1</w:t>
            </w:r>
          </w:p>
        </w:tc>
        <w:tc>
          <w:tcPr>
            <w:tcW w:w="8974" w:type="dxa"/>
          </w:tcPr>
          <w:p w14:paraId="21DC0589">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显示方式：B/C、B/C/M、B/C/PW</w:t>
            </w:r>
          </w:p>
        </w:tc>
      </w:tr>
      <w:tr w14:paraId="7C4BC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59" w:type="dxa"/>
            <w:noWrap/>
          </w:tcPr>
          <w:p w14:paraId="65D01F01">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8.2.2</w:t>
            </w:r>
          </w:p>
        </w:tc>
        <w:tc>
          <w:tcPr>
            <w:tcW w:w="8974" w:type="dxa"/>
          </w:tcPr>
          <w:p w14:paraId="73697C50">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线阵探头取样框偏转: ≥±30度</w:t>
            </w:r>
          </w:p>
        </w:tc>
      </w:tr>
      <w:tr w14:paraId="10CD5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59" w:type="dxa"/>
            <w:noWrap/>
          </w:tcPr>
          <w:p w14:paraId="18C4A613">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8.2.3</w:t>
            </w:r>
          </w:p>
        </w:tc>
        <w:tc>
          <w:tcPr>
            <w:tcW w:w="8974" w:type="dxa"/>
          </w:tcPr>
          <w:p w14:paraId="2CE62DA1">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支持速度、速度方差、能量、方向能量显示</w:t>
            </w:r>
          </w:p>
        </w:tc>
      </w:tr>
      <w:tr w14:paraId="6BF48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59" w:type="dxa"/>
            <w:noWrap/>
          </w:tcPr>
          <w:p w14:paraId="174E844A">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8.2.4</w:t>
            </w:r>
          </w:p>
        </w:tc>
        <w:tc>
          <w:tcPr>
            <w:tcW w:w="8974" w:type="dxa"/>
          </w:tcPr>
          <w:p w14:paraId="2F4F6215">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支持立体血流显示</w:t>
            </w:r>
          </w:p>
        </w:tc>
      </w:tr>
      <w:tr w14:paraId="75A88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59" w:type="dxa"/>
            <w:noWrap/>
          </w:tcPr>
          <w:p w14:paraId="7B2F4AE0">
            <w:pPr>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8.3</w:t>
            </w:r>
          </w:p>
        </w:tc>
        <w:tc>
          <w:tcPr>
            <w:tcW w:w="8974" w:type="dxa"/>
          </w:tcPr>
          <w:p w14:paraId="0597FD82">
            <w:pP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PW/CW模式</w:t>
            </w:r>
          </w:p>
        </w:tc>
      </w:tr>
      <w:tr w14:paraId="2557E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59" w:type="dxa"/>
            <w:noWrap/>
          </w:tcPr>
          <w:p w14:paraId="65289D42">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8.3.1</w:t>
            </w:r>
          </w:p>
        </w:tc>
        <w:tc>
          <w:tcPr>
            <w:tcW w:w="8974" w:type="dxa"/>
          </w:tcPr>
          <w:p w14:paraId="2BF83918">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显示方式：B， PW， B/PW， B/C/PW，B/CW</w:t>
            </w:r>
          </w:p>
        </w:tc>
      </w:tr>
      <w:tr w14:paraId="314DA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59" w:type="dxa"/>
            <w:noWrap/>
          </w:tcPr>
          <w:p w14:paraId="45FF3944">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8.3.2</w:t>
            </w:r>
          </w:p>
        </w:tc>
        <w:tc>
          <w:tcPr>
            <w:tcW w:w="8974" w:type="dxa"/>
          </w:tcPr>
          <w:p w14:paraId="063505F8">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频谱多普勒频率≥ 3 段</w:t>
            </w:r>
          </w:p>
        </w:tc>
      </w:tr>
      <w:tr w14:paraId="0B9CE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59" w:type="dxa"/>
            <w:noWrap/>
          </w:tcPr>
          <w:p w14:paraId="278DC39E">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8.3.3</w:t>
            </w:r>
          </w:p>
        </w:tc>
        <w:tc>
          <w:tcPr>
            <w:tcW w:w="8974" w:type="dxa"/>
          </w:tcPr>
          <w:p w14:paraId="5E958245">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最大速度: PW血流速度≥8m/s，CW血流速度: ≥30m/s</w:t>
            </w:r>
          </w:p>
        </w:tc>
      </w:tr>
      <w:tr w14:paraId="18D52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59" w:type="dxa"/>
            <w:noWrap/>
          </w:tcPr>
          <w:p w14:paraId="0DF0BC9D">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8.3.4</w:t>
            </w:r>
          </w:p>
        </w:tc>
        <w:tc>
          <w:tcPr>
            <w:tcW w:w="8974" w:type="dxa"/>
          </w:tcPr>
          <w:p w14:paraId="4B4908DB">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最小速度: ≤1 mm /s</w:t>
            </w:r>
          </w:p>
        </w:tc>
      </w:tr>
      <w:tr w14:paraId="6C49F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59" w:type="dxa"/>
            <w:noWrap/>
          </w:tcPr>
          <w:p w14:paraId="2324FFDB">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8.3.5</w:t>
            </w:r>
          </w:p>
        </w:tc>
        <w:tc>
          <w:tcPr>
            <w:tcW w:w="8974" w:type="dxa"/>
          </w:tcPr>
          <w:p w14:paraId="1F12F854">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取样容积：0.5-30mm，连续可调 </w:t>
            </w:r>
          </w:p>
        </w:tc>
      </w:tr>
      <w:tr w14:paraId="049DC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59" w:type="dxa"/>
            <w:noWrap/>
          </w:tcPr>
          <w:p w14:paraId="7D3CD654">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8.3.6</w:t>
            </w:r>
          </w:p>
        </w:tc>
        <w:tc>
          <w:tcPr>
            <w:tcW w:w="8974" w:type="dxa"/>
          </w:tcPr>
          <w:p w14:paraId="19D05DD1">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PW偏转角度: ≥±30度 </w:t>
            </w:r>
          </w:p>
        </w:tc>
      </w:tr>
      <w:tr w14:paraId="494B4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59" w:type="dxa"/>
            <w:noWrap/>
          </w:tcPr>
          <w:p w14:paraId="4A3FAD02">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8.3.7</w:t>
            </w:r>
          </w:p>
        </w:tc>
        <w:tc>
          <w:tcPr>
            <w:tcW w:w="8974" w:type="dxa"/>
          </w:tcPr>
          <w:p w14:paraId="34386882">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基线：9步</w:t>
            </w:r>
          </w:p>
        </w:tc>
      </w:tr>
      <w:tr w14:paraId="3C97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59" w:type="dxa"/>
            <w:noWrap/>
          </w:tcPr>
          <w:p w14:paraId="21A6404A">
            <w:pPr>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九</w:t>
            </w:r>
          </w:p>
        </w:tc>
        <w:tc>
          <w:tcPr>
            <w:tcW w:w="8974" w:type="dxa"/>
          </w:tcPr>
          <w:p w14:paraId="445FEBC6">
            <w:pP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 xml:space="preserve"> 连通性要求</w:t>
            </w:r>
          </w:p>
        </w:tc>
      </w:tr>
      <w:tr w14:paraId="1DB14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59" w:type="dxa"/>
            <w:noWrap/>
          </w:tcPr>
          <w:p w14:paraId="1F4EEE5D">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9.1</w:t>
            </w:r>
          </w:p>
        </w:tc>
        <w:tc>
          <w:tcPr>
            <w:tcW w:w="8974" w:type="dxa"/>
          </w:tcPr>
          <w:p w14:paraId="1236D2EF">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支持网络连接</w:t>
            </w:r>
          </w:p>
        </w:tc>
      </w:tr>
      <w:tr w14:paraId="2A6AE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59" w:type="dxa"/>
            <w:noWrap/>
          </w:tcPr>
          <w:p w14:paraId="44C24224">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9.2</w:t>
            </w:r>
          </w:p>
        </w:tc>
        <w:tc>
          <w:tcPr>
            <w:tcW w:w="8974" w:type="dxa"/>
          </w:tcPr>
          <w:p w14:paraId="53539F0A">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支持DICOM 3.0，支持DICOM结构化报告</w:t>
            </w:r>
          </w:p>
        </w:tc>
      </w:tr>
      <w:tr w14:paraId="58210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59" w:type="dxa"/>
            <w:noWrap/>
          </w:tcPr>
          <w:p w14:paraId="638B559C">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9.3</w:t>
            </w:r>
          </w:p>
        </w:tc>
        <w:tc>
          <w:tcPr>
            <w:tcW w:w="8974" w:type="dxa"/>
          </w:tcPr>
          <w:p w14:paraId="2844A3F9">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支持网络存储功能，基于TCP/IP 协议的网络共享功能，可将超声图像及报告直接传送到PC 端。</w:t>
            </w:r>
          </w:p>
        </w:tc>
      </w:tr>
      <w:tr w14:paraId="45F74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59" w:type="dxa"/>
            <w:noWrap/>
          </w:tcPr>
          <w:p w14:paraId="6C9E80FE">
            <w:pPr>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十</w:t>
            </w:r>
          </w:p>
        </w:tc>
        <w:tc>
          <w:tcPr>
            <w:tcW w:w="8974" w:type="dxa"/>
          </w:tcPr>
          <w:p w14:paraId="51DFDC03">
            <w:pP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系统输入输出</w:t>
            </w:r>
          </w:p>
        </w:tc>
      </w:tr>
      <w:tr w14:paraId="0152B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59" w:type="dxa"/>
            <w:noWrap/>
          </w:tcPr>
          <w:p w14:paraId="32BE5ED8">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10.1</w:t>
            </w:r>
          </w:p>
        </w:tc>
        <w:tc>
          <w:tcPr>
            <w:tcW w:w="8974" w:type="dxa"/>
          </w:tcPr>
          <w:p w14:paraId="2269652D">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支持视频/音频输入输出</w:t>
            </w:r>
          </w:p>
        </w:tc>
      </w:tr>
      <w:tr w14:paraId="11607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59" w:type="dxa"/>
            <w:noWrap/>
          </w:tcPr>
          <w:p w14:paraId="3A942C7B">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10.2</w:t>
            </w:r>
          </w:p>
        </w:tc>
        <w:tc>
          <w:tcPr>
            <w:tcW w:w="8974" w:type="dxa"/>
          </w:tcPr>
          <w:p w14:paraId="1E9BE304">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支持S-Video,  HDMI，VGA， 音频输出</w:t>
            </w:r>
          </w:p>
        </w:tc>
      </w:tr>
      <w:tr w14:paraId="7EA43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59" w:type="dxa"/>
            <w:noWrap/>
          </w:tcPr>
          <w:p w14:paraId="3EDB01A7">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10.3</w:t>
            </w:r>
          </w:p>
        </w:tc>
        <w:tc>
          <w:tcPr>
            <w:tcW w:w="8974" w:type="dxa"/>
          </w:tcPr>
          <w:p w14:paraId="4C83568B">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USB接口数量≥6个 ，支持Type-C数据传输接口</w:t>
            </w:r>
          </w:p>
        </w:tc>
      </w:tr>
      <w:tr w14:paraId="5C719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59" w:type="dxa"/>
            <w:noWrap/>
          </w:tcPr>
          <w:p w14:paraId="21CB61B9">
            <w:pPr>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十一</w:t>
            </w:r>
          </w:p>
        </w:tc>
        <w:tc>
          <w:tcPr>
            <w:tcW w:w="8974" w:type="dxa"/>
          </w:tcPr>
          <w:p w14:paraId="648F7DC0">
            <w:pP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 xml:space="preserve"> 探头规格</w:t>
            </w:r>
          </w:p>
        </w:tc>
      </w:tr>
      <w:tr w14:paraId="1C7D1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59" w:type="dxa"/>
            <w:noWrap/>
          </w:tcPr>
          <w:p w14:paraId="5F4A0C8C">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*11.1</w:t>
            </w:r>
          </w:p>
        </w:tc>
        <w:tc>
          <w:tcPr>
            <w:tcW w:w="8974" w:type="dxa"/>
          </w:tcPr>
          <w:p w14:paraId="46216A0C">
            <w:pPr>
              <w:rPr>
                <w:rFonts w:hint="default"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探头配置：单晶体腹部探头、浅表探头、腹部容积探头、腔内容积探头、一线一凸双平面探头</w:t>
            </w:r>
          </w:p>
        </w:tc>
      </w:tr>
      <w:tr w14:paraId="10767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59" w:type="dxa"/>
            <w:noWrap/>
          </w:tcPr>
          <w:p w14:paraId="17586399">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*11.2</w:t>
            </w:r>
          </w:p>
        </w:tc>
        <w:tc>
          <w:tcPr>
            <w:tcW w:w="8974" w:type="dxa"/>
          </w:tcPr>
          <w:p w14:paraId="37C0DEB5">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线阵探头阵元数：≥1000阵元 （提供技术白皮书盖章证明）</w:t>
            </w:r>
          </w:p>
        </w:tc>
      </w:tr>
      <w:tr w14:paraId="140AB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59" w:type="dxa"/>
            <w:shd w:val="clear" w:color="auto" w:fill="FFFFFF" w:themeFill="background1"/>
            <w:noWrap/>
          </w:tcPr>
          <w:p w14:paraId="4B00AA8B">
            <w:pPr>
              <w:jc w:val="center"/>
              <w:rPr>
                <w:color w:val="000000" w:themeColor="text1"/>
                <w:sz w:val="24"/>
                <w:szCs w:val="24"/>
                <w14:textFill>
                  <w14:solidFill>
                    <w14:schemeClr w14:val="tx1"/>
                  </w14:solidFill>
                </w14:textFill>
              </w:rPr>
            </w:pPr>
            <w:bookmarkStart w:id="2" w:name="_Hlk173416187"/>
            <w:r>
              <w:rPr>
                <w:rFonts w:hint="eastAsia"/>
                <w:color w:val="000000" w:themeColor="text1"/>
                <w:sz w:val="24"/>
                <w:szCs w:val="24"/>
                <w14:textFill>
                  <w14:solidFill>
                    <w14:schemeClr w14:val="tx1"/>
                  </w14:solidFill>
                </w14:textFill>
              </w:rPr>
              <w:t>11.3</w:t>
            </w:r>
          </w:p>
        </w:tc>
        <w:tc>
          <w:tcPr>
            <w:tcW w:w="8974" w:type="dxa"/>
            <w:shd w:val="clear" w:color="auto" w:fill="FFFFFF" w:themeFill="background1"/>
          </w:tcPr>
          <w:p w14:paraId="6AD777D1">
            <w:pPr>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单晶体腹部</w:t>
            </w:r>
            <w:r>
              <w:rPr>
                <w:rFonts w:hint="eastAsia"/>
                <w:color w:val="000000" w:themeColor="text1"/>
                <w:sz w:val="24"/>
                <w:szCs w:val="24"/>
                <w14:textFill>
                  <w14:solidFill>
                    <w14:schemeClr w14:val="tx1"/>
                  </w14:solidFill>
                </w14:textFill>
              </w:rPr>
              <w:t>探头，频率：1.2-6.0MHz</w:t>
            </w:r>
          </w:p>
        </w:tc>
      </w:tr>
      <w:tr w14:paraId="5C6BE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59" w:type="dxa"/>
            <w:shd w:val="clear" w:color="auto" w:fill="FFFFFF" w:themeFill="background1"/>
            <w:noWrap/>
          </w:tcPr>
          <w:p w14:paraId="43C8CDA1">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11.4</w:t>
            </w:r>
          </w:p>
        </w:tc>
        <w:tc>
          <w:tcPr>
            <w:tcW w:w="8974" w:type="dxa"/>
            <w:shd w:val="clear" w:color="auto" w:fill="FFFFFF" w:themeFill="background1"/>
          </w:tcPr>
          <w:p w14:paraId="69AE50AA">
            <w:pPr>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浅表</w:t>
            </w:r>
            <w:r>
              <w:rPr>
                <w:rFonts w:hint="eastAsia"/>
                <w:color w:val="000000" w:themeColor="text1"/>
                <w:sz w:val="24"/>
                <w:szCs w:val="24"/>
                <w14:textFill>
                  <w14:solidFill>
                    <w14:schemeClr w14:val="tx1"/>
                  </w14:solidFill>
                </w14:textFill>
              </w:rPr>
              <w:t>探头，频率：3.8-18.0MHz</w:t>
            </w:r>
          </w:p>
        </w:tc>
      </w:tr>
      <w:tr w14:paraId="4A18D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59" w:type="dxa"/>
            <w:shd w:val="clear" w:color="auto" w:fill="FFFFFF" w:themeFill="background1"/>
            <w:noWrap/>
          </w:tcPr>
          <w:p w14:paraId="178617F4">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11.5</w:t>
            </w:r>
          </w:p>
        </w:tc>
        <w:tc>
          <w:tcPr>
            <w:tcW w:w="8974" w:type="dxa"/>
            <w:shd w:val="clear" w:color="auto" w:fill="FFFFFF" w:themeFill="background1"/>
          </w:tcPr>
          <w:p w14:paraId="05ED2431">
            <w:pPr>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腹部容积</w:t>
            </w:r>
            <w:r>
              <w:rPr>
                <w:rFonts w:hint="eastAsia"/>
                <w:color w:val="000000" w:themeColor="text1"/>
                <w:sz w:val="24"/>
                <w:szCs w:val="24"/>
                <w14:textFill>
                  <w14:solidFill>
                    <w14:schemeClr w14:val="tx1"/>
                  </w14:solidFill>
                </w14:textFill>
              </w:rPr>
              <w:t>探头，频率：1.</w:t>
            </w:r>
            <w:r>
              <w:rPr>
                <w:rFonts w:hint="eastAsia"/>
                <w:color w:val="000000" w:themeColor="text1"/>
                <w:sz w:val="24"/>
                <w:szCs w:val="24"/>
                <w:lang w:val="en-US" w:eastAsia="zh-CN"/>
                <w14:textFill>
                  <w14:solidFill>
                    <w14:schemeClr w14:val="tx1"/>
                  </w14:solidFill>
                </w14:textFill>
              </w:rPr>
              <w:t>8</w:t>
            </w:r>
            <w:r>
              <w:rPr>
                <w:rFonts w:hint="eastAsia"/>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8</w:t>
            </w:r>
            <w:r>
              <w:rPr>
                <w:rFonts w:hint="eastAsia"/>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14:textFill>
                  <w14:solidFill>
                    <w14:schemeClr w14:val="tx1"/>
                  </w14:solidFill>
                </w14:textFill>
              </w:rPr>
              <w:t>MHz</w:t>
            </w:r>
          </w:p>
        </w:tc>
      </w:tr>
      <w:tr w14:paraId="45B2C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59" w:type="dxa"/>
            <w:shd w:val="clear" w:color="auto" w:fill="FFFFFF" w:themeFill="background1"/>
            <w:noWrap/>
          </w:tcPr>
          <w:p w14:paraId="43BE4C91">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11.6</w:t>
            </w:r>
          </w:p>
        </w:tc>
        <w:tc>
          <w:tcPr>
            <w:tcW w:w="8974" w:type="dxa"/>
            <w:shd w:val="clear" w:color="auto" w:fill="FFFFFF" w:themeFill="background1"/>
          </w:tcPr>
          <w:p w14:paraId="7F7B6076">
            <w:pPr>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腔内容积</w:t>
            </w:r>
            <w:r>
              <w:rPr>
                <w:rFonts w:hint="eastAsia"/>
                <w:color w:val="000000" w:themeColor="text1"/>
                <w:sz w:val="24"/>
                <w:szCs w:val="24"/>
                <w14:textFill>
                  <w14:solidFill>
                    <w14:schemeClr w14:val="tx1"/>
                  </w14:solidFill>
                </w14:textFill>
              </w:rPr>
              <w:t>探头，频率：2.0-9.0MHz</w:t>
            </w:r>
          </w:p>
        </w:tc>
      </w:tr>
      <w:tr w14:paraId="4DD5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59" w:type="dxa"/>
            <w:shd w:val="clear" w:color="auto" w:fill="FFFFFF" w:themeFill="background1"/>
            <w:noWrap/>
          </w:tcPr>
          <w:p w14:paraId="6A41A034">
            <w:pPr>
              <w:jc w:val="center"/>
              <w:rPr>
                <w:rFonts w:hint="default"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11.7</w:t>
            </w:r>
          </w:p>
        </w:tc>
        <w:tc>
          <w:tcPr>
            <w:tcW w:w="8974" w:type="dxa"/>
            <w:shd w:val="clear" w:color="auto" w:fill="FFFFFF" w:themeFill="background1"/>
          </w:tcPr>
          <w:p w14:paraId="4F5C300E">
            <w:pPr>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一线一凸双平面探头，线阵面频率：3.2-12.8MHz，凸阵面频率：3.5-9.5MHz</w:t>
            </w:r>
          </w:p>
        </w:tc>
      </w:tr>
      <w:bookmarkEnd w:id="2"/>
      <w:tr w14:paraId="2AC18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59" w:type="dxa"/>
            <w:noWrap/>
          </w:tcPr>
          <w:p w14:paraId="2128BFB9">
            <w:pPr>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十二</w:t>
            </w:r>
          </w:p>
        </w:tc>
        <w:tc>
          <w:tcPr>
            <w:tcW w:w="8974" w:type="dxa"/>
          </w:tcPr>
          <w:p w14:paraId="78C777D8">
            <w:pP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其他</w:t>
            </w:r>
          </w:p>
        </w:tc>
      </w:tr>
      <w:tr w14:paraId="7B600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59" w:type="dxa"/>
            <w:noWrap/>
          </w:tcPr>
          <w:p w14:paraId="26C3FEF0">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12.1</w:t>
            </w:r>
          </w:p>
        </w:tc>
        <w:tc>
          <w:tcPr>
            <w:tcW w:w="8974" w:type="dxa"/>
          </w:tcPr>
          <w:p w14:paraId="02C20BE0">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耦合剂加热器，主机一体化，非外接加热装置</w:t>
            </w:r>
          </w:p>
        </w:tc>
      </w:tr>
      <w:tr w14:paraId="70871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59" w:type="dxa"/>
            <w:noWrap/>
          </w:tcPr>
          <w:p w14:paraId="1902DEEB">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11.2</w:t>
            </w:r>
          </w:p>
        </w:tc>
        <w:tc>
          <w:tcPr>
            <w:tcW w:w="8974" w:type="dxa"/>
          </w:tcPr>
          <w:p w14:paraId="588A38DF">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内置无线网卡</w:t>
            </w:r>
          </w:p>
        </w:tc>
      </w:tr>
      <w:tr w14:paraId="3EB1D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59" w:type="dxa"/>
            <w:noWrap/>
          </w:tcPr>
          <w:p w14:paraId="10D0109D">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11.3</w:t>
            </w:r>
          </w:p>
        </w:tc>
        <w:tc>
          <w:tcPr>
            <w:tcW w:w="8974" w:type="dxa"/>
          </w:tcPr>
          <w:p w14:paraId="78CCF59A">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内置录像功能模块，每次最大存储长度</w:t>
            </w:r>
            <w:r>
              <w:rPr>
                <w:rFonts w:hint="eastAsia"/>
                <w:color w:val="000000" w:themeColor="text1"/>
                <w:sz w:val="24"/>
                <w:szCs w:val="24"/>
                <w:lang w:val="en-US" w:eastAsia="zh-CN"/>
                <w14:textFill>
                  <w14:solidFill>
                    <w14:schemeClr w14:val="tx1"/>
                  </w14:solidFill>
                </w14:textFill>
              </w:rPr>
              <w:t>不少于</w:t>
            </w:r>
            <w:r>
              <w:rPr>
                <w:rFonts w:hint="eastAsia"/>
                <w:color w:val="000000" w:themeColor="text1"/>
                <w:sz w:val="24"/>
                <w:szCs w:val="24"/>
                <w14:textFill>
                  <w14:solidFill>
                    <w14:schemeClr w14:val="tx1"/>
                  </w14:solidFill>
                </w14:textFill>
              </w:rPr>
              <w:t>60 min</w:t>
            </w:r>
          </w:p>
        </w:tc>
      </w:tr>
    </w:tbl>
    <w:p w14:paraId="4FC698C1">
      <w:pPr>
        <w:jc w:val="center"/>
        <w:rPr>
          <w:rFonts w:hint="eastAsia" w:ascii="宋体" w:hAnsi="宋体" w:eastAsia="宋体" w:cs="宋体"/>
          <w:spacing w:val="0"/>
          <w:w w:val="100"/>
          <w:sz w:val="24"/>
          <w:szCs w:val="24"/>
          <w:highlight w:val="none"/>
        </w:rPr>
      </w:pPr>
    </w:p>
    <w:p w14:paraId="580EF047">
      <w:pPr>
        <w:widowControl/>
        <w:jc w:val="left"/>
        <w:rPr>
          <w:rFonts w:ascii="微软雅黑" w:hAnsi="微软雅黑" w:eastAsia="微软雅黑" w:cs="微软雅黑"/>
          <w:bCs/>
          <w:iCs/>
          <w:spacing w:val="0"/>
          <w:w w:val="100"/>
          <w:sz w:val="24"/>
          <w:highlight w:val="none"/>
        </w:rPr>
      </w:pPr>
    </w:p>
    <w:p w14:paraId="0A37376C">
      <w:pPr>
        <w:rPr>
          <w:rFonts w:ascii="宋体" w:hAnsi="宋体" w:eastAsia="宋体" w:cs="宋体"/>
          <w:spacing w:val="0"/>
          <w:w w:val="100"/>
          <w:sz w:val="44"/>
          <w:szCs w:val="44"/>
          <w:highlight w:val="none"/>
        </w:rPr>
      </w:pPr>
    </w:p>
    <w:p w14:paraId="2B520EBA">
      <w:pPr>
        <w:rPr>
          <w:rFonts w:hint="eastAsia"/>
          <w:color w:val="auto"/>
          <w:spacing w:val="0"/>
          <w:w w:val="100"/>
          <w:sz w:val="24"/>
          <w:szCs w:val="24"/>
          <w:highlight w:val="none"/>
          <w:lang w:val="en-US"/>
        </w:rPr>
      </w:pPr>
      <w:r>
        <w:rPr>
          <w:rFonts w:hint="eastAsia"/>
          <w:color w:val="auto"/>
          <w:spacing w:val="0"/>
          <w:w w:val="100"/>
          <w:sz w:val="24"/>
          <w:szCs w:val="24"/>
          <w:highlight w:val="none"/>
          <w:lang w:val="en-US"/>
        </w:rPr>
        <w:br w:type="page"/>
      </w:r>
    </w:p>
    <w:p w14:paraId="38168050">
      <w:pPr>
        <w:rPr>
          <w:rFonts w:hint="eastAsia"/>
          <w:color w:val="auto"/>
          <w:spacing w:val="0"/>
          <w:w w:val="100"/>
          <w:sz w:val="24"/>
          <w:szCs w:val="24"/>
          <w:highlight w:val="none"/>
          <w:lang w:val="en-US"/>
        </w:rPr>
      </w:pPr>
    </w:p>
    <w:p w14:paraId="1CF1C733">
      <w:pPr>
        <w:pStyle w:val="4"/>
        <w:numPr>
          <w:numId w:val="0"/>
        </w:numPr>
        <w:ind w:leftChars="-1097" w:right="-29" w:rightChars="0" w:firstLine="5341" w:firstLineChars="1900"/>
        <w:jc w:val="both"/>
        <w:rPr>
          <w:rFonts w:hint="eastAsia"/>
          <w:color w:val="auto"/>
          <w:spacing w:val="0"/>
          <w:w w:val="100"/>
          <w:highlight w:val="none"/>
          <w:lang w:val="en-US"/>
        </w:rPr>
      </w:pPr>
      <w:r>
        <w:rPr>
          <w:rFonts w:hint="eastAsia"/>
          <w:color w:val="auto"/>
          <w:spacing w:val="0"/>
          <w:w w:val="100"/>
          <w:highlight w:val="none"/>
          <w:lang w:val="en-US" w:eastAsia="zh-CN"/>
        </w:rPr>
        <w:t>（二）</w:t>
      </w:r>
      <w:r>
        <w:rPr>
          <w:rFonts w:hint="eastAsia"/>
          <w:color w:val="auto"/>
          <w:spacing w:val="0"/>
          <w:w w:val="100"/>
          <w:highlight w:val="none"/>
          <w:lang w:val="en-US"/>
        </w:rPr>
        <w:t>商务要求</w:t>
      </w:r>
    </w:p>
    <w:p w14:paraId="73121A6D">
      <w:pPr>
        <w:keepNext w:val="0"/>
        <w:keepLines w:val="0"/>
        <w:pageBreakBefore w:val="0"/>
        <w:kinsoku/>
        <w:overflowPunct/>
        <w:topLinePunct w:val="0"/>
        <w:bidi w:val="0"/>
        <w:snapToGrid/>
        <w:spacing w:before="0" w:line="360" w:lineRule="auto"/>
        <w:ind w:left="0" w:leftChars="0" w:right="0" w:firstLine="480" w:firstLineChars="200"/>
        <w:jc w:val="center"/>
        <w:textAlignment w:val="auto"/>
        <w:outlineLvl w:val="9"/>
        <w:rPr>
          <w:color w:val="auto"/>
          <w:spacing w:val="0"/>
          <w:w w:val="100"/>
          <w:sz w:val="24"/>
          <w:szCs w:val="24"/>
          <w:highlight w:val="none"/>
          <w:lang w:val="en-US"/>
        </w:rPr>
      </w:pPr>
      <w:r>
        <w:rPr>
          <w:rFonts w:hint="eastAsia"/>
          <w:color w:val="auto"/>
          <w:spacing w:val="0"/>
          <w:w w:val="100"/>
          <w:sz w:val="24"/>
          <w:szCs w:val="24"/>
          <w:highlight w:val="none"/>
          <w:lang w:val="en-US"/>
        </w:rPr>
        <w:t>（</w:t>
      </w:r>
      <w:r>
        <w:rPr>
          <w:rFonts w:hint="eastAsia"/>
          <w:color w:val="auto"/>
          <w:spacing w:val="0"/>
          <w:w w:val="100"/>
          <w:sz w:val="24"/>
          <w:szCs w:val="24"/>
          <w:highlight w:val="none"/>
          <w:lang w:val="en-US" w:eastAsia="zh-CN"/>
        </w:rPr>
        <w:t>★</w:t>
      </w:r>
      <w:r>
        <w:rPr>
          <w:rFonts w:hint="eastAsia"/>
          <w:color w:val="auto"/>
          <w:spacing w:val="0"/>
          <w:w w:val="100"/>
          <w:sz w:val="24"/>
          <w:szCs w:val="24"/>
          <w:highlight w:val="none"/>
          <w:lang w:val="en-US"/>
        </w:rPr>
        <w:t>条款为实质性响应条款，不满足则作为无效标处理）</w:t>
      </w:r>
    </w:p>
    <w:p w14:paraId="4FA967F7">
      <w:pPr>
        <w:keepNext w:val="0"/>
        <w:keepLines w:val="0"/>
        <w:pageBreakBefore w:val="0"/>
        <w:kinsoku/>
        <w:overflowPunct/>
        <w:topLinePunct w:val="0"/>
        <w:bidi w:val="0"/>
        <w:snapToGrid/>
        <w:spacing w:line="360" w:lineRule="auto"/>
        <w:ind w:left="0" w:leftChars="0" w:right="0" w:firstLine="480" w:firstLineChars="200"/>
        <w:jc w:val="left"/>
        <w:textAlignment w:val="auto"/>
        <w:outlineLvl w:val="9"/>
        <w:rPr>
          <w:color w:val="auto"/>
          <w:spacing w:val="0"/>
          <w:w w:val="100"/>
          <w:sz w:val="24"/>
          <w:szCs w:val="24"/>
          <w:highlight w:val="none"/>
          <w:lang w:val="en-US"/>
        </w:rPr>
      </w:pPr>
    </w:p>
    <w:p w14:paraId="2ECFDBFD">
      <w:pPr>
        <w:keepNext w:val="0"/>
        <w:keepLines w:val="0"/>
        <w:pageBreakBefore w:val="0"/>
        <w:widowControl/>
        <w:suppressLineNumbers w:val="0"/>
        <w:kinsoku/>
        <w:wordWrap/>
        <w:overflowPunct/>
        <w:topLinePunct w:val="0"/>
        <w:bidi w:val="0"/>
        <w:adjustRightInd/>
        <w:snapToGrid/>
        <w:spacing w:line="440" w:lineRule="exact"/>
        <w:ind w:firstLine="480" w:firstLineChars="200"/>
        <w:jc w:val="left"/>
        <w:textAlignment w:val="auto"/>
        <w:rPr>
          <w:color w:val="auto"/>
          <w:spacing w:val="0"/>
          <w:w w:val="100"/>
          <w:sz w:val="24"/>
          <w:szCs w:val="24"/>
          <w:highlight w:val="none"/>
        </w:rPr>
      </w:pPr>
      <w:r>
        <w:rPr>
          <w:rFonts w:hint="eastAsia" w:ascii="宋体" w:hAnsi="宋体"/>
          <w:bCs/>
          <w:color w:val="auto"/>
          <w:spacing w:val="0"/>
          <w:w w:val="100"/>
          <w:sz w:val="24"/>
          <w:highlight w:val="none"/>
          <w:lang w:val="en-US" w:eastAsia="zh-CN"/>
        </w:rPr>
        <w:t>★</w:t>
      </w:r>
      <w:r>
        <w:rPr>
          <w:rFonts w:hint="eastAsia" w:ascii="宋体" w:hAnsi="宋体" w:eastAsia="宋体" w:cs="宋体"/>
          <w:b/>
          <w:bCs/>
          <w:color w:val="auto"/>
          <w:spacing w:val="0"/>
          <w:w w:val="100"/>
          <w:kern w:val="0"/>
          <w:sz w:val="24"/>
          <w:szCs w:val="24"/>
          <w:highlight w:val="none"/>
          <w:lang w:val="en-US" w:eastAsia="zh-CN"/>
        </w:rPr>
        <w:t xml:space="preserve">一、服务期及服务地点 </w:t>
      </w:r>
    </w:p>
    <w:p w14:paraId="3A4F5826">
      <w:pPr>
        <w:keepNext w:val="0"/>
        <w:keepLines w:val="0"/>
        <w:pageBreakBefore w:val="0"/>
        <w:widowControl w:val="0"/>
        <w:kinsoku/>
        <w:overflowPunct/>
        <w:topLinePunct w:val="0"/>
        <w:autoSpaceDE/>
        <w:autoSpaceDN/>
        <w:bidi w:val="0"/>
        <w:adjustRightInd/>
        <w:snapToGrid w:val="0"/>
        <w:spacing w:line="440" w:lineRule="exact"/>
        <w:ind w:left="0" w:firstLine="480" w:firstLineChars="200"/>
        <w:textAlignment w:val="auto"/>
        <w:rPr>
          <w:color w:val="auto"/>
          <w:spacing w:val="0"/>
          <w:w w:val="100"/>
          <w:sz w:val="24"/>
          <w:szCs w:val="24"/>
          <w:highlight w:val="none"/>
        </w:rPr>
      </w:pPr>
      <w:r>
        <w:rPr>
          <w:rFonts w:hint="eastAsia" w:ascii="宋体" w:hAnsi="宋体" w:eastAsia="宋体" w:cs="宋体"/>
          <w:color w:val="auto"/>
          <w:spacing w:val="0"/>
          <w:w w:val="100"/>
          <w:kern w:val="0"/>
          <w:sz w:val="24"/>
          <w:szCs w:val="24"/>
          <w:highlight w:val="none"/>
          <w:lang w:val="en-US" w:eastAsia="zh-CN"/>
        </w:rPr>
        <w:t>1.</w:t>
      </w:r>
      <w:r>
        <w:rPr>
          <w:rFonts w:hint="eastAsia" w:ascii="宋体" w:hAnsi="宋体" w:eastAsia="宋体" w:cs="宋体"/>
          <w:color w:val="auto"/>
          <w:spacing w:val="0"/>
          <w:w w:val="100"/>
          <w:sz w:val="24"/>
          <w:szCs w:val="24"/>
          <w:highlight w:val="none"/>
          <w:lang w:eastAsia="zh-CN"/>
        </w:rPr>
        <w:t>合同履行期限：合同签订后</w:t>
      </w:r>
      <w:r>
        <w:rPr>
          <w:rFonts w:hint="eastAsia" w:cs="宋体"/>
          <w:color w:val="auto"/>
          <w:spacing w:val="0"/>
          <w:w w:val="100"/>
          <w:sz w:val="24"/>
          <w:szCs w:val="24"/>
          <w:highlight w:val="none"/>
          <w:u w:val="single"/>
          <w:lang w:val="en-US" w:eastAsia="zh-CN"/>
        </w:rPr>
        <w:t xml:space="preserve">   </w:t>
      </w:r>
      <w:r>
        <w:rPr>
          <w:rFonts w:hint="eastAsia" w:ascii="宋体" w:hAnsi="宋体" w:eastAsia="宋体" w:cs="宋体"/>
          <w:color w:val="auto"/>
          <w:spacing w:val="0"/>
          <w:w w:val="100"/>
          <w:sz w:val="24"/>
          <w:szCs w:val="24"/>
          <w:highlight w:val="none"/>
          <w:lang w:eastAsia="zh-CN"/>
        </w:rPr>
        <w:t>日历天内完成供货并通过验收。</w:t>
      </w:r>
    </w:p>
    <w:p w14:paraId="2C475669">
      <w:pPr>
        <w:keepNext w:val="0"/>
        <w:keepLines w:val="0"/>
        <w:pageBreakBefore w:val="0"/>
        <w:widowControl/>
        <w:suppressLineNumbers w:val="0"/>
        <w:kinsoku/>
        <w:wordWrap/>
        <w:overflowPunct/>
        <w:topLinePunct w:val="0"/>
        <w:bidi w:val="0"/>
        <w:adjustRightInd/>
        <w:snapToGrid/>
        <w:spacing w:line="440" w:lineRule="exact"/>
        <w:ind w:firstLine="480" w:firstLineChars="200"/>
        <w:jc w:val="left"/>
        <w:textAlignment w:val="auto"/>
        <w:rPr>
          <w:color w:val="auto"/>
          <w:spacing w:val="0"/>
          <w:w w:val="10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2.服务地点：</w:t>
      </w:r>
      <w:r>
        <w:rPr>
          <w:rFonts w:hint="eastAsia" w:cs="宋体"/>
          <w:color w:val="auto"/>
          <w:spacing w:val="0"/>
          <w:w w:val="100"/>
          <w:kern w:val="0"/>
          <w:sz w:val="24"/>
          <w:szCs w:val="24"/>
          <w:highlight w:val="none"/>
          <w:lang w:val="en-US" w:eastAsia="zh-CN" w:bidi="ar"/>
        </w:rPr>
        <w:t>遵义市妇幼保健院（采购人指定地点）</w:t>
      </w:r>
      <w:r>
        <w:rPr>
          <w:rFonts w:hint="eastAsia" w:ascii="宋体" w:hAnsi="宋体" w:eastAsia="宋体" w:cs="宋体"/>
          <w:color w:val="auto"/>
          <w:spacing w:val="0"/>
          <w:w w:val="100"/>
          <w:kern w:val="0"/>
          <w:sz w:val="24"/>
          <w:szCs w:val="24"/>
          <w:highlight w:val="none"/>
          <w:lang w:val="en-US" w:eastAsia="zh-CN" w:bidi="ar"/>
        </w:rPr>
        <w:t xml:space="preserve">。 </w:t>
      </w:r>
    </w:p>
    <w:p w14:paraId="55236ACD">
      <w:pPr>
        <w:keepNext w:val="0"/>
        <w:keepLines w:val="0"/>
        <w:pageBreakBefore w:val="0"/>
        <w:widowControl/>
        <w:suppressLineNumbers w:val="0"/>
        <w:kinsoku/>
        <w:wordWrap/>
        <w:overflowPunct/>
        <w:topLinePunct w:val="0"/>
        <w:bidi w:val="0"/>
        <w:adjustRightInd/>
        <w:snapToGrid/>
        <w:spacing w:line="440" w:lineRule="exact"/>
        <w:ind w:firstLine="480" w:firstLineChars="200"/>
        <w:jc w:val="left"/>
        <w:textAlignment w:val="auto"/>
        <w:outlineLvl w:val="1"/>
        <w:rPr>
          <w:color w:val="auto"/>
          <w:spacing w:val="0"/>
          <w:w w:val="100"/>
          <w:sz w:val="24"/>
          <w:szCs w:val="24"/>
          <w:highlight w:val="none"/>
        </w:rPr>
      </w:pPr>
      <w:bookmarkStart w:id="3" w:name="_Toc23605"/>
      <w:bookmarkStart w:id="4" w:name="_Toc6362"/>
      <w:r>
        <w:rPr>
          <w:rFonts w:hint="eastAsia" w:ascii="宋体" w:hAnsi="宋体"/>
          <w:bCs/>
          <w:color w:val="auto"/>
          <w:spacing w:val="0"/>
          <w:w w:val="100"/>
          <w:sz w:val="24"/>
          <w:highlight w:val="none"/>
          <w:lang w:val="en-US" w:eastAsia="zh-CN"/>
        </w:rPr>
        <w:t>★</w:t>
      </w:r>
      <w:r>
        <w:rPr>
          <w:rFonts w:hint="eastAsia" w:ascii="宋体" w:hAnsi="宋体" w:eastAsia="宋体" w:cs="宋体"/>
          <w:b/>
          <w:bCs/>
          <w:color w:val="auto"/>
          <w:spacing w:val="0"/>
          <w:w w:val="100"/>
          <w:kern w:val="0"/>
          <w:sz w:val="24"/>
          <w:szCs w:val="24"/>
          <w:highlight w:val="none"/>
          <w:lang w:val="en-US" w:eastAsia="zh-CN" w:bidi="ar"/>
        </w:rPr>
        <w:t>二、验收标准、规范</w:t>
      </w:r>
      <w:bookmarkEnd w:id="3"/>
      <w:bookmarkEnd w:id="4"/>
      <w:r>
        <w:rPr>
          <w:rFonts w:hint="eastAsia" w:ascii="宋体" w:hAnsi="宋体" w:eastAsia="宋体" w:cs="宋体"/>
          <w:b/>
          <w:bCs/>
          <w:color w:val="auto"/>
          <w:spacing w:val="0"/>
          <w:w w:val="100"/>
          <w:kern w:val="0"/>
          <w:sz w:val="24"/>
          <w:szCs w:val="24"/>
          <w:highlight w:val="none"/>
          <w:lang w:val="en-US" w:eastAsia="zh-CN" w:bidi="ar"/>
        </w:rPr>
        <w:t xml:space="preserve"> </w:t>
      </w:r>
    </w:p>
    <w:p w14:paraId="39F15273">
      <w:pPr>
        <w:keepNext w:val="0"/>
        <w:keepLines w:val="0"/>
        <w:pageBreakBefore w:val="0"/>
        <w:widowControl/>
        <w:suppressLineNumbers w:val="0"/>
        <w:kinsoku/>
        <w:wordWrap/>
        <w:overflowPunct/>
        <w:topLinePunct w:val="0"/>
        <w:bidi w:val="0"/>
        <w:adjustRightInd/>
        <w:snapToGrid/>
        <w:spacing w:line="440" w:lineRule="exact"/>
        <w:ind w:firstLine="480" w:firstLineChars="200"/>
        <w:jc w:val="left"/>
        <w:textAlignment w:val="auto"/>
        <w:rPr>
          <w:color w:val="auto"/>
          <w:spacing w:val="0"/>
          <w:w w:val="10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 xml:space="preserve">1.验收标准：国家相关标准及招标文件服务要求及合同标准。 </w:t>
      </w:r>
    </w:p>
    <w:p w14:paraId="4C09B379">
      <w:pPr>
        <w:keepNext w:val="0"/>
        <w:keepLines w:val="0"/>
        <w:pageBreakBefore w:val="0"/>
        <w:widowControl/>
        <w:suppressLineNumbers w:val="0"/>
        <w:kinsoku/>
        <w:wordWrap/>
        <w:overflowPunct/>
        <w:topLinePunct w:val="0"/>
        <w:bidi w:val="0"/>
        <w:adjustRightInd/>
        <w:snapToGrid/>
        <w:spacing w:line="440" w:lineRule="exact"/>
        <w:ind w:firstLine="480" w:firstLineChars="200"/>
        <w:jc w:val="left"/>
        <w:textAlignment w:val="auto"/>
        <w:rPr>
          <w:color w:val="auto"/>
          <w:spacing w:val="0"/>
          <w:w w:val="10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2.验收规范：由采购人根据国家相关标准及</w:t>
      </w:r>
      <w:bookmarkStart w:id="20" w:name="_GoBack"/>
      <w:bookmarkEnd w:id="20"/>
      <w:r>
        <w:rPr>
          <w:rFonts w:hint="eastAsia" w:ascii="宋体" w:hAnsi="宋体" w:eastAsia="宋体" w:cs="宋体"/>
          <w:color w:val="auto"/>
          <w:spacing w:val="0"/>
          <w:w w:val="100"/>
          <w:kern w:val="0"/>
          <w:sz w:val="24"/>
          <w:szCs w:val="24"/>
          <w:highlight w:val="none"/>
          <w:lang w:val="en-US" w:eastAsia="zh-CN" w:bidi="ar"/>
        </w:rPr>
        <w:t xml:space="preserve">招标文件服务要求及合同标准进行验收。 </w:t>
      </w:r>
    </w:p>
    <w:p w14:paraId="333B0101">
      <w:pPr>
        <w:keepNext w:val="0"/>
        <w:keepLines w:val="0"/>
        <w:pageBreakBefore w:val="0"/>
        <w:widowControl/>
        <w:suppressLineNumbers w:val="0"/>
        <w:kinsoku/>
        <w:wordWrap/>
        <w:overflowPunct/>
        <w:topLinePunct w:val="0"/>
        <w:bidi w:val="0"/>
        <w:adjustRightInd/>
        <w:snapToGrid/>
        <w:spacing w:line="440" w:lineRule="exact"/>
        <w:ind w:firstLine="480" w:firstLineChars="200"/>
        <w:jc w:val="left"/>
        <w:textAlignment w:val="auto"/>
        <w:rPr>
          <w:color w:val="auto"/>
          <w:spacing w:val="0"/>
          <w:w w:val="10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 xml:space="preserve">3.验收方式：采购人组织相关人员进行验收。 </w:t>
      </w:r>
    </w:p>
    <w:p w14:paraId="67441D85">
      <w:pPr>
        <w:keepNext w:val="0"/>
        <w:keepLines w:val="0"/>
        <w:pageBreakBefore w:val="0"/>
        <w:widowControl/>
        <w:suppressLineNumbers w:val="0"/>
        <w:kinsoku/>
        <w:wordWrap/>
        <w:overflowPunct/>
        <w:topLinePunct w:val="0"/>
        <w:bidi w:val="0"/>
        <w:adjustRightInd/>
        <w:snapToGrid/>
        <w:spacing w:line="440" w:lineRule="exact"/>
        <w:ind w:firstLine="480" w:firstLineChars="200"/>
        <w:jc w:val="left"/>
        <w:textAlignment w:val="auto"/>
        <w:outlineLvl w:val="1"/>
        <w:rPr>
          <w:color w:val="auto"/>
          <w:spacing w:val="0"/>
          <w:w w:val="100"/>
          <w:sz w:val="24"/>
          <w:szCs w:val="24"/>
          <w:highlight w:val="none"/>
        </w:rPr>
      </w:pPr>
      <w:bookmarkStart w:id="5" w:name="_Toc15309"/>
      <w:bookmarkStart w:id="6" w:name="_Toc29179"/>
      <w:r>
        <w:rPr>
          <w:rFonts w:hint="eastAsia" w:ascii="宋体" w:hAnsi="宋体"/>
          <w:bCs/>
          <w:color w:val="auto"/>
          <w:spacing w:val="0"/>
          <w:w w:val="100"/>
          <w:sz w:val="24"/>
          <w:highlight w:val="none"/>
          <w:lang w:val="en-US" w:eastAsia="zh-CN"/>
        </w:rPr>
        <w:t>★</w:t>
      </w:r>
      <w:r>
        <w:rPr>
          <w:rFonts w:hint="eastAsia" w:ascii="宋体" w:hAnsi="宋体" w:eastAsia="宋体" w:cs="宋体"/>
          <w:b/>
          <w:bCs/>
          <w:color w:val="auto"/>
          <w:spacing w:val="0"/>
          <w:w w:val="100"/>
          <w:kern w:val="0"/>
          <w:sz w:val="24"/>
          <w:szCs w:val="24"/>
          <w:highlight w:val="none"/>
          <w:lang w:val="en-US" w:eastAsia="zh-CN" w:bidi="ar"/>
        </w:rPr>
        <w:t>三、售后服务</w:t>
      </w:r>
      <w:bookmarkEnd w:id="5"/>
      <w:bookmarkEnd w:id="6"/>
      <w:r>
        <w:rPr>
          <w:rFonts w:hint="eastAsia" w:ascii="宋体" w:hAnsi="宋体" w:eastAsia="宋体" w:cs="宋体"/>
          <w:b/>
          <w:bCs/>
          <w:color w:val="auto"/>
          <w:spacing w:val="0"/>
          <w:w w:val="100"/>
          <w:kern w:val="0"/>
          <w:sz w:val="24"/>
          <w:szCs w:val="24"/>
          <w:highlight w:val="none"/>
          <w:lang w:val="en-US" w:eastAsia="zh-CN" w:bidi="ar"/>
        </w:rPr>
        <w:t xml:space="preserve"> </w:t>
      </w:r>
    </w:p>
    <w:p w14:paraId="258CE20A">
      <w:pPr>
        <w:keepNext w:val="0"/>
        <w:keepLines w:val="0"/>
        <w:pageBreakBefore w:val="0"/>
        <w:widowControl/>
        <w:suppressLineNumbers w:val="0"/>
        <w:kinsoku/>
        <w:wordWrap/>
        <w:overflowPunct/>
        <w:topLinePunct w:val="0"/>
        <w:bidi w:val="0"/>
        <w:adjustRightInd/>
        <w:snapToGrid/>
        <w:spacing w:line="440" w:lineRule="exact"/>
        <w:ind w:firstLine="480" w:firstLineChars="200"/>
        <w:jc w:val="left"/>
        <w:textAlignment w:val="auto"/>
        <w:outlineLvl w:val="1"/>
        <w:rPr>
          <w:rFonts w:hint="eastAsia" w:ascii="宋体" w:hAnsi="宋体" w:eastAsia="宋体" w:cs="宋体"/>
          <w:b w:val="0"/>
          <w:bCs w:val="0"/>
          <w:color w:val="auto"/>
          <w:spacing w:val="0"/>
          <w:w w:val="100"/>
          <w:kern w:val="0"/>
          <w:sz w:val="24"/>
          <w:szCs w:val="24"/>
          <w:highlight w:val="none"/>
          <w:lang w:val="en-US" w:eastAsia="zh-CN" w:bidi="ar"/>
        </w:rPr>
      </w:pPr>
      <w:bookmarkStart w:id="7" w:name="_Toc30151"/>
      <w:bookmarkStart w:id="8" w:name="_Toc27795"/>
      <w:r>
        <w:rPr>
          <w:rFonts w:hint="eastAsia" w:ascii="宋体" w:hAnsi="宋体" w:eastAsia="宋体" w:cs="宋体"/>
          <w:b w:val="0"/>
          <w:bCs w:val="0"/>
          <w:color w:val="auto"/>
          <w:spacing w:val="0"/>
          <w:w w:val="100"/>
          <w:kern w:val="0"/>
          <w:sz w:val="24"/>
          <w:szCs w:val="24"/>
          <w:highlight w:val="none"/>
          <w:lang w:val="en-US" w:eastAsia="zh-CN" w:bidi="ar"/>
        </w:rPr>
        <w:t>满足国家的相关法律法规，并满足招标文件要求。</w:t>
      </w:r>
      <w:bookmarkEnd w:id="7"/>
      <w:bookmarkEnd w:id="8"/>
    </w:p>
    <w:p w14:paraId="6438B94C">
      <w:pPr>
        <w:keepNext w:val="0"/>
        <w:keepLines w:val="0"/>
        <w:pageBreakBefore w:val="0"/>
        <w:widowControl/>
        <w:suppressLineNumbers w:val="0"/>
        <w:kinsoku/>
        <w:wordWrap/>
        <w:overflowPunct/>
        <w:topLinePunct w:val="0"/>
        <w:bidi w:val="0"/>
        <w:adjustRightInd/>
        <w:snapToGrid/>
        <w:spacing w:line="440" w:lineRule="exact"/>
        <w:ind w:firstLine="480" w:firstLineChars="200"/>
        <w:jc w:val="left"/>
        <w:textAlignment w:val="auto"/>
        <w:outlineLvl w:val="1"/>
        <w:rPr>
          <w:color w:val="auto"/>
          <w:spacing w:val="0"/>
          <w:w w:val="100"/>
          <w:sz w:val="24"/>
          <w:szCs w:val="24"/>
          <w:highlight w:val="none"/>
        </w:rPr>
      </w:pPr>
      <w:bookmarkStart w:id="9" w:name="_Toc10126"/>
      <w:bookmarkStart w:id="10" w:name="_Toc828"/>
      <w:r>
        <w:rPr>
          <w:rFonts w:hint="eastAsia" w:ascii="宋体" w:hAnsi="宋体"/>
          <w:bCs/>
          <w:color w:val="auto"/>
          <w:spacing w:val="0"/>
          <w:w w:val="100"/>
          <w:sz w:val="24"/>
          <w:highlight w:val="none"/>
          <w:lang w:val="en-US" w:eastAsia="zh-CN"/>
        </w:rPr>
        <w:t>★</w:t>
      </w:r>
      <w:r>
        <w:rPr>
          <w:rFonts w:hint="eastAsia" w:ascii="宋体" w:hAnsi="宋体" w:eastAsia="宋体" w:cs="宋体"/>
          <w:b/>
          <w:bCs/>
          <w:color w:val="auto"/>
          <w:spacing w:val="0"/>
          <w:w w:val="100"/>
          <w:kern w:val="0"/>
          <w:sz w:val="24"/>
          <w:szCs w:val="24"/>
          <w:highlight w:val="none"/>
          <w:lang w:val="en-US" w:eastAsia="zh-CN" w:bidi="ar"/>
        </w:rPr>
        <w:t>四、质保期</w:t>
      </w:r>
      <w:bookmarkEnd w:id="9"/>
      <w:bookmarkEnd w:id="10"/>
      <w:r>
        <w:rPr>
          <w:rFonts w:hint="eastAsia" w:ascii="宋体" w:hAnsi="宋体" w:eastAsia="宋体" w:cs="宋体"/>
          <w:b/>
          <w:bCs/>
          <w:color w:val="auto"/>
          <w:spacing w:val="0"/>
          <w:w w:val="100"/>
          <w:kern w:val="0"/>
          <w:sz w:val="24"/>
          <w:szCs w:val="24"/>
          <w:highlight w:val="none"/>
          <w:lang w:val="en-US" w:eastAsia="zh-CN" w:bidi="ar"/>
        </w:rPr>
        <w:t xml:space="preserve"> </w:t>
      </w:r>
    </w:p>
    <w:p w14:paraId="029FFF62">
      <w:pPr>
        <w:keepNext w:val="0"/>
        <w:keepLines w:val="0"/>
        <w:pageBreakBefore w:val="0"/>
        <w:widowControl/>
        <w:suppressLineNumbers w:val="0"/>
        <w:kinsoku/>
        <w:wordWrap/>
        <w:overflowPunct/>
        <w:topLinePunct w:val="0"/>
        <w:bidi w:val="0"/>
        <w:adjustRightInd/>
        <w:snapToGrid/>
        <w:spacing w:line="440" w:lineRule="exact"/>
        <w:ind w:firstLine="480" w:firstLineChars="200"/>
        <w:jc w:val="left"/>
        <w:textAlignment w:val="auto"/>
        <w:outlineLvl w:val="1"/>
        <w:rPr>
          <w:rFonts w:hint="eastAsia" w:ascii="宋体" w:hAnsi="宋体" w:eastAsia="宋体" w:cs="宋体"/>
          <w:b w:val="0"/>
          <w:bCs w:val="0"/>
          <w:color w:val="auto"/>
          <w:spacing w:val="0"/>
          <w:w w:val="100"/>
          <w:kern w:val="0"/>
          <w:sz w:val="24"/>
          <w:szCs w:val="24"/>
          <w:highlight w:val="none"/>
          <w:lang w:val="en-US" w:eastAsia="zh-CN" w:bidi="ar"/>
        </w:rPr>
      </w:pPr>
      <w:bookmarkStart w:id="11" w:name="_Toc6077"/>
      <w:bookmarkStart w:id="12" w:name="_Toc38"/>
      <w:r>
        <w:rPr>
          <w:rFonts w:hint="eastAsia" w:ascii="宋体" w:hAnsi="宋体" w:eastAsia="宋体" w:cs="宋体"/>
          <w:b w:val="0"/>
          <w:bCs w:val="0"/>
          <w:color w:val="auto"/>
          <w:spacing w:val="0"/>
          <w:w w:val="100"/>
          <w:kern w:val="0"/>
          <w:sz w:val="24"/>
          <w:szCs w:val="24"/>
          <w:highlight w:val="none"/>
          <w:lang w:val="en-US" w:eastAsia="zh-CN" w:bidi="ar"/>
        </w:rPr>
        <w:t>满足国家的相关法律法规，并满足招标文件要求。</w:t>
      </w:r>
      <w:bookmarkEnd w:id="11"/>
    </w:p>
    <w:p w14:paraId="1D756DE4">
      <w:pPr>
        <w:keepNext w:val="0"/>
        <w:keepLines w:val="0"/>
        <w:pageBreakBefore w:val="0"/>
        <w:widowControl/>
        <w:suppressLineNumbers w:val="0"/>
        <w:kinsoku/>
        <w:wordWrap/>
        <w:overflowPunct/>
        <w:topLinePunct w:val="0"/>
        <w:bidi w:val="0"/>
        <w:adjustRightInd/>
        <w:snapToGrid/>
        <w:spacing w:line="440" w:lineRule="exact"/>
        <w:ind w:firstLine="480" w:firstLineChars="200"/>
        <w:jc w:val="left"/>
        <w:textAlignment w:val="auto"/>
        <w:outlineLvl w:val="1"/>
        <w:rPr>
          <w:color w:val="auto"/>
          <w:spacing w:val="0"/>
          <w:w w:val="100"/>
          <w:sz w:val="24"/>
          <w:szCs w:val="24"/>
          <w:highlight w:val="none"/>
        </w:rPr>
      </w:pPr>
      <w:bookmarkStart w:id="13" w:name="_Toc19789"/>
      <w:r>
        <w:rPr>
          <w:rFonts w:hint="eastAsia" w:ascii="宋体" w:hAnsi="宋体"/>
          <w:bCs/>
          <w:color w:val="auto"/>
          <w:spacing w:val="0"/>
          <w:w w:val="100"/>
          <w:sz w:val="24"/>
          <w:highlight w:val="none"/>
          <w:lang w:val="en-US" w:eastAsia="zh-CN"/>
        </w:rPr>
        <w:t>★</w:t>
      </w:r>
      <w:r>
        <w:rPr>
          <w:rFonts w:hint="eastAsia" w:ascii="宋体" w:hAnsi="宋体" w:eastAsia="宋体" w:cs="宋体"/>
          <w:b/>
          <w:bCs/>
          <w:color w:val="auto"/>
          <w:spacing w:val="0"/>
          <w:w w:val="100"/>
          <w:kern w:val="0"/>
          <w:sz w:val="24"/>
          <w:szCs w:val="24"/>
          <w:highlight w:val="none"/>
          <w:lang w:val="en-US" w:eastAsia="zh-CN" w:bidi="ar"/>
        </w:rPr>
        <w:t>五、付款方式</w:t>
      </w:r>
      <w:bookmarkEnd w:id="12"/>
      <w:bookmarkEnd w:id="13"/>
      <w:r>
        <w:rPr>
          <w:rFonts w:hint="eastAsia" w:ascii="宋体" w:hAnsi="宋体" w:eastAsia="宋体" w:cs="宋体"/>
          <w:b/>
          <w:bCs/>
          <w:color w:val="auto"/>
          <w:spacing w:val="0"/>
          <w:w w:val="100"/>
          <w:kern w:val="0"/>
          <w:sz w:val="24"/>
          <w:szCs w:val="24"/>
          <w:highlight w:val="none"/>
          <w:lang w:val="en-US" w:eastAsia="zh-CN" w:bidi="ar"/>
        </w:rPr>
        <w:t xml:space="preserve"> </w:t>
      </w:r>
    </w:p>
    <w:p w14:paraId="23E01962">
      <w:pPr>
        <w:keepNext w:val="0"/>
        <w:keepLines w:val="0"/>
        <w:pageBreakBefore w:val="0"/>
        <w:widowControl/>
        <w:suppressLineNumbers w:val="0"/>
        <w:kinsoku/>
        <w:wordWrap/>
        <w:overflowPunct/>
        <w:topLinePunct w:val="0"/>
        <w:bidi w:val="0"/>
        <w:adjustRightInd/>
        <w:snapToGrid/>
        <w:spacing w:line="440" w:lineRule="exact"/>
        <w:ind w:firstLine="482" w:firstLineChars="200"/>
        <w:jc w:val="left"/>
        <w:textAlignment w:val="auto"/>
        <w:outlineLvl w:val="1"/>
        <w:rPr>
          <w:rFonts w:hint="eastAsia" w:cs="宋体"/>
          <w:b/>
          <w:bCs/>
          <w:color w:val="auto"/>
          <w:spacing w:val="0"/>
          <w:w w:val="100"/>
          <w:kern w:val="0"/>
          <w:sz w:val="24"/>
          <w:szCs w:val="24"/>
          <w:highlight w:val="none"/>
          <w:lang w:val="en-US" w:eastAsia="zh-CN" w:bidi="ar"/>
        </w:rPr>
      </w:pPr>
      <w:bookmarkStart w:id="14" w:name="_Toc17785"/>
      <w:bookmarkStart w:id="15" w:name="_Toc5713"/>
      <w:bookmarkStart w:id="16" w:name="_Toc1311"/>
      <w:bookmarkStart w:id="17" w:name="_Toc30040"/>
      <w:r>
        <w:rPr>
          <w:rFonts w:hint="eastAsia" w:cs="宋体"/>
          <w:b/>
          <w:bCs/>
          <w:color w:val="auto"/>
          <w:spacing w:val="0"/>
          <w:w w:val="100"/>
          <w:kern w:val="0"/>
          <w:sz w:val="24"/>
          <w:szCs w:val="24"/>
          <w:highlight w:val="none"/>
          <w:lang w:val="en-US" w:eastAsia="zh-CN" w:bidi="ar"/>
        </w:rPr>
        <w:t>本项目甲方资金来源于财政部门等政府相关部门拨款，乙方理解并同意甲方按照本合同约定向乙方支付货款的前提条件为：甲方已收到相关政府部门支付的本合同项下的全部或相应资金或款项。如因政府部门未及时向甲方支付款项，导致甲方不能向乙方支付货款等相关费用的，不视为甲方违约，且甲方有权顺延向乙方支付费用的时间。</w:t>
      </w:r>
      <w:bookmarkEnd w:id="14"/>
      <w:bookmarkEnd w:id="15"/>
    </w:p>
    <w:p w14:paraId="3011C8F4">
      <w:pPr>
        <w:keepNext w:val="0"/>
        <w:keepLines w:val="0"/>
        <w:pageBreakBefore w:val="0"/>
        <w:widowControl/>
        <w:suppressLineNumbers w:val="0"/>
        <w:kinsoku/>
        <w:wordWrap/>
        <w:overflowPunct/>
        <w:topLinePunct w:val="0"/>
        <w:bidi w:val="0"/>
        <w:adjustRightInd/>
        <w:snapToGrid/>
        <w:spacing w:line="440" w:lineRule="exact"/>
        <w:ind w:firstLine="482" w:firstLineChars="200"/>
        <w:jc w:val="left"/>
        <w:textAlignment w:val="auto"/>
        <w:outlineLvl w:val="1"/>
        <w:rPr>
          <w:color w:val="auto"/>
          <w:spacing w:val="0"/>
          <w:w w:val="100"/>
          <w:sz w:val="24"/>
          <w:szCs w:val="24"/>
          <w:highlight w:val="none"/>
        </w:rPr>
      </w:pPr>
      <w:r>
        <w:rPr>
          <w:rFonts w:hint="eastAsia" w:ascii="宋体" w:hAnsi="宋体" w:eastAsia="宋体" w:cs="宋体"/>
          <w:b/>
          <w:bCs/>
          <w:color w:val="auto"/>
          <w:spacing w:val="0"/>
          <w:w w:val="100"/>
          <w:kern w:val="0"/>
          <w:sz w:val="24"/>
          <w:szCs w:val="24"/>
          <w:highlight w:val="none"/>
          <w:lang w:val="en-US" w:eastAsia="zh-CN" w:bidi="ar"/>
        </w:rPr>
        <w:t>六、履约保证金</w:t>
      </w:r>
      <w:bookmarkEnd w:id="16"/>
      <w:bookmarkEnd w:id="17"/>
      <w:r>
        <w:rPr>
          <w:rFonts w:hint="eastAsia" w:ascii="宋体" w:hAnsi="宋体" w:eastAsia="宋体" w:cs="宋体"/>
          <w:b/>
          <w:bCs/>
          <w:color w:val="auto"/>
          <w:spacing w:val="0"/>
          <w:w w:val="100"/>
          <w:kern w:val="0"/>
          <w:sz w:val="24"/>
          <w:szCs w:val="24"/>
          <w:highlight w:val="none"/>
          <w:lang w:val="en-US" w:eastAsia="zh-CN" w:bidi="ar"/>
        </w:rPr>
        <w:t xml:space="preserve"> </w:t>
      </w:r>
    </w:p>
    <w:p w14:paraId="0770F44D">
      <w:pPr>
        <w:keepNext w:val="0"/>
        <w:keepLines w:val="0"/>
        <w:pageBreakBefore w:val="0"/>
        <w:widowControl/>
        <w:suppressLineNumbers w:val="0"/>
        <w:kinsoku/>
        <w:wordWrap/>
        <w:overflowPunct/>
        <w:topLinePunct w:val="0"/>
        <w:bidi w:val="0"/>
        <w:adjustRightInd/>
        <w:snapToGrid/>
        <w:spacing w:line="440" w:lineRule="exact"/>
        <w:ind w:firstLine="480" w:firstLineChars="200"/>
        <w:jc w:val="left"/>
        <w:textAlignment w:val="auto"/>
        <w:rPr>
          <w:color w:val="auto"/>
          <w:spacing w:val="0"/>
          <w:w w:val="10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 xml:space="preserve">无 </w:t>
      </w:r>
    </w:p>
    <w:p w14:paraId="0F1C0C15">
      <w:pPr>
        <w:keepNext w:val="0"/>
        <w:keepLines w:val="0"/>
        <w:pageBreakBefore w:val="0"/>
        <w:widowControl/>
        <w:suppressLineNumbers w:val="0"/>
        <w:kinsoku/>
        <w:wordWrap/>
        <w:overflowPunct/>
        <w:topLinePunct w:val="0"/>
        <w:bidi w:val="0"/>
        <w:adjustRightInd/>
        <w:snapToGrid/>
        <w:spacing w:line="440" w:lineRule="exact"/>
        <w:ind w:firstLine="482" w:firstLineChars="200"/>
        <w:jc w:val="left"/>
        <w:textAlignment w:val="auto"/>
        <w:outlineLvl w:val="1"/>
        <w:rPr>
          <w:color w:val="auto"/>
          <w:spacing w:val="0"/>
          <w:w w:val="100"/>
          <w:sz w:val="24"/>
          <w:szCs w:val="24"/>
          <w:highlight w:val="none"/>
        </w:rPr>
      </w:pPr>
      <w:bookmarkStart w:id="18" w:name="_Toc24699"/>
      <w:bookmarkStart w:id="19" w:name="_Toc1144"/>
      <w:r>
        <w:rPr>
          <w:rFonts w:hint="eastAsia" w:ascii="宋体" w:hAnsi="宋体" w:eastAsia="宋体" w:cs="宋体"/>
          <w:b/>
          <w:bCs/>
          <w:color w:val="auto"/>
          <w:spacing w:val="0"/>
          <w:w w:val="100"/>
          <w:kern w:val="0"/>
          <w:sz w:val="24"/>
          <w:szCs w:val="24"/>
          <w:highlight w:val="none"/>
          <w:lang w:val="en-US" w:eastAsia="zh-CN" w:bidi="ar"/>
        </w:rPr>
        <w:t>七、投标有效期</w:t>
      </w:r>
      <w:bookmarkEnd w:id="18"/>
      <w:bookmarkEnd w:id="19"/>
      <w:r>
        <w:rPr>
          <w:rFonts w:hint="eastAsia" w:ascii="宋体" w:hAnsi="宋体" w:eastAsia="宋体" w:cs="宋体"/>
          <w:b/>
          <w:bCs/>
          <w:color w:val="auto"/>
          <w:spacing w:val="0"/>
          <w:w w:val="100"/>
          <w:kern w:val="0"/>
          <w:sz w:val="24"/>
          <w:szCs w:val="24"/>
          <w:highlight w:val="none"/>
          <w:lang w:val="en-US" w:eastAsia="zh-CN" w:bidi="ar"/>
        </w:rPr>
        <w:t xml:space="preserve"> </w:t>
      </w:r>
    </w:p>
    <w:p w14:paraId="1A8236E2">
      <w:pPr>
        <w:keepNext w:val="0"/>
        <w:keepLines w:val="0"/>
        <w:pageBreakBefore w:val="0"/>
        <w:widowControl/>
        <w:suppressLineNumbers w:val="0"/>
        <w:kinsoku/>
        <w:wordWrap/>
        <w:overflowPunct/>
        <w:topLinePunct w:val="0"/>
        <w:bidi w:val="0"/>
        <w:adjustRightInd/>
        <w:snapToGrid/>
        <w:spacing w:line="440" w:lineRule="exact"/>
        <w:ind w:firstLine="480" w:firstLineChars="200"/>
        <w:jc w:val="left"/>
        <w:textAlignment w:val="auto"/>
        <w:rPr>
          <w:color w:val="auto"/>
          <w:spacing w:val="0"/>
          <w:w w:val="10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 xml:space="preserve">递交投标文件截止之日起 90 个日历日。 </w:t>
      </w:r>
    </w:p>
    <w:p w14:paraId="5D9B2740">
      <w:pPr>
        <w:keepNext w:val="0"/>
        <w:keepLines w:val="0"/>
        <w:pageBreakBefore w:val="0"/>
        <w:widowControl/>
        <w:suppressLineNumbers w:val="0"/>
        <w:kinsoku/>
        <w:wordWrap/>
        <w:overflowPunct/>
        <w:topLinePunct w:val="0"/>
        <w:bidi w:val="0"/>
        <w:adjustRightInd/>
        <w:snapToGrid/>
        <w:spacing w:line="440" w:lineRule="exact"/>
        <w:ind w:firstLine="482" w:firstLineChars="200"/>
        <w:jc w:val="left"/>
        <w:textAlignment w:val="auto"/>
        <w:rPr>
          <w:rFonts w:hint="eastAsia" w:ascii="宋体" w:hAnsi="宋体" w:eastAsia="宋体" w:cs="宋体"/>
          <w:color w:val="auto"/>
          <w:spacing w:val="0"/>
          <w:w w:val="100"/>
          <w:kern w:val="0"/>
          <w:sz w:val="24"/>
          <w:szCs w:val="24"/>
          <w:highlight w:val="none"/>
          <w:lang w:val="en-US" w:eastAsia="zh-CN" w:bidi="ar"/>
        </w:rPr>
      </w:pPr>
      <w:r>
        <w:rPr>
          <w:rFonts w:hint="eastAsia" w:ascii="宋体" w:hAnsi="宋体" w:eastAsia="宋体" w:cs="宋体"/>
          <w:b/>
          <w:bCs/>
          <w:color w:val="auto"/>
          <w:spacing w:val="0"/>
          <w:w w:val="100"/>
          <w:kern w:val="0"/>
          <w:sz w:val="24"/>
          <w:szCs w:val="24"/>
          <w:highlight w:val="none"/>
          <w:lang w:val="en-US" w:eastAsia="zh-CN" w:bidi="ar"/>
        </w:rPr>
        <w:t xml:space="preserve">八、其他要求 </w:t>
      </w:r>
    </w:p>
    <w:p w14:paraId="0BD345F3">
      <w:pPr>
        <w:keepNext w:val="0"/>
        <w:keepLines w:val="0"/>
        <w:pageBreakBefore w:val="0"/>
        <w:widowControl/>
        <w:suppressLineNumbers w:val="0"/>
        <w:kinsoku/>
        <w:wordWrap/>
        <w:overflowPunct/>
        <w:topLinePunct w:val="0"/>
        <w:bidi w:val="0"/>
        <w:adjustRightInd/>
        <w:snapToGrid/>
        <w:spacing w:line="440" w:lineRule="exact"/>
        <w:ind w:firstLine="480" w:firstLineChars="200"/>
        <w:jc w:val="left"/>
        <w:textAlignment w:val="auto"/>
        <w:rPr>
          <w:rFonts w:hint="default" w:ascii="宋体" w:hAnsi="宋体" w:eastAsia="宋体" w:cs="宋体"/>
          <w:color w:val="auto"/>
          <w:spacing w:val="0"/>
          <w:w w:val="100"/>
          <w:sz w:val="24"/>
          <w:szCs w:val="24"/>
          <w:highlight w:val="none"/>
          <w:lang w:val="en-US" w:eastAsia="zh-CN"/>
        </w:rPr>
      </w:pPr>
      <w:r>
        <w:rPr>
          <w:rFonts w:hint="eastAsia" w:ascii="宋体" w:hAnsi="宋体" w:cs="宋体"/>
          <w:color w:val="auto"/>
          <w:spacing w:val="0"/>
          <w:w w:val="100"/>
          <w:sz w:val="24"/>
          <w:szCs w:val="24"/>
          <w:highlight w:val="none"/>
          <w:lang w:val="en-US" w:eastAsia="zh-CN"/>
        </w:rPr>
        <w:t>无</w:t>
      </w:r>
      <w:r>
        <w:rPr>
          <w:rFonts w:hint="eastAsia" w:ascii="宋体" w:hAnsi="宋体" w:eastAsia="宋体" w:cs="宋体"/>
          <w:color w:val="auto"/>
          <w:spacing w:val="0"/>
          <w:w w:val="100"/>
          <w:sz w:val="24"/>
          <w:szCs w:val="24"/>
          <w:highlight w:val="none"/>
          <w:lang w:val="en-US" w:eastAsia="zh-CN"/>
        </w:rPr>
        <w:t xml:space="preserve">    </w:t>
      </w:r>
      <w:r>
        <w:rPr>
          <w:rFonts w:hint="eastAsia" w:ascii="宋体" w:hAnsi="宋体" w:eastAsia="宋体" w:cs="宋体"/>
          <w:color w:val="auto"/>
          <w:spacing w:val="0"/>
          <w:w w:val="100"/>
          <w:sz w:val="24"/>
          <w:szCs w:val="24"/>
          <w:highlight w:val="none"/>
        </w:rPr>
        <w:t xml:space="preserve"> </w:t>
      </w:r>
    </w:p>
    <w:p w14:paraId="6D891CA4">
      <w:pPr>
        <w:keepNext w:val="0"/>
        <w:keepLines w:val="0"/>
        <w:pageBreakBefore w:val="0"/>
        <w:widowControl/>
        <w:suppressLineNumbers w:val="0"/>
        <w:kinsoku/>
        <w:wordWrap/>
        <w:overflowPunct/>
        <w:topLinePunct w:val="0"/>
        <w:bidi w:val="0"/>
        <w:adjustRightInd/>
        <w:snapToGrid/>
        <w:spacing w:line="440" w:lineRule="exact"/>
        <w:ind w:firstLine="480" w:firstLineChars="200"/>
        <w:jc w:val="left"/>
        <w:textAlignment w:val="auto"/>
        <w:rPr>
          <w:rFonts w:hint="default" w:ascii="宋体" w:hAnsi="宋体" w:eastAsia="宋体" w:cs="宋体"/>
          <w:color w:val="auto"/>
          <w:sz w:val="24"/>
          <w:szCs w:val="24"/>
          <w:highlight w:val="none"/>
          <w:lang w:val="en-US" w:eastAsia="zh-CN"/>
        </w:rPr>
      </w:pPr>
    </w:p>
    <w:p w14:paraId="239C6E50">
      <w:pPr>
        <w:keepNext w:val="0"/>
        <w:keepLines w:val="0"/>
        <w:pageBreakBefore w:val="0"/>
        <w:widowControl/>
        <w:suppressLineNumbers w:val="0"/>
        <w:kinsoku/>
        <w:wordWrap/>
        <w:overflowPunct/>
        <w:topLinePunct w:val="0"/>
        <w:bidi w:val="0"/>
        <w:adjustRightInd/>
        <w:snapToGrid/>
        <w:spacing w:line="440" w:lineRule="exact"/>
        <w:jc w:val="left"/>
        <w:textAlignment w:val="auto"/>
        <w:outlineLvl w:val="1"/>
        <w:rPr>
          <w:rFonts w:hint="eastAsia" w:ascii="宋体" w:hAnsi="宋体" w:eastAsia="宋体" w:cs="宋体"/>
          <w:color w:val="auto"/>
          <w:sz w:val="24"/>
          <w:szCs w:val="24"/>
          <w:highlight w:val="none"/>
          <w:lang w:val="en-US" w:eastAsia="zh-CN"/>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AC4E8330-41E5-47BB-B6D0-ECC6AE68364B}"/>
  </w:font>
  <w:font w:name="仿宋">
    <w:panose1 w:val="02010609060101010101"/>
    <w:charset w:val="86"/>
    <w:family w:val="auto"/>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embedRegular r:id="rId2" w:fontKey="{76100AD0-470A-427E-B403-B14F9D26328E}"/>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99D67">
    <w:pPr>
      <w:pStyle w:val="5"/>
      <w:spacing w:line="14" w:lineRule="auto"/>
      <w:rPr>
        <w:sz w:val="20"/>
      </w:rPr>
    </w:pPr>
    <w:r>
      <w:rPr>
        <w:sz w:val="20"/>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D83DFE7">
                          <w:pPr>
                            <w:pStyle w:val="7"/>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4D83DFE7">
                    <w:pPr>
                      <w:pStyle w:val="7"/>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10D52">
    <w:pPr>
      <w:pStyle w:val="7"/>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9AAF19D">
                          <w:pPr>
                            <w:pStyle w:val="7"/>
                          </w:pPr>
                          <w:r>
                            <w:fldChar w:fldCharType="begin"/>
                          </w:r>
                          <w:r>
                            <w:instrText xml:space="preserve"> PAGE  \* MERGEFORMAT </w:instrText>
                          </w:r>
                          <w:r>
                            <w:fldChar w:fldCharType="separate"/>
                          </w:r>
                          <w:r>
                            <w:t>21</w:t>
                          </w:r>
                          <w:r>
                            <w:fldChar w:fldCharType="end"/>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9ZxHSAQAAngMAAA4AAABkcnMvZTJvRG9jLnhtbK1TzY7TMBC+I/EO&#10;lu80aYWgipqukKpFSAhWWngA13EaS/7TjNukPAC8AScu3HmuPgdjJ+mulsseuDgzHvub7/s82dwM&#10;1rCTAtTe1Xy5KDlTTvpGu0PNv365fbXmDKNwjTDeqZqfFfKb7csXmz5UauU7bxoFjEAcVn2oeRdj&#10;qIoCZaeswIUPylGx9WBFpBQORQOiJ3RrilVZvil6D00ALxUi7e7GIp8Q4TmAvm21VDsvj1a5OKKC&#10;MiKSJOx0QL7NbNtWyfi5bVFFZmpOSmNeqQnF+7QW242oDiBCp+VEQTyHwhNNVmhHTa9QOxEFO4L+&#10;B8pqCR59GxfS22IUkh0hFcvyiTf3nQgqayGrMVxNx/8HKz+d7oDppuavl+Vbzpyw9OaXnz8uv/5c&#10;fn9nq+RQH7Cig/fhDqYMKUxyhxZs+pIQNmRXz1dX1RCZpM3lerVel2S4pNqcEE7xcD0AxvfKW5aC&#10;mgM9W3ZTnD5iHI/OR1I349Lq/K02ZqymnSLRHImlKA77YWK7982ZVNLQE3jn4RtnPT15zR1NOGfm&#10;gyNH03TMAczBfg6Ek3Sx5pGzYwB96PIkJRoY3h0jUck8U+Ox28SHni0rnUYszcXjPJ96+K22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f/1nEdIBAACeAwAADgAAAAAAAAABACAAAAAfAQAA&#10;ZHJzL2Uyb0RvYy54bWxQSwUGAAAAAAYABgBZAQAAYwUAAAAA&#10;">
              <v:fill on="f" focussize="0,0"/>
              <v:stroke on="f"/>
              <v:imagedata o:title=""/>
              <o:lock v:ext="edit" aspectratio="f"/>
              <v:textbox inset="0mm,0mm,0mm,0mm" style="mso-fit-shape-to-text:t;">
                <w:txbxContent>
                  <w:p w14:paraId="29AAF19D">
                    <w:pPr>
                      <w:pStyle w:val="7"/>
                    </w:pPr>
                    <w:r>
                      <w:fldChar w:fldCharType="begin"/>
                    </w:r>
                    <w:r>
                      <w:instrText xml:space="preserve"> PAGE  \* MERGEFORMAT </w:instrText>
                    </w:r>
                    <w:r>
                      <w:fldChar w:fldCharType="separate"/>
                    </w:r>
                    <w:r>
                      <w:t>21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264992"/>
    <w:multiLevelType w:val="singleLevel"/>
    <w:tmpl w:val="C2264992"/>
    <w:lvl w:ilvl="0" w:tentative="0">
      <w:start w:val="1"/>
      <w:numFmt w:val="decimal"/>
      <w:suff w:val="nothing"/>
      <w:lvlText w:val="%1、"/>
      <w:lvlJc w:val="left"/>
    </w:lvl>
  </w:abstractNum>
  <w:abstractNum w:abstractNumId="1">
    <w:nsid w:val="76B48051"/>
    <w:multiLevelType w:val="singleLevel"/>
    <w:tmpl w:val="76B48051"/>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E1063D"/>
    <w:rsid w:val="3F816231"/>
    <w:rsid w:val="50355E9E"/>
    <w:rsid w:val="57B9375C"/>
    <w:rsid w:val="5E9F0BBA"/>
    <w:rsid w:val="5FE12A2D"/>
    <w:rsid w:val="67392115"/>
    <w:rsid w:val="6D932167"/>
    <w:rsid w:val="78BC7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Calibri" w:hAnsi="Calibri" w:eastAsia="宋体" w:cs="宋体"/>
      <w:sz w:val="22"/>
      <w:szCs w:val="22"/>
      <w:lang w:val="en-US" w:eastAsia="en-US" w:bidi="ar-SA"/>
    </w:rPr>
  </w:style>
  <w:style w:type="paragraph" w:styleId="2">
    <w:name w:val="heading 2"/>
    <w:basedOn w:val="3"/>
    <w:next w:val="1"/>
    <w:qFormat/>
    <w:uiPriority w:val="1"/>
    <w:pPr>
      <w:ind w:left="1437"/>
      <w:outlineLvl w:val="1"/>
    </w:pPr>
    <w:rPr>
      <w:sz w:val="30"/>
      <w:szCs w:val="30"/>
    </w:rPr>
  </w:style>
  <w:style w:type="paragraph" w:styleId="4">
    <w:name w:val="heading 3"/>
    <w:basedOn w:val="1"/>
    <w:next w:val="1"/>
    <w:qFormat/>
    <w:uiPriority w:val="1"/>
    <w:pPr>
      <w:spacing w:before="1"/>
      <w:ind w:left="3074" w:right="3093"/>
      <w:jc w:val="center"/>
      <w:outlineLvl w:val="2"/>
    </w:pPr>
    <w:rPr>
      <w:b/>
      <w:bCs/>
      <w:sz w:val="28"/>
      <w:szCs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List Paragraph"/>
    <w:basedOn w:val="1"/>
    <w:autoRedefine/>
    <w:qFormat/>
    <w:uiPriority w:val="34"/>
    <w:pPr>
      <w:ind w:left="720"/>
      <w:contextualSpacing/>
    </w:pPr>
    <w:rPr>
      <w:sz w:val="20"/>
    </w:rPr>
  </w:style>
  <w:style w:type="paragraph" w:styleId="5">
    <w:name w:val="Body Text"/>
    <w:basedOn w:val="1"/>
    <w:next w:val="1"/>
    <w:qFormat/>
    <w:uiPriority w:val="1"/>
    <w:rPr>
      <w:sz w:val="21"/>
      <w:szCs w:val="21"/>
    </w:rPr>
  </w:style>
  <w:style w:type="paragraph" w:styleId="6">
    <w:name w:val="Plain Text"/>
    <w:basedOn w:val="1"/>
    <w:next w:val="1"/>
    <w:qFormat/>
    <w:uiPriority w:val="99"/>
    <w:pPr>
      <w:jc w:val="both"/>
    </w:pPr>
    <w:rPr>
      <w:rFonts w:hint="eastAsia" w:ascii="宋体" w:hAnsi="Courier New" w:eastAsia="宋体" w:cs="Times New Roman"/>
      <w:sz w:val="34"/>
      <w:szCs w:val="21"/>
      <w:lang w:eastAsia="zh-CN"/>
    </w:rPr>
  </w:style>
  <w:style w:type="paragraph" w:styleId="7">
    <w:name w:val="footer"/>
    <w:basedOn w:val="1"/>
    <w:qFormat/>
    <w:uiPriority w:val="99"/>
    <w:pPr>
      <w:tabs>
        <w:tab w:val="center" w:pos="4153"/>
        <w:tab w:val="right" w:pos="8306"/>
      </w:tabs>
      <w:snapToGrid w:val="0"/>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Table Paragraph"/>
    <w:basedOn w:val="1"/>
    <w:qFormat/>
    <w:uiPriority w:val="1"/>
  </w:style>
  <w:style w:type="paragraph" w:customStyle="1" w:styleId="12">
    <w:name w:val="列出段落1"/>
    <w:basedOn w:val="1"/>
    <w:next w:val="1"/>
    <w:qFormat/>
    <w:uiPriority w:val="0"/>
    <w:pPr>
      <w:ind w:firstLine="420" w:firstLineChars="200"/>
    </w:pPr>
    <w:rPr>
      <w:rFonts w:ascii="Times New Roman" w:hAnsi="Times New Roman"/>
      <w:szCs w:val="24"/>
    </w:rPr>
  </w:style>
  <w:style w:type="paragraph" w:customStyle="1" w:styleId="13">
    <w:name w:val="标题 11"/>
    <w:basedOn w:val="1"/>
    <w:qFormat/>
    <w:uiPriority w:val="1"/>
    <w:pPr>
      <w:outlineLvl w:val="1"/>
    </w:pPr>
    <w:rPr>
      <w:rFonts w:ascii="@华文新魏" w:hAnsi="@华文新魏" w:eastAsia="@华文新魏"/>
      <w:sz w:val="36"/>
      <w:szCs w:val="36"/>
    </w:rPr>
  </w:style>
  <w:style w:type="paragraph" w:customStyle="1" w:styleId="14">
    <w:name w:val="列表段落1"/>
    <w:basedOn w:val="1"/>
    <w:autoRedefine/>
    <w:qFormat/>
    <w:uiPriority w:val="34"/>
    <w:pPr>
      <w:ind w:left="249"/>
    </w:pPr>
  </w:style>
  <w:style w:type="character" w:customStyle="1" w:styleId="15">
    <w:name w:val="font11"/>
    <w:basedOn w:val="10"/>
    <w:qFormat/>
    <w:uiPriority w:val="0"/>
    <w:rPr>
      <w:rFonts w:hint="eastAsia" w:ascii="宋体" w:hAnsi="宋体" w:eastAsia="宋体" w:cs="宋体"/>
      <w:b/>
      <w:color w:val="000000"/>
      <w:sz w:val="24"/>
      <w:szCs w:val="24"/>
      <w:u w:val="none"/>
    </w:rPr>
  </w:style>
  <w:style w:type="character" w:customStyle="1" w:styleId="16">
    <w:name w:val="font121"/>
    <w:basedOn w:val="10"/>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6060</Words>
  <Characters>6333</Characters>
  <Lines>0</Lines>
  <Paragraphs>0</Paragraphs>
  <TotalTime>0</TotalTime>
  <ScaleCrop>false</ScaleCrop>
  <LinksUpToDate>false</LinksUpToDate>
  <CharactersWithSpaces>6363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2025-03-21T08:12:00Z</dcterms:created>
  <dc:creator>Administrator</dc:creator>
  <cp:lastModifiedBy>小雪</cp:lastModifiedBy>
  <dcterms:modified xsi:type="dcterms:W3CDTF">2025-08-04T08:46:24Z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eyJoZGlkIjoiMGY4NzNhNjdiYzMyYzI0ZGY2MmJlYzUzY2IwOGMyOTUiLCJ1c2VySWQiOiI0MzQ5NTIyMzAifQ==</vt:lpwstr>
  </property>
  <property fmtid="{D5CDD505-2E9C-101B-9397-08002B2CF9AE}" pid="4" name="ICV">
    <vt:lpwstr>20926A65CFBE43E8B78BC4ED50845D88_12</vt:lpwstr>
  </property>
</Properties>
</file>