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9587">
      <w:pPr>
        <w:numPr>
          <w:ilvl w:val="0"/>
          <w:numId w:val="0"/>
        </w:numPr>
        <w:spacing w:line="360" w:lineRule="auto"/>
        <w:jc w:val="center"/>
        <w:rPr>
          <w:rFonts w:hint="eastAsia" w:eastAsia="宋体"/>
          <w:color w:val="auto"/>
          <w:sz w:val="32"/>
          <w:szCs w:val="32"/>
          <w:highlight w:val="none"/>
          <w:lang w:val="en-US" w:eastAsia="zh-CN"/>
        </w:rPr>
      </w:pPr>
      <w:r>
        <w:rPr>
          <w:rFonts w:hint="eastAsia"/>
          <w:color w:val="auto"/>
          <w:sz w:val="32"/>
          <w:szCs w:val="32"/>
          <w:highlight w:val="none"/>
          <w:lang w:val="en-US" w:eastAsia="zh-CN"/>
        </w:rPr>
        <w:t>资格要求</w:t>
      </w:r>
    </w:p>
    <w:p w14:paraId="6D9AFEE3">
      <w:pPr>
        <w:pStyle w:val="13"/>
        <w:keepNext w:val="0"/>
        <w:keepLines w:val="0"/>
        <w:pageBreakBefore w:val="0"/>
        <w:widowControl w:val="0"/>
        <w:kinsoku/>
        <w:overflowPunct/>
        <w:topLinePunct w:val="0"/>
        <w:autoSpaceDE/>
        <w:autoSpaceDN/>
        <w:bidi w:val="0"/>
        <w:adjustRightInd/>
        <w:snapToGrid w:val="0"/>
        <w:spacing w:line="440" w:lineRule="exact"/>
        <w:ind w:left="0" w:firstLine="480" w:firstLineChars="200"/>
        <w:textAlignment w:val="auto"/>
        <w:rPr>
          <w:rFonts w:hint="eastAsia" w:eastAsia="宋体" w:cs="宋体"/>
          <w:color w:val="auto"/>
          <w:sz w:val="24"/>
          <w:szCs w:val="24"/>
          <w:highlight w:val="none"/>
          <w:lang w:eastAsia="zh-CN"/>
        </w:rPr>
      </w:pP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color w:val="auto"/>
          <w:sz w:val="24"/>
          <w:szCs w:val="24"/>
          <w:highlight w:val="none"/>
          <w:lang w:eastAsia="zh-CN"/>
        </w:rPr>
        <w:t>满足《中华人民共和国政府采购法》第二十二条规定；（1）具有独立承担民事责任的能力。具体要求：提供法人或其他组织的营业执照等证明文件，或自然人身份证明；（2）具有良好的商业信誉和健全的财务会计制度。具体要求：</w:t>
      </w:r>
      <w:r>
        <w:rPr>
          <w:rFonts w:hint="eastAsia" w:ascii="宋体" w:hAnsi="宋体" w:cs="宋体"/>
          <w:color w:val="auto"/>
          <w:sz w:val="24"/>
          <w:szCs w:val="24"/>
          <w:highlight w:val="none"/>
          <w:lang w:eastAsia="zh-CN" w:bidi="zh-CN"/>
        </w:rPr>
        <w:t>提供2024年经审计的财务报告（包括“四表一注或三表一注”）或银行出具的资信证明</w:t>
      </w:r>
      <w:r>
        <w:rPr>
          <w:rFonts w:hint="eastAsia" w:ascii="宋体" w:hAnsi="宋体" w:cs="宋体"/>
          <w:color w:val="auto"/>
          <w:sz w:val="24"/>
          <w:szCs w:val="24"/>
          <w:highlight w:val="none"/>
          <w:lang w:eastAsia="zh-CN"/>
        </w:rPr>
        <w:t>；（3）具有履行合同所必须的设备和专业技术能力。具体要求：</w:t>
      </w:r>
      <w:r>
        <w:rPr>
          <w:rFonts w:hint="eastAsia"/>
          <w:color w:val="auto"/>
          <w:sz w:val="24"/>
          <w:szCs w:val="24"/>
          <w:highlight w:val="none"/>
          <w:lang w:eastAsia="zh-CN"/>
        </w:rPr>
        <w:t>提供履行合同所需设备和专业技术能力的承诺，并加盖</w:t>
      </w:r>
      <w:r>
        <w:rPr>
          <w:rFonts w:hint="eastAsia" w:cs="宋体"/>
          <w:b w:val="0"/>
          <w:bCs w:val="0"/>
          <w:color w:val="auto"/>
          <w:spacing w:val="-1"/>
          <w:sz w:val="24"/>
          <w:szCs w:val="24"/>
          <w:highlight w:val="none"/>
          <w:lang w:eastAsia="zh-CN"/>
        </w:rPr>
        <w:t>供应商</w:t>
      </w:r>
      <w:r>
        <w:rPr>
          <w:rFonts w:hint="eastAsia"/>
          <w:color w:val="auto"/>
          <w:sz w:val="24"/>
          <w:szCs w:val="24"/>
          <w:highlight w:val="none"/>
          <w:lang w:eastAsia="zh-CN"/>
        </w:rPr>
        <w:t>公章</w:t>
      </w:r>
      <w:r>
        <w:rPr>
          <w:rFonts w:hint="eastAsia" w:ascii="宋体" w:hAnsi="宋体" w:cs="宋体"/>
          <w:color w:val="auto"/>
          <w:sz w:val="24"/>
          <w:szCs w:val="24"/>
          <w:highlight w:val="none"/>
          <w:lang w:eastAsia="zh-CN"/>
        </w:rPr>
        <w:t>；（4）具有依法缴纳税收和社会保障资金的良好记录。具体要求：提供</w:t>
      </w:r>
      <w:r>
        <w:rPr>
          <w:rFonts w:hint="eastAsia"/>
          <w:color w:val="auto"/>
          <w:sz w:val="24"/>
          <w:szCs w:val="24"/>
          <w:highlight w:val="none"/>
          <w:lang w:val="en-US" w:eastAsia="zh-CN"/>
        </w:rPr>
        <w:t>2024年1月</w:t>
      </w:r>
      <w:bookmarkStart w:id="70" w:name="_GoBack"/>
      <w:bookmarkEnd w:id="70"/>
      <w:r>
        <w:rPr>
          <w:rFonts w:hint="eastAsia"/>
          <w:color w:val="auto"/>
          <w:sz w:val="24"/>
          <w:szCs w:val="24"/>
          <w:highlight w:val="none"/>
          <w:lang w:val="en-US" w:eastAsia="zh-CN"/>
        </w:rPr>
        <w:t>至今</w:t>
      </w:r>
      <w:r>
        <w:rPr>
          <w:rFonts w:hint="eastAsia" w:ascii="宋体" w:hAnsi="宋体" w:cs="宋体"/>
          <w:color w:val="auto"/>
          <w:sz w:val="24"/>
          <w:szCs w:val="24"/>
          <w:highlight w:val="none"/>
          <w:lang w:eastAsia="zh-CN"/>
        </w:rPr>
        <w:t>任意1个月的缴纳税收和社会保障资金的相关材料，成立不足3个月的投标供应商提供承诺函。依法免税或不需要缴纳社会保障资金的供应商，应提供相应文件证明其依法免税或不需要缴纳社会保障资金；（5）参加本次采购活动前三年内，在经营活动中没有重大违法记录。具体要求：</w:t>
      </w:r>
      <w:r>
        <w:rPr>
          <w:rFonts w:hint="eastAsia"/>
          <w:color w:val="auto"/>
          <w:sz w:val="24"/>
          <w:szCs w:val="24"/>
          <w:highlight w:val="none"/>
          <w:lang w:eastAsia="zh-CN"/>
        </w:rPr>
        <w:t>提供参加采购活动前3年内在经营活动中没有重大违法记录的书面声明（格式自拟）</w:t>
      </w:r>
      <w:r>
        <w:rPr>
          <w:rFonts w:hint="eastAsia" w:ascii="宋体" w:hAnsi="宋体" w:cs="宋体"/>
          <w:color w:val="auto"/>
          <w:sz w:val="24"/>
          <w:szCs w:val="24"/>
          <w:highlight w:val="none"/>
          <w:lang w:eastAsia="zh-CN"/>
        </w:rPr>
        <w:t>；（6）法律、行政法规规定的其他条件。具体要求：</w:t>
      </w:r>
      <w:r>
        <w:rPr>
          <w:rFonts w:hint="default"/>
          <w:color w:val="auto"/>
          <w:sz w:val="24"/>
          <w:szCs w:val="24"/>
          <w:highlight w:val="none"/>
          <w:lang w:val="en-US" w:eastAsia="zh-CN"/>
        </w:rPr>
        <w:t>①</w:t>
      </w:r>
      <w:r>
        <w:rPr>
          <w:rFonts w:hint="eastAsia"/>
          <w:color w:val="auto"/>
          <w:sz w:val="24"/>
          <w:szCs w:val="24"/>
          <w:highlight w:val="none"/>
          <w:lang w:val="en-US" w:eastAsia="zh-CN"/>
        </w:rPr>
        <w:t>提供“信用中国”网站、中国政府采购网等渠道查询未被列入失信被执行人、重大税收违法案件当事人名单、政府采购严重违法失信行为记录名单的网页截图（提供公告发布后至开标前的截图）；</w:t>
      </w:r>
      <w:r>
        <w:rPr>
          <w:rFonts w:hint="default"/>
          <w:color w:val="auto"/>
          <w:sz w:val="24"/>
          <w:szCs w:val="24"/>
          <w:highlight w:val="none"/>
          <w:lang w:val="en-US" w:eastAsia="zh-CN"/>
        </w:rPr>
        <w:t>②</w:t>
      </w:r>
      <w:r>
        <w:rPr>
          <w:rFonts w:hint="eastAsia"/>
          <w:color w:val="auto"/>
          <w:sz w:val="24"/>
          <w:szCs w:val="24"/>
          <w:highlight w:val="none"/>
          <w:lang w:val="en-US" w:eastAsia="zh-CN"/>
        </w:rPr>
        <w:t>提供承诺不存在下述情形：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格式自拟）；</w:t>
      </w:r>
      <w:r>
        <w:rPr>
          <w:rFonts w:hint="default"/>
          <w:color w:val="auto"/>
          <w:sz w:val="24"/>
          <w:szCs w:val="24"/>
          <w:highlight w:val="none"/>
          <w:lang w:val="en-US" w:eastAsia="zh-CN"/>
        </w:rPr>
        <w:t>③</w:t>
      </w:r>
      <w:r>
        <w:rPr>
          <w:rFonts w:hint="eastAsia"/>
          <w:color w:val="auto"/>
          <w:sz w:val="24"/>
          <w:szCs w:val="24"/>
          <w:highlight w:val="none"/>
          <w:lang w:val="en-US" w:eastAsia="zh-CN"/>
        </w:rPr>
        <w:t>根据《省发展改革委省法院省公共资源交易中心关于推进全省公共资源交易领域对法院失信被执行人实施信用联合惩戒的通知》黔发改财金（2020）421号文件要求，采购人或采购代理机构在递交投标文件截止时间后现场根据贵州信用联合惩戒平台反馈信</w:t>
      </w:r>
      <w:r>
        <w:rPr>
          <w:rFonts w:hint="eastAsia" w:ascii="宋体" w:hAnsi="宋体" w:eastAsia="宋体" w:cs="宋体"/>
          <w:color w:val="auto"/>
          <w:sz w:val="24"/>
          <w:szCs w:val="24"/>
          <w:highlight w:val="none"/>
          <w:lang w:val="en-US" w:eastAsia="zh-CN"/>
        </w:rPr>
        <w:t>息，查询投标供应商是否属于法院失信被执行人，如被列入将拒绝其参与本次政府采购活动</w:t>
      </w:r>
      <w:r>
        <w:rPr>
          <w:rFonts w:hint="eastAsia" w:eastAsia="宋体" w:cs="宋体"/>
          <w:color w:val="auto"/>
          <w:sz w:val="24"/>
          <w:szCs w:val="24"/>
          <w:highlight w:val="none"/>
          <w:lang w:eastAsia="zh-CN"/>
        </w:rPr>
        <w:t>。</w:t>
      </w:r>
    </w:p>
    <w:p w14:paraId="0D2B9126">
      <w:pPr>
        <w:pStyle w:val="13"/>
        <w:keepNext w:val="0"/>
        <w:keepLines w:val="0"/>
        <w:pageBreakBefore w:val="0"/>
        <w:widowControl w:val="0"/>
        <w:kinsoku/>
        <w:overflowPunct/>
        <w:topLinePunct w:val="0"/>
        <w:autoSpaceDE/>
        <w:autoSpaceDN/>
        <w:bidi w:val="0"/>
        <w:adjustRightInd/>
        <w:snapToGrid w:val="0"/>
        <w:spacing w:line="440" w:lineRule="exact"/>
        <w:ind w:lef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落实政府采购政策需满足的资格要求：（1）货物服务采购项目对小、微型(含监狱企业/残疾人福利性单位)产品的价格给予20%的扣除，大中型企业与小微企业组成联合体或者大中型企业向小微企业分包的，评审优惠幅度提高至6%。用扣除后的价格参与评审，严格按照（财库[2022]19号）《财政部关于进一步加大政府采购支持中小企业力度的通知》执行，提供的声明函必须真实，如有虚假，将依法承担相应责任；符合条件的残疾人福利性单位在参加政府采购活动时，应当提供财库【2017】141号规定的《残疾人福利性单位声明函》，提供的声明函必须真实，如有虚假，将依法承担相应责任；（2）对原产地在少数民族自治区和享受少数民族自治待遇的省份（云南、贵州、青海）的投标主产品（不含附带产品），在总得分基础上加3分。投标主产品按照不得低于本采购项目预算金额50%加以确定；（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4）符合条件的残疾人福利性单位视同小型、微型企业在投标中享受同等优惠，但须提供《残疾人福利性单位声明函》，监狱企业视同小型、微型企业（以当地管理部门出具的证明为准）注：残疾人福利性单位属于中小企业的，不重复享受政策。</w:t>
      </w:r>
    </w:p>
    <w:p w14:paraId="6F8D7498">
      <w:pPr>
        <w:rPr>
          <w:highlight w:val="none"/>
        </w:rPr>
      </w:pPr>
      <w:r>
        <w:rPr>
          <w:highlight w:val="none"/>
        </w:rPr>
        <w:br w:type="page"/>
      </w:r>
    </w:p>
    <w:p w14:paraId="7D0B2A13">
      <w:pPr>
        <w:spacing w:line="360" w:lineRule="auto"/>
        <w:ind w:firstLine="643" w:firstLineChars="200"/>
        <w:jc w:val="center"/>
        <w:outlineLvl w:val="1"/>
        <w:rPr>
          <w:rFonts w:hint="eastAsia" w:eastAsia="宋体"/>
          <w:b/>
          <w:bCs/>
          <w:color w:val="auto"/>
          <w:sz w:val="32"/>
          <w:szCs w:val="32"/>
          <w:highlight w:val="none"/>
          <w:lang w:val="en-US" w:eastAsia="zh-CN"/>
        </w:rPr>
      </w:pPr>
      <w:r>
        <w:rPr>
          <w:rFonts w:hint="eastAsia"/>
          <w:b/>
          <w:bCs/>
          <w:color w:val="auto"/>
          <w:sz w:val="32"/>
          <w:szCs w:val="32"/>
          <w:highlight w:val="none"/>
          <w:lang w:val="en-US" w:eastAsia="zh-CN"/>
        </w:rPr>
        <w:t>评标办法</w:t>
      </w:r>
    </w:p>
    <w:p w14:paraId="5F6B2695">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w:t>
      </w:r>
    </w:p>
    <w:p w14:paraId="550A076A">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标方法按照《中华人民共和国政府采购法》、《中华人民共和国政府采购法实施条例》等相关法律法规的规定，本次评标采用综合评分法，即在最大限度地满足竞争性磋商文件实质性要求前提下，按照竞争性磋商文件中规定的各项因素和相应的权重分值进行综合评审后，以总得分最高的投标供应商作为成交候人并依次排序。</w:t>
      </w:r>
    </w:p>
    <w:p w14:paraId="26406743">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3.评标程序</w:t>
      </w:r>
    </w:p>
    <w:p w14:paraId="3B7E25F7">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按照资格性审查、符合性审查、综合评审三个步骤进行评标。在上一步评审中不合格者，不进入下一步的评审。</w:t>
      </w:r>
    </w:p>
    <w:p w14:paraId="06A5F3F4">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3.1响应文件的资格性审查。竞争性磋商采购项目递交资料后，评审委员会对</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eastAsia="zh-CN"/>
        </w:rPr>
        <w:t>的资格进行审查。未通过资格性审查的响应文件不参与符合性审查和成交候选人推荐。通过初步审查的供应商不足三家的，本项目作废标处理，审查工作结束。</w:t>
      </w:r>
    </w:p>
    <w:p w14:paraId="024272F5">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响应文件的符合性审查。评审委员会审查响应文件是否对竞争性磋商文件作了实质性响应，即响应文件是否满足或响应竞争性磋商文件技术、商务方面的要求。技术符合性：投标产品的技术成熟性、适用性、性能、参数和规格等满足竞争性磋商文件要求，无实质性负偏离、反对、设定条件或提出保留；商务符合性：质保、售后服务、业绩、交货期、付款条件等符合竞争性磋商文件要求；不低于成本报价，不高于采购预算价；响应文件的组成、响应文件的完整性和有效性等符合竞争性磋商文件规定，无实质性负偏离、反对、设定条件或提出保留。</w:t>
      </w:r>
    </w:p>
    <w:p w14:paraId="5B756711">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3.3对于响应文件中可能出现的不一致和算术计算错误按以下方法更正：</w:t>
      </w:r>
    </w:p>
    <w:p w14:paraId="3B6C13F3">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（1）总价金额与按单价汇总金额不一致的，以单价金额汇总计算结果为准；但单价金额小数点有明显错位的，以总价为准，并修正单价。</w:t>
      </w:r>
    </w:p>
    <w:p w14:paraId="1F7DFDC7">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（2）评委会将按照上述修正错误的方法修正响应文件中的磋商报价，修正后的价格对投标供应商具有约束力。如果投标供应商不接受修正后的价格，其投标将被拒绝。</w:t>
      </w:r>
    </w:p>
    <w:p w14:paraId="70A59751">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综合评审和推荐成交排序：对于经资格性、符合性评审合格的所有投标供应商，由评委会各成员按照下列《综合评分明细表》规定的内容独立进行综合评价、比较打分，然后汇总每个投标供应商的得分，按从高到低依次排序，推荐成交候选人。</w:t>
      </w:r>
    </w:p>
    <w:p w14:paraId="2E6D0701">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4.评审</w:t>
      </w:r>
    </w:p>
    <w:p w14:paraId="44FD6CD8">
      <w:pPr>
        <w:pageBreakBefore w:val="0"/>
        <w:kinsoku/>
        <w:overflowPunct/>
        <w:topLinePunct w:val="0"/>
        <w:autoSpaceDE w:val="0"/>
        <w:autoSpaceDN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4.1资格性审查和符合性审查</w:t>
      </w:r>
    </w:p>
    <w:tbl>
      <w:tblPr>
        <w:tblStyle w:val="11"/>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967"/>
        <w:gridCol w:w="5194"/>
      </w:tblGrid>
      <w:tr w14:paraId="254C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6D24F4DC">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67" w:type="dxa"/>
            <w:vAlign w:val="center"/>
          </w:tcPr>
          <w:p w14:paraId="39984960">
            <w:pPr>
              <w:keepLines/>
              <w:pageBreakBefore w:val="0"/>
              <w:kinsoku/>
              <w:overflowPunct/>
              <w:topLinePunct w:val="0"/>
              <w:autoSpaceDE w:val="0"/>
              <w:autoSpaceDN w:val="0"/>
              <w:bidi w:val="0"/>
              <w:spacing w:line="440" w:lineRule="exact"/>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c>
          <w:tcPr>
            <w:tcW w:w="5194" w:type="dxa"/>
            <w:vAlign w:val="center"/>
          </w:tcPr>
          <w:p w14:paraId="7A11E459">
            <w:pPr>
              <w:keepLines/>
              <w:pageBreakBefore w:val="0"/>
              <w:kinsoku/>
              <w:overflowPunct/>
              <w:topLinePunct w:val="0"/>
              <w:autoSpaceDE w:val="0"/>
              <w:autoSpaceDN w:val="0"/>
              <w:bidi w:val="0"/>
              <w:spacing w:line="440" w:lineRule="exact"/>
              <w:ind w:firstLine="480"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r>
      <w:tr w14:paraId="354E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63" w:type="dxa"/>
            <w:gridSpan w:val="3"/>
          </w:tcPr>
          <w:p w14:paraId="025DD5F5">
            <w:pPr>
              <w:keepLines/>
              <w:pageBreakBefore w:val="0"/>
              <w:tabs>
                <w:tab w:val="left" w:pos="2127"/>
              </w:tabs>
              <w:kinsoku/>
              <w:overflowPunct/>
              <w:topLinePunct w:val="0"/>
              <w:autoSpaceDE w:val="0"/>
              <w:autoSpaceDN w:val="0"/>
              <w:bidi w:val="0"/>
              <w:adjustRightInd w:val="0"/>
              <w:spacing w:line="440" w:lineRule="exact"/>
              <w:ind w:firstLine="480" w:firstLineChars="20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资格性审查内容</w:t>
            </w:r>
          </w:p>
        </w:tc>
      </w:tr>
      <w:tr w14:paraId="0228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750DDD53">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3967" w:type="dxa"/>
            <w:vAlign w:val="center"/>
          </w:tcPr>
          <w:p w14:paraId="5D40A6FB">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具有独立承担民事责任的能力</w:t>
            </w:r>
          </w:p>
        </w:tc>
        <w:tc>
          <w:tcPr>
            <w:tcW w:w="5194" w:type="dxa"/>
            <w:vAlign w:val="center"/>
          </w:tcPr>
          <w:p w14:paraId="2FF44202">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提供法人或其他组织的营业执照等证明文件，或自然人身份证明</w:t>
            </w:r>
          </w:p>
        </w:tc>
      </w:tr>
      <w:tr w14:paraId="4133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0E8C0F8A">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3967" w:type="dxa"/>
            <w:vAlign w:val="center"/>
          </w:tcPr>
          <w:p w14:paraId="233CFBC8">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具有良好的商业信誉和健全的财务会计制度</w:t>
            </w:r>
          </w:p>
        </w:tc>
        <w:tc>
          <w:tcPr>
            <w:tcW w:w="5194" w:type="dxa"/>
            <w:vAlign w:val="center"/>
          </w:tcPr>
          <w:p w14:paraId="3245D69A">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提供2024年经审计的财务报告</w:t>
            </w:r>
            <w:r>
              <w:rPr>
                <w:rFonts w:hint="eastAsia" w:ascii="宋体" w:hAnsi="宋体" w:eastAsia="宋体" w:cs="宋体"/>
                <w:color w:val="auto"/>
                <w:sz w:val="24"/>
                <w:szCs w:val="24"/>
                <w:highlight w:val="none"/>
                <w:lang w:eastAsia="zh-CN"/>
              </w:rPr>
              <w:t>（包括“四表一注或三表一注”）或银行出具的资信证明</w:t>
            </w:r>
          </w:p>
        </w:tc>
      </w:tr>
      <w:tr w14:paraId="1F9C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7C9CFB76">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rPr>
              <w:t>3</w:t>
            </w:r>
          </w:p>
        </w:tc>
        <w:tc>
          <w:tcPr>
            <w:tcW w:w="3967" w:type="dxa"/>
            <w:vAlign w:val="center"/>
          </w:tcPr>
          <w:p w14:paraId="04B6D185">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color w:val="auto"/>
                <w:sz w:val="24"/>
                <w:szCs w:val="24"/>
                <w:highlight w:val="none"/>
                <w:lang w:eastAsia="zh-CN"/>
              </w:rPr>
              <w:t>具有履行合同所必须的设备和专业技术能力</w:t>
            </w:r>
          </w:p>
        </w:tc>
        <w:tc>
          <w:tcPr>
            <w:tcW w:w="5194" w:type="dxa"/>
            <w:vAlign w:val="center"/>
          </w:tcPr>
          <w:p w14:paraId="7A1FE152">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color w:val="auto"/>
                <w:sz w:val="24"/>
                <w:szCs w:val="24"/>
                <w:highlight w:val="none"/>
                <w:lang w:eastAsia="zh-CN"/>
              </w:rPr>
              <w:t>提供履行合同所需设备和专业技术能力的承诺，并加盖</w:t>
            </w:r>
            <w:r>
              <w:rPr>
                <w:rFonts w:hint="eastAsia" w:cs="宋体"/>
                <w:b w:val="0"/>
                <w:bCs w:val="0"/>
                <w:color w:val="auto"/>
                <w:spacing w:val="-1"/>
                <w:sz w:val="24"/>
                <w:szCs w:val="24"/>
                <w:highlight w:val="none"/>
                <w:lang w:eastAsia="zh-CN"/>
              </w:rPr>
              <w:t>供应商</w:t>
            </w:r>
            <w:r>
              <w:rPr>
                <w:rFonts w:hint="eastAsia"/>
                <w:color w:val="auto"/>
                <w:sz w:val="24"/>
                <w:szCs w:val="24"/>
                <w:highlight w:val="none"/>
                <w:lang w:eastAsia="zh-CN"/>
              </w:rPr>
              <w:t>公章</w:t>
            </w:r>
          </w:p>
        </w:tc>
      </w:tr>
      <w:tr w14:paraId="0BF8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24E12FE6">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rPr>
              <w:t>4</w:t>
            </w:r>
          </w:p>
        </w:tc>
        <w:tc>
          <w:tcPr>
            <w:tcW w:w="3967" w:type="dxa"/>
            <w:vAlign w:val="center"/>
          </w:tcPr>
          <w:p w14:paraId="740CDD3F">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color w:val="auto"/>
                <w:sz w:val="24"/>
                <w:szCs w:val="24"/>
                <w:highlight w:val="none"/>
                <w:lang w:eastAsia="zh-CN"/>
              </w:rPr>
              <w:t>具有依法缴纳税收和社会保障资金的良好记录</w:t>
            </w:r>
          </w:p>
        </w:tc>
        <w:tc>
          <w:tcPr>
            <w:tcW w:w="5194" w:type="dxa"/>
            <w:vAlign w:val="center"/>
          </w:tcPr>
          <w:p w14:paraId="069F94A3">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color w:val="auto"/>
                <w:sz w:val="24"/>
                <w:szCs w:val="24"/>
                <w:highlight w:val="none"/>
                <w:lang w:val="en-US" w:eastAsia="zh-CN"/>
              </w:rPr>
              <w:t>提供2024年1月至今任意1个月的缴纳税收和社会保障资金的相关材料，成立不足3个月的投标供应商提供承诺函。依法免税或不需要缴纳社会保障资金的供应商，应提供相应文件证明其依法免税或不需要缴纳社会保障资金</w:t>
            </w:r>
          </w:p>
        </w:tc>
      </w:tr>
      <w:tr w14:paraId="201C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5DF2DCAA">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rPr>
              <w:t>5</w:t>
            </w:r>
          </w:p>
        </w:tc>
        <w:tc>
          <w:tcPr>
            <w:tcW w:w="3967" w:type="dxa"/>
            <w:vAlign w:val="center"/>
          </w:tcPr>
          <w:p w14:paraId="67AC449E">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color w:val="auto"/>
                <w:sz w:val="24"/>
                <w:szCs w:val="24"/>
                <w:highlight w:val="none"/>
                <w:lang w:eastAsia="zh-CN"/>
              </w:rPr>
              <w:t>参加本次采购活动前三年内，在经营活动中没有重大违法记录</w:t>
            </w:r>
          </w:p>
        </w:tc>
        <w:tc>
          <w:tcPr>
            <w:tcW w:w="5194" w:type="dxa"/>
            <w:vAlign w:val="center"/>
          </w:tcPr>
          <w:p w14:paraId="717C8118">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color w:val="auto"/>
                <w:sz w:val="24"/>
                <w:szCs w:val="24"/>
                <w:highlight w:val="none"/>
                <w:lang w:eastAsia="zh-CN"/>
              </w:rPr>
              <w:t>提供参加采购活动前3年内在经营活动中没有重大违法记录的书面声明（格式自拟）</w:t>
            </w:r>
          </w:p>
        </w:tc>
      </w:tr>
      <w:tr w14:paraId="176D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2" w:type="dxa"/>
            <w:vAlign w:val="center"/>
          </w:tcPr>
          <w:p w14:paraId="38E200D6">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rPr>
              <w:t>6</w:t>
            </w:r>
          </w:p>
        </w:tc>
        <w:tc>
          <w:tcPr>
            <w:tcW w:w="3967" w:type="dxa"/>
            <w:vAlign w:val="center"/>
          </w:tcPr>
          <w:p w14:paraId="1611D52E">
            <w:pPr>
              <w:keepLines/>
              <w:pageBreakBefore w:val="0"/>
              <w:tabs>
                <w:tab w:val="left" w:pos="2127"/>
              </w:tabs>
              <w:kinsoku/>
              <w:overflowPunct/>
              <w:topLinePunct w:val="0"/>
              <w:bidi w:val="0"/>
              <w:adjustRightInd w:val="0"/>
              <w:snapToGrid w:val="0"/>
              <w:spacing w:line="440" w:lineRule="exact"/>
              <w:jc w:val="left"/>
              <w:rPr>
                <w:rFonts w:ascii="宋体" w:hAnsi="宋体" w:eastAsia="宋体" w:cs="宋体"/>
                <w:color w:val="auto"/>
                <w:sz w:val="24"/>
                <w:szCs w:val="24"/>
                <w:highlight w:val="none"/>
                <w:lang w:eastAsia="zh-CN"/>
              </w:rPr>
            </w:pPr>
            <w:r>
              <w:rPr>
                <w:rFonts w:hint="eastAsia"/>
                <w:color w:val="auto"/>
                <w:sz w:val="24"/>
                <w:szCs w:val="24"/>
                <w:highlight w:val="none"/>
                <w:lang w:eastAsia="zh-CN"/>
              </w:rPr>
              <w:t>法律、行政法规规定的其他条件</w:t>
            </w:r>
          </w:p>
        </w:tc>
        <w:tc>
          <w:tcPr>
            <w:tcW w:w="5194" w:type="dxa"/>
            <w:vAlign w:val="center"/>
          </w:tcPr>
          <w:p w14:paraId="1924EB48">
            <w:pPr>
              <w:keepLines/>
              <w:pageBreakBefore w:val="0"/>
              <w:tabs>
                <w:tab w:val="left" w:pos="2127"/>
              </w:tabs>
              <w:kinsoku/>
              <w:overflowPunct/>
              <w:topLinePunct w:val="0"/>
              <w:bidi w:val="0"/>
              <w:adjustRightInd w:val="0"/>
              <w:snapToGrid w:val="0"/>
              <w:spacing w:line="440" w:lineRule="exact"/>
              <w:jc w:val="left"/>
              <w:rPr>
                <w:rFonts w:hint="eastAsia"/>
                <w:color w:val="auto"/>
                <w:sz w:val="24"/>
                <w:szCs w:val="24"/>
                <w:highlight w:val="none"/>
                <w:lang w:eastAsia="zh-CN"/>
              </w:rPr>
            </w:pPr>
            <w:r>
              <w:rPr>
                <w:rFonts w:hint="default"/>
                <w:color w:val="auto"/>
                <w:sz w:val="24"/>
                <w:szCs w:val="24"/>
                <w:highlight w:val="none"/>
                <w:lang w:val="en-US" w:eastAsia="zh-CN"/>
              </w:rPr>
              <w:t>①</w:t>
            </w:r>
            <w:r>
              <w:rPr>
                <w:rFonts w:hint="eastAsia"/>
                <w:color w:val="auto"/>
                <w:sz w:val="24"/>
                <w:szCs w:val="24"/>
                <w:highlight w:val="none"/>
                <w:lang w:val="en-US" w:eastAsia="zh-CN"/>
              </w:rPr>
              <w:t>提供“信用中国”网站、中国政府采购网等渠道查询未被列入失信被执行人、重大税收违法案件当事人名单、政府采购严重违法失信行为记录名单的网页截图（提供公告发布后至开标前的截图）；</w:t>
            </w:r>
            <w:r>
              <w:rPr>
                <w:rFonts w:hint="default"/>
                <w:color w:val="auto"/>
                <w:sz w:val="24"/>
                <w:szCs w:val="24"/>
                <w:highlight w:val="none"/>
                <w:lang w:val="en-US" w:eastAsia="zh-CN"/>
              </w:rPr>
              <w:t>②</w:t>
            </w:r>
            <w:r>
              <w:rPr>
                <w:rFonts w:hint="eastAsia"/>
                <w:color w:val="auto"/>
                <w:sz w:val="24"/>
                <w:szCs w:val="24"/>
                <w:highlight w:val="none"/>
                <w:lang w:val="en-US" w:eastAsia="zh-CN"/>
              </w:rPr>
              <w:t>提供承诺不存在下述情形：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格式自拟）；</w:t>
            </w:r>
            <w:r>
              <w:rPr>
                <w:rFonts w:hint="default"/>
                <w:color w:val="auto"/>
                <w:sz w:val="24"/>
                <w:szCs w:val="24"/>
                <w:highlight w:val="none"/>
                <w:lang w:val="en-US" w:eastAsia="zh-CN"/>
              </w:rPr>
              <w:t>③</w:t>
            </w:r>
            <w:r>
              <w:rPr>
                <w:rFonts w:hint="eastAsia"/>
                <w:color w:val="auto"/>
                <w:sz w:val="24"/>
                <w:szCs w:val="24"/>
                <w:highlight w:val="none"/>
                <w:lang w:val="en-US" w:eastAsia="zh-CN"/>
              </w:rPr>
              <w:t>根据《省发展改革委省法院 省公共资源交易中心关于推进全省公共资源交易领域对法院失信被执行人实施信用联合惩戒的通知》黔发改财金（2020）421号文件要求，采购人或采购代理机构在递交投标文件截止时间后现场根据贵州信用联合惩戒平台反馈信</w:t>
            </w:r>
            <w:r>
              <w:rPr>
                <w:rFonts w:hint="eastAsia" w:ascii="宋体" w:hAnsi="宋体" w:eastAsia="宋体" w:cs="宋体"/>
                <w:color w:val="auto"/>
                <w:sz w:val="24"/>
                <w:szCs w:val="24"/>
                <w:highlight w:val="none"/>
                <w:lang w:val="en-US" w:eastAsia="zh-CN"/>
              </w:rPr>
              <w:t>息，查询投标供应商是否属于法院失信被执行人，如被列入将拒绝其参与本次政府采购活动</w:t>
            </w:r>
          </w:p>
        </w:tc>
      </w:tr>
      <w:tr w14:paraId="042E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63" w:type="dxa"/>
            <w:gridSpan w:val="3"/>
            <w:vAlign w:val="center"/>
          </w:tcPr>
          <w:p w14:paraId="70F82A1B">
            <w:pPr>
              <w:keepLines/>
              <w:pageBreakBefore w:val="0"/>
              <w:tabs>
                <w:tab w:val="left" w:pos="2127"/>
              </w:tabs>
              <w:kinsoku/>
              <w:overflowPunct/>
              <w:topLinePunct w:val="0"/>
              <w:autoSpaceDE w:val="0"/>
              <w:autoSpaceDN w:val="0"/>
              <w:bidi w:val="0"/>
              <w:adjustRightInd w:val="0"/>
              <w:spacing w:line="440" w:lineRule="exact"/>
              <w:ind w:firstLine="480" w:firstLineChars="20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符合性审查内容</w:t>
            </w:r>
          </w:p>
        </w:tc>
      </w:tr>
      <w:tr w14:paraId="30D6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65A47F00">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67" w:type="dxa"/>
            <w:vAlign w:val="center"/>
          </w:tcPr>
          <w:p w14:paraId="7A2DDBD6">
            <w:pPr>
              <w:keepLines/>
              <w:pageBreakBefore w:val="0"/>
              <w:kinsoku/>
              <w:overflowPunct/>
              <w:topLinePunct w:val="0"/>
              <w:autoSpaceDE w:val="0"/>
              <w:autoSpaceDN w:val="0"/>
              <w:bidi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highlight w:val="none"/>
              </w:rPr>
              <w:t>商务实质性响应审查</w:t>
            </w:r>
          </w:p>
        </w:tc>
        <w:tc>
          <w:tcPr>
            <w:tcW w:w="5194" w:type="dxa"/>
          </w:tcPr>
          <w:p w14:paraId="4FA7EEDC">
            <w:pPr>
              <w:pageBreakBefore w:val="0"/>
              <w:tabs>
                <w:tab w:val="left" w:pos="2127"/>
              </w:tabs>
              <w:kinsoku/>
              <w:overflowPunct/>
              <w:topLinePunct w:val="0"/>
              <w:autoSpaceDE w:val="0"/>
              <w:autoSpaceDN w:val="0"/>
              <w:bidi w:val="0"/>
              <w:adjustRightInd w:val="0"/>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商务要求中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”条款审查</w:t>
            </w:r>
          </w:p>
        </w:tc>
      </w:tr>
      <w:tr w14:paraId="329D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4BC4C6C0">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3967" w:type="dxa"/>
            <w:vAlign w:val="center"/>
          </w:tcPr>
          <w:p w14:paraId="6339E48B">
            <w:pPr>
              <w:keepLines/>
              <w:pageBreakBefore w:val="0"/>
              <w:kinsoku/>
              <w:overflowPunct/>
              <w:topLinePunct w:val="0"/>
              <w:autoSpaceDE w:val="0"/>
              <w:autoSpaceDN w:val="0"/>
              <w:bidi w:val="0"/>
              <w:spacing w:line="440" w:lineRule="exact"/>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highlight w:val="none"/>
              </w:rPr>
              <w:t>技术实质性响应审查</w:t>
            </w:r>
          </w:p>
        </w:tc>
        <w:tc>
          <w:tcPr>
            <w:tcW w:w="5194" w:type="dxa"/>
            <w:vAlign w:val="center"/>
          </w:tcPr>
          <w:p w14:paraId="77A592D5">
            <w:pPr>
              <w:pageBreakBefore w:val="0"/>
              <w:tabs>
                <w:tab w:val="left" w:pos="2127"/>
              </w:tabs>
              <w:kinsoku/>
              <w:overflowPunct/>
              <w:topLinePunct w:val="0"/>
              <w:autoSpaceDE w:val="0"/>
              <w:autoSpaceDN w:val="0"/>
              <w:bidi w:val="0"/>
              <w:adjustRightInd w:val="0"/>
              <w:spacing w:line="440" w:lineRule="exact"/>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技术要求中“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”条款审查</w:t>
            </w:r>
          </w:p>
        </w:tc>
      </w:tr>
      <w:tr w14:paraId="1A3F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68EB6211">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3967" w:type="dxa"/>
            <w:vAlign w:val="center"/>
          </w:tcPr>
          <w:p w14:paraId="4156F30E">
            <w:pPr>
              <w:keepLines/>
              <w:pageBreakBefore w:val="0"/>
              <w:kinsoku/>
              <w:overflowPunct/>
              <w:topLinePunct w:val="0"/>
              <w:autoSpaceDE w:val="0"/>
              <w:autoSpaceDN w:val="0"/>
              <w:bidi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highlight w:val="none"/>
              </w:rPr>
              <w:t>报价审查</w:t>
            </w:r>
          </w:p>
        </w:tc>
        <w:tc>
          <w:tcPr>
            <w:tcW w:w="5194" w:type="dxa"/>
            <w:vAlign w:val="center"/>
          </w:tcPr>
          <w:p w14:paraId="10ACF571">
            <w:pPr>
              <w:keepLines/>
              <w:pageBreakBefore w:val="0"/>
              <w:kinsoku/>
              <w:overflowPunct/>
              <w:topLinePunct w:val="0"/>
              <w:autoSpaceDE w:val="0"/>
              <w:autoSpaceDN w:val="0"/>
              <w:bidi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报价是否有效</w:t>
            </w:r>
          </w:p>
        </w:tc>
      </w:tr>
      <w:tr w14:paraId="31A6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vAlign w:val="center"/>
          </w:tcPr>
          <w:p w14:paraId="42346727">
            <w:pPr>
              <w:keepLines/>
              <w:pageBreakBefore w:val="0"/>
              <w:kinsoku/>
              <w:overflowPunct/>
              <w:topLinePunct w:val="0"/>
              <w:autoSpaceDE w:val="0"/>
              <w:autoSpaceDN w:val="0"/>
              <w:bidi w:val="0"/>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3967" w:type="dxa"/>
            <w:vAlign w:val="center"/>
          </w:tcPr>
          <w:p w14:paraId="39BA8BD8">
            <w:pPr>
              <w:keepLines/>
              <w:pageBreakBefore w:val="0"/>
              <w:tabs>
                <w:tab w:val="left" w:pos="2127"/>
              </w:tabs>
              <w:kinsoku/>
              <w:overflowPunct/>
              <w:topLinePunct w:val="0"/>
              <w:autoSpaceDE w:val="0"/>
              <w:autoSpaceDN w:val="0"/>
              <w:bidi w:val="0"/>
              <w:adjustRightInd w:val="0"/>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无效投标审查</w:t>
            </w:r>
          </w:p>
        </w:tc>
        <w:tc>
          <w:tcPr>
            <w:tcW w:w="5194" w:type="dxa"/>
          </w:tcPr>
          <w:p w14:paraId="682FE0BF">
            <w:pPr>
              <w:keepLines/>
              <w:pageBreakBefore w:val="0"/>
              <w:kinsoku/>
              <w:overflowPunct/>
              <w:topLinePunct w:val="0"/>
              <w:autoSpaceDE w:val="0"/>
              <w:autoSpaceDN w:val="0"/>
              <w:bidi w:val="0"/>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highlight w:val="none"/>
                <w:lang w:eastAsia="zh-CN"/>
              </w:rPr>
              <w:t>按本章节第6点无效标条款规定，审查是否通过</w:t>
            </w:r>
          </w:p>
        </w:tc>
      </w:tr>
      <w:tr w14:paraId="3CB0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63" w:type="dxa"/>
            <w:gridSpan w:val="3"/>
            <w:vAlign w:val="center"/>
          </w:tcPr>
          <w:p w14:paraId="09621E48">
            <w:pPr>
              <w:keepLines/>
              <w:pageBreakBefore w:val="0"/>
              <w:kinsoku/>
              <w:overflowPunct/>
              <w:topLinePunct w:val="0"/>
              <w:autoSpaceDE w:val="0"/>
              <w:autoSpaceDN w:val="0"/>
              <w:bidi w:val="0"/>
              <w:spacing w:line="44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highlight w:val="none"/>
                <w:lang w:eastAsia="zh-CN"/>
              </w:rPr>
              <w:t>备注：供应商的报价明显低于其他通过</w:t>
            </w:r>
            <w:r>
              <w:rPr>
                <w:rFonts w:hint="eastAsia" w:ascii="宋体" w:hAnsi="宋体" w:eastAsia="宋体" w:cs="宋体"/>
                <w:b/>
                <w:bCs/>
                <w:color w:val="auto"/>
                <w:sz w:val="24"/>
                <w:highlight w:val="none"/>
                <w:lang w:val="en-US" w:eastAsia="zh-CN"/>
              </w:rPr>
              <w:t>资格</w:t>
            </w:r>
            <w:r>
              <w:rPr>
                <w:rFonts w:hint="eastAsia" w:ascii="宋体" w:hAnsi="宋体" w:eastAsia="宋体" w:cs="宋体"/>
                <w:b/>
                <w:bCs/>
                <w:color w:val="auto"/>
                <w:sz w:val="24"/>
                <w:highlight w:val="none"/>
                <w:lang w:eastAsia="zh-CN"/>
              </w:rPr>
              <w:t>性审查供应商的报价，有可能影响产品质量或者不能诚信履约的，应当要求其在评标现场合理的时间内提供书面说明，必要时提交相关证明材料；供应商不能证明其报价合理性的，评审委员会应当将其作为无效投标处理。</w:t>
            </w:r>
            <w:r>
              <w:rPr>
                <w:rFonts w:hint="eastAsia" w:ascii="宋体" w:hAnsi="宋体" w:eastAsia="宋体" w:cs="宋体"/>
                <w:b/>
                <w:bCs/>
                <w:color w:val="auto"/>
                <w:sz w:val="24"/>
                <w:szCs w:val="24"/>
                <w:highlight w:val="none"/>
              </w:rPr>
              <w:t>合格供应商不足3家的，不得评标</w:t>
            </w:r>
            <w:r>
              <w:rPr>
                <w:rFonts w:hint="eastAsia" w:ascii="宋体" w:hAnsi="宋体" w:eastAsia="宋体" w:cs="宋体"/>
                <w:b/>
                <w:bCs/>
                <w:color w:val="auto"/>
                <w:sz w:val="24"/>
                <w:szCs w:val="24"/>
                <w:highlight w:val="none"/>
                <w:lang w:eastAsia="zh-CN"/>
              </w:rPr>
              <w:t>。</w:t>
            </w:r>
          </w:p>
        </w:tc>
      </w:tr>
    </w:tbl>
    <w:p w14:paraId="1ECCEC88">
      <w:pPr>
        <w:rPr>
          <w:highlight w:val="none"/>
        </w:rPr>
      </w:pPr>
    </w:p>
    <w:tbl>
      <w:tblPr>
        <w:tblStyle w:val="11"/>
        <w:tblpPr w:leftFromText="180" w:rightFromText="180" w:vertAnchor="text" w:horzAnchor="page" w:tblpX="1153" w:tblpY="77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008"/>
        <w:gridCol w:w="1329"/>
        <w:gridCol w:w="607"/>
        <w:gridCol w:w="6003"/>
        <w:gridCol w:w="564"/>
      </w:tblGrid>
      <w:tr w14:paraId="314E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960" w:type="dxa"/>
            <w:gridSpan w:val="6"/>
            <w:vAlign w:val="center"/>
          </w:tcPr>
          <w:p w14:paraId="2CF3784A">
            <w:pPr>
              <w:spacing w:line="360" w:lineRule="auto"/>
              <w:ind w:firstLine="482" w:firstLineChars="200"/>
              <w:jc w:val="center"/>
              <w:rPr>
                <w:rFonts w:ascii="宋体" w:hAnsi="宋体" w:eastAsia="宋体" w:cs="宋体"/>
                <w:b/>
                <w:bCs/>
                <w:sz w:val="24"/>
                <w:szCs w:val="24"/>
                <w:highlight w:val="none"/>
              </w:rPr>
            </w:pPr>
            <w:bookmarkStart w:id="0" w:name="_Toc217446060"/>
            <w:bookmarkStart w:id="1" w:name="_Toc401062698"/>
            <w:bookmarkStart w:id="2" w:name="_Toc404947715"/>
            <w:bookmarkStart w:id="3" w:name="_Toc401062468"/>
            <w:bookmarkStart w:id="4" w:name="_Toc404947245"/>
            <w:r>
              <w:rPr>
                <w:rFonts w:hint="eastAsia" w:ascii="宋体" w:hAnsi="宋体" w:eastAsia="宋体" w:cs="宋体"/>
                <w:b/>
                <w:bCs/>
                <w:sz w:val="24"/>
                <w:szCs w:val="24"/>
                <w:highlight w:val="none"/>
              </w:rPr>
              <w:t>综合评分</w:t>
            </w:r>
            <w:r>
              <w:rPr>
                <w:rFonts w:hint="eastAsia" w:ascii="宋体" w:hAnsi="宋体" w:eastAsia="宋体" w:cs="宋体"/>
                <w:b/>
                <w:bCs/>
                <w:sz w:val="24"/>
                <w:szCs w:val="24"/>
                <w:highlight w:val="none"/>
                <w:lang w:eastAsia="zh-CN"/>
              </w:rPr>
              <w:t>明细表</w:t>
            </w:r>
          </w:p>
        </w:tc>
      </w:tr>
      <w:tr w14:paraId="4362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449" w:type="dxa"/>
            <w:vAlign w:val="center"/>
          </w:tcPr>
          <w:p w14:paraId="6FEA440D">
            <w:pPr>
              <w:spacing w:line="360" w:lineRule="auto"/>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序号</w:t>
            </w:r>
          </w:p>
        </w:tc>
        <w:tc>
          <w:tcPr>
            <w:tcW w:w="1008" w:type="dxa"/>
            <w:vAlign w:val="center"/>
          </w:tcPr>
          <w:p w14:paraId="6A344386">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评分因素及权重</w:t>
            </w:r>
          </w:p>
        </w:tc>
        <w:tc>
          <w:tcPr>
            <w:tcW w:w="1329" w:type="dxa"/>
            <w:vAlign w:val="center"/>
          </w:tcPr>
          <w:p w14:paraId="35D5F98C">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6610" w:type="dxa"/>
            <w:gridSpan w:val="2"/>
            <w:vAlign w:val="center"/>
          </w:tcPr>
          <w:p w14:paraId="356C6A9D">
            <w:pPr>
              <w:spacing w:line="360" w:lineRule="auto"/>
              <w:ind w:firstLine="482" w:firstLineChars="20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564" w:type="dxa"/>
            <w:vAlign w:val="center"/>
          </w:tcPr>
          <w:p w14:paraId="4173256C">
            <w:pPr>
              <w:spacing w:line="360" w:lineRule="auto"/>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说明</w:t>
            </w:r>
          </w:p>
        </w:tc>
      </w:tr>
      <w:tr w14:paraId="3C1E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7" w:hRule="atLeast"/>
        </w:trPr>
        <w:tc>
          <w:tcPr>
            <w:tcW w:w="449" w:type="dxa"/>
            <w:vAlign w:val="center"/>
          </w:tcPr>
          <w:p w14:paraId="01FD9FD0">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008" w:type="dxa"/>
            <w:vAlign w:val="center"/>
          </w:tcPr>
          <w:p w14:paraId="68CC0C2F">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eastAsia="zh-CN"/>
              </w:rPr>
              <w:t>磋商报价30</w:t>
            </w:r>
            <w:r>
              <w:rPr>
                <w:rFonts w:hint="eastAsia" w:ascii="宋体" w:hAnsi="宋体" w:eastAsia="宋体" w:cs="宋体"/>
                <w:sz w:val="24"/>
                <w:szCs w:val="24"/>
                <w:highlight w:val="none"/>
              </w:rPr>
              <w:t>%</w:t>
            </w:r>
          </w:p>
        </w:tc>
        <w:tc>
          <w:tcPr>
            <w:tcW w:w="1329" w:type="dxa"/>
            <w:vAlign w:val="center"/>
          </w:tcPr>
          <w:p w14:paraId="61937951">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eastAsia="zh-CN"/>
              </w:rPr>
              <w:t>30分</w:t>
            </w:r>
          </w:p>
        </w:tc>
        <w:tc>
          <w:tcPr>
            <w:tcW w:w="6610" w:type="dxa"/>
            <w:gridSpan w:val="2"/>
            <w:vAlign w:val="center"/>
          </w:tcPr>
          <w:p w14:paraId="7BF9B587">
            <w:pPr>
              <w:pageBreakBefore w:val="0"/>
              <w:kinsoku/>
              <w:overflowPunct/>
              <w:topLinePunct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磋商报价得分=（评标基准价/磋商报价）×价格权值（</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0）×100%</w:t>
            </w:r>
          </w:p>
          <w:p w14:paraId="4A2435FD">
            <w:pPr>
              <w:pageBreakBefore w:val="0"/>
              <w:kinsoku/>
              <w:overflowPunct/>
              <w:topLinePunct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评标基准价为满足竞争性磋商文件要求且经评审投标价格最低的磋商报价；</w:t>
            </w:r>
          </w:p>
          <w:p w14:paraId="6C3AF70A">
            <w:pPr>
              <w:pageBreakBefore w:val="0"/>
              <w:kinsoku/>
              <w:overflowPunct/>
              <w:topLinePunct w:val="0"/>
              <w:bidi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得分取两位小数点，第三位四舍五入。</w:t>
            </w:r>
          </w:p>
          <w:p w14:paraId="0425C17A">
            <w:pPr>
              <w:pageBreakBefore w:val="0"/>
              <w:kinsoku/>
              <w:overflowPunct/>
              <w:topLinePunct w:val="0"/>
              <w:bidi w:val="0"/>
              <w:spacing w:line="440" w:lineRule="exact"/>
              <w:ind w:firstLine="482" w:firstLineChars="200"/>
              <w:rPr>
                <w:rFonts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投标供应商的报价，经</w:t>
            </w:r>
            <w:r>
              <w:rPr>
                <w:rFonts w:hint="eastAsia" w:ascii="宋体" w:hAnsi="宋体" w:eastAsia="宋体" w:cs="宋体"/>
                <w:b/>
                <w:bCs/>
                <w:color w:val="auto"/>
                <w:sz w:val="24"/>
                <w:szCs w:val="24"/>
                <w:highlight w:val="none"/>
                <w:lang w:val="en-US" w:eastAsia="zh-CN"/>
              </w:rPr>
              <w:t>评审</w:t>
            </w:r>
            <w:r>
              <w:rPr>
                <w:rFonts w:hint="eastAsia" w:ascii="宋体" w:hAnsi="宋体" w:eastAsia="宋体" w:cs="宋体"/>
                <w:b/>
                <w:bCs/>
                <w:color w:val="auto"/>
                <w:sz w:val="24"/>
                <w:szCs w:val="24"/>
                <w:highlight w:val="none"/>
                <w:lang w:eastAsia="zh-CN"/>
              </w:rPr>
              <w:t>小组认为供应商的报价明显低于其他通过符合性审查供应商的报价，有可能影响产品质量或者不能诚信履约的，须在规定时间（</w:t>
            </w:r>
            <w:r>
              <w:rPr>
                <w:rFonts w:hint="eastAsia" w:ascii="宋体" w:hAnsi="宋体" w:eastAsia="宋体" w:cs="宋体"/>
                <w:b/>
                <w:bCs/>
                <w:color w:val="auto"/>
                <w:sz w:val="24"/>
                <w:szCs w:val="24"/>
                <w:highlight w:val="none"/>
                <w:lang w:val="en-US" w:eastAsia="zh-CN"/>
              </w:rPr>
              <w:t>20分钟内</w:t>
            </w:r>
            <w:r>
              <w:rPr>
                <w:rFonts w:hint="eastAsia" w:ascii="宋体" w:hAnsi="宋体" w:eastAsia="宋体" w:cs="宋体"/>
                <w:b/>
                <w:bCs/>
                <w:color w:val="auto"/>
                <w:sz w:val="24"/>
                <w:szCs w:val="24"/>
                <w:highlight w:val="none"/>
                <w:lang w:eastAsia="zh-CN"/>
              </w:rPr>
              <w:t>）提交说明资料，以证明其报价合理性。递交的证明材料</w:t>
            </w:r>
            <w:r>
              <w:rPr>
                <w:rFonts w:hint="eastAsia" w:ascii="宋体" w:hAnsi="宋体" w:eastAsia="宋体" w:cs="宋体"/>
                <w:b/>
                <w:bCs/>
                <w:color w:val="auto"/>
                <w:sz w:val="24"/>
                <w:szCs w:val="24"/>
                <w:highlight w:val="none"/>
                <w:lang w:val="en-US" w:eastAsia="zh-CN"/>
              </w:rPr>
              <w:t>包含（</w:t>
            </w:r>
            <w:r>
              <w:rPr>
                <w:rFonts w:hint="default" w:ascii="宋体" w:hAnsi="宋体" w:eastAsia="宋体" w:cs="宋体"/>
                <w:b/>
                <w:bCs/>
                <w:color w:val="auto"/>
                <w:sz w:val="24"/>
                <w:szCs w:val="24"/>
                <w:highlight w:val="none"/>
                <w:lang w:val="en-US" w:eastAsia="zh-CN"/>
              </w:rPr>
              <w:t>①</w:t>
            </w:r>
            <w:r>
              <w:rPr>
                <w:rFonts w:hint="eastAsia" w:ascii="宋体" w:hAnsi="宋体" w:eastAsia="宋体" w:cs="宋体"/>
                <w:b/>
                <w:bCs/>
                <w:color w:val="auto"/>
                <w:sz w:val="24"/>
                <w:szCs w:val="24"/>
                <w:highlight w:val="none"/>
                <w:lang w:val="en-US" w:eastAsia="zh-CN"/>
              </w:rPr>
              <w:t>管理费用；</w:t>
            </w:r>
            <w:r>
              <w:rPr>
                <w:rFonts w:hint="default" w:ascii="宋体" w:hAnsi="宋体" w:eastAsia="宋体" w:cs="宋体"/>
                <w:b/>
                <w:bCs/>
                <w:color w:val="auto"/>
                <w:sz w:val="24"/>
                <w:szCs w:val="24"/>
                <w:highlight w:val="none"/>
                <w:lang w:val="en-US" w:eastAsia="zh-CN"/>
              </w:rPr>
              <w:t>②</w:t>
            </w:r>
            <w:r>
              <w:rPr>
                <w:rFonts w:hint="eastAsia" w:ascii="宋体" w:hAnsi="宋体" w:eastAsia="宋体" w:cs="宋体"/>
                <w:b/>
                <w:bCs/>
                <w:color w:val="auto"/>
                <w:sz w:val="24"/>
                <w:szCs w:val="24"/>
                <w:highlight w:val="none"/>
                <w:lang w:val="en-US" w:eastAsia="zh-CN"/>
              </w:rPr>
              <w:t>财务费用；</w:t>
            </w:r>
            <w:r>
              <w:rPr>
                <w:rFonts w:hint="default" w:ascii="宋体" w:hAnsi="宋体" w:eastAsia="宋体" w:cs="宋体"/>
                <w:b/>
                <w:bCs/>
                <w:color w:val="auto"/>
                <w:sz w:val="24"/>
                <w:szCs w:val="24"/>
                <w:highlight w:val="none"/>
                <w:lang w:val="en-US" w:eastAsia="zh-CN"/>
              </w:rPr>
              <w:t>③</w:t>
            </w:r>
            <w:r>
              <w:rPr>
                <w:rFonts w:hint="eastAsia" w:ascii="宋体" w:hAnsi="宋体" w:eastAsia="宋体" w:cs="宋体"/>
                <w:b/>
                <w:bCs/>
                <w:color w:val="auto"/>
                <w:sz w:val="24"/>
                <w:szCs w:val="24"/>
                <w:highlight w:val="none"/>
                <w:lang w:val="en-US" w:eastAsia="zh-CN"/>
              </w:rPr>
              <w:t>销售费用；④销售税金等其他费用）并附上两年内三个同样下浮比例的成功项目案例资料，投标供应商不能证明其报价合理性的，评标委员会应当将其作为无效投标处理。</w:t>
            </w:r>
          </w:p>
        </w:tc>
        <w:tc>
          <w:tcPr>
            <w:tcW w:w="564" w:type="dxa"/>
            <w:vAlign w:val="center"/>
          </w:tcPr>
          <w:p w14:paraId="33391670">
            <w:pPr>
              <w:spacing w:line="360" w:lineRule="auto"/>
              <w:ind w:firstLine="480" w:firstLineChars="200"/>
              <w:rPr>
                <w:rFonts w:ascii="宋体" w:hAnsi="宋体" w:eastAsia="宋体" w:cs="宋体"/>
                <w:sz w:val="24"/>
                <w:szCs w:val="24"/>
                <w:highlight w:val="none"/>
                <w:lang w:eastAsia="zh-CN"/>
              </w:rPr>
            </w:pPr>
          </w:p>
        </w:tc>
      </w:tr>
      <w:tr w14:paraId="0B83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9" w:type="dxa"/>
            <w:vMerge w:val="restart"/>
            <w:vAlign w:val="center"/>
          </w:tcPr>
          <w:p w14:paraId="141B2362">
            <w:pPr>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1008" w:type="dxa"/>
            <w:vMerge w:val="restart"/>
            <w:vAlign w:val="center"/>
          </w:tcPr>
          <w:p w14:paraId="07F372EB">
            <w:pPr>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rPr>
              <w:t>技术部分</w:t>
            </w:r>
          </w:p>
          <w:p w14:paraId="1E55A698">
            <w:pPr>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eastAsia="zh-CN"/>
              </w:rPr>
              <w:t>%</w:t>
            </w:r>
          </w:p>
        </w:tc>
        <w:tc>
          <w:tcPr>
            <w:tcW w:w="1329" w:type="dxa"/>
            <w:vAlign w:val="center"/>
          </w:tcPr>
          <w:p w14:paraId="7D98E457">
            <w:pPr>
              <w:spacing w:line="360" w:lineRule="auto"/>
              <w:rPr>
                <w:rFonts w:ascii="宋体" w:hAnsi="宋体" w:eastAsia="宋体" w:cs="宋体"/>
                <w:color w:val="000000"/>
                <w:sz w:val="24"/>
                <w:szCs w:val="24"/>
                <w:highlight w:val="none"/>
                <w:lang w:eastAsia="zh-CN"/>
              </w:rPr>
            </w:pPr>
            <w:r>
              <w:rPr>
                <w:rFonts w:ascii="宋体" w:hAnsi="宋体" w:eastAsia="宋体" w:cs="宋体"/>
                <w:color w:val="000000"/>
                <w:sz w:val="24"/>
                <w:szCs w:val="24"/>
                <w:highlight w:val="none"/>
                <w:lang w:eastAsia="zh-CN"/>
              </w:rPr>
              <w:t>技术参数响应情况（</w:t>
            </w:r>
            <w:r>
              <w:rPr>
                <w:rFonts w:hint="eastAsia" w:ascii="宋体" w:hAnsi="宋体" w:cs="宋体"/>
                <w:color w:val="000000"/>
                <w:sz w:val="24"/>
                <w:szCs w:val="24"/>
                <w:highlight w:val="none"/>
                <w:lang w:val="en-US" w:eastAsia="zh-CN"/>
              </w:rPr>
              <w:t>35</w:t>
            </w:r>
            <w:r>
              <w:rPr>
                <w:rFonts w:ascii="宋体" w:hAnsi="宋体" w:eastAsia="宋体" w:cs="宋体"/>
                <w:color w:val="000000"/>
                <w:sz w:val="24"/>
                <w:szCs w:val="24"/>
                <w:highlight w:val="none"/>
                <w:lang w:eastAsia="zh-CN"/>
              </w:rPr>
              <w:t>分）</w:t>
            </w:r>
          </w:p>
        </w:tc>
        <w:tc>
          <w:tcPr>
            <w:tcW w:w="607" w:type="dxa"/>
            <w:vAlign w:val="center"/>
          </w:tcPr>
          <w:p w14:paraId="1F954053">
            <w:pPr>
              <w:spacing w:line="360" w:lineRule="auto"/>
              <w:rPr>
                <w:rFonts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35</w:t>
            </w:r>
            <w:r>
              <w:rPr>
                <w:rFonts w:hint="eastAsia" w:ascii="宋体" w:hAnsi="宋体" w:eastAsia="宋体" w:cs="宋体"/>
                <w:color w:val="000000"/>
                <w:sz w:val="24"/>
                <w:szCs w:val="24"/>
                <w:highlight w:val="none"/>
                <w:lang w:eastAsia="zh-CN"/>
              </w:rPr>
              <w:t>分</w:t>
            </w:r>
          </w:p>
        </w:tc>
        <w:tc>
          <w:tcPr>
            <w:tcW w:w="6003" w:type="dxa"/>
            <w:vAlign w:val="center"/>
          </w:tcPr>
          <w:p w14:paraId="1C2CA36F">
            <w:pP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eastAsia="zh-CN"/>
              </w:rPr>
              <w:t>完全响应采购文件要求得</w:t>
            </w:r>
            <w:r>
              <w:rPr>
                <w:rFonts w:hint="eastAsia" w:ascii="宋体" w:hAnsi="宋体" w:cs="宋体"/>
                <w:color w:val="auto"/>
                <w:sz w:val="24"/>
                <w:szCs w:val="24"/>
                <w:highlight w:val="none"/>
                <w:lang w:val="en-US" w:eastAsia="zh-CN"/>
              </w:rPr>
              <w:t>35</w:t>
            </w:r>
            <w:r>
              <w:rPr>
                <w:kern w:val="2"/>
                <w:sz w:val="24"/>
                <w:szCs w:val="24"/>
                <w:highlight w:val="none"/>
                <w:lang w:val="en-US" w:bidi="ar-SA"/>
              </w:rPr>
              <w:t>分。</w:t>
            </w:r>
            <w:r>
              <w:rPr>
                <w:rFonts w:hint="eastAsia"/>
                <w:kern w:val="2"/>
                <w:sz w:val="24"/>
                <w:szCs w:val="24"/>
                <w:highlight w:val="none"/>
                <w:lang w:val="en-US" w:eastAsia="zh-CN" w:bidi="ar-SA"/>
              </w:rPr>
              <w:t>有一项技术参数负偏离或不满足的扣2分，技术参数负偏离或不满足的扣分，扣完为止。以商务、技术规格偏差表为证明材料。</w:t>
            </w:r>
          </w:p>
        </w:tc>
        <w:tc>
          <w:tcPr>
            <w:tcW w:w="564" w:type="dxa"/>
            <w:vAlign w:val="center"/>
          </w:tcPr>
          <w:p w14:paraId="77EBF76A">
            <w:pPr>
              <w:spacing w:line="360" w:lineRule="auto"/>
              <w:ind w:firstLine="480" w:firstLineChars="200"/>
              <w:rPr>
                <w:rFonts w:ascii="宋体" w:hAnsi="宋体" w:eastAsia="宋体" w:cs="宋体"/>
                <w:dstrike/>
                <w:sz w:val="24"/>
                <w:szCs w:val="24"/>
                <w:highlight w:val="none"/>
                <w:lang w:eastAsia="zh-CN"/>
              </w:rPr>
            </w:pPr>
          </w:p>
        </w:tc>
      </w:tr>
      <w:tr w14:paraId="1A26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449" w:type="dxa"/>
            <w:vMerge w:val="continue"/>
            <w:vAlign w:val="center"/>
          </w:tcPr>
          <w:p w14:paraId="31155EDA">
            <w:pPr>
              <w:spacing w:line="360" w:lineRule="auto"/>
              <w:rPr>
                <w:rFonts w:ascii="宋体" w:hAnsi="宋体" w:eastAsia="宋体" w:cs="宋体"/>
                <w:sz w:val="24"/>
                <w:szCs w:val="24"/>
                <w:highlight w:val="none"/>
                <w:lang w:eastAsia="zh-CN"/>
              </w:rPr>
            </w:pPr>
          </w:p>
        </w:tc>
        <w:tc>
          <w:tcPr>
            <w:tcW w:w="1008" w:type="dxa"/>
            <w:vMerge w:val="continue"/>
            <w:vAlign w:val="center"/>
          </w:tcPr>
          <w:p w14:paraId="72DE7019">
            <w:pPr>
              <w:spacing w:line="360" w:lineRule="auto"/>
              <w:jc w:val="center"/>
              <w:rPr>
                <w:rFonts w:ascii="宋体" w:hAnsi="宋体" w:eastAsia="宋体" w:cs="宋体"/>
                <w:sz w:val="24"/>
                <w:szCs w:val="24"/>
                <w:highlight w:val="none"/>
                <w:lang w:eastAsia="zh-CN"/>
              </w:rPr>
            </w:pPr>
          </w:p>
        </w:tc>
        <w:tc>
          <w:tcPr>
            <w:tcW w:w="1329" w:type="dxa"/>
            <w:vMerge w:val="restart"/>
            <w:vAlign w:val="center"/>
          </w:tcPr>
          <w:p w14:paraId="763472CE">
            <w:pPr>
              <w:keepLines/>
              <w:autoSpaceDE w:val="0"/>
              <w:autoSpaceDN w:val="0"/>
              <w:spacing w:line="360" w:lineRule="auto"/>
              <w:rPr>
                <w:rFonts w:ascii="宋体" w:hAnsi="宋体" w:eastAsia="宋体" w:cs="宋体"/>
                <w:sz w:val="24"/>
                <w:szCs w:val="24"/>
                <w:highlight w:val="none"/>
                <w:lang w:eastAsia="zh-CN"/>
              </w:rPr>
            </w:pPr>
            <w:r>
              <w:rPr>
                <w:rFonts w:hint="eastAsia" w:asciiTheme="minorEastAsia" w:hAnsiTheme="minorEastAsia" w:cstheme="minorEastAsia"/>
                <w:color w:val="auto"/>
                <w:sz w:val="24"/>
                <w:szCs w:val="24"/>
                <w:highlight w:val="none"/>
                <w:lang w:val="en-US" w:eastAsia="zh-CN"/>
              </w:rPr>
              <w:t>服务方案及质量保证措施（15分）</w:t>
            </w:r>
          </w:p>
        </w:tc>
        <w:tc>
          <w:tcPr>
            <w:tcW w:w="607" w:type="dxa"/>
            <w:vAlign w:val="center"/>
          </w:tcPr>
          <w:p w14:paraId="25233892">
            <w:pPr>
              <w:keepLines/>
              <w:autoSpaceDE w:val="0"/>
              <w:autoSpaceDN w:val="0"/>
              <w:spacing w:line="360" w:lineRule="auto"/>
              <w:rPr>
                <w:rFonts w:ascii="宋体" w:hAnsi="宋体" w:eastAsia="宋体" w:cs="宋体"/>
                <w:sz w:val="24"/>
                <w:szCs w:val="24"/>
                <w:highlight w:val="none"/>
                <w:lang w:eastAsia="zh-CN"/>
              </w:rPr>
            </w:pPr>
            <w:r>
              <w:rPr>
                <w:rFonts w:hint="eastAsia" w:ascii="宋体" w:hAnsi="宋体" w:cs="宋体"/>
                <w:kern w:val="2"/>
                <w:sz w:val="24"/>
                <w:szCs w:val="24"/>
                <w:highlight w:val="none"/>
                <w:lang w:val="en-US" w:eastAsia="zh-CN"/>
              </w:rPr>
              <w:t>10</w:t>
            </w:r>
            <w:r>
              <w:rPr>
                <w:rFonts w:hint="eastAsia" w:ascii="宋体" w:hAnsi="宋体" w:eastAsia="宋体" w:cs="宋体"/>
                <w:kern w:val="2"/>
                <w:sz w:val="24"/>
                <w:szCs w:val="24"/>
                <w:highlight w:val="none"/>
                <w:lang w:eastAsia="zh-CN"/>
              </w:rPr>
              <w:t>分</w:t>
            </w:r>
          </w:p>
        </w:tc>
        <w:tc>
          <w:tcPr>
            <w:tcW w:w="6003" w:type="dxa"/>
            <w:vAlign w:val="center"/>
          </w:tcPr>
          <w:p w14:paraId="32D0BCF8">
            <w:pPr>
              <w:pStyle w:val="14"/>
              <w:keepLines/>
              <w:autoSpaceDE w:val="0"/>
              <w:autoSpaceDN w:val="0"/>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服务方案</w:t>
            </w:r>
          </w:p>
          <w:p w14:paraId="436C6DCC">
            <w:pPr>
              <w:pStyle w:val="14"/>
              <w:keepLines/>
              <w:autoSpaceDE w:val="0"/>
              <w:autoSpaceDN w:val="0"/>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（1）方案科学合理、内容详细，完全符合采购人要求的得</w:t>
            </w:r>
            <w:r>
              <w:rPr>
                <w:rFonts w:hint="eastAsia" w:ascii="宋体" w:hAnsi="宋体" w:cs="宋体"/>
                <w:sz w:val="24"/>
                <w:highlight w:val="none"/>
                <w:lang w:val="en-US" w:eastAsia="zh-CN"/>
              </w:rPr>
              <w:t>10</w:t>
            </w:r>
            <w:r>
              <w:rPr>
                <w:rFonts w:hint="eastAsia" w:ascii="宋体" w:hAnsi="宋体" w:eastAsia="宋体" w:cs="宋体"/>
                <w:sz w:val="24"/>
                <w:highlight w:val="none"/>
                <w:lang w:eastAsia="zh-CN"/>
              </w:rPr>
              <w:t>分；</w:t>
            </w:r>
          </w:p>
          <w:p w14:paraId="07504C83">
            <w:pPr>
              <w:pStyle w:val="14"/>
              <w:keepLines/>
              <w:autoSpaceDE w:val="0"/>
              <w:autoSpaceDN w:val="0"/>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（2）实施方案内容较好，内容一般，但能基本满足采购人基本需求的得</w:t>
            </w:r>
            <w:r>
              <w:rPr>
                <w:rFonts w:hint="eastAsia" w:ascii="宋体" w:hAnsi="宋体" w:cs="宋体"/>
                <w:sz w:val="24"/>
                <w:highlight w:val="none"/>
                <w:lang w:val="en-US" w:eastAsia="zh-CN"/>
              </w:rPr>
              <w:t>7</w:t>
            </w:r>
            <w:r>
              <w:rPr>
                <w:rFonts w:hint="eastAsia" w:ascii="宋体" w:hAnsi="宋体" w:eastAsia="宋体" w:cs="宋体"/>
                <w:sz w:val="24"/>
                <w:highlight w:val="none"/>
                <w:lang w:eastAsia="zh-CN"/>
              </w:rPr>
              <w:t>分；</w:t>
            </w:r>
          </w:p>
          <w:p w14:paraId="3FEFAA00">
            <w:pPr>
              <w:pStyle w:val="14"/>
              <w:keepLines/>
              <w:autoSpaceDE w:val="0"/>
              <w:autoSpaceDN w:val="0"/>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（3）实施方案内容一般，仅能够满足采购人基本需求的得</w:t>
            </w:r>
            <w:r>
              <w:rPr>
                <w:rFonts w:hint="eastAsia" w:ascii="宋体" w:hAnsi="宋体" w:cs="宋体"/>
                <w:sz w:val="24"/>
                <w:highlight w:val="none"/>
                <w:lang w:val="en-US" w:eastAsia="zh-CN"/>
              </w:rPr>
              <w:t>4</w:t>
            </w:r>
            <w:r>
              <w:rPr>
                <w:rFonts w:hint="eastAsia" w:ascii="宋体" w:hAnsi="宋体" w:eastAsia="宋体" w:cs="宋体"/>
                <w:sz w:val="24"/>
                <w:highlight w:val="none"/>
                <w:lang w:eastAsia="zh-CN"/>
              </w:rPr>
              <w:t>分；</w:t>
            </w:r>
          </w:p>
          <w:p w14:paraId="5A1443CA">
            <w:pPr>
              <w:pStyle w:val="14"/>
              <w:keepLines/>
              <w:autoSpaceDE w:val="0"/>
              <w:autoSpaceDN w:val="0"/>
              <w:spacing w:line="360" w:lineRule="auto"/>
              <w:ind w:firstLine="240" w:firstLineChars="100"/>
              <w:rPr>
                <w:rFonts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）未提供实施方案的得0分。</w:t>
            </w:r>
          </w:p>
        </w:tc>
        <w:tc>
          <w:tcPr>
            <w:tcW w:w="564" w:type="dxa"/>
            <w:vAlign w:val="center"/>
          </w:tcPr>
          <w:p w14:paraId="586BB36A">
            <w:pPr>
              <w:spacing w:line="360" w:lineRule="auto"/>
              <w:ind w:firstLine="480" w:firstLineChars="200"/>
              <w:rPr>
                <w:rFonts w:ascii="宋体" w:hAnsi="宋体" w:eastAsia="宋体" w:cs="宋体"/>
                <w:dstrike/>
                <w:sz w:val="24"/>
                <w:szCs w:val="24"/>
                <w:highlight w:val="none"/>
                <w:lang w:eastAsia="zh-CN"/>
              </w:rPr>
            </w:pPr>
          </w:p>
        </w:tc>
      </w:tr>
      <w:tr w14:paraId="6F2B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trPr>
        <w:tc>
          <w:tcPr>
            <w:tcW w:w="449" w:type="dxa"/>
            <w:vMerge w:val="continue"/>
            <w:vAlign w:val="center"/>
          </w:tcPr>
          <w:p w14:paraId="5450A522">
            <w:pPr>
              <w:spacing w:line="360" w:lineRule="auto"/>
              <w:rPr>
                <w:rFonts w:ascii="宋体" w:hAnsi="宋体" w:eastAsia="宋体" w:cs="宋体"/>
                <w:sz w:val="24"/>
                <w:szCs w:val="24"/>
                <w:highlight w:val="none"/>
                <w:lang w:eastAsia="zh-CN"/>
              </w:rPr>
            </w:pPr>
          </w:p>
        </w:tc>
        <w:tc>
          <w:tcPr>
            <w:tcW w:w="1008" w:type="dxa"/>
            <w:vMerge w:val="continue"/>
            <w:vAlign w:val="center"/>
          </w:tcPr>
          <w:p w14:paraId="2309289E">
            <w:pPr>
              <w:spacing w:line="360" w:lineRule="auto"/>
              <w:jc w:val="center"/>
              <w:rPr>
                <w:rFonts w:ascii="宋体" w:hAnsi="宋体" w:eastAsia="宋体" w:cs="宋体"/>
                <w:sz w:val="24"/>
                <w:szCs w:val="24"/>
                <w:highlight w:val="none"/>
              </w:rPr>
            </w:pPr>
          </w:p>
        </w:tc>
        <w:tc>
          <w:tcPr>
            <w:tcW w:w="1329" w:type="dxa"/>
            <w:vMerge w:val="continue"/>
            <w:vAlign w:val="center"/>
          </w:tcPr>
          <w:p w14:paraId="78011B7A">
            <w:pPr>
              <w:keepLines/>
              <w:autoSpaceDE w:val="0"/>
              <w:autoSpaceDN w:val="0"/>
              <w:spacing w:line="360" w:lineRule="auto"/>
              <w:rPr>
                <w:rFonts w:ascii="宋体" w:hAnsi="宋体" w:eastAsia="宋体" w:cs="宋体"/>
                <w:sz w:val="24"/>
                <w:szCs w:val="24"/>
                <w:highlight w:val="none"/>
                <w:lang w:eastAsia="zh-CN"/>
              </w:rPr>
            </w:pPr>
          </w:p>
        </w:tc>
        <w:tc>
          <w:tcPr>
            <w:tcW w:w="607" w:type="dxa"/>
            <w:vAlign w:val="center"/>
          </w:tcPr>
          <w:p w14:paraId="3400BD28">
            <w:pPr>
              <w:keepLines/>
              <w:autoSpaceDE w:val="0"/>
              <w:autoSpaceDN w:val="0"/>
              <w:spacing w:line="360" w:lineRule="auto"/>
              <w:rPr>
                <w:rFonts w:hint="default" w:ascii="宋体" w:hAnsi="宋体" w:eastAsia="宋体" w:cs="宋体"/>
                <w:sz w:val="24"/>
                <w:szCs w:val="24"/>
                <w:highlight w:val="none"/>
                <w:lang w:val="en-US" w:eastAsia="zh-CN"/>
              </w:rPr>
            </w:pPr>
            <w:r>
              <w:rPr>
                <w:rFonts w:hint="eastAsia" w:ascii="宋体" w:hAnsi="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分</w:t>
            </w:r>
          </w:p>
        </w:tc>
        <w:tc>
          <w:tcPr>
            <w:tcW w:w="6003" w:type="dxa"/>
            <w:vAlign w:val="center"/>
          </w:tcPr>
          <w:p w14:paraId="593EA3AC">
            <w:pPr>
              <w:numPr>
                <w:ilvl w:val="0"/>
                <w:numId w:val="0"/>
              </w:num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质量保证措施</w:t>
            </w:r>
          </w:p>
          <w:p w14:paraId="1E2B30E8">
            <w:pPr>
              <w:numPr>
                <w:ilvl w:val="0"/>
                <w:numId w:val="0"/>
              </w:num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方案科学合理、内容详细，完全符合采购人要求的得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w:t>
            </w:r>
          </w:p>
          <w:p w14:paraId="16DF8668">
            <w:pPr>
              <w:numPr>
                <w:ilvl w:val="0"/>
                <w:numId w:val="0"/>
              </w:num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eastAsia="zh-CN"/>
              </w:rPr>
              <w:t>实施方案内容较好，内容一般，但能基本满足采购人基本需求的得</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p>
          <w:p w14:paraId="714DD0C5">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（3）实施方案内容一般，仅能够满足采购人基本需求的得</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w:t>
            </w:r>
          </w:p>
          <w:p w14:paraId="71D2E5E2">
            <w:pPr>
              <w:keepLines/>
              <w:autoSpaceDE w:val="0"/>
              <w:autoSpaceDN w:val="0"/>
              <w:spacing w:line="360" w:lineRule="auto"/>
              <w:rPr>
                <w:rFonts w:ascii="宋体" w:hAnsi="宋体" w:eastAsia="宋体" w:cs="宋体"/>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）未提供实施方案的得0分。</w:t>
            </w:r>
          </w:p>
        </w:tc>
        <w:tc>
          <w:tcPr>
            <w:tcW w:w="564" w:type="dxa"/>
            <w:vAlign w:val="center"/>
          </w:tcPr>
          <w:p w14:paraId="09275D37">
            <w:pPr>
              <w:spacing w:line="360" w:lineRule="auto"/>
              <w:ind w:firstLine="480" w:firstLineChars="200"/>
              <w:rPr>
                <w:rFonts w:ascii="宋体" w:hAnsi="宋体" w:eastAsia="宋体" w:cs="宋体"/>
                <w:dstrike/>
                <w:sz w:val="24"/>
                <w:szCs w:val="24"/>
                <w:highlight w:val="none"/>
                <w:lang w:eastAsia="zh-CN"/>
              </w:rPr>
            </w:pPr>
          </w:p>
        </w:tc>
      </w:tr>
      <w:tr w14:paraId="28A9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49" w:type="dxa"/>
            <w:vMerge w:val="restart"/>
            <w:vAlign w:val="center"/>
          </w:tcPr>
          <w:p w14:paraId="4205240A">
            <w:pPr>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1008" w:type="dxa"/>
            <w:vMerge w:val="restart"/>
            <w:vAlign w:val="center"/>
          </w:tcPr>
          <w:p w14:paraId="16079006">
            <w:pPr>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rPr>
              <w:t>商务部分</w:t>
            </w:r>
          </w:p>
          <w:p w14:paraId="0AC604BE">
            <w:pPr>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lang w:eastAsia="zh-CN"/>
              </w:rPr>
              <w:t>%</w:t>
            </w:r>
          </w:p>
        </w:tc>
        <w:tc>
          <w:tcPr>
            <w:tcW w:w="1329" w:type="dxa"/>
            <w:vAlign w:val="center"/>
          </w:tcPr>
          <w:p w14:paraId="1F6721E5">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E331915">
            <w:pPr>
              <w:keepNext w:val="0"/>
              <w:keepLines w:val="0"/>
              <w:pageBreakBefore w:val="0"/>
              <w:kinsoku/>
              <w:wordWrap/>
              <w:overflowPunct/>
              <w:topLinePunct w:val="0"/>
              <w:autoSpaceDE/>
              <w:autoSpaceDN/>
              <w:bidi w:val="0"/>
              <w:adjustRightInd/>
              <w:snapToGrid/>
              <w:spacing w:line="360" w:lineRule="auto"/>
              <w:ind w:right="0" w:rightChars="0"/>
              <w:jc w:val="left"/>
              <w:outlineLvl w:val="9"/>
              <w:rPr>
                <w:rFonts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（15分）</w:t>
            </w:r>
          </w:p>
        </w:tc>
        <w:tc>
          <w:tcPr>
            <w:tcW w:w="607" w:type="dxa"/>
            <w:vAlign w:val="center"/>
          </w:tcPr>
          <w:p w14:paraId="738228F3">
            <w:pPr>
              <w:keepNext w:val="0"/>
              <w:keepLines w:val="0"/>
              <w:pageBreakBefore w:val="0"/>
              <w:kinsoku/>
              <w:wordWrap/>
              <w:overflowPunct/>
              <w:topLinePunct w:val="0"/>
              <w:autoSpaceDE/>
              <w:autoSpaceDN/>
              <w:bidi w:val="0"/>
              <w:adjustRightInd/>
              <w:snapToGrid/>
              <w:spacing w:line="360" w:lineRule="auto"/>
              <w:ind w:right="0" w:rightChars="0"/>
              <w:jc w:val="center"/>
              <w:outlineLvl w:val="9"/>
              <w:rPr>
                <w:rFonts w:ascii="宋体" w:hAnsi="宋体" w:eastAsia="宋体" w:cs="宋体"/>
                <w:sz w:val="24"/>
                <w:szCs w:val="24"/>
                <w:highlight w:val="none"/>
                <w:lang w:eastAsia="zh-CN"/>
              </w:rPr>
            </w:pPr>
            <w:r>
              <w:rPr>
                <w:rFonts w:hint="eastAsia" w:ascii="宋体" w:hAnsi="宋体" w:eastAsia="宋体" w:cs="宋体"/>
                <w:i w:val="0"/>
                <w:color w:val="auto"/>
                <w:kern w:val="0"/>
                <w:sz w:val="24"/>
                <w:szCs w:val="24"/>
                <w:highlight w:val="none"/>
                <w:u w:val="none"/>
                <w:lang w:val="en-US" w:eastAsia="zh-CN"/>
              </w:rPr>
              <w:t>15分</w:t>
            </w:r>
          </w:p>
        </w:tc>
        <w:tc>
          <w:tcPr>
            <w:tcW w:w="6003" w:type="dxa"/>
            <w:vAlign w:val="center"/>
          </w:tcPr>
          <w:p w14:paraId="1F5E2220">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提供供应商近三年的类似业绩，根据业绩打分：每提供一个类似业绩得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分，满分</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分，其余不得分。</w:t>
            </w:r>
          </w:p>
          <w:p w14:paraId="6C3B11DA">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center"/>
              <w:outlineLvl w:val="9"/>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注:业绩以中标通知书或合同为证明文件。</w:t>
            </w:r>
          </w:p>
        </w:tc>
        <w:tc>
          <w:tcPr>
            <w:tcW w:w="564" w:type="dxa"/>
            <w:vAlign w:val="center"/>
          </w:tcPr>
          <w:p w14:paraId="6BB4256A">
            <w:pPr>
              <w:spacing w:line="360" w:lineRule="auto"/>
              <w:ind w:firstLine="480" w:firstLineChars="200"/>
              <w:rPr>
                <w:rFonts w:ascii="宋体" w:hAnsi="宋体" w:eastAsia="宋体" w:cs="宋体"/>
                <w:sz w:val="24"/>
                <w:szCs w:val="24"/>
                <w:highlight w:val="none"/>
                <w:lang w:eastAsia="zh-CN"/>
              </w:rPr>
            </w:pPr>
          </w:p>
        </w:tc>
      </w:tr>
      <w:tr w14:paraId="1942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49" w:type="dxa"/>
            <w:vMerge w:val="continue"/>
            <w:vAlign w:val="center"/>
          </w:tcPr>
          <w:p w14:paraId="744BC52F">
            <w:pPr>
              <w:spacing w:line="360" w:lineRule="auto"/>
              <w:rPr>
                <w:rFonts w:hint="eastAsia" w:ascii="宋体" w:hAnsi="宋体" w:eastAsia="宋体" w:cs="宋体"/>
                <w:sz w:val="24"/>
                <w:szCs w:val="24"/>
                <w:highlight w:val="none"/>
                <w:lang w:eastAsia="zh-CN"/>
              </w:rPr>
            </w:pPr>
          </w:p>
        </w:tc>
        <w:tc>
          <w:tcPr>
            <w:tcW w:w="1008" w:type="dxa"/>
            <w:vMerge w:val="continue"/>
            <w:vAlign w:val="center"/>
          </w:tcPr>
          <w:p w14:paraId="21433813">
            <w:pPr>
              <w:spacing w:line="360" w:lineRule="auto"/>
              <w:jc w:val="center"/>
              <w:rPr>
                <w:rFonts w:hint="eastAsia" w:ascii="宋体" w:hAnsi="宋体" w:eastAsia="宋体" w:cs="宋体"/>
                <w:sz w:val="24"/>
                <w:szCs w:val="24"/>
                <w:highlight w:val="none"/>
                <w:lang w:val="en-US" w:eastAsia="zh-CN"/>
              </w:rPr>
            </w:pPr>
          </w:p>
        </w:tc>
        <w:tc>
          <w:tcPr>
            <w:tcW w:w="1329" w:type="dxa"/>
            <w:vAlign w:val="center"/>
          </w:tcPr>
          <w:p w14:paraId="62106F87">
            <w:pPr>
              <w:keepNext w:val="0"/>
              <w:keepLines w:val="0"/>
              <w:pageBreakBefore w:val="0"/>
              <w:kinsoku/>
              <w:wordWrap/>
              <w:overflowPunct/>
              <w:topLinePunct w:val="0"/>
              <w:autoSpaceDE/>
              <w:autoSpaceDN/>
              <w:bidi w:val="0"/>
              <w:adjustRightInd/>
              <w:snapToGrid/>
              <w:spacing w:line="440" w:lineRule="exact"/>
              <w:ind w:right="0" w:rightChars="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售后服务（5分）</w:t>
            </w:r>
          </w:p>
        </w:tc>
        <w:tc>
          <w:tcPr>
            <w:tcW w:w="607" w:type="dxa"/>
            <w:vAlign w:val="center"/>
          </w:tcPr>
          <w:p w14:paraId="693B33E2">
            <w:pPr>
              <w:keepNext w:val="0"/>
              <w:keepLines w:val="0"/>
              <w:pageBreakBefore w:val="0"/>
              <w:kinsoku/>
              <w:wordWrap/>
              <w:overflowPunct/>
              <w:topLinePunct w:val="0"/>
              <w:autoSpaceDE/>
              <w:autoSpaceDN/>
              <w:bidi w:val="0"/>
              <w:adjustRightInd/>
              <w:snapToGrid/>
              <w:spacing w:line="440" w:lineRule="exact"/>
              <w:ind w:right="0" w:rightChars="0"/>
              <w:jc w:val="center"/>
              <w:outlineLvl w:val="9"/>
              <w:rPr>
                <w:rFonts w:hint="default"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5分</w:t>
            </w:r>
          </w:p>
        </w:tc>
        <w:tc>
          <w:tcPr>
            <w:tcW w:w="6003" w:type="dxa"/>
            <w:vAlign w:val="center"/>
          </w:tcPr>
          <w:p w14:paraId="528EE01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售后响应时间：供应商承诺接到采购人电话0.5小时内响应，2小时内赶到现场处理并解决问题，得5分；在接到电话1小时响应，3小时内赶到现场处理并解决问题，得2分；超出此要求的不得分。提供承诺函。</w:t>
            </w:r>
          </w:p>
        </w:tc>
        <w:tc>
          <w:tcPr>
            <w:tcW w:w="564" w:type="dxa"/>
            <w:vAlign w:val="center"/>
          </w:tcPr>
          <w:p w14:paraId="159043C8">
            <w:pPr>
              <w:spacing w:line="360" w:lineRule="auto"/>
              <w:ind w:firstLine="480" w:firstLineChars="200"/>
              <w:rPr>
                <w:rFonts w:ascii="宋体" w:hAnsi="宋体" w:eastAsia="宋体" w:cs="宋体"/>
                <w:sz w:val="24"/>
                <w:szCs w:val="24"/>
                <w:highlight w:val="none"/>
                <w:lang w:eastAsia="zh-CN"/>
              </w:rPr>
            </w:pPr>
          </w:p>
        </w:tc>
      </w:tr>
      <w:bookmarkEnd w:id="0"/>
    </w:tbl>
    <w:p w14:paraId="29F4F545">
      <w:pPr>
        <w:pageBreakBefore w:val="0"/>
        <w:kinsoku/>
        <w:overflowPunct/>
        <w:topLinePunct w:val="0"/>
        <w:bidi w:val="0"/>
        <w:spacing w:line="440" w:lineRule="exact"/>
        <w:ind w:firstLine="498" w:firstLineChars="200"/>
        <w:rPr>
          <w:rFonts w:ascii="宋体" w:hAnsi="宋体" w:eastAsia="宋体" w:cs="宋体"/>
          <w:bCs/>
          <w:color w:val="auto"/>
          <w:spacing w:val="4"/>
          <w:sz w:val="24"/>
          <w:szCs w:val="24"/>
          <w:highlight w:val="none"/>
        </w:rPr>
      </w:pPr>
      <w:r>
        <w:rPr>
          <w:rFonts w:hint="eastAsia" w:ascii="宋体" w:hAnsi="宋体" w:eastAsia="宋体" w:cs="宋体"/>
          <w:b/>
          <w:color w:val="auto"/>
          <w:spacing w:val="4"/>
          <w:sz w:val="24"/>
          <w:szCs w:val="24"/>
          <w:highlight w:val="none"/>
          <w:lang w:eastAsia="zh-CN"/>
        </w:rPr>
        <w:t>（备注：磋商小组成员各自评审后，再采用算术平均方法计算各投标单位的综合得分，保留两位小数点。</w:t>
      </w:r>
      <w:r>
        <w:rPr>
          <w:rFonts w:hint="eastAsia" w:ascii="宋体" w:hAnsi="宋体" w:eastAsia="宋体" w:cs="宋体"/>
          <w:b/>
          <w:color w:val="auto"/>
          <w:spacing w:val="4"/>
          <w:sz w:val="24"/>
          <w:szCs w:val="24"/>
          <w:highlight w:val="none"/>
        </w:rPr>
        <w:t>）</w:t>
      </w:r>
    </w:p>
    <w:bookmarkEnd w:id="1"/>
    <w:bookmarkEnd w:id="2"/>
    <w:bookmarkEnd w:id="3"/>
    <w:bookmarkEnd w:id="4"/>
    <w:tbl>
      <w:tblPr>
        <w:tblStyle w:val="11"/>
        <w:tblpPr w:leftFromText="180" w:rightFromText="180" w:vertAnchor="text" w:horzAnchor="page" w:tblpX="1219" w:tblpY="135"/>
        <w:tblOverlap w:val="never"/>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19"/>
      </w:tblGrid>
      <w:tr w14:paraId="2511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trPr>
        <w:tc>
          <w:tcPr>
            <w:tcW w:w="9619" w:type="dxa"/>
            <w:vAlign w:val="center"/>
          </w:tcPr>
          <w:p w14:paraId="65EF99A8">
            <w:pPr>
              <w:pageBreakBefore w:val="0"/>
              <w:kinsoku/>
              <w:overflowPunct/>
              <w:topLinePunct w:val="0"/>
              <w:bidi w:val="0"/>
              <w:spacing w:line="440" w:lineRule="exact"/>
              <w:jc w:val="center"/>
              <w:rPr>
                <w:rFonts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政策加分条款</w:t>
            </w:r>
          </w:p>
          <w:p w14:paraId="0A4ED672">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eastAsia="宋体"/>
                <w:color w:val="auto"/>
                <w:highlight w:val="none"/>
                <w:lang w:eastAsia="zh-CN"/>
              </w:rPr>
            </w:pPr>
            <w:r>
              <w:rPr>
                <w:rFonts w:hint="eastAsia"/>
                <w:color w:val="auto"/>
                <w:sz w:val="24"/>
                <w:szCs w:val="24"/>
                <w:highlight w:val="none"/>
                <w:lang w:val="en-US" w:eastAsia="zh-CN"/>
              </w:rPr>
              <w:t>（1）货物服务采购项目对小、微型(含监狱企业/残疾人福利性单位)产品的价格给予20%的扣除，大中型企业与小微企业组成联合体或者大中型企业向小微企业分包的，评审优惠幅度提高至6%。用扣除后的价格参与评审，严格按照（财库[2022]19号）《财政部关于进一步加大政府采购支持中小企业力度的通知》执行，提供的声明函必须真实，如有虚假，将依法承担相应责任；符合条件的残疾人福利性单位在参加政府采购活动时，应当提供财库【2017】141号规定的《残疾人福利性单位声明函》，提供的声明函必须真实，如有虚假，将依法承担相应责任；（2）对原产地在少数民族自治区和享受少数民族自治待遇的省份（云南、贵州、青海）的投标主产品（不含附带产品），在总得分基础上加3分。投标主产品按照不得低于本采购项目预算金额50%加以确定；（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4）符合条件的残疾人福利性单位视同小型、微型企业在投标中享受同等优惠，但须提供《残疾人福利性单位声明函》，监狱企业视同小型、微型企业（以当地管理部门出具的证明为准）注：残疾人福利性单位属于中小企业的，不重复享受政策。</w:t>
            </w:r>
          </w:p>
        </w:tc>
      </w:tr>
    </w:tbl>
    <w:p w14:paraId="42FF336A">
      <w:pPr>
        <w:pStyle w:val="2"/>
        <w:pageBreakBefore w:val="0"/>
        <w:kinsoku/>
        <w:overflowPunct/>
        <w:topLinePunct w:val="0"/>
        <w:autoSpaceDE w:val="0"/>
        <w:autoSpaceDN w:val="0"/>
        <w:bidi w:val="0"/>
        <w:spacing w:line="440" w:lineRule="exact"/>
        <w:ind w:left="0" w:firstLine="480" w:firstLineChars="200"/>
        <w:jc w:val="left"/>
        <w:rPr>
          <w:rFonts w:cs="宋体"/>
          <w:color w:val="auto"/>
          <w:sz w:val="24"/>
          <w:szCs w:val="24"/>
          <w:highlight w:val="none"/>
          <w:lang w:eastAsia="zh-CN"/>
        </w:rPr>
      </w:pPr>
      <w:bookmarkStart w:id="5" w:name="_Toc5319"/>
      <w:r>
        <w:rPr>
          <w:rFonts w:hint="eastAsia" w:cs="宋体"/>
          <w:color w:val="auto"/>
          <w:sz w:val="24"/>
          <w:szCs w:val="24"/>
          <w:highlight w:val="none"/>
          <w:lang w:eastAsia="zh-CN"/>
        </w:rPr>
        <w:t>5、推荐成交供应商</w:t>
      </w:r>
      <w:bookmarkEnd w:id="5"/>
    </w:p>
    <w:p w14:paraId="189A0C05">
      <w:pPr>
        <w:pStyle w:val="16"/>
        <w:pageBreakBefore w:val="0"/>
        <w:tabs>
          <w:tab w:val="left" w:pos="927"/>
        </w:tabs>
        <w:kinsoku/>
        <w:overflowPunct/>
        <w:topLinePunct w:val="0"/>
        <w:autoSpaceDE w:val="0"/>
        <w:autoSpaceDN w:val="0"/>
        <w:bidi w:val="0"/>
        <w:spacing w:line="440" w:lineRule="exact"/>
        <w:ind w:left="0" w:firstLine="480" w:firstLineChars="2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5.1本次项目采用综合评分法评标，采购人将把合同授予被确定为实质上响应竞争性磋商文件的要求并有履行合同能力的排名第一的投标供应商。</w:t>
      </w:r>
    </w:p>
    <w:p w14:paraId="43B6C71E">
      <w:pPr>
        <w:pStyle w:val="16"/>
        <w:pageBreakBefore w:val="0"/>
        <w:tabs>
          <w:tab w:val="left" w:pos="927"/>
        </w:tabs>
        <w:kinsoku/>
        <w:overflowPunct/>
        <w:topLinePunct w:val="0"/>
        <w:autoSpaceDE w:val="0"/>
        <w:autoSpaceDN w:val="0"/>
        <w:bidi w:val="0"/>
        <w:spacing w:line="440" w:lineRule="exact"/>
        <w:ind w:left="0" w:firstLine="480" w:firstLineChars="2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5.2投标产品品牌相同的投标供应商的规定</w:t>
      </w:r>
    </w:p>
    <w:p w14:paraId="429415D1">
      <w:pPr>
        <w:pStyle w:val="16"/>
        <w:pageBreakBefore w:val="0"/>
        <w:tabs>
          <w:tab w:val="left" w:pos="927"/>
        </w:tabs>
        <w:kinsoku/>
        <w:overflowPunct/>
        <w:topLinePunct w:val="0"/>
        <w:autoSpaceDE w:val="0"/>
        <w:autoSpaceDN w:val="0"/>
        <w:bidi w:val="0"/>
        <w:spacing w:line="440" w:lineRule="exact"/>
        <w:ind w:left="0" w:firstLine="480" w:firstLineChars="2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5.2.1</w:t>
      </w:r>
      <w:r>
        <w:rPr>
          <w:rFonts w:hint="eastAsia" w:ascii="宋体" w:hAnsi="宋体" w:eastAsia="宋体" w:cs="宋体"/>
          <w:color w:val="auto"/>
          <w:sz w:val="24"/>
          <w:szCs w:val="24"/>
          <w:highlight w:val="none"/>
          <w:lang w:val="zh-CN" w:eastAsia="zh-CN" w:bidi="zh-CN"/>
        </w:rPr>
        <w:t>综合评分法的采购项目，提供相同品牌产品且通过资格审查、符合性审查的不同</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val="zh-CN" w:eastAsia="zh-CN" w:bidi="zh-CN"/>
        </w:rPr>
        <w:t>参加同一合同项下投标的，按一家</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val="zh-CN" w:eastAsia="zh-CN" w:bidi="zh-CN"/>
        </w:rPr>
        <w:t>计算，评审后得分最高的同品牌</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val="zh-CN" w:eastAsia="zh-CN" w:bidi="zh-CN"/>
        </w:rPr>
        <w:t>获得成交人推荐资格；评审得分相同的，由采购人或者采购人委托评审委员会按照以下方式确定一个</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val="zh-CN" w:eastAsia="zh-CN" w:bidi="zh-CN"/>
        </w:rPr>
        <w:t>获得成交人推荐资格，其他同品牌</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val="zh-CN" w:eastAsia="zh-CN" w:bidi="zh-CN"/>
        </w:rPr>
        <w:t>不作为成交候选人。</w:t>
      </w:r>
    </w:p>
    <w:p w14:paraId="2A27F45D">
      <w:pPr>
        <w:pStyle w:val="16"/>
        <w:pageBreakBefore w:val="0"/>
        <w:tabs>
          <w:tab w:val="left" w:pos="927"/>
        </w:tabs>
        <w:kinsoku/>
        <w:overflowPunct/>
        <w:topLinePunct w:val="0"/>
        <w:autoSpaceDE w:val="0"/>
        <w:autoSpaceDN w:val="0"/>
        <w:bidi w:val="0"/>
        <w:spacing w:line="440" w:lineRule="exact"/>
        <w:ind w:left="0" w:firstLine="480" w:firstLineChars="2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5.2.2</w:t>
      </w:r>
      <w:r>
        <w:rPr>
          <w:rFonts w:hint="eastAsia" w:ascii="宋体" w:hAnsi="宋体" w:eastAsia="宋体" w:cs="宋体"/>
          <w:color w:val="auto"/>
          <w:sz w:val="24"/>
          <w:szCs w:val="24"/>
          <w:highlight w:val="none"/>
          <w:lang w:val="zh-CN" w:eastAsia="zh-CN" w:bidi="zh-CN"/>
        </w:rPr>
        <w:t>确定方式：当评审得分相同，报价最低的同品牌</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val="zh-CN" w:eastAsia="zh-CN" w:bidi="zh-CN"/>
        </w:rPr>
        <w:t>为成交候选人。</w:t>
      </w:r>
    </w:p>
    <w:p w14:paraId="6C9FC78D">
      <w:pPr>
        <w:pStyle w:val="16"/>
        <w:pageBreakBefore w:val="0"/>
        <w:tabs>
          <w:tab w:val="left" w:pos="927"/>
        </w:tabs>
        <w:kinsoku/>
        <w:overflowPunct/>
        <w:topLinePunct w:val="0"/>
        <w:autoSpaceDE w:val="0"/>
        <w:autoSpaceDN w:val="0"/>
        <w:bidi w:val="0"/>
        <w:spacing w:line="440" w:lineRule="exact"/>
        <w:ind w:left="0" w:firstLine="480" w:firstLineChars="2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5.2.3</w:t>
      </w:r>
      <w:r>
        <w:rPr>
          <w:rFonts w:hint="eastAsia" w:ascii="宋体" w:hAnsi="宋体" w:eastAsia="宋体" w:cs="宋体"/>
          <w:color w:val="auto"/>
          <w:sz w:val="24"/>
          <w:szCs w:val="24"/>
          <w:highlight w:val="none"/>
          <w:lang w:val="zh-CN" w:eastAsia="zh-CN" w:bidi="zh-CN"/>
        </w:rPr>
        <w:t>非单一产品采购项目，多家</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val="zh-CN" w:eastAsia="zh-CN" w:bidi="zh-CN"/>
        </w:rPr>
        <w:t>提供的核心产品品牌相同的，按前两款规定处理。</w:t>
      </w:r>
    </w:p>
    <w:p w14:paraId="27DB8EA8">
      <w:pPr>
        <w:pStyle w:val="16"/>
        <w:pageBreakBefore w:val="0"/>
        <w:tabs>
          <w:tab w:val="left" w:pos="927"/>
        </w:tabs>
        <w:kinsoku/>
        <w:overflowPunct/>
        <w:topLinePunct w:val="0"/>
        <w:autoSpaceDE w:val="0"/>
        <w:autoSpaceDN w:val="0"/>
        <w:bidi w:val="0"/>
        <w:spacing w:line="440" w:lineRule="exact"/>
        <w:ind w:left="0" w:firstLine="480" w:firstLineChars="2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5.3出现下列情形之一的，采购人则可与排序下一位供应商签订合同，或者重新组织招标。</w:t>
      </w:r>
    </w:p>
    <w:p w14:paraId="024A0EAD">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5.3.1</w:t>
      </w:r>
      <w:r>
        <w:rPr>
          <w:rFonts w:hint="eastAsia" w:ascii="宋体" w:hAnsi="宋体" w:eastAsia="宋体" w:cs="宋体"/>
          <w:color w:val="auto"/>
          <w:sz w:val="24"/>
          <w:szCs w:val="24"/>
          <w:highlight w:val="none"/>
          <w:lang w:val="zh-CN" w:eastAsia="zh-CN" w:bidi="zh-CN"/>
        </w:rPr>
        <w:t>成交供应商因自身原因放弃成交或因不可抗力不能履行合同的；</w:t>
      </w:r>
    </w:p>
    <w:p w14:paraId="2D7E09C4">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5.3.2</w:t>
      </w:r>
      <w:r>
        <w:rPr>
          <w:rFonts w:hint="eastAsia" w:ascii="宋体" w:hAnsi="宋体" w:eastAsia="宋体" w:cs="宋体"/>
          <w:color w:val="auto"/>
          <w:sz w:val="24"/>
          <w:szCs w:val="24"/>
          <w:highlight w:val="none"/>
          <w:lang w:val="zh-CN" w:eastAsia="zh-CN" w:bidi="zh-CN"/>
        </w:rPr>
        <w:t>经质疑，评审委员会或采购代理机构审查确认因成交供应商在本次采购活动中存在违法违规行为或其他原因使质疑成立的。</w:t>
      </w:r>
    </w:p>
    <w:p w14:paraId="11962A3F">
      <w:pPr>
        <w:pStyle w:val="16"/>
        <w:pageBreakBefore w:val="0"/>
        <w:tabs>
          <w:tab w:val="left" w:pos="927"/>
        </w:tabs>
        <w:kinsoku/>
        <w:overflowPunct/>
        <w:topLinePunct w:val="0"/>
        <w:autoSpaceDE w:val="0"/>
        <w:autoSpaceDN w:val="0"/>
        <w:bidi w:val="0"/>
        <w:spacing w:line="440" w:lineRule="exact"/>
        <w:ind w:left="0" w:firstLine="480" w:firstLineChars="2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6、出现下列情形之一的，供应商递交的响应文件作无效标处理，该供应商的响应文件不参与评审，且不计算入投标供应商家数：</w:t>
      </w:r>
    </w:p>
    <w:p w14:paraId="6BC5B9D1">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6.1递交的响应文件未按竞争性磋商文件要求加盖公章及签字的；</w:t>
      </w:r>
    </w:p>
    <w:p w14:paraId="76639524">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6.2供应商不符合国家及竞争性磋商文件规定的资格条件的；</w:t>
      </w:r>
    </w:p>
    <w:p w14:paraId="3212F00E">
      <w:pPr>
        <w:pStyle w:val="16"/>
        <w:pageBreakBefore w:val="0"/>
        <w:tabs>
          <w:tab w:val="left" w:pos="927"/>
        </w:tabs>
        <w:kinsoku/>
        <w:overflowPunct/>
        <w:topLinePunct w:val="0"/>
        <w:autoSpaceDE w:val="0"/>
        <w:autoSpaceDN w:val="0"/>
        <w:bidi w:val="0"/>
        <w:spacing w:line="440" w:lineRule="exact"/>
        <w:ind w:left="0" w:firstLine="720" w:firstLineChars="300"/>
        <w:rPr>
          <w:rFonts w:hint="eastAsia"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w:t>
      </w:r>
      <w:r>
        <w:rPr>
          <w:rFonts w:hint="eastAsia" w:ascii="宋体" w:hAnsi="宋体" w:cs="宋体"/>
          <w:color w:val="auto"/>
          <w:sz w:val="24"/>
          <w:szCs w:val="24"/>
          <w:highlight w:val="none"/>
          <w:lang w:val="en-US" w:eastAsia="zh-CN" w:bidi="zh-CN"/>
        </w:rPr>
        <w:t>3</w:t>
      </w:r>
      <w:r>
        <w:rPr>
          <w:rFonts w:hint="eastAsia" w:ascii="宋体" w:hAnsi="宋体" w:eastAsia="宋体" w:cs="宋体"/>
          <w:color w:val="auto"/>
          <w:sz w:val="24"/>
          <w:szCs w:val="24"/>
          <w:highlight w:val="none"/>
          <w:lang w:eastAsia="zh-CN" w:bidi="zh-CN"/>
        </w:rPr>
        <w:t>磋商报价被评审委员会认定低于其他通过符合性审查供应商的报价，有可能影响产品质量或者不能诚信履约的；</w:t>
      </w:r>
    </w:p>
    <w:p w14:paraId="4A12CF28">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w:t>
      </w:r>
      <w:r>
        <w:rPr>
          <w:rFonts w:hint="eastAsia" w:ascii="宋体" w:hAnsi="宋体" w:cs="宋体"/>
          <w:color w:val="auto"/>
          <w:sz w:val="24"/>
          <w:szCs w:val="24"/>
          <w:highlight w:val="none"/>
          <w:lang w:val="en-US" w:eastAsia="zh-CN" w:bidi="zh-CN"/>
        </w:rPr>
        <w:t>4</w:t>
      </w:r>
      <w:r>
        <w:rPr>
          <w:rFonts w:hint="eastAsia" w:ascii="宋体" w:hAnsi="宋体" w:eastAsia="宋体" w:cs="宋体"/>
          <w:color w:val="auto"/>
          <w:sz w:val="24"/>
          <w:szCs w:val="24"/>
          <w:highlight w:val="none"/>
          <w:lang w:eastAsia="zh-CN" w:bidi="zh-CN"/>
        </w:rPr>
        <w:t>磋商报价高于财政采购预算；</w:t>
      </w:r>
    </w:p>
    <w:p w14:paraId="2C78E5CF">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w:t>
      </w:r>
      <w:r>
        <w:rPr>
          <w:rFonts w:hint="eastAsia" w:ascii="宋体" w:hAnsi="宋体" w:cs="宋体"/>
          <w:color w:val="auto"/>
          <w:sz w:val="24"/>
          <w:szCs w:val="24"/>
          <w:highlight w:val="none"/>
          <w:lang w:val="en-US" w:eastAsia="zh-CN" w:bidi="zh-CN"/>
        </w:rPr>
        <w:t>5</w:t>
      </w:r>
      <w:r>
        <w:rPr>
          <w:rFonts w:hint="eastAsia" w:ascii="宋体" w:hAnsi="宋体" w:eastAsia="宋体" w:cs="宋体"/>
          <w:color w:val="auto"/>
          <w:sz w:val="24"/>
          <w:szCs w:val="24"/>
          <w:highlight w:val="none"/>
          <w:lang w:eastAsia="zh-CN" w:bidi="zh-CN"/>
        </w:rPr>
        <w:t>响应文件对竞争性磋商文件的实质性要求和条件未作出响应的；</w:t>
      </w:r>
    </w:p>
    <w:p w14:paraId="32C1FA8C">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w:t>
      </w:r>
      <w:r>
        <w:rPr>
          <w:rFonts w:hint="eastAsia" w:ascii="宋体" w:hAnsi="宋体" w:cs="宋体"/>
          <w:color w:val="auto"/>
          <w:sz w:val="24"/>
          <w:szCs w:val="24"/>
          <w:highlight w:val="none"/>
          <w:lang w:val="en-US" w:eastAsia="zh-CN" w:bidi="zh-CN"/>
        </w:rPr>
        <w:t>6</w:t>
      </w:r>
      <w:r>
        <w:rPr>
          <w:rFonts w:hint="eastAsia" w:ascii="宋体" w:hAnsi="宋体" w:eastAsia="宋体" w:cs="宋体"/>
          <w:color w:val="auto"/>
          <w:sz w:val="24"/>
          <w:szCs w:val="24"/>
          <w:highlight w:val="none"/>
          <w:lang w:eastAsia="zh-CN" w:bidi="zh-CN"/>
        </w:rPr>
        <w:t>供应商有串通投标、弄虚作假、行贿等违法行为的；</w:t>
      </w:r>
    </w:p>
    <w:p w14:paraId="65E03D22">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w:t>
      </w:r>
      <w:r>
        <w:rPr>
          <w:rFonts w:hint="eastAsia" w:ascii="宋体" w:hAnsi="宋体" w:cs="宋体"/>
          <w:color w:val="auto"/>
          <w:sz w:val="24"/>
          <w:szCs w:val="24"/>
          <w:highlight w:val="none"/>
          <w:lang w:val="en-US" w:eastAsia="zh-CN" w:bidi="zh-CN"/>
        </w:rPr>
        <w:t>7</w:t>
      </w:r>
      <w:r>
        <w:rPr>
          <w:rFonts w:hint="eastAsia" w:ascii="宋体" w:hAnsi="宋体" w:eastAsia="宋体" w:cs="宋体"/>
          <w:color w:val="auto"/>
          <w:sz w:val="24"/>
          <w:szCs w:val="24"/>
          <w:highlight w:val="none"/>
          <w:lang w:eastAsia="zh-CN" w:bidi="zh-CN"/>
        </w:rPr>
        <w:t>有下列情形之一的，视为</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eastAsia="zh-CN" w:bidi="zh-CN"/>
        </w:rPr>
        <w:t>串通投标，其投标无效：</w:t>
      </w:r>
    </w:p>
    <w:p w14:paraId="21369458">
      <w:pPr>
        <w:pStyle w:val="16"/>
        <w:pageBreakBefore w:val="0"/>
        <w:tabs>
          <w:tab w:val="left" w:pos="927"/>
        </w:tabs>
        <w:kinsoku/>
        <w:overflowPunct/>
        <w:topLinePunct w:val="0"/>
        <w:autoSpaceDE w:val="0"/>
        <w:autoSpaceDN w:val="0"/>
        <w:bidi w:val="0"/>
        <w:spacing w:line="440" w:lineRule="exact"/>
        <w:ind w:left="0" w:firstLine="1200" w:firstLineChars="5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6.8.1不同</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eastAsia="zh-CN" w:bidi="zh-CN"/>
        </w:rPr>
        <w:t>的响应文件由同一单位或者个人编制；</w:t>
      </w:r>
    </w:p>
    <w:p w14:paraId="5B017A3C">
      <w:pPr>
        <w:pStyle w:val="16"/>
        <w:pageBreakBefore w:val="0"/>
        <w:tabs>
          <w:tab w:val="left" w:pos="927"/>
        </w:tabs>
        <w:kinsoku/>
        <w:overflowPunct/>
        <w:topLinePunct w:val="0"/>
        <w:autoSpaceDE w:val="0"/>
        <w:autoSpaceDN w:val="0"/>
        <w:bidi w:val="0"/>
        <w:spacing w:line="440" w:lineRule="exact"/>
        <w:ind w:left="0" w:firstLine="1200" w:firstLineChars="5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6.8.2不同</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eastAsia="zh-CN" w:bidi="zh-CN"/>
        </w:rPr>
        <w:t>委托同一单位或者个人办理投标事宜；</w:t>
      </w:r>
    </w:p>
    <w:p w14:paraId="209E231C">
      <w:pPr>
        <w:pStyle w:val="16"/>
        <w:pageBreakBefore w:val="0"/>
        <w:tabs>
          <w:tab w:val="left" w:pos="927"/>
        </w:tabs>
        <w:kinsoku/>
        <w:overflowPunct/>
        <w:topLinePunct w:val="0"/>
        <w:autoSpaceDE w:val="0"/>
        <w:autoSpaceDN w:val="0"/>
        <w:bidi w:val="0"/>
        <w:spacing w:line="440" w:lineRule="exact"/>
        <w:ind w:left="0" w:firstLine="1200" w:firstLineChars="5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6.8.3不同</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eastAsia="zh-CN" w:bidi="zh-CN"/>
        </w:rPr>
        <w:t>的响应文件载明的项目管理成员或者联系人员为同一人；</w:t>
      </w:r>
    </w:p>
    <w:p w14:paraId="6A3BE171">
      <w:pPr>
        <w:pStyle w:val="16"/>
        <w:pageBreakBefore w:val="0"/>
        <w:tabs>
          <w:tab w:val="left" w:pos="927"/>
        </w:tabs>
        <w:kinsoku/>
        <w:overflowPunct/>
        <w:topLinePunct w:val="0"/>
        <w:autoSpaceDE w:val="0"/>
        <w:autoSpaceDN w:val="0"/>
        <w:bidi w:val="0"/>
        <w:spacing w:line="440" w:lineRule="exact"/>
        <w:ind w:left="0" w:firstLine="1200" w:firstLineChars="5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6.8.4不同</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eastAsia="zh-CN" w:bidi="zh-CN"/>
        </w:rPr>
        <w:t>的响应文件异常一致或者磋商报价呈规律性差异；</w:t>
      </w:r>
    </w:p>
    <w:p w14:paraId="4666B058">
      <w:pPr>
        <w:pStyle w:val="16"/>
        <w:pageBreakBefore w:val="0"/>
        <w:tabs>
          <w:tab w:val="left" w:pos="927"/>
        </w:tabs>
        <w:kinsoku/>
        <w:overflowPunct/>
        <w:topLinePunct w:val="0"/>
        <w:autoSpaceDE w:val="0"/>
        <w:autoSpaceDN w:val="0"/>
        <w:bidi w:val="0"/>
        <w:spacing w:line="440" w:lineRule="exact"/>
        <w:ind w:left="0" w:firstLine="1200" w:firstLineChars="5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6.8.5不同</w:t>
      </w:r>
      <w:r>
        <w:rPr>
          <w:rFonts w:hint="eastAsia" w:cs="宋体"/>
          <w:b w:val="0"/>
          <w:bCs w:val="0"/>
          <w:color w:val="auto"/>
          <w:spacing w:val="-1"/>
          <w:sz w:val="24"/>
          <w:szCs w:val="24"/>
          <w:highlight w:val="none"/>
          <w:lang w:eastAsia="zh-CN"/>
        </w:rPr>
        <w:t>供应商</w:t>
      </w:r>
      <w:r>
        <w:rPr>
          <w:rFonts w:hint="eastAsia" w:ascii="宋体" w:hAnsi="宋体" w:eastAsia="宋体" w:cs="宋体"/>
          <w:color w:val="auto"/>
          <w:sz w:val="24"/>
          <w:szCs w:val="24"/>
          <w:highlight w:val="none"/>
          <w:lang w:eastAsia="zh-CN" w:bidi="zh-CN"/>
        </w:rPr>
        <w:t>的响应文件相互混装；</w:t>
      </w:r>
    </w:p>
    <w:p w14:paraId="0178147E">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w:t>
      </w:r>
      <w:r>
        <w:rPr>
          <w:rFonts w:hint="eastAsia" w:ascii="宋体" w:hAnsi="宋体" w:cs="宋体"/>
          <w:color w:val="auto"/>
          <w:sz w:val="24"/>
          <w:szCs w:val="24"/>
          <w:highlight w:val="none"/>
          <w:lang w:val="en-US" w:eastAsia="zh-CN" w:bidi="zh-CN"/>
        </w:rPr>
        <w:t>8</w:t>
      </w:r>
      <w:r>
        <w:rPr>
          <w:rFonts w:hint="eastAsia" w:ascii="宋体" w:hAnsi="宋体" w:eastAsia="宋体" w:cs="宋体"/>
          <w:color w:val="auto"/>
          <w:sz w:val="24"/>
          <w:szCs w:val="24"/>
          <w:highlight w:val="none"/>
          <w:lang w:eastAsia="zh-CN" w:bidi="zh-CN"/>
        </w:rPr>
        <w:t>投标有效期不满足竞争性磋商文件要求的；</w:t>
      </w:r>
    </w:p>
    <w:p w14:paraId="3A1721E5">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w:t>
      </w:r>
      <w:r>
        <w:rPr>
          <w:rFonts w:hint="eastAsia" w:ascii="宋体" w:hAnsi="宋体" w:cs="宋体"/>
          <w:color w:val="auto"/>
          <w:sz w:val="24"/>
          <w:szCs w:val="24"/>
          <w:highlight w:val="none"/>
          <w:lang w:val="en-US" w:eastAsia="zh-CN" w:bidi="zh-CN"/>
        </w:rPr>
        <w:t>9</w:t>
      </w:r>
      <w:r>
        <w:rPr>
          <w:rFonts w:hint="eastAsia" w:ascii="宋体" w:hAnsi="宋体" w:eastAsia="宋体" w:cs="宋体"/>
          <w:color w:val="auto"/>
          <w:sz w:val="24"/>
          <w:szCs w:val="24"/>
          <w:highlight w:val="none"/>
          <w:lang w:eastAsia="zh-CN" w:bidi="zh-CN"/>
        </w:rPr>
        <w:t>单位负责人为同一人或者存在直接控股、管理关系的不同供应商，不得参加同一合同项下的政府采购活动。</w:t>
      </w:r>
    </w:p>
    <w:p w14:paraId="6C43A732">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6.1</w:t>
      </w:r>
      <w:r>
        <w:rPr>
          <w:rFonts w:hint="eastAsia" w:ascii="宋体" w:hAnsi="宋体" w:cs="宋体"/>
          <w:color w:val="auto"/>
          <w:sz w:val="24"/>
          <w:szCs w:val="24"/>
          <w:highlight w:val="none"/>
          <w:lang w:val="en-US" w:eastAsia="zh-CN" w:bidi="zh-CN"/>
        </w:rPr>
        <w:t>0</w:t>
      </w:r>
      <w:r>
        <w:rPr>
          <w:rFonts w:hint="eastAsia" w:ascii="宋体" w:hAnsi="宋体" w:eastAsia="宋体" w:cs="宋体"/>
          <w:color w:val="auto"/>
          <w:sz w:val="24"/>
          <w:szCs w:val="24"/>
          <w:highlight w:val="none"/>
          <w:lang w:eastAsia="zh-CN" w:bidi="zh-CN"/>
        </w:rPr>
        <w:t>除单一来源采购项目外，为采购项目提供整体设计、规范编制或者项目管理、监理、检测等服务的供应商，不得再参加该采购项目的其他采购活动。</w:t>
      </w:r>
    </w:p>
    <w:p w14:paraId="7D19DF74">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eastAsia="zh-CN" w:bidi="zh-CN"/>
        </w:rPr>
      </w:pPr>
      <w:r>
        <w:rPr>
          <w:rFonts w:hint="eastAsia" w:ascii="宋体" w:hAnsi="宋体" w:eastAsia="宋体" w:cs="宋体"/>
          <w:color w:val="auto"/>
          <w:sz w:val="24"/>
          <w:szCs w:val="24"/>
          <w:highlight w:val="none"/>
          <w:lang w:eastAsia="zh-CN" w:bidi="zh-CN"/>
        </w:rPr>
        <w:t>6.1</w:t>
      </w:r>
      <w:r>
        <w:rPr>
          <w:rFonts w:hint="eastAsia" w:ascii="宋体" w:hAnsi="宋体" w:cs="宋体"/>
          <w:color w:val="auto"/>
          <w:sz w:val="24"/>
          <w:szCs w:val="24"/>
          <w:highlight w:val="none"/>
          <w:lang w:val="en-US" w:eastAsia="zh-CN" w:bidi="zh-CN"/>
        </w:rPr>
        <w:t>1</w:t>
      </w:r>
      <w:r>
        <w:rPr>
          <w:rFonts w:hint="eastAsia" w:ascii="宋体" w:hAnsi="宋体" w:eastAsia="宋体" w:cs="宋体"/>
          <w:color w:val="auto"/>
          <w:sz w:val="24"/>
          <w:szCs w:val="24"/>
          <w:highlight w:val="none"/>
          <w:lang w:eastAsia="zh-CN" w:bidi="zh-CN"/>
        </w:rPr>
        <w:t>违反政府采购法律法规,足以导致响应文件无效的情形。</w:t>
      </w:r>
    </w:p>
    <w:p w14:paraId="731E7118">
      <w:pPr>
        <w:pStyle w:val="16"/>
        <w:pageBreakBefore w:val="0"/>
        <w:tabs>
          <w:tab w:val="left" w:pos="927"/>
        </w:tabs>
        <w:kinsoku/>
        <w:overflowPunct/>
        <w:topLinePunct w:val="0"/>
        <w:autoSpaceDE w:val="0"/>
        <w:autoSpaceDN w:val="0"/>
        <w:bidi w:val="0"/>
        <w:spacing w:line="440" w:lineRule="exact"/>
        <w:ind w:left="0" w:firstLine="480" w:firstLineChars="2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7</w:t>
      </w:r>
      <w:r>
        <w:rPr>
          <w:rFonts w:hint="eastAsia" w:ascii="宋体" w:hAnsi="宋体" w:eastAsia="宋体" w:cs="宋体"/>
          <w:color w:val="auto"/>
          <w:sz w:val="24"/>
          <w:szCs w:val="24"/>
          <w:highlight w:val="none"/>
          <w:lang w:val="zh-CN" w:eastAsia="zh-CN" w:bidi="zh-CN"/>
        </w:rPr>
        <w:t>、出现下列情形之一的，本项目/品目作废标处理,项目/品目评审终止：</w:t>
      </w:r>
    </w:p>
    <w:p w14:paraId="0B8C54D3">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7.</w:t>
      </w:r>
      <w:r>
        <w:rPr>
          <w:rFonts w:hint="eastAsia" w:ascii="宋体" w:hAnsi="宋体" w:eastAsia="宋体" w:cs="宋体"/>
          <w:color w:val="auto"/>
          <w:sz w:val="24"/>
          <w:szCs w:val="24"/>
          <w:highlight w:val="none"/>
          <w:lang w:val="zh-CN" w:eastAsia="zh-CN" w:bidi="zh-CN"/>
        </w:rPr>
        <w:t>1符合专业条件的或对竞争性磋商文件作实质响应的有效投标供应商不足三家的；</w:t>
      </w:r>
    </w:p>
    <w:p w14:paraId="5E34DBAB">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7.</w:t>
      </w:r>
      <w:r>
        <w:rPr>
          <w:rFonts w:hint="eastAsia" w:ascii="宋体" w:hAnsi="宋体" w:eastAsia="宋体" w:cs="宋体"/>
          <w:color w:val="auto"/>
          <w:sz w:val="24"/>
          <w:szCs w:val="24"/>
          <w:highlight w:val="none"/>
          <w:lang w:val="zh-CN" w:eastAsia="zh-CN" w:bidi="zh-CN"/>
        </w:rPr>
        <w:t>2出现影响采购公正的违法、违规行为的；</w:t>
      </w:r>
    </w:p>
    <w:p w14:paraId="6F9F1196">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7.</w:t>
      </w:r>
      <w:r>
        <w:rPr>
          <w:rFonts w:hint="eastAsia" w:ascii="宋体" w:hAnsi="宋体" w:eastAsia="宋体" w:cs="宋体"/>
          <w:color w:val="auto"/>
          <w:sz w:val="24"/>
          <w:szCs w:val="24"/>
          <w:highlight w:val="none"/>
          <w:lang w:val="zh-CN" w:eastAsia="zh-CN" w:bidi="zh-CN"/>
        </w:rPr>
        <w:t>3供应商报价均超过了采购预算；</w:t>
      </w:r>
    </w:p>
    <w:p w14:paraId="39C33F17">
      <w:pPr>
        <w:pStyle w:val="16"/>
        <w:pageBreakBefore w:val="0"/>
        <w:tabs>
          <w:tab w:val="left" w:pos="927"/>
        </w:tabs>
        <w:kinsoku/>
        <w:overflowPunct/>
        <w:topLinePunct w:val="0"/>
        <w:autoSpaceDE w:val="0"/>
        <w:autoSpaceDN w:val="0"/>
        <w:bidi w:val="0"/>
        <w:spacing w:line="440" w:lineRule="exact"/>
        <w:ind w:left="0" w:firstLine="720" w:firstLineChars="300"/>
        <w:rPr>
          <w:rFonts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bidi="zh-CN"/>
        </w:rPr>
        <w:t>7.</w:t>
      </w:r>
      <w:r>
        <w:rPr>
          <w:rFonts w:hint="eastAsia" w:ascii="宋体" w:hAnsi="宋体" w:eastAsia="宋体" w:cs="宋体"/>
          <w:color w:val="auto"/>
          <w:sz w:val="24"/>
          <w:szCs w:val="24"/>
          <w:highlight w:val="none"/>
          <w:lang w:val="zh-CN" w:eastAsia="zh-CN" w:bidi="zh-CN"/>
        </w:rPr>
        <w:t>4因重大变故，采购任务取消的；</w:t>
      </w:r>
    </w:p>
    <w:p w14:paraId="60B497A0">
      <w:pPr>
        <w:pStyle w:val="16"/>
        <w:pageBreakBefore w:val="0"/>
        <w:tabs>
          <w:tab w:val="left" w:pos="927"/>
        </w:tabs>
        <w:kinsoku/>
        <w:overflowPunct/>
        <w:topLinePunct w:val="0"/>
        <w:autoSpaceDE w:val="0"/>
        <w:autoSpaceDN w:val="0"/>
        <w:bidi w:val="0"/>
        <w:spacing w:line="440" w:lineRule="exact"/>
        <w:ind w:left="0" w:firstLine="720" w:firstLineChars="300"/>
        <w:rPr>
          <w:rFonts w:eastAsia="宋体"/>
          <w:color w:val="auto"/>
          <w:highlight w:val="none"/>
          <w:lang w:eastAsia="zh-CN"/>
        </w:rPr>
        <w:sectPr>
          <w:footerReference r:id="rId3" w:type="default"/>
          <w:pgSz w:w="11911" w:h="16838"/>
          <w:pgMar w:top="1417" w:right="1020" w:bottom="1417" w:left="1020" w:header="794" w:footer="828"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auto"/>
          <w:sz w:val="24"/>
          <w:szCs w:val="24"/>
          <w:highlight w:val="none"/>
          <w:lang w:eastAsia="zh-CN" w:bidi="zh-CN"/>
        </w:rPr>
        <w:t>7.</w:t>
      </w:r>
      <w:r>
        <w:rPr>
          <w:rFonts w:hint="eastAsia" w:ascii="宋体" w:hAnsi="宋体" w:eastAsia="宋体" w:cs="宋体"/>
          <w:color w:val="auto"/>
          <w:sz w:val="24"/>
          <w:szCs w:val="24"/>
          <w:highlight w:val="none"/>
          <w:lang w:val="zh-CN" w:eastAsia="zh-CN" w:bidi="zh-CN"/>
        </w:rPr>
        <w:t>5法律法规规定的其他情形。</w:t>
      </w:r>
    </w:p>
    <w:p w14:paraId="5A5755C4">
      <w:pPr>
        <w:rPr>
          <w:highlight w:val="none"/>
        </w:rPr>
      </w:pPr>
    </w:p>
    <w:p w14:paraId="3CEEB495">
      <w:pPr>
        <w:numPr>
          <w:numId w:val="0"/>
        </w:numPr>
        <w:jc w:val="center"/>
        <w:rPr>
          <w:rFonts w:hint="eastAsia"/>
          <w:b/>
          <w:bCs/>
          <w:sz w:val="36"/>
          <w:szCs w:val="36"/>
          <w:highlight w:val="none"/>
          <w:lang w:eastAsia="zh-CN"/>
        </w:rPr>
      </w:pPr>
      <w:r>
        <w:rPr>
          <w:rFonts w:hint="eastAsia"/>
          <w:b/>
          <w:bCs/>
          <w:sz w:val="36"/>
          <w:szCs w:val="36"/>
          <w:highlight w:val="none"/>
          <w:lang w:eastAsia="zh-CN"/>
        </w:rPr>
        <w:t>技术、商务要求</w:t>
      </w:r>
    </w:p>
    <w:p w14:paraId="0252A778">
      <w:pPr>
        <w:pStyle w:val="15"/>
        <w:pageBreakBefore w:val="0"/>
        <w:numPr>
          <w:ilvl w:val="0"/>
          <w:numId w:val="1"/>
        </w:numPr>
        <w:tabs>
          <w:tab w:val="left" w:pos="4334"/>
        </w:tabs>
        <w:kinsoku/>
        <w:overflowPunct/>
        <w:topLinePunct w:val="0"/>
        <w:bidi w:val="0"/>
        <w:spacing w:before="85" w:line="440" w:lineRule="exact"/>
        <w:jc w:val="center"/>
        <w:rPr>
          <w:rFonts w:hint="default" w:eastAsia="宋体"/>
          <w:color w:val="auto"/>
          <w:highlight w:val="none"/>
          <w:lang w:val="en-US" w:eastAsia="zh-CN"/>
        </w:rPr>
      </w:pPr>
      <w:bookmarkStart w:id="6" w:name="_Toc28253"/>
      <w:bookmarkStart w:id="7" w:name="_Toc19431"/>
      <w:bookmarkStart w:id="8" w:name="_Toc15463"/>
      <w:bookmarkStart w:id="9" w:name="_Toc25529"/>
      <w:bookmarkStart w:id="10" w:name="_Toc7072"/>
      <w:bookmarkStart w:id="11" w:name="_Toc29831"/>
      <w:bookmarkStart w:id="12" w:name="_Toc31505"/>
      <w:bookmarkStart w:id="13" w:name="_Toc30533"/>
      <w:bookmarkStart w:id="14" w:name="_Toc12708"/>
      <w:bookmarkStart w:id="15" w:name="_Toc28046"/>
      <w:r>
        <w:rPr>
          <w:rFonts w:hint="default" w:eastAsia="宋体"/>
          <w:color w:val="auto"/>
          <w:highlight w:val="none"/>
          <w:lang w:val="en-US" w:eastAsia="zh-CN"/>
        </w:rPr>
        <w:t>技术要求</w:t>
      </w:r>
      <w:bookmarkEnd w:id="6"/>
      <w:bookmarkEnd w:id="7"/>
      <w:bookmarkEnd w:id="8"/>
      <w:bookmarkEnd w:id="9"/>
      <w:bookmarkEnd w:id="10"/>
      <w:bookmarkEnd w:id="11"/>
      <w:bookmarkEnd w:id="12"/>
      <w:bookmarkEnd w:id="13"/>
      <w:bookmarkEnd w:id="14"/>
      <w:bookmarkEnd w:id="15"/>
    </w:p>
    <w:p w14:paraId="1C860376">
      <w:pPr>
        <w:pageBreakBefore w:val="0"/>
        <w:kinsoku/>
        <w:overflowPunct/>
        <w:topLinePunct w:val="0"/>
        <w:bidi w:val="0"/>
        <w:spacing w:line="440" w:lineRule="exact"/>
        <w:jc w:val="center"/>
        <w:rPr>
          <w:rStyle w:val="19"/>
          <w:rFonts w:hint="eastAsia" w:ascii="宋体" w:hAnsi="宋体" w:eastAsia="宋体" w:cs="宋体"/>
          <w:bCs w:val="0"/>
          <w:color w:val="auto"/>
          <w:sz w:val="28"/>
          <w:szCs w:val="28"/>
          <w:highlight w:val="none"/>
          <w:lang w:val="en-US" w:bidi="ar-SA"/>
        </w:rPr>
      </w:pPr>
      <w:bookmarkStart w:id="16" w:name="_Toc16416"/>
      <w:r>
        <w:rPr>
          <w:rStyle w:val="19"/>
          <w:rFonts w:hint="eastAsia" w:ascii="宋体" w:hAnsi="宋体" w:eastAsia="宋体" w:cs="宋体"/>
          <w:bCs w:val="0"/>
          <w:color w:val="auto"/>
          <w:sz w:val="28"/>
          <w:szCs w:val="28"/>
          <w:highlight w:val="none"/>
          <w:lang w:val="en-US" w:bidi="ar-SA"/>
        </w:rPr>
        <w:t>（</w:t>
      </w:r>
      <w:r>
        <w:rPr>
          <w:rStyle w:val="19"/>
          <w:rFonts w:hint="eastAsia" w:ascii="宋体" w:hAnsi="宋体" w:eastAsia="宋体" w:cs="宋体"/>
          <w:bCs w:val="0"/>
          <w:color w:val="auto"/>
          <w:sz w:val="28"/>
          <w:szCs w:val="28"/>
          <w:highlight w:val="none"/>
          <w:lang w:val="en-US" w:eastAsia="zh-CN" w:bidi="ar-SA"/>
        </w:rPr>
        <w:t>★</w:t>
      </w:r>
      <w:r>
        <w:rPr>
          <w:rStyle w:val="19"/>
          <w:rFonts w:hint="eastAsia" w:ascii="宋体" w:hAnsi="宋体" w:eastAsia="宋体" w:cs="宋体"/>
          <w:bCs w:val="0"/>
          <w:color w:val="auto"/>
          <w:sz w:val="28"/>
          <w:szCs w:val="28"/>
          <w:highlight w:val="none"/>
          <w:lang w:val="en-US" w:bidi="ar-SA"/>
        </w:rPr>
        <w:t>条款为实质性响应条款，不满足则作为无效标处理）</w:t>
      </w:r>
    </w:p>
    <w:bookmarkEnd w:id="16"/>
    <w:p w14:paraId="7155E38E">
      <w:pPr>
        <w:pStyle w:val="9"/>
        <w:rPr>
          <w:rFonts w:hint="eastAsia"/>
          <w:highlight w:val="none"/>
          <w:lang w:val="en-US"/>
        </w:rPr>
      </w:pPr>
    </w:p>
    <w:p w14:paraId="100B5E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bookmarkStart w:id="17" w:name="_Toc23150"/>
      <w:bookmarkStart w:id="18" w:name="_Toc2534"/>
      <w:bookmarkStart w:id="19" w:name="_Toc25383"/>
      <w:bookmarkStart w:id="20" w:name="_Toc21851"/>
      <w:bookmarkStart w:id="21" w:name="_Toc20166"/>
      <w:bookmarkStart w:id="22" w:name="_Toc18209"/>
      <w:r>
        <w:rPr>
          <w:rFonts w:hint="eastAsia" w:ascii="宋体" w:hAnsi="宋体" w:eastAsia="宋体" w:cs="宋体"/>
          <w:spacing w:val="0"/>
          <w:sz w:val="24"/>
          <w:szCs w:val="24"/>
          <w:highlight w:val="none"/>
        </w:rPr>
        <w:t>一、医学影像科飞利浦16排CT(含球管)设备全保需求：</w:t>
      </w:r>
    </w:p>
    <w:p w14:paraId="776A1E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 维保期间，乙方免费更换飞利浦16排CT(含球管)维保所需的含球管的所有配件。</w:t>
      </w:r>
    </w:p>
    <w:p w14:paraId="434F85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2.乙方提供每年4次预防性保养(两次大保养和贰次基本保养),且保养报告可以用于市场监督管理部门的检查，或者出现特殊情况时能证明设备使用处于安全状态加无限次叫修服务。</w:t>
      </w:r>
    </w:p>
    <w:p w14:paraId="6DDB39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3.乙方需定期对硬件及软件部分提供安全性服务升级。</w:t>
      </w:r>
    </w:p>
    <w:p w14:paraId="3E05C1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4.乙方提供7*24小时免费服务电话，资深工程师1小时内电话响应，接到用户报障电话后现场响应时间不超过4小时。</w:t>
      </w:r>
    </w:p>
    <w:p w14:paraId="471564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5.乙方定期维护服务间隔进行，具体内容包括：a 系统基本情况检查；b 图像质量检查；c 机架、主机等使用情况检查；d 重建系统检查；e 软件更新等。</w:t>
      </w:r>
    </w:p>
    <w:p w14:paraId="6735B4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6.乙方每季度应对维保标的设备完成1次维护、保养，计划性定期的维修服务检测包括设备清洁、性能测试及校准、必要的机械或电气的检查，以及非紧急性质的补救性维修，并定期对设备的数据进行备份。</w:t>
      </w:r>
    </w:p>
    <w:p w14:paraId="5A8510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7.保证年开机率≥95%(一年按365天计算，不分节假日),即一年停机不能超过18天；若开机率低于95%,停机时间每超过一天，则顺延五天保修期(由院方造成的延时以及人力不可抗因素除外)。</w:t>
      </w:r>
    </w:p>
    <w:p w14:paraId="776FB5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二、医学影像科飞利浦16排CT球管参数，维保期内无条件免费更换全新原厂球管，以下为原厂球管参数：</w:t>
      </w:r>
    </w:p>
    <w:p w14:paraId="510D88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飞利浦 Brilliance    16排 CT 球管参数</w:t>
      </w:r>
    </w:p>
    <w:tbl>
      <w:tblPr>
        <w:tblStyle w:val="20"/>
        <w:tblW w:w="8303" w:type="dxa"/>
        <w:tblInd w:w="8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3"/>
      </w:tblGrid>
      <w:tr w14:paraId="212DD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5DC64B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color w:val="306060"/>
                <w:spacing w:val="0"/>
                <w:sz w:val="24"/>
                <w:szCs w:val="24"/>
                <w:highlight w:val="none"/>
              </w:rPr>
              <w:t>一、技术参数：</w:t>
            </w:r>
          </w:p>
        </w:tc>
      </w:tr>
      <w:tr w14:paraId="6EA5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58D4CF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spacing w:val="0"/>
                <w:sz w:val="24"/>
                <w:szCs w:val="24"/>
                <w:highlight w:val="none"/>
              </w:rPr>
              <w:t>1.球管阳极热容量≥8.0MHU;</w:t>
            </w:r>
          </w:p>
        </w:tc>
      </w:tr>
      <w:tr w14:paraId="00D2C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58E655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spacing w:val="0"/>
                <w:sz w:val="24"/>
                <w:szCs w:val="24"/>
                <w:highlight w:val="none"/>
              </w:rPr>
              <w:t>2.阳极最大散热率≥1600KHU/min;</w:t>
            </w:r>
          </w:p>
        </w:tc>
      </w:tr>
      <w:tr w14:paraId="4B795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67286B16">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3.球管最大电流≥500mA;</w:t>
            </w:r>
          </w:p>
        </w:tc>
      </w:tr>
      <w:tr w14:paraId="5D1F9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4E08190D">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4.球管最大电压≥140KV;</w:t>
            </w:r>
          </w:p>
        </w:tc>
      </w:tr>
      <w:tr w14:paraId="3D78A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41BA2AE9">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5.球管大焦点≤1.0×1.0mm;</w:t>
            </w:r>
          </w:p>
        </w:tc>
      </w:tr>
      <w:tr w14:paraId="4DC4E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42363D59">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6.球管小焦点≤0.5×1.0mm;</w:t>
            </w:r>
          </w:p>
        </w:tc>
      </w:tr>
      <w:tr w14:paraId="2EA0A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55C6F8BB">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7.输入功率≥120KW;</w:t>
            </w:r>
          </w:p>
        </w:tc>
      </w:tr>
      <w:tr w14:paraId="3DA6F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1778ABA4">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8.阳极尺寸：200 mm;</w:t>
            </w:r>
          </w:p>
        </w:tc>
      </w:tr>
      <w:tr w14:paraId="309C7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303" w:type="dxa"/>
            <w:vAlign w:val="top"/>
          </w:tcPr>
          <w:p w14:paraId="040F9D36">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9.阳极靶角：7°;</w:t>
            </w:r>
          </w:p>
        </w:tc>
      </w:tr>
      <w:tr w14:paraId="7D917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303" w:type="dxa"/>
            <w:vAlign w:val="top"/>
          </w:tcPr>
          <w:p w14:paraId="4C0A17D6">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10.转速：6300 RPM;</w:t>
            </w:r>
          </w:p>
        </w:tc>
      </w:tr>
    </w:tbl>
    <w:p w14:paraId="0BAE6AE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sz w:val="24"/>
          <w:szCs w:val="24"/>
          <w:highlight w:val="none"/>
        </w:rPr>
      </w:pPr>
    </w:p>
    <w:p w14:paraId="4CEAE0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三 、医学影像科飞利浦16排CT (含球管)维保期内，供应商需免费更换所有配件，主要容易更换配件有：</w:t>
      </w:r>
    </w:p>
    <w:p w14:paraId="56F90108">
      <w:pPr>
        <w:rPr>
          <w:rFonts w:hint="eastAsia" w:ascii="宋体" w:hAnsi="宋体" w:eastAsia="宋体" w:cs="宋体"/>
          <w:spacing w:val="0"/>
          <w:sz w:val="24"/>
          <w:szCs w:val="24"/>
          <w:highlight w:val="none"/>
        </w:rPr>
      </w:pPr>
      <w:r>
        <w:rPr>
          <w:rFonts w:hint="eastAsia" w:ascii="宋体" w:hAnsi="宋体" w:eastAsia="宋体" w:cs="宋体"/>
          <w:b/>
          <w:bCs/>
          <w:spacing w:val="0"/>
          <w:sz w:val="24"/>
          <w:szCs w:val="24"/>
          <w:highlight w:val="none"/>
        </w:rPr>
        <w:t>飞利浦16排CT(Brilliance16CT)     部分主要备件明细</w:t>
      </w:r>
    </w:p>
    <w:p w14:paraId="37E84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p>
    <w:tbl>
      <w:tblPr>
        <w:tblStyle w:val="20"/>
        <w:tblW w:w="95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2042"/>
        <w:gridCol w:w="2210"/>
        <w:gridCol w:w="673"/>
        <w:gridCol w:w="1600"/>
        <w:gridCol w:w="2300"/>
      </w:tblGrid>
      <w:tr w14:paraId="4E4C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78" w:type="dxa"/>
            <w:vAlign w:val="top"/>
          </w:tcPr>
          <w:p w14:paraId="0ABEA5B1">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序号</w:t>
            </w:r>
          </w:p>
        </w:tc>
        <w:tc>
          <w:tcPr>
            <w:tcW w:w="2042" w:type="dxa"/>
            <w:vAlign w:val="top"/>
          </w:tcPr>
          <w:p w14:paraId="28D41C17">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零备件名称</w:t>
            </w:r>
          </w:p>
        </w:tc>
        <w:tc>
          <w:tcPr>
            <w:tcW w:w="2210" w:type="dxa"/>
            <w:vAlign w:val="top"/>
          </w:tcPr>
          <w:p w14:paraId="20922EBD">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市场价(单位：元)</w:t>
            </w:r>
          </w:p>
        </w:tc>
        <w:tc>
          <w:tcPr>
            <w:tcW w:w="673" w:type="dxa"/>
            <w:vAlign w:val="top"/>
          </w:tcPr>
          <w:p w14:paraId="08D357DE">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序号</w:t>
            </w:r>
          </w:p>
        </w:tc>
        <w:tc>
          <w:tcPr>
            <w:tcW w:w="1600" w:type="dxa"/>
            <w:vAlign w:val="top"/>
          </w:tcPr>
          <w:p w14:paraId="0C2D9B13">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零备件名称</w:t>
            </w:r>
          </w:p>
        </w:tc>
        <w:tc>
          <w:tcPr>
            <w:tcW w:w="2300" w:type="dxa"/>
            <w:vAlign w:val="top"/>
          </w:tcPr>
          <w:p w14:paraId="2FE95C79">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市场价(单位：元)</w:t>
            </w:r>
          </w:p>
        </w:tc>
      </w:tr>
      <w:tr w14:paraId="740A4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78" w:type="dxa"/>
            <w:vAlign w:val="top"/>
          </w:tcPr>
          <w:p w14:paraId="6C5886BF">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w:t>
            </w:r>
          </w:p>
        </w:tc>
        <w:tc>
          <w:tcPr>
            <w:tcW w:w="2042" w:type="dxa"/>
            <w:vAlign w:val="top"/>
          </w:tcPr>
          <w:p w14:paraId="5D12E065">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X射线管(球管)</w:t>
            </w:r>
          </w:p>
        </w:tc>
        <w:tc>
          <w:tcPr>
            <w:tcW w:w="2210" w:type="dxa"/>
            <w:vAlign w:val="top"/>
          </w:tcPr>
          <w:p w14:paraId="05A47707">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default" w:ascii="宋体" w:hAnsi="宋体" w:eastAsia="宋体" w:cs="宋体"/>
                <w:strike w:val="0"/>
                <w:dstrike w:val="0"/>
                <w:spacing w:val="0"/>
                <w:sz w:val="24"/>
                <w:szCs w:val="24"/>
                <w:highlight w:val="none"/>
                <w:lang w:val="en-US" w:eastAsia="zh-CN"/>
              </w:rPr>
            </w:pPr>
            <w:r>
              <w:rPr>
                <w:rFonts w:hint="eastAsia" w:ascii="宋体" w:hAnsi="宋体" w:eastAsia="宋体" w:cs="宋体"/>
                <w:strike w:val="0"/>
                <w:dstrike w:val="0"/>
                <w:spacing w:val="0"/>
                <w:sz w:val="24"/>
                <w:szCs w:val="24"/>
                <w:highlight w:val="none"/>
              </w:rPr>
              <w:t>1560000</w:t>
            </w:r>
            <w:r>
              <w:rPr>
                <w:rFonts w:hint="eastAsia" w:cs="宋体"/>
                <w:strike w:val="0"/>
                <w:dstrike w:val="0"/>
                <w:spacing w:val="0"/>
                <w:sz w:val="24"/>
                <w:szCs w:val="24"/>
                <w:highlight w:val="none"/>
                <w:lang w:val="en-US" w:eastAsia="zh-CN"/>
              </w:rPr>
              <w:t>.00</w:t>
            </w:r>
          </w:p>
        </w:tc>
        <w:tc>
          <w:tcPr>
            <w:tcW w:w="673" w:type="dxa"/>
            <w:vAlign w:val="top"/>
          </w:tcPr>
          <w:p w14:paraId="53620FB8">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12</w:t>
            </w:r>
          </w:p>
        </w:tc>
        <w:tc>
          <w:tcPr>
            <w:tcW w:w="1600" w:type="dxa"/>
            <w:vAlign w:val="top"/>
          </w:tcPr>
          <w:p w14:paraId="419E00AF">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电磁制动器</w:t>
            </w:r>
          </w:p>
        </w:tc>
        <w:tc>
          <w:tcPr>
            <w:tcW w:w="2300" w:type="dxa"/>
            <w:vAlign w:val="top"/>
          </w:tcPr>
          <w:p w14:paraId="549DCD9E">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50844.35</w:t>
            </w:r>
          </w:p>
        </w:tc>
      </w:tr>
      <w:tr w14:paraId="299B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78" w:type="dxa"/>
            <w:vAlign w:val="top"/>
          </w:tcPr>
          <w:p w14:paraId="44EC3D56">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w:t>
            </w:r>
          </w:p>
        </w:tc>
        <w:tc>
          <w:tcPr>
            <w:tcW w:w="2042" w:type="dxa"/>
            <w:vAlign w:val="top"/>
          </w:tcPr>
          <w:p w14:paraId="61E5CDD0">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高压发生器</w:t>
            </w:r>
          </w:p>
        </w:tc>
        <w:tc>
          <w:tcPr>
            <w:tcW w:w="2210" w:type="dxa"/>
            <w:vAlign w:val="top"/>
          </w:tcPr>
          <w:p w14:paraId="3497FBA5">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886383.3</w:t>
            </w:r>
          </w:p>
        </w:tc>
        <w:tc>
          <w:tcPr>
            <w:tcW w:w="673" w:type="dxa"/>
            <w:vAlign w:val="top"/>
          </w:tcPr>
          <w:p w14:paraId="15D42166">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13</w:t>
            </w:r>
          </w:p>
        </w:tc>
        <w:tc>
          <w:tcPr>
            <w:tcW w:w="1600" w:type="dxa"/>
            <w:vAlign w:val="top"/>
          </w:tcPr>
          <w:p w14:paraId="6854B8AD">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激光定位器</w:t>
            </w:r>
          </w:p>
        </w:tc>
        <w:tc>
          <w:tcPr>
            <w:tcW w:w="2300" w:type="dxa"/>
            <w:vAlign w:val="top"/>
          </w:tcPr>
          <w:p w14:paraId="478E5965">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9011.75</w:t>
            </w:r>
          </w:p>
        </w:tc>
      </w:tr>
      <w:tr w14:paraId="09B52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678" w:type="dxa"/>
            <w:vAlign w:val="top"/>
          </w:tcPr>
          <w:p w14:paraId="66B799A4">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w:t>
            </w:r>
          </w:p>
        </w:tc>
        <w:tc>
          <w:tcPr>
            <w:tcW w:w="2042" w:type="dxa"/>
            <w:vAlign w:val="top"/>
          </w:tcPr>
          <w:p w14:paraId="217B055B">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探测器模块</w:t>
            </w:r>
          </w:p>
        </w:tc>
        <w:tc>
          <w:tcPr>
            <w:tcW w:w="2210" w:type="dxa"/>
            <w:vAlign w:val="top"/>
          </w:tcPr>
          <w:p w14:paraId="62DD1BC9">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231333.6</w:t>
            </w:r>
          </w:p>
        </w:tc>
        <w:tc>
          <w:tcPr>
            <w:tcW w:w="673" w:type="dxa"/>
            <w:vAlign w:val="top"/>
          </w:tcPr>
          <w:p w14:paraId="2EE52D94">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14</w:t>
            </w:r>
          </w:p>
        </w:tc>
        <w:tc>
          <w:tcPr>
            <w:tcW w:w="1600" w:type="dxa"/>
            <w:vAlign w:val="top"/>
          </w:tcPr>
          <w:p w14:paraId="655B5086">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环形传动带</w:t>
            </w:r>
          </w:p>
        </w:tc>
        <w:tc>
          <w:tcPr>
            <w:tcW w:w="2300" w:type="dxa"/>
            <w:vAlign w:val="top"/>
          </w:tcPr>
          <w:p w14:paraId="3C3E072F">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12802.9</w:t>
            </w:r>
          </w:p>
        </w:tc>
      </w:tr>
      <w:tr w14:paraId="49C4D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78" w:type="dxa"/>
            <w:vAlign w:val="top"/>
          </w:tcPr>
          <w:p w14:paraId="11F2ABC7">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4</w:t>
            </w:r>
          </w:p>
        </w:tc>
        <w:tc>
          <w:tcPr>
            <w:tcW w:w="2042" w:type="dxa"/>
            <w:vAlign w:val="top"/>
          </w:tcPr>
          <w:p w14:paraId="5EFF51F7">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编码器</w:t>
            </w:r>
          </w:p>
        </w:tc>
        <w:tc>
          <w:tcPr>
            <w:tcW w:w="2210" w:type="dxa"/>
            <w:vAlign w:val="top"/>
          </w:tcPr>
          <w:p w14:paraId="6315AB89">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67590.95</w:t>
            </w:r>
          </w:p>
        </w:tc>
        <w:tc>
          <w:tcPr>
            <w:tcW w:w="673" w:type="dxa"/>
            <w:vAlign w:val="top"/>
          </w:tcPr>
          <w:p w14:paraId="1D22F1EF">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15</w:t>
            </w:r>
          </w:p>
        </w:tc>
        <w:tc>
          <w:tcPr>
            <w:tcW w:w="1600" w:type="dxa"/>
            <w:vAlign w:val="top"/>
          </w:tcPr>
          <w:p w14:paraId="7C62A575">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机床轴承</w:t>
            </w:r>
          </w:p>
        </w:tc>
        <w:tc>
          <w:tcPr>
            <w:tcW w:w="2300" w:type="dxa"/>
            <w:vAlign w:val="top"/>
          </w:tcPr>
          <w:p w14:paraId="322D53C1">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11588.15</w:t>
            </w:r>
          </w:p>
        </w:tc>
      </w:tr>
      <w:tr w14:paraId="7ADD8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78" w:type="dxa"/>
            <w:vAlign w:val="top"/>
          </w:tcPr>
          <w:p w14:paraId="32EA7733">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w:t>
            </w:r>
          </w:p>
        </w:tc>
        <w:tc>
          <w:tcPr>
            <w:tcW w:w="2042" w:type="dxa"/>
            <w:vAlign w:val="top"/>
          </w:tcPr>
          <w:p w14:paraId="7013DB3E">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金属电刷</w:t>
            </w:r>
          </w:p>
        </w:tc>
        <w:tc>
          <w:tcPr>
            <w:tcW w:w="2210" w:type="dxa"/>
            <w:vAlign w:val="top"/>
          </w:tcPr>
          <w:p w14:paraId="1A09A301">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48284.9</w:t>
            </w:r>
          </w:p>
        </w:tc>
        <w:tc>
          <w:tcPr>
            <w:tcW w:w="673" w:type="dxa"/>
            <w:vAlign w:val="top"/>
          </w:tcPr>
          <w:p w14:paraId="6C9F10A6">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16</w:t>
            </w:r>
          </w:p>
        </w:tc>
        <w:tc>
          <w:tcPr>
            <w:tcW w:w="1600" w:type="dxa"/>
            <w:vAlign w:val="top"/>
          </w:tcPr>
          <w:p w14:paraId="7BCD4361">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CT机操作面板</w:t>
            </w:r>
          </w:p>
        </w:tc>
        <w:tc>
          <w:tcPr>
            <w:tcW w:w="2300" w:type="dxa"/>
            <w:vAlign w:val="top"/>
          </w:tcPr>
          <w:p w14:paraId="2371F7E2">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70156.05</w:t>
            </w:r>
          </w:p>
        </w:tc>
      </w:tr>
      <w:tr w14:paraId="008E6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678" w:type="dxa"/>
            <w:vAlign w:val="top"/>
          </w:tcPr>
          <w:p w14:paraId="5B7C6BA1">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6</w:t>
            </w:r>
          </w:p>
        </w:tc>
        <w:tc>
          <w:tcPr>
            <w:tcW w:w="2042" w:type="dxa"/>
            <w:vAlign w:val="top"/>
          </w:tcPr>
          <w:p w14:paraId="26F7E3BE">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CT机纵向驱动模块</w:t>
            </w:r>
          </w:p>
        </w:tc>
        <w:tc>
          <w:tcPr>
            <w:tcW w:w="2210" w:type="dxa"/>
            <w:vAlign w:val="top"/>
          </w:tcPr>
          <w:p w14:paraId="37ACB3FB">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286353.3</w:t>
            </w:r>
          </w:p>
        </w:tc>
        <w:tc>
          <w:tcPr>
            <w:tcW w:w="673" w:type="dxa"/>
            <w:vAlign w:val="top"/>
          </w:tcPr>
          <w:p w14:paraId="7531ACBA">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17</w:t>
            </w:r>
          </w:p>
        </w:tc>
        <w:tc>
          <w:tcPr>
            <w:tcW w:w="1600" w:type="dxa"/>
            <w:vAlign w:val="top"/>
          </w:tcPr>
          <w:p w14:paraId="639F90CE">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补偿器</w:t>
            </w:r>
          </w:p>
        </w:tc>
        <w:tc>
          <w:tcPr>
            <w:tcW w:w="2300" w:type="dxa"/>
            <w:vAlign w:val="top"/>
          </w:tcPr>
          <w:p w14:paraId="6ADFFD93">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17113.85</w:t>
            </w:r>
          </w:p>
        </w:tc>
      </w:tr>
      <w:tr w14:paraId="19CF4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78" w:type="dxa"/>
            <w:vAlign w:val="top"/>
          </w:tcPr>
          <w:p w14:paraId="1195C772">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7</w:t>
            </w:r>
          </w:p>
        </w:tc>
        <w:tc>
          <w:tcPr>
            <w:tcW w:w="2042" w:type="dxa"/>
            <w:vAlign w:val="top"/>
          </w:tcPr>
          <w:p w14:paraId="2C61C77A">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轴流风扇</w:t>
            </w:r>
          </w:p>
        </w:tc>
        <w:tc>
          <w:tcPr>
            <w:tcW w:w="2210" w:type="dxa"/>
            <w:vAlign w:val="top"/>
          </w:tcPr>
          <w:p w14:paraId="14027649">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3231.8</w:t>
            </w:r>
          </w:p>
        </w:tc>
        <w:tc>
          <w:tcPr>
            <w:tcW w:w="673" w:type="dxa"/>
            <w:vAlign w:val="top"/>
          </w:tcPr>
          <w:p w14:paraId="645AD579">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18</w:t>
            </w:r>
          </w:p>
        </w:tc>
        <w:tc>
          <w:tcPr>
            <w:tcW w:w="1600" w:type="dxa"/>
            <w:vAlign w:val="top"/>
          </w:tcPr>
          <w:p w14:paraId="2F6F9910">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同轴电缆</w:t>
            </w:r>
          </w:p>
        </w:tc>
        <w:tc>
          <w:tcPr>
            <w:tcW w:w="2300" w:type="dxa"/>
            <w:vAlign w:val="top"/>
          </w:tcPr>
          <w:p w14:paraId="754A8731">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5746.05</w:t>
            </w:r>
          </w:p>
        </w:tc>
      </w:tr>
      <w:tr w14:paraId="088BE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78" w:type="dxa"/>
            <w:vAlign w:val="top"/>
          </w:tcPr>
          <w:p w14:paraId="15342221">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8</w:t>
            </w:r>
          </w:p>
        </w:tc>
        <w:tc>
          <w:tcPr>
            <w:tcW w:w="2042" w:type="dxa"/>
            <w:vAlign w:val="top"/>
          </w:tcPr>
          <w:p w14:paraId="2BF61557">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CT机阳极启动器</w:t>
            </w:r>
          </w:p>
        </w:tc>
        <w:tc>
          <w:tcPr>
            <w:tcW w:w="2210" w:type="dxa"/>
            <w:vAlign w:val="top"/>
          </w:tcPr>
          <w:p w14:paraId="62F53375">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215242.4</w:t>
            </w:r>
          </w:p>
        </w:tc>
        <w:tc>
          <w:tcPr>
            <w:tcW w:w="673" w:type="dxa"/>
            <w:vAlign w:val="top"/>
          </w:tcPr>
          <w:p w14:paraId="46EAE94C">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19</w:t>
            </w:r>
          </w:p>
        </w:tc>
        <w:tc>
          <w:tcPr>
            <w:tcW w:w="1600" w:type="dxa"/>
            <w:vAlign w:val="top"/>
          </w:tcPr>
          <w:p w14:paraId="3CE07C06">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准直器</w:t>
            </w:r>
          </w:p>
        </w:tc>
        <w:tc>
          <w:tcPr>
            <w:tcW w:w="2300" w:type="dxa"/>
            <w:vAlign w:val="top"/>
          </w:tcPr>
          <w:p w14:paraId="11492A60">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788062</w:t>
            </w:r>
          </w:p>
        </w:tc>
      </w:tr>
      <w:tr w14:paraId="79A25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678" w:type="dxa"/>
            <w:vAlign w:val="top"/>
          </w:tcPr>
          <w:p w14:paraId="0A96C968">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9</w:t>
            </w:r>
          </w:p>
        </w:tc>
        <w:tc>
          <w:tcPr>
            <w:tcW w:w="2042" w:type="dxa"/>
            <w:vAlign w:val="top"/>
          </w:tcPr>
          <w:p w14:paraId="3B9A58F3">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发射盒</w:t>
            </w:r>
          </w:p>
        </w:tc>
        <w:tc>
          <w:tcPr>
            <w:tcW w:w="2210" w:type="dxa"/>
            <w:vAlign w:val="top"/>
          </w:tcPr>
          <w:p w14:paraId="01DCB674">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166657.2</w:t>
            </w:r>
          </w:p>
        </w:tc>
        <w:tc>
          <w:tcPr>
            <w:tcW w:w="673" w:type="dxa"/>
            <w:vAlign w:val="top"/>
          </w:tcPr>
          <w:p w14:paraId="08F9122C">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20</w:t>
            </w:r>
          </w:p>
        </w:tc>
        <w:tc>
          <w:tcPr>
            <w:tcW w:w="1600" w:type="dxa"/>
            <w:vAlign w:val="top"/>
          </w:tcPr>
          <w:p w14:paraId="5460A1FB">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机床电机</w:t>
            </w:r>
          </w:p>
        </w:tc>
        <w:tc>
          <w:tcPr>
            <w:tcW w:w="2300" w:type="dxa"/>
            <w:vAlign w:val="top"/>
          </w:tcPr>
          <w:p w14:paraId="38DAE3BD">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45284.9</w:t>
            </w:r>
          </w:p>
        </w:tc>
      </w:tr>
      <w:tr w14:paraId="254D9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78" w:type="dxa"/>
            <w:vAlign w:val="top"/>
          </w:tcPr>
          <w:p w14:paraId="21CAAA8B">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10</w:t>
            </w:r>
          </w:p>
        </w:tc>
        <w:tc>
          <w:tcPr>
            <w:tcW w:w="2042" w:type="dxa"/>
            <w:vAlign w:val="top"/>
          </w:tcPr>
          <w:p w14:paraId="5D0DAB0A">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滑环</w:t>
            </w:r>
          </w:p>
        </w:tc>
        <w:tc>
          <w:tcPr>
            <w:tcW w:w="2210" w:type="dxa"/>
            <w:vAlign w:val="top"/>
          </w:tcPr>
          <w:p w14:paraId="0FB29A4D">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653218</w:t>
            </w:r>
          </w:p>
        </w:tc>
        <w:tc>
          <w:tcPr>
            <w:tcW w:w="673" w:type="dxa"/>
            <w:vAlign w:val="top"/>
          </w:tcPr>
          <w:p w14:paraId="192B85C3">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21</w:t>
            </w:r>
          </w:p>
        </w:tc>
        <w:tc>
          <w:tcPr>
            <w:tcW w:w="1600" w:type="dxa"/>
            <w:vAlign w:val="top"/>
          </w:tcPr>
          <w:p w14:paraId="283E8882">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电源板</w:t>
            </w:r>
          </w:p>
        </w:tc>
        <w:tc>
          <w:tcPr>
            <w:tcW w:w="2300" w:type="dxa"/>
            <w:vAlign w:val="top"/>
          </w:tcPr>
          <w:p w14:paraId="7926F4C8">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23452.6</w:t>
            </w:r>
          </w:p>
        </w:tc>
      </w:tr>
      <w:tr w14:paraId="568A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78" w:type="dxa"/>
            <w:vAlign w:val="top"/>
          </w:tcPr>
          <w:p w14:paraId="341DDAB3">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11</w:t>
            </w:r>
          </w:p>
        </w:tc>
        <w:tc>
          <w:tcPr>
            <w:tcW w:w="2042" w:type="dxa"/>
            <w:vAlign w:val="top"/>
          </w:tcPr>
          <w:p w14:paraId="2D7DDA55">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接收盒</w:t>
            </w:r>
          </w:p>
        </w:tc>
        <w:tc>
          <w:tcPr>
            <w:tcW w:w="2210" w:type="dxa"/>
            <w:vAlign w:val="top"/>
          </w:tcPr>
          <w:p w14:paraId="53932C0F">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152364</w:t>
            </w:r>
          </w:p>
        </w:tc>
        <w:tc>
          <w:tcPr>
            <w:tcW w:w="673" w:type="dxa"/>
            <w:vAlign w:val="top"/>
          </w:tcPr>
          <w:p w14:paraId="7E5E78AA">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22</w:t>
            </w:r>
          </w:p>
        </w:tc>
        <w:tc>
          <w:tcPr>
            <w:tcW w:w="1600" w:type="dxa"/>
            <w:vAlign w:val="top"/>
          </w:tcPr>
          <w:p w14:paraId="5A95953E">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机床主控板</w:t>
            </w:r>
          </w:p>
        </w:tc>
        <w:tc>
          <w:tcPr>
            <w:tcW w:w="2300" w:type="dxa"/>
            <w:vAlign w:val="top"/>
          </w:tcPr>
          <w:p w14:paraId="08EC5768">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62589.2</w:t>
            </w:r>
          </w:p>
        </w:tc>
      </w:tr>
      <w:tr w14:paraId="20E4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78" w:type="dxa"/>
            <w:vAlign w:val="top"/>
          </w:tcPr>
          <w:p w14:paraId="707CDF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p>
        </w:tc>
        <w:tc>
          <w:tcPr>
            <w:tcW w:w="2042" w:type="dxa"/>
            <w:vAlign w:val="top"/>
          </w:tcPr>
          <w:p w14:paraId="302762BF">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合计</w:t>
            </w:r>
          </w:p>
        </w:tc>
        <w:tc>
          <w:tcPr>
            <w:tcW w:w="2210" w:type="dxa"/>
            <w:vAlign w:val="top"/>
          </w:tcPr>
          <w:p w14:paraId="749752AC">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4270659.45</w:t>
            </w:r>
          </w:p>
        </w:tc>
        <w:tc>
          <w:tcPr>
            <w:tcW w:w="673" w:type="dxa"/>
            <w:vAlign w:val="top"/>
          </w:tcPr>
          <w:p w14:paraId="26F781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p>
        </w:tc>
        <w:tc>
          <w:tcPr>
            <w:tcW w:w="1600" w:type="dxa"/>
            <w:vAlign w:val="top"/>
          </w:tcPr>
          <w:p w14:paraId="63C6B27D">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spacing w:val="0"/>
                <w:sz w:val="24"/>
                <w:szCs w:val="24"/>
                <w:highlight w:val="none"/>
              </w:rPr>
            </w:pPr>
            <w:r>
              <w:rPr>
                <w:rFonts w:hint="eastAsia" w:ascii="宋体" w:hAnsi="宋体" w:eastAsia="宋体" w:cs="宋体"/>
                <w:strike w:val="0"/>
                <w:spacing w:val="0"/>
                <w:sz w:val="24"/>
                <w:szCs w:val="24"/>
                <w:highlight w:val="none"/>
              </w:rPr>
              <w:t>合计</w:t>
            </w:r>
          </w:p>
        </w:tc>
        <w:tc>
          <w:tcPr>
            <w:tcW w:w="2300" w:type="dxa"/>
            <w:vAlign w:val="top"/>
          </w:tcPr>
          <w:p w14:paraId="53EA3536">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strike w:val="0"/>
                <w:dstrike w:val="0"/>
                <w:spacing w:val="0"/>
                <w:sz w:val="24"/>
                <w:szCs w:val="24"/>
                <w:highlight w:val="none"/>
              </w:rPr>
            </w:pPr>
            <w:r>
              <w:rPr>
                <w:rFonts w:hint="eastAsia" w:ascii="宋体" w:hAnsi="宋体" w:eastAsia="宋体" w:cs="宋体"/>
                <w:strike w:val="0"/>
                <w:dstrike w:val="0"/>
                <w:spacing w:val="0"/>
                <w:sz w:val="24"/>
                <w:szCs w:val="24"/>
                <w:highlight w:val="none"/>
              </w:rPr>
              <w:t>1096651.8</w:t>
            </w:r>
          </w:p>
        </w:tc>
      </w:tr>
    </w:tbl>
    <w:p w14:paraId="2CDFCE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rPr>
      </w:pPr>
    </w:p>
    <w:p w14:paraId="0266AB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四</w:t>
      </w:r>
      <w:r>
        <w:rPr>
          <w:rFonts w:hint="eastAsia" w:ascii="宋体" w:hAnsi="宋体" w:eastAsia="宋体" w:cs="宋体"/>
          <w:strike w:val="0"/>
          <w:dstrike w:val="0"/>
          <w:spacing w:val="0"/>
          <w:sz w:val="24"/>
          <w:szCs w:val="24"/>
          <w:highlight w:val="none"/>
        </w:rPr>
        <w:t>、医学影像科飞利浦16排CT (含球管)全保要求原厂或授权售后代理商，或者第三方维修公司(具备条件：具有IS09001 和13485认证，证书在官方指定网站查询，并</w:t>
      </w:r>
      <w:r>
        <w:rPr>
          <w:rFonts w:hint="eastAsia" w:ascii="宋体" w:hAnsi="宋体" w:eastAsia="宋体" w:cs="宋体"/>
          <w:spacing w:val="0"/>
          <w:sz w:val="24"/>
          <w:szCs w:val="24"/>
          <w:highlight w:val="none"/>
        </w:rPr>
        <w:t>提供相关核心部件合法、合规的采购证明</w:t>
      </w:r>
      <w:r>
        <w:rPr>
          <w:rFonts w:hint="eastAsia" w:cs="宋体"/>
          <w:spacing w:val="0"/>
          <w:sz w:val="24"/>
          <w:szCs w:val="24"/>
          <w:highlight w:val="none"/>
          <w:lang w:eastAsia="zh-CN"/>
        </w:rPr>
        <w:t>。</w:t>
      </w:r>
    </w:p>
    <w:p w14:paraId="71F91045">
      <w:pPr>
        <w:spacing w:line="360" w:lineRule="auto"/>
        <w:rPr>
          <w:rFonts w:hint="eastAsia" w:ascii="新宋体" w:hAnsi="新宋体" w:eastAsia="新宋体" w:cs="新宋体"/>
          <w:sz w:val="28"/>
          <w:szCs w:val="28"/>
          <w:highlight w:val="none"/>
        </w:rPr>
        <w:sectPr>
          <w:pgSz w:w="11911" w:h="16838"/>
          <w:pgMar w:top="1417" w:right="1020" w:bottom="1417" w:left="1020" w:header="794" w:footer="828" w:gutter="0"/>
          <w:pgBorders>
            <w:top w:val="none" w:sz="0" w:space="0"/>
            <w:left w:val="none" w:sz="0" w:space="0"/>
            <w:bottom w:val="none" w:sz="0" w:space="0"/>
            <w:right w:val="none" w:sz="0" w:space="0"/>
          </w:pgBorders>
          <w:pgNumType w:fmt="decimal"/>
          <w:cols w:space="0" w:num="1"/>
          <w:rtlGutter w:val="0"/>
          <w:docGrid w:linePitch="312" w:charSpace="0"/>
        </w:sectPr>
      </w:pPr>
    </w:p>
    <w:p w14:paraId="5DAB582A">
      <w:pPr>
        <w:rPr>
          <w:rFonts w:hint="default" w:eastAsia="宋体" w:cs="宋体"/>
          <w:color w:val="auto"/>
          <w:highlight w:val="none"/>
          <w:lang w:val="en-US" w:eastAsia="zh-CN"/>
        </w:rPr>
      </w:pPr>
    </w:p>
    <w:p w14:paraId="391E5EE2">
      <w:pPr>
        <w:pStyle w:val="15"/>
        <w:pageBreakBefore w:val="0"/>
        <w:numPr>
          <w:ilvl w:val="0"/>
          <w:numId w:val="1"/>
        </w:numPr>
        <w:tabs>
          <w:tab w:val="left" w:pos="4334"/>
        </w:tabs>
        <w:kinsoku/>
        <w:overflowPunct/>
        <w:topLinePunct w:val="0"/>
        <w:bidi w:val="0"/>
        <w:spacing w:before="85" w:line="440" w:lineRule="exact"/>
        <w:jc w:val="center"/>
        <w:rPr>
          <w:rFonts w:hint="default" w:eastAsia="宋体" w:cs="宋体"/>
          <w:color w:val="auto"/>
          <w:highlight w:val="none"/>
          <w:lang w:val="en-US" w:eastAsia="zh-CN"/>
        </w:rPr>
      </w:pPr>
      <w:bookmarkStart w:id="23" w:name="_Toc24327"/>
      <w:bookmarkStart w:id="24" w:name="_Toc10174"/>
      <w:bookmarkStart w:id="25" w:name="_Toc9593"/>
      <w:bookmarkStart w:id="26" w:name="_Toc17250"/>
      <w:r>
        <w:rPr>
          <w:rFonts w:hint="eastAsia" w:eastAsia="宋体" w:cs="宋体"/>
          <w:color w:val="auto"/>
          <w:highlight w:val="none"/>
          <w:lang w:val="en-US" w:eastAsia="zh-CN"/>
        </w:rPr>
        <w:t>商务要求</w:t>
      </w:r>
      <w:bookmarkEnd w:id="17"/>
      <w:bookmarkEnd w:id="18"/>
      <w:bookmarkEnd w:id="19"/>
      <w:bookmarkEnd w:id="20"/>
      <w:bookmarkEnd w:id="21"/>
      <w:bookmarkEnd w:id="22"/>
      <w:bookmarkEnd w:id="23"/>
      <w:bookmarkEnd w:id="24"/>
      <w:bookmarkEnd w:id="25"/>
      <w:bookmarkEnd w:id="26"/>
    </w:p>
    <w:p w14:paraId="1B9FAA09">
      <w:pPr>
        <w:pageBreakBefore w:val="0"/>
        <w:kinsoku/>
        <w:overflowPunct/>
        <w:topLinePunct w:val="0"/>
        <w:bidi w:val="0"/>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条款为实质性响应条款，不满足则作为无效标处理）</w:t>
      </w:r>
    </w:p>
    <w:p w14:paraId="75D1D93E">
      <w:pPr>
        <w:pageBreakBefore w:val="0"/>
        <w:kinsoku/>
        <w:overflowPunct/>
        <w:topLinePunct w:val="0"/>
        <w:bidi w:val="0"/>
        <w:spacing w:line="440" w:lineRule="exact"/>
        <w:jc w:val="center"/>
        <w:rPr>
          <w:rFonts w:hint="eastAsia" w:ascii="宋体" w:hAnsi="宋体" w:eastAsia="宋体" w:cs="宋体"/>
          <w:b/>
          <w:bCs/>
          <w:color w:val="auto"/>
          <w:sz w:val="28"/>
          <w:szCs w:val="28"/>
          <w:highlight w:val="none"/>
        </w:rPr>
      </w:pPr>
    </w:p>
    <w:p w14:paraId="2ECFDBFD">
      <w:pPr>
        <w:keepNext w:val="0"/>
        <w:keepLines w:val="0"/>
        <w:pageBreakBefore w:val="0"/>
        <w:widowControl/>
        <w:suppressLineNumbers w:val="0"/>
        <w:kinsoku/>
        <w:wordWrap/>
        <w:overflowPunct/>
        <w:topLinePunct w:val="0"/>
        <w:bidi w:val="0"/>
        <w:adjustRightInd/>
        <w:snapToGrid/>
        <w:spacing w:line="440" w:lineRule="exact"/>
        <w:ind w:firstLine="440" w:firstLineChars="200"/>
        <w:jc w:val="left"/>
        <w:textAlignment w:val="auto"/>
        <w:rPr>
          <w:color w:val="auto"/>
          <w:sz w:val="24"/>
          <w:szCs w:val="24"/>
          <w:highlight w:val="none"/>
        </w:rPr>
      </w:pPr>
      <w:r>
        <w:rPr>
          <w:rFonts w:hint="eastAsia" w:ascii="宋体" w:hAnsi="宋体" w:eastAsia="宋体" w:cs="宋体"/>
          <w:color w:val="auto"/>
          <w:highlight w:val="none"/>
          <w:lang w:val="en-US" w:eastAsia="zh-CN"/>
        </w:rPr>
        <w:t>★</w:t>
      </w:r>
      <w:r>
        <w:rPr>
          <w:rFonts w:hint="eastAsia" w:ascii="宋体" w:hAnsi="宋体" w:eastAsia="宋体" w:cs="宋体"/>
          <w:b/>
          <w:bCs/>
          <w:color w:val="auto"/>
          <w:kern w:val="0"/>
          <w:sz w:val="24"/>
          <w:szCs w:val="24"/>
          <w:highlight w:val="none"/>
          <w:lang w:val="en-US" w:eastAsia="zh-CN"/>
        </w:rPr>
        <w:t xml:space="preserve">一、服务期及服务地点 </w:t>
      </w:r>
    </w:p>
    <w:p w14:paraId="50FB47B5">
      <w:pPr>
        <w:keepNext w:val="0"/>
        <w:keepLines w:val="0"/>
        <w:pageBreakBefore w:val="0"/>
        <w:widowControl w:val="0"/>
        <w:kinsoku/>
        <w:overflowPunct/>
        <w:topLinePunct w:val="0"/>
        <w:autoSpaceDE/>
        <w:autoSpaceDN/>
        <w:bidi w:val="0"/>
        <w:adjustRightInd/>
        <w:snapToGrid w:val="0"/>
        <w:spacing w:line="440" w:lineRule="exact"/>
        <w:ind w:left="0" w:firstLine="480" w:firstLineChars="200"/>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lang w:eastAsia="zh-CN"/>
        </w:rPr>
        <w:t>合同履行期限：</w:t>
      </w:r>
      <w:r>
        <w:rPr>
          <w:rFonts w:hint="eastAsia" w:ascii="宋体" w:hAnsi="宋体" w:cs="宋体"/>
          <w:color w:val="auto"/>
          <w:sz w:val="24"/>
          <w:szCs w:val="24"/>
          <w:highlight w:val="none"/>
          <w:u w:val="none"/>
          <w:lang w:val="en-US" w:eastAsia="zh-CN"/>
        </w:rPr>
        <w:t xml:space="preserve"> 三年，合同一年一签，考核合格后，续签下一年合同。</w:t>
      </w:r>
    </w:p>
    <w:p w14:paraId="2C475669">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rPr>
        <w:t>2.服务地点：</w:t>
      </w:r>
      <w:r>
        <w:rPr>
          <w:rFonts w:hint="eastAsia" w:cs="宋体"/>
          <w:color w:val="auto"/>
          <w:kern w:val="0"/>
          <w:sz w:val="24"/>
          <w:szCs w:val="24"/>
          <w:highlight w:val="none"/>
          <w:lang w:val="en-US" w:eastAsia="zh-CN" w:bidi="ar"/>
        </w:rPr>
        <w:t>习水县人民医院</w:t>
      </w:r>
      <w:r>
        <w:rPr>
          <w:rFonts w:hint="eastAsia" w:ascii="宋体" w:hAnsi="宋体" w:eastAsia="宋体" w:cs="宋体"/>
          <w:color w:val="auto"/>
          <w:kern w:val="0"/>
          <w:sz w:val="24"/>
          <w:szCs w:val="24"/>
          <w:highlight w:val="none"/>
          <w:lang w:val="en-US" w:eastAsia="zh-CN"/>
        </w:rPr>
        <w:t xml:space="preserve">。 </w:t>
      </w:r>
    </w:p>
    <w:p w14:paraId="55236ACD">
      <w:pPr>
        <w:keepNext w:val="0"/>
        <w:keepLines w:val="0"/>
        <w:pageBreakBefore w:val="0"/>
        <w:widowControl/>
        <w:suppressLineNumbers w:val="0"/>
        <w:kinsoku/>
        <w:wordWrap/>
        <w:overflowPunct/>
        <w:topLinePunct w:val="0"/>
        <w:bidi w:val="0"/>
        <w:adjustRightInd/>
        <w:snapToGrid/>
        <w:spacing w:line="440" w:lineRule="exact"/>
        <w:ind w:firstLine="440" w:firstLineChars="200"/>
        <w:jc w:val="left"/>
        <w:textAlignment w:val="auto"/>
        <w:outlineLvl w:val="1"/>
        <w:rPr>
          <w:color w:val="auto"/>
          <w:sz w:val="24"/>
          <w:szCs w:val="24"/>
          <w:highlight w:val="none"/>
        </w:rPr>
      </w:pPr>
      <w:bookmarkStart w:id="27" w:name="_Toc32385"/>
      <w:bookmarkStart w:id="28" w:name="_Toc10687"/>
      <w:bookmarkStart w:id="29" w:name="_Toc23605"/>
      <w:bookmarkStart w:id="30" w:name="_Toc6362"/>
      <w:bookmarkStart w:id="31" w:name="_Toc1265"/>
      <w:bookmarkStart w:id="32" w:name="_Toc2089"/>
      <w:r>
        <w:rPr>
          <w:rFonts w:hint="eastAsia"/>
          <w:color w:val="auto"/>
          <w:highlight w:val="none"/>
          <w:lang w:val="en-US" w:eastAsia="zh-CN"/>
        </w:rPr>
        <w:t>★</w:t>
      </w:r>
      <w:r>
        <w:rPr>
          <w:rFonts w:hint="eastAsia" w:ascii="宋体" w:hAnsi="宋体" w:eastAsia="宋体" w:cs="宋体"/>
          <w:b/>
          <w:bCs/>
          <w:color w:val="auto"/>
          <w:kern w:val="0"/>
          <w:sz w:val="24"/>
          <w:szCs w:val="24"/>
          <w:highlight w:val="none"/>
          <w:lang w:val="en-US" w:eastAsia="zh-CN"/>
        </w:rPr>
        <w:t>二、验收标准、规范</w:t>
      </w:r>
      <w:bookmarkEnd w:id="27"/>
      <w:bookmarkEnd w:id="28"/>
      <w:bookmarkEnd w:id="29"/>
      <w:bookmarkEnd w:id="30"/>
      <w:bookmarkEnd w:id="31"/>
      <w:bookmarkEnd w:id="32"/>
      <w:r>
        <w:rPr>
          <w:rFonts w:hint="eastAsia" w:ascii="宋体" w:hAnsi="宋体" w:eastAsia="宋体" w:cs="宋体"/>
          <w:b/>
          <w:bCs/>
          <w:color w:val="auto"/>
          <w:kern w:val="0"/>
          <w:sz w:val="24"/>
          <w:szCs w:val="24"/>
          <w:highlight w:val="none"/>
          <w:lang w:val="en-US" w:eastAsia="zh-CN"/>
        </w:rPr>
        <w:t xml:space="preserve"> </w:t>
      </w:r>
    </w:p>
    <w:p w14:paraId="39F15273">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rPr>
        <w:t>1.验收标准：</w:t>
      </w:r>
      <w:r>
        <w:rPr>
          <w:rFonts w:hint="eastAsia" w:ascii="宋体" w:hAnsi="宋体" w:eastAsia="宋体" w:cs="宋体"/>
          <w:sz w:val="24"/>
          <w:szCs w:val="24"/>
          <w:highlight w:val="none"/>
        </w:rPr>
        <w:t>所有服务必须满足国家质量规范标准要求，监督检查或验收时根据国家现行质量规范标准要求进行，行业标准高于国家现行质量规范标准时，执行行业标准</w:t>
      </w:r>
      <w:r>
        <w:rPr>
          <w:rFonts w:hint="eastAsia" w:ascii="宋体" w:hAnsi="宋体" w:eastAsia="宋体" w:cs="宋体"/>
          <w:color w:val="auto"/>
          <w:kern w:val="0"/>
          <w:sz w:val="24"/>
          <w:szCs w:val="24"/>
          <w:highlight w:val="none"/>
          <w:lang w:val="en-US" w:eastAsia="zh-CN"/>
        </w:rPr>
        <w:t xml:space="preserve">。 </w:t>
      </w:r>
    </w:p>
    <w:p w14:paraId="4C09B379">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rPr>
        <w:t>2.验收规范：由采购人根据国家相关标准及</w:t>
      </w:r>
      <w:r>
        <w:rPr>
          <w:rFonts w:hint="eastAsia" w:ascii="宋体" w:hAnsi="宋体" w:cs="宋体"/>
          <w:color w:val="auto"/>
          <w:kern w:val="0"/>
          <w:sz w:val="24"/>
          <w:szCs w:val="24"/>
          <w:highlight w:val="none"/>
          <w:lang w:val="en-US" w:eastAsia="zh-CN"/>
        </w:rPr>
        <w:t>磋商文件</w:t>
      </w:r>
      <w:r>
        <w:rPr>
          <w:rFonts w:hint="eastAsia" w:ascii="宋体" w:hAnsi="宋体" w:eastAsia="宋体" w:cs="宋体"/>
          <w:color w:val="auto"/>
          <w:kern w:val="0"/>
          <w:sz w:val="24"/>
          <w:szCs w:val="24"/>
          <w:highlight w:val="none"/>
          <w:lang w:val="en-US" w:eastAsia="zh-CN"/>
        </w:rPr>
        <w:t xml:space="preserve">服务要求及合同标准进行验收。 </w:t>
      </w:r>
    </w:p>
    <w:p w14:paraId="333B0101">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rPr>
        <w:t xml:space="preserve">3.验收方式：采购人组织相关人员进行验收。 </w:t>
      </w:r>
    </w:p>
    <w:p w14:paraId="67441D85">
      <w:pPr>
        <w:keepNext w:val="0"/>
        <w:keepLines w:val="0"/>
        <w:pageBreakBefore w:val="0"/>
        <w:widowControl/>
        <w:suppressLineNumbers w:val="0"/>
        <w:kinsoku/>
        <w:wordWrap/>
        <w:overflowPunct/>
        <w:topLinePunct w:val="0"/>
        <w:bidi w:val="0"/>
        <w:adjustRightInd/>
        <w:snapToGrid/>
        <w:spacing w:line="440" w:lineRule="exact"/>
        <w:ind w:firstLine="440" w:firstLineChars="200"/>
        <w:jc w:val="left"/>
        <w:textAlignment w:val="auto"/>
        <w:outlineLvl w:val="1"/>
        <w:rPr>
          <w:color w:val="auto"/>
          <w:sz w:val="24"/>
          <w:szCs w:val="24"/>
          <w:highlight w:val="none"/>
        </w:rPr>
      </w:pPr>
      <w:bookmarkStart w:id="33" w:name="_Toc15309"/>
      <w:bookmarkStart w:id="34" w:name="_Toc7839"/>
      <w:bookmarkStart w:id="35" w:name="_Toc27031"/>
      <w:bookmarkStart w:id="36" w:name="_Toc29179"/>
      <w:bookmarkStart w:id="37" w:name="_Toc32289"/>
      <w:bookmarkStart w:id="38" w:name="_Toc8787"/>
      <w:r>
        <w:rPr>
          <w:rFonts w:hint="eastAsia"/>
          <w:color w:val="auto"/>
          <w:highlight w:val="none"/>
          <w:lang w:val="en-US" w:eastAsia="zh-CN"/>
        </w:rPr>
        <w:t>★</w:t>
      </w:r>
      <w:r>
        <w:rPr>
          <w:rFonts w:hint="eastAsia" w:ascii="宋体" w:hAnsi="宋体" w:eastAsia="宋体" w:cs="宋体"/>
          <w:b/>
          <w:bCs/>
          <w:color w:val="auto"/>
          <w:kern w:val="0"/>
          <w:sz w:val="24"/>
          <w:szCs w:val="24"/>
          <w:highlight w:val="none"/>
          <w:lang w:val="en-US" w:eastAsia="zh-CN"/>
        </w:rPr>
        <w:t>三、售后服务</w:t>
      </w:r>
      <w:bookmarkEnd w:id="33"/>
      <w:bookmarkEnd w:id="34"/>
      <w:bookmarkEnd w:id="35"/>
      <w:bookmarkEnd w:id="36"/>
      <w:bookmarkEnd w:id="37"/>
      <w:bookmarkEnd w:id="38"/>
      <w:r>
        <w:rPr>
          <w:rFonts w:hint="eastAsia" w:ascii="宋体" w:hAnsi="宋体" w:eastAsia="宋体" w:cs="宋体"/>
          <w:b/>
          <w:bCs/>
          <w:color w:val="auto"/>
          <w:kern w:val="0"/>
          <w:sz w:val="24"/>
          <w:szCs w:val="24"/>
          <w:highlight w:val="none"/>
          <w:lang w:val="en-US" w:eastAsia="zh-CN"/>
        </w:rPr>
        <w:t xml:space="preserve"> </w:t>
      </w:r>
    </w:p>
    <w:p w14:paraId="258CE20A">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outlineLvl w:val="1"/>
        <w:rPr>
          <w:rFonts w:hint="eastAsia" w:ascii="宋体" w:hAnsi="宋体" w:eastAsia="宋体" w:cs="宋体"/>
          <w:b w:val="0"/>
          <w:bCs w:val="0"/>
          <w:color w:val="auto"/>
          <w:kern w:val="0"/>
          <w:sz w:val="24"/>
          <w:szCs w:val="24"/>
          <w:highlight w:val="none"/>
          <w:lang w:val="en-US" w:eastAsia="zh-CN"/>
        </w:rPr>
      </w:pPr>
      <w:bookmarkStart w:id="39" w:name="_Toc27977"/>
      <w:bookmarkStart w:id="40" w:name="_Toc32637"/>
      <w:bookmarkStart w:id="41" w:name="_Toc27795"/>
      <w:bookmarkStart w:id="42" w:name="_Toc4790"/>
      <w:bookmarkStart w:id="43" w:name="_Toc30151"/>
      <w:bookmarkStart w:id="44" w:name="_Toc14987"/>
      <w:bookmarkStart w:id="45" w:name="_Toc30783"/>
      <w:r>
        <w:rPr>
          <w:rFonts w:hint="eastAsia" w:ascii="宋体" w:hAnsi="宋体" w:eastAsia="宋体" w:cs="宋体"/>
          <w:b w:val="0"/>
          <w:bCs w:val="0"/>
          <w:color w:val="auto"/>
          <w:kern w:val="0"/>
          <w:sz w:val="24"/>
          <w:szCs w:val="24"/>
          <w:highlight w:val="none"/>
          <w:lang w:val="en-US" w:eastAsia="zh-CN"/>
        </w:rPr>
        <w:t>满足磋商文件要求及国家或行业相关法律法规要求</w:t>
      </w:r>
      <w:bookmarkEnd w:id="39"/>
      <w:r>
        <w:rPr>
          <w:rFonts w:hint="eastAsia" w:ascii="宋体" w:hAnsi="宋体" w:eastAsia="宋体" w:cs="宋体"/>
          <w:b w:val="0"/>
          <w:bCs w:val="0"/>
          <w:color w:val="auto"/>
          <w:kern w:val="0"/>
          <w:sz w:val="24"/>
          <w:szCs w:val="24"/>
          <w:highlight w:val="none"/>
          <w:lang w:val="en-US" w:eastAsia="zh-CN"/>
        </w:rPr>
        <w:t>。</w:t>
      </w:r>
      <w:bookmarkEnd w:id="40"/>
      <w:bookmarkEnd w:id="41"/>
      <w:bookmarkEnd w:id="42"/>
      <w:bookmarkEnd w:id="43"/>
      <w:bookmarkEnd w:id="44"/>
      <w:bookmarkEnd w:id="45"/>
    </w:p>
    <w:p w14:paraId="61EA8ABD">
      <w:pPr>
        <w:keepNext w:val="0"/>
        <w:keepLines w:val="0"/>
        <w:pageBreakBefore w:val="0"/>
        <w:widowControl/>
        <w:suppressLineNumbers w:val="0"/>
        <w:kinsoku/>
        <w:wordWrap/>
        <w:overflowPunct/>
        <w:topLinePunct w:val="0"/>
        <w:bidi w:val="0"/>
        <w:adjustRightInd/>
        <w:snapToGrid/>
        <w:spacing w:line="440" w:lineRule="exact"/>
        <w:ind w:firstLine="440" w:firstLineChars="200"/>
        <w:jc w:val="left"/>
        <w:textAlignment w:val="auto"/>
        <w:outlineLvl w:val="1"/>
        <w:rPr>
          <w:rFonts w:hint="eastAsia" w:ascii="宋体" w:hAnsi="宋体" w:eastAsia="宋体" w:cs="宋体"/>
          <w:b/>
          <w:bCs/>
          <w:color w:val="auto"/>
          <w:kern w:val="0"/>
          <w:sz w:val="24"/>
          <w:szCs w:val="24"/>
          <w:highlight w:val="none"/>
          <w:lang w:val="en-US" w:eastAsia="zh-CN"/>
        </w:rPr>
      </w:pPr>
      <w:bookmarkStart w:id="46" w:name="_Toc267"/>
      <w:bookmarkStart w:id="47" w:name="_Toc2032"/>
      <w:bookmarkStart w:id="48" w:name="_Toc828"/>
      <w:bookmarkStart w:id="49" w:name="_Toc10126"/>
      <w:bookmarkStart w:id="50" w:name="_Toc17255"/>
      <w:bookmarkStart w:id="51" w:name="_Toc30095"/>
      <w:r>
        <w:rPr>
          <w:rFonts w:hint="eastAsia"/>
          <w:color w:val="auto"/>
          <w:highlight w:val="none"/>
          <w:lang w:val="en-US" w:eastAsia="zh-CN"/>
        </w:rPr>
        <w:t>★</w:t>
      </w:r>
      <w:r>
        <w:rPr>
          <w:rFonts w:hint="eastAsia" w:ascii="宋体" w:hAnsi="宋体" w:eastAsia="宋体" w:cs="宋体"/>
          <w:b/>
          <w:bCs/>
          <w:color w:val="auto"/>
          <w:kern w:val="0"/>
          <w:sz w:val="24"/>
          <w:szCs w:val="24"/>
          <w:highlight w:val="none"/>
          <w:lang w:val="en-US" w:eastAsia="zh-CN"/>
        </w:rPr>
        <w:t>四、质保期</w:t>
      </w:r>
      <w:bookmarkEnd w:id="46"/>
      <w:bookmarkEnd w:id="47"/>
      <w:bookmarkEnd w:id="48"/>
      <w:bookmarkEnd w:id="49"/>
      <w:bookmarkEnd w:id="50"/>
      <w:bookmarkEnd w:id="51"/>
    </w:p>
    <w:p w14:paraId="6438B94C">
      <w:pPr>
        <w:keepNext w:val="0"/>
        <w:keepLines w:val="0"/>
        <w:pageBreakBefore w:val="0"/>
        <w:widowControl/>
        <w:suppressLineNumbers w:val="0"/>
        <w:kinsoku/>
        <w:wordWrap/>
        <w:overflowPunct/>
        <w:topLinePunct w:val="0"/>
        <w:bidi w:val="0"/>
        <w:adjustRightInd/>
        <w:snapToGrid/>
        <w:spacing w:line="440" w:lineRule="exact"/>
        <w:ind w:firstLine="482" w:firstLineChars="200"/>
        <w:jc w:val="left"/>
        <w:textAlignment w:val="auto"/>
        <w:outlineLvl w:val="1"/>
        <w:rPr>
          <w:color w:val="auto"/>
          <w:sz w:val="24"/>
          <w:szCs w:val="24"/>
          <w:highlight w:val="none"/>
        </w:rPr>
      </w:pP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rPr>
        <w:t>满足磋商文件要求及国家或行业相关法律法规要求</w:t>
      </w:r>
      <w:r>
        <w:rPr>
          <w:rFonts w:hint="eastAsia" w:ascii="宋体" w:hAnsi="宋体" w:cs="宋体"/>
          <w:b w:val="0"/>
          <w:bCs w:val="0"/>
          <w:color w:val="auto"/>
          <w:kern w:val="0"/>
          <w:sz w:val="24"/>
          <w:szCs w:val="24"/>
          <w:highlight w:val="none"/>
          <w:lang w:val="en-US" w:eastAsia="zh-CN"/>
        </w:rPr>
        <w:t>。</w:t>
      </w:r>
    </w:p>
    <w:p w14:paraId="1D756DE4">
      <w:pPr>
        <w:keepNext w:val="0"/>
        <w:keepLines w:val="0"/>
        <w:pageBreakBefore w:val="0"/>
        <w:widowControl/>
        <w:suppressLineNumbers w:val="0"/>
        <w:kinsoku/>
        <w:wordWrap/>
        <w:overflowPunct/>
        <w:topLinePunct w:val="0"/>
        <w:bidi w:val="0"/>
        <w:adjustRightInd/>
        <w:snapToGrid/>
        <w:spacing w:line="440" w:lineRule="exact"/>
        <w:ind w:firstLine="440" w:firstLineChars="200"/>
        <w:jc w:val="left"/>
        <w:textAlignment w:val="auto"/>
        <w:outlineLvl w:val="1"/>
        <w:rPr>
          <w:color w:val="auto"/>
          <w:sz w:val="24"/>
          <w:szCs w:val="24"/>
          <w:highlight w:val="none"/>
        </w:rPr>
      </w:pPr>
      <w:bookmarkStart w:id="52" w:name="_Toc38"/>
      <w:bookmarkStart w:id="53" w:name="_Toc18639"/>
      <w:bookmarkStart w:id="54" w:name="_Toc20470"/>
      <w:bookmarkStart w:id="55" w:name="_Toc17542"/>
      <w:bookmarkStart w:id="56" w:name="_Toc4422"/>
      <w:bookmarkStart w:id="57" w:name="_Toc19789"/>
      <w:r>
        <w:rPr>
          <w:rFonts w:hint="eastAsia"/>
          <w:color w:val="auto"/>
          <w:highlight w:val="none"/>
          <w:lang w:val="en-US" w:eastAsia="zh-CN"/>
        </w:rPr>
        <w:t>★</w:t>
      </w:r>
      <w:r>
        <w:rPr>
          <w:rFonts w:hint="eastAsia" w:ascii="宋体" w:hAnsi="宋体" w:eastAsia="宋体" w:cs="宋体"/>
          <w:b/>
          <w:bCs/>
          <w:color w:val="auto"/>
          <w:kern w:val="0"/>
          <w:sz w:val="24"/>
          <w:szCs w:val="24"/>
          <w:highlight w:val="none"/>
          <w:lang w:val="en-US" w:eastAsia="zh-CN"/>
        </w:rPr>
        <w:t>五、付款方式</w:t>
      </w:r>
      <w:bookmarkEnd w:id="52"/>
      <w:bookmarkEnd w:id="53"/>
      <w:bookmarkEnd w:id="54"/>
      <w:bookmarkEnd w:id="55"/>
      <w:bookmarkEnd w:id="56"/>
      <w:bookmarkEnd w:id="57"/>
      <w:r>
        <w:rPr>
          <w:rFonts w:hint="eastAsia" w:ascii="宋体" w:hAnsi="宋体" w:eastAsia="宋体" w:cs="宋体"/>
          <w:b/>
          <w:bCs/>
          <w:color w:val="auto"/>
          <w:kern w:val="0"/>
          <w:sz w:val="24"/>
          <w:szCs w:val="24"/>
          <w:highlight w:val="none"/>
          <w:lang w:val="en-US" w:eastAsia="zh-CN"/>
        </w:rPr>
        <w:t xml:space="preserve"> </w:t>
      </w:r>
    </w:p>
    <w:p w14:paraId="52A21823">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bookmarkStart w:id="58" w:name="_Toc15559"/>
      <w:bookmarkStart w:id="59" w:name="_Toc30040"/>
      <w:bookmarkStart w:id="60" w:name="_Toc12266"/>
      <w:bookmarkStart w:id="61" w:name="_Toc20515"/>
      <w:bookmarkStart w:id="62" w:name="_Toc22408"/>
      <w:bookmarkStart w:id="63" w:name="_Toc1311"/>
      <w:r>
        <w:rPr>
          <w:rFonts w:hint="eastAsia" w:ascii="宋体" w:hAnsi="宋体" w:cs="宋体"/>
          <w:color w:val="auto"/>
          <w:sz w:val="24"/>
          <w:szCs w:val="24"/>
          <w:highlight w:val="none"/>
          <w:lang w:val="en-US" w:eastAsia="zh-CN"/>
        </w:rPr>
        <w:t>按季度支付维保款，其余在签订合同时约定</w:t>
      </w:r>
    </w:p>
    <w:p w14:paraId="3011C8F4">
      <w:pPr>
        <w:keepNext w:val="0"/>
        <w:keepLines w:val="0"/>
        <w:pageBreakBefore w:val="0"/>
        <w:widowControl/>
        <w:suppressLineNumbers w:val="0"/>
        <w:kinsoku/>
        <w:wordWrap/>
        <w:overflowPunct/>
        <w:topLinePunct w:val="0"/>
        <w:bidi w:val="0"/>
        <w:adjustRightInd/>
        <w:snapToGrid/>
        <w:spacing w:line="440" w:lineRule="exact"/>
        <w:ind w:firstLine="482" w:firstLineChars="200"/>
        <w:jc w:val="left"/>
        <w:textAlignment w:val="auto"/>
        <w:outlineLvl w:val="1"/>
        <w:rPr>
          <w:color w:val="auto"/>
          <w:sz w:val="24"/>
          <w:szCs w:val="24"/>
          <w:highlight w:val="none"/>
        </w:rPr>
      </w:pPr>
      <w:r>
        <w:rPr>
          <w:rFonts w:hint="eastAsia" w:ascii="宋体" w:hAnsi="宋体" w:eastAsia="宋体" w:cs="宋体"/>
          <w:b/>
          <w:bCs/>
          <w:color w:val="auto"/>
          <w:kern w:val="0"/>
          <w:sz w:val="24"/>
          <w:szCs w:val="24"/>
          <w:highlight w:val="none"/>
          <w:lang w:val="en-US" w:eastAsia="zh-CN"/>
        </w:rPr>
        <w:t>六、履约保证金</w:t>
      </w:r>
      <w:bookmarkEnd w:id="58"/>
      <w:bookmarkEnd w:id="59"/>
      <w:bookmarkEnd w:id="60"/>
      <w:bookmarkEnd w:id="61"/>
      <w:bookmarkEnd w:id="62"/>
      <w:bookmarkEnd w:id="63"/>
      <w:r>
        <w:rPr>
          <w:rFonts w:hint="eastAsia" w:ascii="宋体" w:hAnsi="宋体" w:eastAsia="宋体" w:cs="宋体"/>
          <w:b/>
          <w:bCs/>
          <w:color w:val="auto"/>
          <w:kern w:val="0"/>
          <w:sz w:val="24"/>
          <w:szCs w:val="24"/>
          <w:highlight w:val="none"/>
          <w:lang w:val="en-US" w:eastAsia="zh-CN"/>
        </w:rPr>
        <w:t xml:space="preserve"> </w:t>
      </w:r>
    </w:p>
    <w:p w14:paraId="0770F44D">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rPr>
        <w:t xml:space="preserve">无 </w:t>
      </w:r>
    </w:p>
    <w:p w14:paraId="0F1C0C15">
      <w:pPr>
        <w:keepNext w:val="0"/>
        <w:keepLines w:val="0"/>
        <w:pageBreakBefore w:val="0"/>
        <w:widowControl/>
        <w:suppressLineNumbers w:val="0"/>
        <w:kinsoku/>
        <w:wordWrap/>
        <w:overflowPunct/>
        <w:topLinePunct w:val="0"/>
        <w:bidi w:val="0"/>
        <w:adjustRightInd/>
        <w:snapToGrid/>
        <w:spacing w:line="440" w:lineRule="exact"/>
        <w:ind w:firstLine="440" w:firstLineChars="200"/>
        <w:jc w:val="left"/>
        <w:textAlignment w:val="auto"/>
        <w:outlineLvl w:val="1"/>
        <w:rPr>
          <w:color w:val="auto"/>
          <w:sz w:val="24"/>
          <w:szCs w:val="24"/>
          <w:highlight w:val="none"/>
        </w:rPr>
      </w:pPr>
      <w:bookmarkStart w:id="64" w:name="_Toc1144"/>
      <w:bookmarkStart w:id="65" w:name="_Toc24699"/>
      <w:bookmarkStart w:id="66" w:name="_Toc32184"/>
      <w:bookmarkStart w:id="67" w:name="_Toc31784"/>
      <w:bookmarkStart w:id="68" w:name="_Toc9197"/>
      <w:bookmarkStart w:id="69" w:name="_Toc29583"/>
      <w:r>
        <w:rPr>
          <w:rFonts w:hint="eastAsia"/>
          <w:color w:val="auto"/>
          <w:highlight w:val="none"/>
          <w:lang w:val="en-US" w:eastAsia="zh-CN"/>
        </w:rPr>
        <w:t>★</w:t>
      </w:r>
      <w:r>
        <w:rPr>
          <w:rFonts w:hint="eastAsia" w:ascii="宋体" w:hAnsi="宋体" w:eastAsia="宋体" w:cs="宋体"/>
          <w:b/>
          <w:bCs/>
          <w:color w:val="auto"/>
          <w:kern w:val="0"/>
          <w:sz w:val="24"/>
          <w:szCs w:val="24"/>
          <w:highlight w:val="none"/>
          <w:lang w:val="en-US" w:eastAsia="zh-CN"/>
        </w:rPr>
        <w:t>七、投标有效期</w:t>
      </w:r>
      <w:bookmarkEnd w:id="64"/>
      <w:bookmarkEnd w:id="65"/>
      <w:bookmarkEnd w:id="66"/>
      <w:bookmarkEnd w:id="67"/>
      <w:bookmarkEnd w:id="68"/>
      <w:bookmarkEnd w:id="69"/>
      <w:r>
        <w:rPr>
          <w:rFonts w:hint="eastAsia" w:ascii="宋体" w:hAnsi="宋体" w:eastAsia="宋体" w:cs="宋体"/>
          <w:b/>
          <w:bCs/>
          <w:color w:val="auto"/>
          <w:kern w:val="0"/>
          <w:sz w:val="24"/>
          <w:szCs w:val="24"/>
          <w:highlight w:val="none"/>
          <w:lang w:val="en-US" w:eastAsia="zh-CN"/>
        </w:rPr>
        <w:t xml:space="preserve"> </w:t>
      </w:r>
    </w:p>
    <w:p w14:paraId="1A8236E2">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rPr>
        <w:t>递交投标文件截止之日起</w:t>
      </w:r>
      <w:r>
        <w:rPr>
          <w:rFonts w:hint="eastAsia" w:ascii="宋体" w:hAnsi="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lang w:val="en-US" w:eastAsia="zh-CN"/>
        </w:rPr>
        <w:t xml:space="preserve">个日历日。 </w:t>
      </w:r>
    </w:p>
    <w:p w14:paraId="5D9B2740">
      <w:pPr>
        <w:keepNext w:val="0"/>
        <w:keepLines w:val="0"/>
        <w:pageBreakBefore w:val="0"/>
        <w:widowControl/>
        <w:suppressLineNumbers w:val="0"/>
        <w:kinsoku/>
        <w:wordWrap/>
        <w:overflowPunct/>
        <w:topLinePunct w:val="0"/>
        <w:bidi w:val="0"/>
        <w:adjustRightInd/>
        <w:snapToGrid/>
        <w:spacing w:line="44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 xml:space="preserve">八、其他要求 </w:t>
      </w:r>
    </w:p>
    <w:p w14:paraId="41D98918">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478E4F0E">
      <w:pPr>
        <w:keepNext w:val="0"/>
        <w:keepLines w:val="0"/>
        <w:pageBreakBefore w:val="0"/>
        <w:widowControl/>
        <w:suppressLineNumbers w:val="0"/>
        <w:kinsoku/>
        <w:wordWrap/>
        <w:overflowPunct/>
        <w:topLinePunct w:val="0"/>
        <w:bidi w:val="0"/>
        <w:adjustRightInd/>
        <w:snapToGrid/>
        <w:spacing w:line="440" w:lineRule="exact"/>
        <w:jc w:val="left"/>
        <w:textAlignment w:val="auto"/>
        <w:outlineLvl w:val="1"/>
        <w:rPr>
          <w:rFonts w:hint="eastAsia" w:ascii="宋体" w:hAnsi="宋体" w:eastAsia="宋体" w:cs="宋体"/>
          <w:color w:val="auto"/>
          <w:sz w:val="24"/>
          <w:szCs w:val="24"/>
          <w:highlight w:val="none"/>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0D81180-1F60-479F-8D39-2D9F72AEC41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
    <w:altName w:val="宋体"/>
    <w:panose1 w:val="00000000000000000000"/>
    <w:charset w:val="81"/>
    <w:family w:val="roman"/>
    <w:pitch w:val="default"/>
    <w:sig w:usb0="00000000" w:usb1="00000000" w:usb2="00000010" w:usb3="00000000" w:csb0="00080000"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embedRegular r:id="rId2" w:fontKey="{4C7C86F4-C56B-4AC7-8C8F-C58DDC35CD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B6A1">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780504">
                          <w:pPr>
                            <w:pStyle w:val="8"/>
                          </w:pPr>
                          <w:r>
                            <w:fldChar w:fldCharType="begin"/>
                          </w:r>
                          <w:r>
                            <w:instrText xml:space="preserve"> PAGE  \* MERGEFORMAT </w:instrText>
                          </w:r>
                          <w:r>
                            <w:fldChar w:fldCharType="separate"/>
                          </w:r>
                          <w:r>
                            <w:t>21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01mnLO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QJnDlh6cEvP39cfv25/P7O&#10;VsmePmBFpx7DA0wZUpi0Di3Y9CUVbMiWnq+WqiEySZvL9Wq9LsltSbU5IZzi6XoAjPfKW5aCmgO9&#10;WbZSnD5iHI/OR1I349Lq/J02ZqymnSLRHImlKA77YWK7982ZJNLEE3jn4RtnPb13zR2NN2fmgyM7&#10;02jMAczBfg6Ek3Sx5pGzYwB96PIYJRoYbo+RqGSeqfHYbeJDb5aVTvOVhuJ5nk89/VP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9NZpyzgEAAJsDAAAOAAAAAAAAAAEAIAAAAB8BAABkcnMv&#10;ZTJvRG9jLnhtbFBLBQYAAAAABgAGAFkBAABfBQAAAAA=&#10;">
              <v:fill on="f" focussize="0,0"/>
              <v:stroke on="f"/>
              <v:imagedata o:title=""/>
              <o:lock v:ext="edit" aspectratio="f"/>
              <v:textbox inset="0mm,0mm,0mm,0mm" style="mso-fit-shape-to-text:t;">
                <w:txbxContent>
                  <w:p w14:paraId="00780504">
                    <w:pPr>
                      <w:pStyle w:val="8"/>
                    </w:pPr>
                    <w:r>
                      <w:fldChar w:fldCharType="begin"/>
                    </w:r>
                    <w:r>
                      <w:instrText xml:space="preserve"> PAGE  \* MERGEFORMAT </w:instrText>
                    </w:r>
                    <w:r>
                      <w:fldChar w:fldCharType="separate"/>
                    </w:r>
                    <w:r>
                      <w:t>21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0D52">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AAF19D">
                          <w:pPr>
                            <w:pStyle w:val="8"/>
                          </w:pPr>
                          <w:r>
                            <w:fldChar w:fldCharType="begin"/>
                          </w:r>
                          <w:r>
                            <w:instrText xml:space="preserve"> PAGE  \* MERGEFORMAT </w:instrText>
                          </w:r>
                          <w:r>
                            <w:fldChar w:fldCharType="separate"/>
                          </w:r>
                          <w:r>
                            <w:t>21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9ZxHSAQAAn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Vbzpyw9OaXnz8uv/5c&#10;fn9nq+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f/1nEdIBAACeAwAADgAAAAAAAAABACAAAAAfAQAA&#10;ZHJzL2Uyb0RvYy54bWxQSwUGAAAAAAYABgBZAQAAYwUAAAAA&#10;">
              <v:fill on="f" focussize="0,0"/>
              <v:stroke on="f"/>
              <v:imagedata o:title=""/>
              <o:lock v:ext="edit" aspectratio="f"/>
              <v:textbox inset="0mm,0mm,0mm,0mm" style="mso-fit-shape-to-text:t;">
                <w:txbxContent>
                  <w:p w14:paraId="29AAF19D">
                    <w:pPr>
                      <w:pStyle w:val="8"/>
                    </w:pPr>
                    <w:r>
                      <w:fldChar w:fldCharType="begin"/>
                    </w:r>
                    <w:r>
                      <w:instrText xml:space="preserve"> PAGE  \* MERGEFORMAT </w:instrText>
                    </w:r>
                    <w:r>
                      <w:fldChar w:fldCharType="separate"/>
                    </w:r>
                    <w:r>
                      <w:t>21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1063D"/>
    <w:rsid w:val="33C120FC"/>
    <w:rsid w:val="3F816231"/>
    <w:rsid w:val="50355E9E"/>
    <w:rsid w:val="5E9F0BBA"/>
    <w:rsid w:val="5FE12A2D"/>
    <w:rsid w:val="67392115"/>
    <w:rsid w:val="6D932167"/>
    <w:rsid w:val="78BC7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宋体"/>
      <w:sz w:val="22"/>
      <w:szCs w:val="22"/>
      <w:lang w:val="en-US" w:eastAsia="en-US" w:bidi="ar-SA"/>
    </w:rPr>
  </w:style>
  <w:style w:type="paragraph" w:styleId="3">
    <w:name w:val="heading 2"/>
    <w:basedOn w:val="1"/>
    <w:next w:val="1"/>
    <w:link w:val="19"/>
    <w:qFormat/>
    <w:uiPriority w:val="0"/>
    <w:pPr>
      <w:keepNext/>
      <w:keepLines/>
      <w:spacing w:before="260" w:after="260" w:line="416" w:lineRule="auto"/>
      <w:jc w:val="both"/>
      <w:outlineLvl w:val="1"/>
    </w:pPr>
    <w:rPr>
      <w:rFonts w:ascii="Arial" w:hAnsi="Arial" w:eastAsia="黑体" w:cs="Times New Roman"/>
      <w:b/>
      <w:bCs/>
      <w:sz w:val="32"/>
      <w:szCs w:val="32"/>
      <w:lang w:eastAsia="zh-CN"/>
    </w:rPr>
  </w:style>
  <w:style w:type="paragraph" w:styleId="4">
    <w:name w:val="heading 3"/>
    <w:basedOn w:val="1"/>
    <w:next w:val="1"/>
    <w:qFormat/>
    <w:uiPriority w:val="1"/>
    <w:pPr>
      <w:spacing w:before="1"/>
      <w:ind w:left="3074" w:right="3093"/>
      <w:jc w:val="center"/>
      <w:outlineLvl w:val="2"/>
    </w:pPr>
    <w:rPr>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5">
    <w:name w:val="Body Text Indent"/>
    <w:basedOn w:val="1"/>
    <w:next w:val="6"/>
    <w:qFormat/>
    <w:uiPriority w:val="99"/>
    <w:pPr>
      <w:spacing w:after="120"/>
      <w:ind w:left="420" w:leftChars="200"/>
    </w:pPr>
  </w:style>
  <w:style w:type="paragraph" w:customStyle="1" w:styleId="6">
    <w:name w:val="font5"/>
    <w:basedOn w:val="1"/>
    <w:qFormat/>
    <w:uiPriority w:val="0"/>
    <w:pPr>
      <w:spacing w:before="100" w:beforeAutospacing="1" w:after="100" w:afterAutospacing="1"/>
    </w:pPr>
    <w:rPr>
      <w:rFonts w:ascii="宋体"/>
      <w:sz w:val="18"/>
      <w:szCs w:val="18"/>
    </w:rPr>
  </w:style>
  <w:style w:type="paragraph" w:styleId="7">
    <w:name w:val="Plain Text"/>
    <w:basedOn w:val="1"/>
    <w:next w:val="1"/>
    <w:qFormat/>
    <w:uiPriority w:val="99"/>
    <w:pPr>
      <w:jc w:val="both"/>
    </w:pPr>
    <w:rPr>
      <w:rFonts w:hint="eastAsia" w:ascii="宋体" w:hAnsi="Courier New" w:eastAsia="宋体" w:cs="Times New Roman"/>
      <w:sz w:val="34"/>
      <w:szCs w:val="21"/>
      <w:lang w:eastAsia="zh-CN"/>
    </w:rPr>
  </w:style>
  <w:style w:type="paragraph" w:styleId="8">
    <w:name w:val="footer"/>
    <w:basedOn w:val="1"/>
    <w:qFormat/>
    <w:uiPriority w:val="99"/>
    <w:pPr>
      <w:tabs>
        <w:tab w:val="center" w:pos="4153"/>
        <w:tab w:val="right" w:pos="8306"/>
      </w:tabs>
      <w:snapToGrid w:val="0"/>
    </w:pPr>
    <w:rPr>
      <w:sz w:val="18"/>
      <w:szCs w:val="18"/>
    </w:rPr>
  </w:style>
  <w:style w:type="paragraph" w:styleId="9">
    <w:name w:val="Body Text First Indent 2"/>
    <w:basedOn w:val="5"/>
    <w:next w:val="10"/>
    <w:qFormat/>
    <w:uiPriority w:val="0"/>
    <w:pPr>
      <w:ind w:firstLine="420" w:firstLineChars="200"/>
    </w:pPr>
    <w:rPr>
      <w:rFonts w:ascii="Times New Roman" w:eastAsia="宋?"/>
    </w:rPr>
  </w:style>
  <w:style w:type="paragraph" w:customStyle="1" w:styleId="10">
    <w:name w:val="正文内容"/>
    <w:basedOn w:val="1"/>
    <w:autoRedefine/>
    <w:qFormat/>
    <w:uiPriority w:val="0"/>
    <w:pPr>
      <w:ind w:firstLine="200" w:firstLineChars="200"/>
    </w:pPr>
    <w:rPr>
      <w:rFonts w:eastAsia="仿宋_GB2312"/>
      <w:sz w:val="24"/>
    </w:rPr>
  </w:style>
  <w:style w:type="paragraph" w:customStyle="1" w:styleId="13">
    <w:name w:val="Table Paragraph"/>
    <w:basedOn w:val="1"/>
    <w:qFormat/>
    <w:uiPriority w:val="1"/>
  </w:style>
  <w:style w:type="paragraph" w:customStyle="1" w:styleId="14">
    <w:name w:val="列出段落1"/>
    <w:basedOn w:val="1"/>
    <w:next w:val="1"/>
    <w:qFormat/>
    <w:uiPriority w:val="0"/>
    <w:pPr>
      <w:ind w:firstLine="420" w:firstLineChars="200"/>
    </w:pPr>
    <w:rPr>
      <w:rFonts w:ascii="Times New Roman" w:hAnsi="Times New Roman"/>
      <w:szCs w:val="24"/>
    </w:rPr>
  </w:style>
  <w:style w:type="paragraph" w:customStyle="1" w:styleId="15">
    <w:name w:val="标题 11"/>
    <w:basedOn w:val="1"/>
    <w:qFormat/>
    <w:uiPriority w:val="1"/>
    <w:pPr>
      <w:outlineLvl w:val="1"/>
    </w:pPr>
    <w:rPr>
      <w:rFonts w:ascii="@华文新魏" w:hAnsi="@华文新魏" w:eastAsia="@华文新魏"/>
      <w:sz w:val="36"/>
      <w:szCs w:val="36"/>
    </w:rPr>
  </w:style>
  <w:style w:type="paragraph" w:customStyle="1" w:styleId="16">
    <w:name w:val="列表段落1"/>
    <w:basedOn w:val="1"/>
    <w:autoRedefine/>
    <w:qFormat/>
    <w:uiPriority w:val="34"/>
    <w:pPr>
      <w:ind w:left="249"/>
    </w:pPr>
  </w:style>
  <w:style w:type="character" w:customStyle="1" w:styleId="17">
    <w:name w:val="font11"/>
    <w:basedOn w:val="12"/>
    <w:qFormat/>
    <w:uiPriority w:val="0"/>
    <w:rPr>
      <w:rFonts w:hint="eastAsia" w:ascii="宋体" w:hAnsi="宋体" w:eastAsia="宋体" w:cs="宋体"/>
      <w:b/>
      <w:color w:val="000000"/>
      <w:sz w:val="24"/>
      <w:szCs w:val="24"/>
      <w:u w:val="none"/>
    </w:rPr>
  </w:style>
  <w:style w:type="character" w:customStyle="1" w:styleId="18">
    <w:name w:val="font121"/>
    <w:basedOn w:val="12"/>
    <w:qFormat/>
    <w:uiPriority w:val="0"/>
    <w:rPr>
      <w:rFonts w:hint="eastAsia" w:ascii="宋体" w:hAnsi="宋体" w:eastAsia="宋体" w:cs="宋体"/>
      <w:color w:val="000000"/>
      <w:sz w:val="28"/>
      <w:szCs w:val="28"/>
      <w:u w:val="none"/>
    </w:rPr>
  </w:style>
  <w:style w:type="character" w:customStyle="1" w:styleId="19">
    <w:name w:val="标题 2 字符"/>
    <w:basedOn w:val="12"/>
    <w:link w:val="3"/>
    <w:qFormat/>
    <w:uiPriority w:val="0"/>
    <w:rPr>
      <w:rFonts w:ascii="Arial" w:hAnsi="Arial" w:eastAsia="黑体" w:cs="Times New Roman"/>
      <w:b/>
      <w:bCs/>
      <w:sz w:val="32"/>
      <w:szCs w:val="32"/>
      <w:lang w:eastAsia="zh-CN"/>
    </w:rPr>
  </w:style>
  <w:style w:type="table" w:customStyle="1" w:styleId="20">
    <w:name w:val="Table Normal"/>
    <w:qFormat/>
    <w:uiPriority w:val="2"/>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6060</Words>
  <Characters>6333</Characters>
  <Lines>0</Lines>
  <Paragraphs>0</Paragraphs>
  <TotalTime>0</TotalTime>
  <ScaleCrop>false</ScaleCrop>
  <LinksUpToDate>false</LinksUpToDate>
  <CharactersWithSpaces>6363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2025-03-21T08:12:00Z</dcterms:created>
  <dc:creator>Administrator</dc:creator>
  <cp:lastModifiedBy>小雪</cp:lastModifiedBy>
  <dcterms:modified xsi:type="dcterms:W3CDTF">2025-07-22T01:05:55Z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eyJoZGlkIjoiMGY4NzNhNjdiYzMyYzI0ZGY2MmJlYzUzY2IwOGMyOTUiLCJ1c2VySWQiOiI0MzQ5NTIyMzAifQ==</vt:lpwstr>
  </property>
  <property fmtid="{D5CDD505-2E9C-101B-9397-08002B2CF9AE}" pid="4" name="ICV">
    <vt:lpwstr>20926A65CFBE43E8B78BC4ED50845D88_12</vt:lpwstr>
  </property>
</Properties>
</file>