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A5831">
      <w:pPr>
        <w:pStyle w:val="2"/>
        <w:spacing w:before="76" w:line="224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织金县阿弓镇大田村2025年扶持发展村集体经济项目</w:t>
      </w:r>
    </w:p>
    <w:p w14:paraId="5CA4DE6F">
      <w:pPr>
        <w:pStyle w:val="2"/>
        <w:spacing w:before="73" w:line="225" w:lineRule="auto"/>
        <w:jc w:val="center"/>
        <w:outlineLvl w:val="1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需求公示内容</w:t>
      </w:r>
    </w:p>
    <w:p w14:paraId="16724FBC">
      <w:pPr>
        <w:keepNext w:val="0"/>
        <w:keepLines w:val="0"/>
        <w:widowControl/>
        <w:suppressLineNumbers w:val="0"/>
        <w:jc w:val="left"/>
        <w:rPr>
          <w:b/>
          <w:bCs/>
          <w:spacing w:val="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  <w:t>一、资格要求</w:t>
      </w:r>
    </w:p>
    <w:p w14:paraId="1BFB3BCE">
      <w:pPr>
        <w:spacing w:before="78" w:line="219" w:lineRule="auto"/>
        <w:ind w:left="59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rFonts w:ascii="宋体" w:hAnsi="宋体" w:eastAsia="宋体" w:cs="宋体"/>
          <w:spacing w:val="-2"/>
          <w:sz w:val="24"/>
          <w:szCs w:val="24"/>
        </w:rPr>
        <w:t>必须符合《政府采购法》第二十二条规定；</w:t>
      </w:r>
    </w:p>
    <w:p w14:paraId="0E9884D2">
      <w:pPr>
        <w:spacing w:before="219" w:line="253" w:lineRule="auto"/>
        <w:ind w:left="98" w:right="89" w:firstLine="5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（一）法人或者其他组织的营业执照等证明文件：有效的工商营业执照副本、组织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机构代码证副本和税务登记证副本，或多证合一的营业执照；</w:t>
      </w:r>
    </w:p>
    <w:p w14:paraId="1BA280C3">
      <w:pPr>
        <w:spacing w:before="217" w:line="254" w:lineRule="auto"/>
        <w:ind w:left="111" w:right="89" w:firstLine="5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（二）具有良好的商业信誉和健全的财务会计制度：提供</w:t>
      </w:r>
      <w:r>
        <w:rPr>
          <w:rFonts w:ascii="Times New Roman" w:hAnsi="Times New Roman" w:eastAsia="Times New Roman" w:cs="Times New Roman"/>
          <w:sz w:val="24"/>
          <w:szCs w:val="24"/>
        </w:rPr>
        <w:t>2024</w:t>
      </w:r>
      <w:r>
        <w:rPr>
          <w:rFonts w:ascii="宋体" w:hAnsi="宋体" w:eastAsia="宋体" w:cs="宋体"/>
          <w:sz w:val="24"/>
          <w:szCs w:val="24"/>
        </w:rPr>
        <w:t>年度经</w:t>
      </w:r>
      <w:r>
        <w:rPr>
          <w:rFonts w:ascii="宋体" w:hAnsi="宋体" w:eastAsia="宋体" w:cs="宋体"/>
          <w:spacing w:val="-1"/>
          <w:sz w:val="24"/>
          <w:szCs w:val="24"/>
        </w:rPr>
        <w:t>审计的财务报告，或提供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2025 </w:t>
      </w:r>
      <w:r>
        <w:rPr>
          <w:rFonts w:ascii="宋体" w:hAnsi="宋体" w:eastAsia="宋体" w:cs="宋体"/>
          <w:spacing w:val="-1"/>
          <w:sz w:val="24"/>
          <w:szCs w:val="24"/>
        </w:rPr>
        <w:t>年以来基本开户银行出具的资信证明。</w:t>
      </w:r>
    </w:p>
    <w:p w14:paraId="198C2A9C">
      <w:pPr>
        <w:spacing w:before="219" w:line="253" w:lineRule="auto"/>
        <w:ind w:left="107" w:right="89" w:firstLine="5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（三）具有依法缴纳税收的良好记录：提供</w:t>
      </w:r>
      <w:r>
        <w:rPr>
          <w:rFonts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pacing w:val="-4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4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5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月至今任意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</w:t>
      </w:r>
      <w:r>
        <w:rPr>
          <w:rFonts w:ascii="宋体" w:hAnsi="宋体" w:eastAsia="宋体" w:cs="宋体"/>
          <w:spacing w:val="-4"/>
          <w:sz w:val="24"/>
          <w:szCs w:val="24"/>
        </w:rPr>
        <w:t>个月依法缴纳税收的凭证或证明材料（依法免税的供应商须提</w:t>
      </w:r>
      <w:r>
        <w:rPr>
          <w:rFonts w:ascii="宋体" w:hAnsi="宋体" w:eastAsia="宋体" w:cs="宋体"/>
          <w:spacing w:val="-2"/>
          <w:sz w:val="24"/>
          <w:szCs w:val="24"/>
        </w:rPr>
        <w:t>供相应证明文件</w:t>
      </w:r>
      <w:r>
        <w:rPr>
          <w:rFonts w:ascii="宋体" w:hAnsi="宋体" w:eastAsia="宋体" w:cs="宋体"/>
          <w:spacing w:val="1"/>
          <w:sz w:val="24"/>
          <w:szCs w:val="24"/>
        </w:rPr>
        <w:t>）；</w:t>
      </w:r>
    </w:p>
    <w:p w14:paraId="75C22A68">
      <w:pPr>
        <w:spacing w:before="217" w:line="280" w:lineRule="auto"/>
        <w:ind w:left="98" w:right="89" w:firstLine="57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（四）具有依法缴纳社会保障资金的良好记录：提供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pacing w:val="-4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4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5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-4"/>
          <w:sz w:val="24"/>
          <w:szCs w:val="24"/>
        </w:rPr>
        <w:t>月至今任意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</w:t>
      </w:r>
      <w:r>
        <w:rPr>
          <w:rFonts w:ascii="宋体" w:hAnsi="宋体" w:eastAsia="宋体" w:cs="宋体"/>
          <w:spacing w:val="-4"/>
          <w:sz w:val="24"/>
          <w:szCs w:val="24"/>
        </w:rPr>
        <w:t>个月社</w:t>
      </w:r>
      <w:r>
        <w:rPr>
          <w:rFonts w:ascii="宋体" w:hAnsi="宋体" w:eastAsia="宋体" w:cs="宋体"/>
          <w:spacing w:val="3"/>
          <w:sz w:val="24"/>
          <w:szCs w:val="24"/>
        </w:rPr>
        <w:t>会保障资金缴纳凭证或缴纳养老保险证明材料</w:t>
      </w:r>
      <w:r>
        <w:rPr>
          <w:rFonts w:ascii="宋体" w:hAnsi="宋体" w:eastAsia="宋体" w:cs="宋体"/>
          <w:spacing w:val="-1"/>
          <w:sz w:val="24"/>
          <w:szCs w:val="24"/>
        </w:rPr>
        <w:t>（不需要缴纳社保资金的供应商须提供相应证明文件</w:t>
      </w:r>
      <w:r>
        <w:rPr>
          <w:rFonts w:ascii="宋体" w:hAnsi="宋体" w:eastAsia="宋体" w:cs="宋体"/>
          <w:spacing w:val="9"/>
          <w:sz w:val="24"/>
          <w:szCs w:val="24"/>
        </w:rPr>
        <w:t>）；</w:t>
      </w:r>
    </w:p>
    <w:p w14:paraId="6F3105DA">
      <w:pPr>
        <w:spacing w:before="78" w:line="219" w:lineRule="auto"/>
        <w:ind w:left="5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（五）具有履行合同所必需的设备和专业技术能力（自行承诺</w:t>
      </w:r>
      <w:r>
        <w:rPr>
          <w:rFonts w:ascii="宋体" w:hAnsi="宋体" w:eastAsia="宋体" w:cs="宋体"/>
          <w:spacing w:val="2"/>
          <w:sz w:val="24"/>
          <w:szCs w:val="24"/>
        </w:rPr>
        <w:t>）；</w:t>
      </w:r>
    </w:p>
    <w:p w14:paraId="4186CC4D">
      <w:pPr>
        <w:spacing w:before="215" w:line="254" w:lineRule="auto"/>
        <w:ind w:left="4" w:firstLine="56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（六）参加政府采购活动前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 </w:t>
      </w:r>
      <w:r>
        <w:rPr>
          <w:rFonts w:ascii="宋体" w:hAnsi="宋体" w:eastAsia="宋体" w:cs="宋体"/>
          <w:sz w:val="24"/>
          <w:szCs w:val="24"/>
        </w:rPr>
        <w:t xml:space="preserve">年内在经营活动中没有重大违法记录的书面声明（自 </w:t>
      </w:r>
      <w:r>
        <w:rPr>
          <w:rFonts w:ascii="宋体" w:hAnsi="宋体" w:eastAsia="宋体" w:cs="宋体"/>
          <w:spacing w:val="-5"/>
          <w:sz w:val="24"/>
          <w:szCs w:val="24"/>
        </w:rPr>
        <w:t>行声明</w:t>
      </w:r>
      <w:r>
        <w:rPr>
          <w:rFonts w:ascii="宋体" w:hAnsi="宋体" w:eastAsia="宋体" w:cs="宋体"/>
          <w:sz w:val="24"/>
          <w:szCs w:val="24"/>
        </w:rPr>
        <w:t>）；</w:t>
      </w:r>
    </w:p>
    <w:p w14:paraId="7841D6C3">
      <w:pPr>
        <w:spacing w:before="217" w:line="254" w:lineRule="auto"/>
        <w:ind w:left="2" w:firstLine="568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（七）法定代表人参加投标的必须有法定代表人身份证明，法定代表人授权委托人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参加投标的必须有法定代表人授权委托书及被授权人的身份证；</w:t>
      </w:r>
    </w:p>
    <w:p w14:paraId="70A302D2">
      <w:pPr>
        <w:spacing w:before="217" w:line="254" w:lineRule="auto"/>
        <w:ind w:left="2" w:firstLine="568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）法律、行政法规和国家有关规定的其他条件：供应商须承诺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并提供证明材料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：在“信用中国”网站（www.creditchina.gov.cn）、中国政府采购网（www.ccgp.gov.cn）等渠道查询中未被列入失信被执行人名单、重大税收违失信主体名单、政府采购严重违法失信行为记录名单中，如被列入失信被执行人、重大税收违失信主体名单、政府采购严重违法失信行为记录名单中的供应商取消其投标资格，并承担由此造成的一切法律责任及后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查询时间为公告发布之日起至开标截止时间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58080288">
      <w:pPr>
        <w:spacing w:before="161" w:line="356" w:lineRule="auto"/>
        <w:ind w:firstLine="560"/>
        <w:jc w:val="both"/>
        <w:rPr>
          <w:rFonts w:ascii="Times New Roman" w:hAnsi="Times New Roman" w:eastAsia="Times New Roman" w:cs="Times New Roman"/>
          <w:spacing w:val="2"/>
          <w:sz w:val="24"/>
          <w:szCs w:val="24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2.落实政府采购政策需满足的资格要求：</w:t>
      </w:r>
      <w:r>
        <w:rPr>
          <w:rFonts w:hint="eastAsia" w:ascii="Times New Roman" w:hAnsi="Times New Roman" w:eastAsia="Times New Roman" w:cs="Times New Roman"/>
          <w:spacing w:val="2"/>
          <w:sz w:val="24"/>
          <w:szCs w:val="24"/>
          <w:lang w:eastAsia="zh-CN"/>
        </w:rPr>
        <w:t>本项目</w:t>
      </w:r>
      <w:r>
        <w:rPr>
          <w:rFonts w:hint="eastAsia" w:ascii="Times New Roman" w:hAnsi="Times New Roman" w:eastAsia="Times New Roman" w:cs="Times New Roman"/>
          <w:spacing w:val="2"/>
          <w:sz w:val="24"/>
          <w:szCs w:val="24"/>
          <w:lang w:val="en-US" w:eastAsia="zh-CN"/>
        </w:rPr>
        <w:t>为不</w:t>
      </w:r>
      <w:r>
        <w:rPr>
          <w:rFonts w:hint="eastAsia" w:ascii="Times New Roman" w:hAnsi="Times New Roman" w:eastAsia="Times New Roman" w:cs="Times New Roman"/>
          <w:spacing w:val="2"/>
          <w:sz w:val="24"/>
          <w:szCs w:val="24"/>
          <w:lang w:eastAsia="zh-CN"/>
        </w:rPr>
        <w:t>专门面向中小企业采购项目。</w:t>
      </w:r>
    </w:p>
    <w:p w14:paraId="47CB1CF8">
      <w:pPr>
        <w:spacing w:before="161" w:line="356" w:lineRule="auto"/>
        <w:ind w:firstLine="560"/>
        <w:jc w:val="both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3.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本项目的特定资格要求：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eastAsia="zh-CN"/>
        </w:rPr>
        <w:t>通信工程施工总承包三级及以上资质</w:t>
      </w:r>
    </w:p>
    <w:p w14:paraId="4FD153AD">
      <w:pPr>
        <w:pStyle w:val="2"/>
        <w:spacing w:before="169" w:line="360" w:lineRule="auto"/>
        <w:ind w:left="29"/>
        <w:outlineLvl w:val="0"/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</w:pPr>
    </w:p>
    <w:p w14:paraId="12BB9628">
      <w:pPr>
        <w:pStyle w:val="2"/>
        <w:spacing w:before="169" w:line="360" w:lineRule="auto"/>
        <w:ind w:left="29"/>
        <w:outlineLvl w:val="0"/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</w:pPr>
    </w:p>
    <w:p w14:paraId="7C4DFCB8">
      <w:pPr>
        <w:pStyle w:val="2"/>
        <w:spacing w:before="169" w:line="360" w:lineRule="auto"/>
        <w:ind w:left="29"/>
        <w:outlineLvl w:val="0"/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</w:pPr>
    </w:p>
    <w:p w14:paraId="752FEF88">
      <w:pPr>
        <w:pStyle w:val="2"/>
        <w:spacing w:before="169" w:line="360" w:lineRule="auto"/>
        <w:ind w:left="29"/>
        <w:outlineLvl w:val="0"/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</w:pPr>
    </w:p>
    <w:p w14:paraId="61F21559">
      <w:pPr>
        <w:pStyle w:val="2"/>
        <w:spacing w:before="169" w:line="360" w:lineRule="auto"/>
        <w:ind w:left="29"/>
        <w:outlineLvl w:val="0"/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</w:pPr>
    </w:p>
    <w:p w14:paraId="526D07FA">
      <w:pPr>
        <w:pStyle w:val="2"/>
        <w:spacing w:before="169" w:line="360" w:lineRule="auto"/>
        <w:ind w:left="29"/>
        <w:outlineLvl w:val="0"/>
        <w:rPr>
          <w:rFonts w:hint="eastAsia"/>
          <w:b w:val="0"/>
          <w:bCs w:val="0"/>
          <w:spacing w:val="-3"/>
          <w:sz w:val="24"/>
          <w:szCs w:val="24"/>
          <w:lang w:val="en-US" w:eastAsia="zh-CN"/>
        </w:rPr>
      </w:pPr>
    </w:p>
    <w:p w14:paraId="09212CDC">
      <w:pPr>
        <w:pStyle w:val="2"/>
        <w:spacing w:before="169" w:line="220" w:lineRule="auto"/>
        <w:ind w:left="29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二、标的物清单及技术参数要求</w:t>
      </w:r>
    </w:p>
    <w:p w14:paraId="100C3B0E">
      <w:pPr>
        <w:pStyle w:val="3"/>
        <w:jc w:val="center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采购清单及技术参数</w:t>
      </w:r>
    </w:p>
    <w:tbl>
      <w:tblPr>
        <w:tblStyle w:val="4"/>
        <w:tblW w:w="9996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897"/>
        <w:gridCol w:w="1457"/>
        <w:gridCol w:w="728"/>
        <w:gridCol w:w="5207"/>
      </w:tblGrid>
      <w:tr w14:paraId="49E3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设备、物资名称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主要参数要求</w:t>
            </w:r>
          </w:p>
        </w:tc>
      </w:tr>
      <w:tr w14:paraId="52AB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PC工作站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8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1.台式机；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2.CPU:不低于3.2GHz；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3.内存：不低于8GB DDR4；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4.硬盘：不少于1TB；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5.显卡：独立显卡；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6.显示器：液晶不小于21英寸；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7.含正版操作系统；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8.含USB鼠标键盘。</w:t>
            </w:r>
          </w:p>
        </w:tc>
      </w:tr>
      <w:tr w14:paraId="0C97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应急消息发布前置系统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5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1.支持B/S架构，可以通过浏览器远程登录管理和信息的展示。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2.身份认证：确认前置系统访问者的身份的合法性。通过用户名密码以及 USB_key 等方式进行认证；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3.用户管理：注册维护可使用系统的人员信息；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4.权限管理：根据实际业务为不同的用户分配不同的权限；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5.信息录入：能够在本地进行应急信息的录入，包括预警内容、事件等级、覆盖区域等，并进行内容核对；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6.信息提交：对录入信息进行核查及验证，完成后进行上传提交。 对提交的内容调用 USB 密码器进行签名保护，数据格式符合《应急广播平台接口规范》；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7.结果反馈：应急信息提交结果能够返回前置系统，使得前置机使用者能够看到所提交应急信息的执行响应情况；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8.操作日志：详能够查询本前置系统所有的操作日志，包括用户登录信息、信息上传信息；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9.附属支撑：支持文字、图片、音视频等多种方式应急信息接入及发布；支持应急广播发布结果以数据、图表等多种方式查看及导出。</w:t>
            </w:r>
          </w:p>
        </w:tc>
      </w:tr>
      <w:tr w14:paraId="4A29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USB密码器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NDS3512C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B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1.接口：USB2.0；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2.支持国密SM系列算法；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3.具有密钥和证书管理功能；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4.支持信任列表和信任证书的更新；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5.具有签名、验签功能；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6.所有算法符合国家密码管理局相关规定。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7.采用的数字证书和数字签名技术符合《应急广播安全保护技术规范 数字签名》的要求。</w:t>
            </w:r>
          </w:p>
        </w:tc>
      </w:tr>
      <w:tr w14:paraId="699D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IP话筒/数字播出控制器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4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1.支持实时应急播出；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2.支持按优先级广播，紧急广播优先播出；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3.支持分区域广播；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4.支持保存40条播出记录；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5.支持7寸触摸屏，指纹解锁登录；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6.支持设置屏幕锁定密码或人脸识别、指纹识别（选配），保证控制系统安全；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7.内置监听扬声器，高保真信号源监听；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8.支持一键式开启应急/正常广播功能；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9.应急广播优先级可自定义选择（上级优先/下级优先）功能；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10.具有监听输出音源功能，监听音量可调；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11.具有一路话筒输入，两路音频输入接口，话筒和音频音量大小可调；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12.系统逻辑码寻址操作功能；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13.支持USB播放功能/升级；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14.1路USB输入；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15.2组音频输入：非平衡立体声音频，RCA；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16.2个话筒接口：支持2路话筒插入（1个通道）；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17.IP输出：UDP协议，10/100M网口。</w:t>
            </w:r>
          </w:p>
        </w:tc>
      </w:tr>
      <w:tr w14:paraId="07DF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双联播控桌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（1）采用双联播控桌；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（2）静电喷粉设计工艺，表面光滑无毛刺，防腐；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（3）控制桌面为全平；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（4）台面配有推拉式键盘抽屉；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（5）预留有鼠标线孔，动圈话筒线多余长度可放入该孔进行隐藏；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（6）播控桌台面之下有安装机架式设备的不少于8U的安装位。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（7）每套播控桌配备一个8插位PDU插座，1个椅子。</w:t>
            </w:r>
          </w:p>
        </w:tc>
      </w:tr>
      <w:tr w14:paraId="20A0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8口网络交换机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 TL-SG1008+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1.传输速率：10/100/1000Mbps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2.交换方式：存储-转发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3.MAC地址表：2K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4.端口数量：8个</w:t>
            </w:r>
          </w:p>
        </w:tc>
      </w:tr>
      <w:tr w14:paraId="47C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数字监听音箱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NDS3513W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E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1.集接收、放大、播放功能于一体；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2.内置不小于4吋全频扬声器，音量连续可调；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3.采用环保木质外壳；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4.RF输入：1路DVB-C/DTMB：F座（英制75Ω）或IP输入：RJ45百兆口；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5.接收模式：DVB-C/DTMB-T/IP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6.音频输出功率:≥10W；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7.电源：AC 220V±15%，50/60Hz。</w:t>
            </w:r>
          </w:p>
        </w:tc>
      </w:tr>
      <w:tr w14:paraId="0419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多模音柱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NDS3513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5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含安全模块，支持DTMB、FM-RDS、IP、4G等。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1.总体要求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1)具有接收上级调频信号进行处理能力，解调出音频信号，做出相应的播发/停止动作；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2)具有接收上级IP信号进行处理能力，解调出音频信号及控制信号，做出相应的播发/停止动作。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2.功能要求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1)可设置本设备IP地址、端口号等参数；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2)可接收来自适配器的调频信号、IP信号，实现远程广播控制功能；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3)支持管理平台远程配置工作参数（包括：音量、调频频率等）；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4)集成国密算法芯片，具有验签功能。符合GD/J 081—2018 应急广播安全保护技术规范数字签名；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5)支持通道，必须支持IP和调频，4G播发应急广播消息通道可选；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6)配置移动通信模块支持回传功能（可选）；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7)支持分区域播发控制；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8)具有短路保护功能；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3.接口要求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1)FM输入接口：公制F母座，1路输入内置2分配，配置2个调谐器；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2)网络接口：RJ45；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3)音柱内置喇叭；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4.性能要求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1)工作电压范围：AC:160V～260V；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2)FM输入频率范围：87MHz～108MHz；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3)音频功放信噪比：≥60dB；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4)音频功放谐波失真≤1%；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5)FM最低接收电平≤30dBuV；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6)输出功率：25W</w:t>
            </w:r>
          </w:p>
        </w:tc>
      </w:tr>
      <w:tr w14:paraId="1350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室外箱体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3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安放：避雷器、ONU、插板、空开等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尺寸：≥300*300*200mm,板材厚度≥1mm</w:t>
            </w:r>
          </w:p>
        </w:tc>
      </w:tr>
      <w:tr w14:paraId="1E02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单相交流电源防雷器SPD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5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单相交流电源防雷器SPD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产品级数：2P(单相)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响应时间：&lt;25ns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工作指示窗：绿色正常、红色失效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额定电压：230V/50Hz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最大工作电压 ：385V/50Hz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标称放电电流:10kA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最大放电电流:20kA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电压保护级别:≤1.2kV</w:t>
            </w:r>
          </w:p>
        </w:tc>
      </w:tr>
      <w:tr w14:paraId="7D56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SFU-ONU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C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7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单口千兆ONU， 适用各种IP业务</w:t>
            </w:r>
          </w:p>
        </w:tc>
      </w:tr>
      <w:tr w14:paraId="57BF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8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阻燃耐高温壳体12孔加底座 功率1000W</w:t>
            </w:r>
          </w:p>
        </w:tc>
      </w:tr>
      <w:tr w14:paraId="2975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EC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4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尾纤跳线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2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尾纤、跳线（LC、FC、SC\APC、UPC、PC－－ LC、FC、SC\APC、UPC、PC  ф3.0mm 5米、10米双头）</w:t>
            </w:r>
          </w:p>
        </w:tc>
      </w:tr>
      <w:tr w14:paraId="1494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2*2.5 - RVV 2*4 - RVV 2*6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阻燃绝缘控制电缆 额定电压300/300V</w:t>
            </w:r>
          </w:p>
        </w:tc>
      </w:tr>
      <w:tr w14:paraId="67D5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地笼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4-M18*700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B8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0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3m钢结构杆件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立杆高度3m，支臂长度0.9m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C0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8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PE塑料管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2D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9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波纹软管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0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1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普通光缆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GYTS层绞式光缆4芯/8芯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1A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B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广播专业光缆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蝶形2芯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FE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8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五类线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48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FA0C8F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07454EF4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61367034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460CD194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62771AFA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1DD82C23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7B605EF3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3540F565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39B7F911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32B51CAA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336BD039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700EEE84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41FB57B9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3C1AEA09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5363EB78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64D1C012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4594D4A3">
      <w:pPr>
        <w:pStyle w:val="2"/>
        <w:spacing w:before="169" w:line="220" w:lineRule="auto"/>
        <w:ind w:left="25"/>
        <w:outlineLvl w:val="0"/>
        <w:rPr>
          <w:b/>
          <w:bCs/>
          <w:spacing w:val="-4"/>
          <w:sz w:val="28"/>
          <w:szCs w:val="28"/>
        </w:rPr>
      </w:pPr>
    </w:p>
    <w:p w14:paraId="75DD2B58">
      <w:pPr>
        <w:pStyle w:val="2"/>
        <w:spacing w:before="169" w:line="220" w:lineRule="auto"/>
        <w:outlineLvl w:val="0"/>
        <w:rPr>
          <w:b/>
          <w:bCs/>
          <w:spacing w:val="-4"/>
          <w:sz w:val="28"/>
          <w:szCs w:val="28"/>
        </w:rPr>
      </w:pPr>
    </w:p>
    <w:p w14:paraId="1468C373">
      <w:pPr>
        <w:spacing w:before="114" w:line="224" w:lineRule="auto"/>
        <w:outlineLvl w:val="0"/>
      </w:pPr>
      <w:r>
        <w:rPr>
          <w:b/>
          <w:bCs/>
          <w:spacing w:val="-4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CN"/>
        </w:rPr>
        <w:t>商务要求</w:t>
      </w:r>
      <w:bookmarkStart w:id="1" w:name="_GoBack"/>
      <w:bookmarkEnd w:id="1"/>
    </w:p>
    <w:p w14:paraId="0F714B48">
      <w:pPr>
        <w:spacing w:before="78" w:line="336" w:lineRule="auto"/>
        <w:ind w:right="18" w:firstLine="46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2.1  </w:t>
      </w:r>
      <w:r>
        <w:rPr>
          <w:rFonts w:ascii="宋体" w:hAnsi="宋体" w:eastAsia="宋体" w:cs="宋体"/>
          <w:b/>
          <w:bCs/>
          <w:sz w:val="24"/>
          <w:szCs w:val="24"/>
        </w:rPr>
        <w:t>标的物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七星关区地质灾害隐患点应急广播建设项目</w:t>
      </w:r>
      <w:r>
        <w:rPr>
          <w:rFonts w:ascii="宋体" w:hAnsi="宋体" w:eastAsia="宋体" w:cs="宋体"/>
          <w:sz w:val="24"/>
          <w:szCs w:val="24"/>
        </w:rPr>
        <w:t>（详见采购文件附件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）。成交</w:t>
      </w:r>
      <w:r>
        <w:rPr>
          <w:rFonts w:ascii="宋体" w:hAnsi="宋体" w:eastAsia="宋体" w:cs="宋体"/>
          <w:spacing w:val="-2"/>
          <w:sz w:val="24"/>
          <w:szCs w:val="24"/>
        </w:rPr>
        <w:t>供应商应在成交公告发布后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个工作日内领取成交通知书并于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rFonts w:ascii="宋体" w:hAnsi="宋体" w:eastAsia="宋体" w:cs="宋体"/>
          <w:spacing w:val="-2"/>
          <w:sz w:val="24"/>
          <w:szCs w:val="24"/>
        </w:rPr>
        <w:t>日内与采购人签订合同，</w:t>
      </w:r>
      <w:r>
        <w:rPr>
          <w:rFonts w:ascii="宋体" w:hAnsi="宋体" w:eastAsia="宋体" w:cs="宋体"/>
          <w:spacing w:val="-3"/>
          <w:sz w:val="24"/>
          <w:szCs w:val="24"/>
        </w:rPr>
        <w:t>否则视为自愿放弃中标权利。</w:t>
      </w:r>
      <w:r>
        <w:rPr>
          <w:rFonts w:ascii="宋体" w:hAnsi="宋体" w:eastAsia="宋体" w:cs="宋体"/>
          <w:spacing w:val="-1"/>
          <w:sz w:val="24"/>
          <w:szCs w:val="24"/>
        </w:rPr>
        <w:t>本项目招标代理服务费为包干价人民币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叁仟叁佰叁拾伍</w:t>
      </w:r>
      <w:r>
        <w:rPr>
          <w:rFonts w:ascii="宋体" w:hAnsi="宋体" w:eastAsia="宋体" w:cs="宋体"/>
          <w:spacing w:val="-1"/>
          <w:sz w:val="24"/>
          <w:szCs w:val="24"/>
        </w:rPr>
        <w:t>元整 (¥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3335</w:t>
      </w:r>
      <w:r>
        <w:rPr>
          <w:rFonts w:ascii="宋体" w:hAnsi="宋体" w:eastAsia="宋体" w:cs="宋体"/>
          <w:spacing w:val="-1"/>
          <w:sz w:val="24"/>
          <w:szCs w:val="24"/>
        </w:rPr>
        <w:t>.00元），由中标供应商领取中标通知书时一次性支付给采购代理机构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 w14:paraId="1164414A">
      <w:pPr>
        <w:spacing w:before="183" w:line="219" w:lineRule="auto"/>
        <w:ind w:left="46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2.2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采购清单及参数要求：</w:t>
      </w:r>
      <w:r>
        <w:rPr>
          <w:rFonts w:ascii="宋体" w:hAnsi="宋体" w:eastAsia="宋体" w:cs="宋体"/>
          <w:spacing w:val="-2"/>
          <w:sz w:val="24"/>
          <w:szCs w:val="24"/>
        </w:rPr>
        <w:t>详见采购文件附件</w:t>
      </w:r>
      <w:r>
        <w:rPr>
          <w:rFonts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3；</w:t>
      </w:r>
    </w:p>
    <w:p w14:paraId="48C2C3A6">
      <w:pPr>
        <w:spacing w:before="183" w:line="219" w:lineRule="auto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2.3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交货期、交货地点地点</w:t>
      </w:r>
    </w:p>
    <w:p w14:paraId="7EF5EBD2">
      <w:pPr>
        <w:spacing w:before="183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交货期：合同签订后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pacing w:val="-4"/>
          <w:sz w:val="24"/>
          <w:szCs w:val="24"/>
        </w:rPr>
        <w:t>日历日内完成交货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及安装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 w14:paraId="0EF257F1">
      <w:pPr>
        <w:spacing w:before="183" w:line="219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交货地点：以采购人指定地点为准。</w:t>
      </w:r>
    </w:p>
    <w:p w14:paraId="0D503634">
      <w:pPr>
        <w:spacing w:before="183" w:line="220" w:lineRule="auto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2.4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质量标准：</w:t>
      </w:r>
    </w:p>
    <w:p w14:paraId="5D7F5CB7">
      <w:pPr>
        <w:spacing w:before="183" w:line="219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质量标准：符合国家现行的相关质量验收规范标准。</w:t>
      </w:r>
    </w:p>
    <w:p w14:paraId="10C98B0E">
      <w:pPr>
        <w:spacing w:before="183" w:line="219" w:lineRule="auto"/>
        <w:ind w:left="46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2.5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售后服务</w:t>
      </w:r>
    </w:p>
    <w:p w14:paraId="242010C1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>中标供应商到现场负责安装、调试和验收；</w:t>
      </w:r>
    </w:p>
    <w:p w14:paraId="6174C41C">
      <w:pPr>
        <w:spacing w:before="183" w:line="219" w:lineRule="auto"/>
        <w:ind w:left="476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中标供应商提供设备的中文安装手册、</w:t>
      </w:r>
      <w:r>
        <w:rPr>
          <w:rFonts w:ascii="宋体" w:hAnsi="宋体" w:eastAsia="宋体" w:cs="宋体"/>
          <w:spacing w:val="-1"/>
          <w:sz w:val="24"/>
          <w:szCs w:val="24"/>
        </w:rPr>
        <w:t>操作维护手册；</w:t>
      </w:r>
    </w:p>
    <w:p w14:paraId="24EC91DA">
      <w:pPr>
        <w:spacing w:before="184" w:line="219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>中标供应商免费对采购方操作、日常维</w:t>
      </w:r>
      <w:r>
        <w:rPr>
          <w:rFonts w:ascii="宋体" w:hAnsi="宋体" w:eastAsia="宋体" w:cs="宋体"/>
          <w:spacing w:val="-3"/>
          <w:sz w:val="24"/>
          <w:szCs w:val="24"/>
        </w:rPr>
        <w:t>护人员进行培训；</w:t>
      </w:r>
    </w:p>
    <w:p w14:paraId="5C9E7C28">
      <w:pPr>
        <w:spacing w:before="184" w:line="313" w:lineRule="auto"/>
        <w:ind w:left="2" w:firstLine="472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1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pacing w:val="1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pacing w:val="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>产品自安装完毕后卖方提供质保期内免费保修服务。为用户</w:t>
      </w:r>
      <w:r>
        <w:rPr>
          <w:rFonts w:ascii="宋体" w:hAnsi="宋体" w:eastAsia="宋体" w:cs="宋体"/>
          <w:sz w:val="24"/>
          <w:szCs w:val="24"/>
        </w:rPr>
        <w:t>提供终身技术服务。</w:t>
      </w:r>
      <w:r>
        <w:rPr>
          <w:rFonts w:ascii="宋体" w:hAnsi="宋体" w:eastAsia="宋体" w:cs="宋体"/>
          <w:spacing w:val="-1"/>
          <w:sz w:val="24"/>
          <w:szCs w:val="24"/>
        </w:rPr>
        <w:t>必须提供后援支持，为设备提供长期的技术支持。技术支</w:t>
      </w:r>
      <w:r>
        <w:rPr>
          <w:rFonts w:ascii="宋体" w:hAnsi="宋体" w:eastAsia="宋体" w:cs="宋体"/>
          <w:spacing w:val="-2"/>
          <w:sz w:val="24"/>
          <w:szCs w:val="24"/>
        </w:rPr>
        <w:t>持的方式包括：电话技术服务、</w:t>
      </w:r>
      <w:r>
        <w:rPr>
          <w:rFonts w:ascii="宋体" w:hAnsi="宋体" w:eastAsia="宋体" w:cs="宋体"/>
          <w:spacing w:val="-1"/>
          <w:sz w:val="24"/>
          <w:szCs w:val="24"/>
        </w:rPr>
        <w:t>现场技术服务、定期巡查服务、免费技术保障及升级服务等；</w:t>
      </w:r>
    </w:p>
    <w:p w14:paraId="0D2FA7F4">
      <w:pPr>
        <w:spacing w:before="184" w:line="220" w:lineRule="auto"/>
        <w:ind w:left="46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2.6</w:t>
      </w:r>
      <w:r>
        <w:rPr>
          <w:rFonts w:ascii="Times New Roman" w:hAnsi="Times New Roman" w:eastAsia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质保期</w:t>
      </w:r>
    </w:p>
    <w:p w14:paraId="1EB3000F">
      <w:pPr>
        <w:spacing w:before="182" w:line="219" w:lineRule="auto"/>
        <w:ind w:left="499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>质保期：</w:t>
      </w:r>
      <w:r>
        <w:rPr>
          <w:rFonts w:hint="eastAsia" w:ascii="Times New Roman" w:hAnsi="Times New Roman" w:eastAsia="宋体" w:cs="Times New Roman"/>
          <w:spacing w:val="-2"/>
          <w:sz w:val="24"/>
          <w:szCs w:val="24"/>
          <w:lang w:val="en-US" w:eastAsia="zh-CN"/>
        </w:rPr>
        <w:t>12个月</w:t>
      </w:r>
    </w:p>
    <w:p w14:paraId="0A03137E">
      <w:pPr>
        <w:spacing w:before="182" w:line="313" w:lineRule="auto"/>
        <w:ind w:left="1" w:right="80" w:firstLine="474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质保期内，设备出现故障时，供应商能提供同类型号的备品备件</w:t>
      </w:r>
      <w:r>
        <w:rPr>
          <w:rFonts w:ascii="宋体" w:hAnsi="宋体" w:eastAsia="宋体" w:cs="宋体"/>
          <w:spacing w:val="-1"/>
          <w:sz w:val="24"/>
          <w:szCs w:val="24"/>
        </w:rPr>
        <w:t>用于替换有故障</w:t>
      </w:r>
      <w:r>
        <w:rPr>
          <w:rFonts w:ascii="宋体" w:hAnsi="宋体" w:eastAsia="宋体" w:cs="宋体"/>
          <w:spacing w:val="-2"/>
          <w:sz w:val="24"/>
          <w:szCs w:val="24"/>
        </w:rPr>
        <w:t>设备。免费对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设备</w:t>
      </w:r>
      <w:r>
        <w:rPr>
          <w:rFonts w:ascii="宋体" w:hAnsi="宋体" w:eastAsia="宋体" w:cs="宋体"/>
          <w:spacing w:val="-2"/>
          <w:sz w:val="24"/>
          <w:szCs w:val="24"/>
        </w:rPr>
        <w:t>进行维护、保养，免费更换零部件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宋体" w:hAnsi="宋体" w:eastAsia="宋体" w:cs="宋体"/>
          <w:spacing w:val="-2"/>
          <w:sz w:val="24"/>
          <w:szCs w:val="24"/>
        </w:rPr>
        <w:t>人为因素损坏按成本计算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，超过质</w:t>
      </w:r>
      <w:r>
        <w:rPr>
          <w:rFonts w:ascii="宋体" w:hAnsi="宋体" w:eastAsia="宋体" w:cs="宋体"/>
          <w:spacing w:val="-1"/>
          <w:sz w:val="24"/>
          <w:szCs w:val="24"/>
        </w:rPr>
        <w:t>保期后，对零部件只收成本费。</w:t>
      </w:r>
    </w:p>
    <w:p w14:paraId="640016A9">
      <w:pPr>
        <w:spacing w:before="185" w:line="219" w:lineRule="auto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2.7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付款方式</w:t>
      </w:r>
    </w:p>
    <w:p w14:paraId="26CBC7A3">
      <w:pPr>
        <w:spacing w:before="182" w:line="218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合同价款的支付方式签订合同时另行约定。</w:t>
      </w:r>
    </w:p>
    <w:p w14:paraId="64CBB4BA">
      <w:pPr>
        <w:spacing w:before="185" w:line="220" w:lineRule="auto"/>
        <w:ind w:left="47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2.8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投标有效期</w:t>
      </w:r>
    </w:p>
    <w:p w14:paraId="04A76228">
      <w:pPr>
        <w:spacing w:before="78" w:line="219" w:lineRule="auto"/>
        <w:ind w:left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投标有效期：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60</w:t>
      </w:r>
      <w:r>
        <w:rPr>
          <w:rFonts w:ascii="宋体" w:hAnsi="宋体" w:eastAsia="宋体" w:cs="宋体"/>
          <w:spacing w:val="-3"/>
          <w:sz w:val="24"/>
          <w:szCs w:val="24"/>
        </w:rPr>
        <w:t>日历天（从响应文件递交截止之日算起）</w:t>
      </w:r>
    </w:p>
    <w:p w14:paraId="6AF335D5">
      <w:pPr>
        <w:spacing w:before="182" w:line="220" w:lineRule="auto"/>
        <w:ind w:left="477"/>
        <w:rPr>
          <w:rFonts w:ascii="Times New Roman" w:hAnsi="Times New Roman" w:eastAsia="Times New Roman" w:cs="Times New Roman"/>
          <w:sz w:val="24"/>
          <w:szCs w:val="24"/>
        </w:rPr>
      </w:pPr>
      <w:bookmarkStart w:id="0" w:name="bookmark11"/>
      <w:bookmarkEnd w:id="0"/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2.9 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其他要求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:</w:t>
      </w:r>
    </w:p>
    <w:p w14:paraId="0DF76F7C">
      <w:pPr>
        <w:spacing w:before="180" w:line="337" w:lineRule="auto"/>
        <w:ind w:left="1" w:firstLine="235"/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  <w:t xml:space="preserve"> 严格参照《全国应急广播体系建设总体规划》《贵州省应急广播体系建设总体规划》标准要求执行，在七星关区已实施的《七星关区应急广播体系建设》上增补自然灾害隐患区域的应急广播补点建设，必须融入到原七星关区应急广播播控平台，同时实现省、市、县、乡镇（街道）、村（社区）五级统一协调、上下贯通、可管可控、综合覆盖的全省的应急广播体系，向地灾隐患居民提供灾害预警应急广播和政务信息播发、政策宣讲服务。</w:t>
      </w:r>
    </w:p>
    <w:p w14:paraId="2FFB96A6">
      <w:pPr>
        <w:spacing w:before="180" w:line="337" w:lineRule="auto"/>
        <w:ind w:left="1" w:firstLine="235"/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  <w:t>一、规范和技术必须满足：1.《GD/J 079—2018 应急广播系统总体技术规范》2.《GD/J 080—2018 应急广播系统资源分类及编码规范》3.《GD/J 083—2018 应急广播平台接口规范》4.《GD/J 086—2018 有线数字电视应急广播技术规范》</w:t>
      </w:r>
    </w:p>
    <w:p w14:paraId="7560F0B4">
      <w:pPr>
        <w:spacing w:before="180" w:line="337" w:lineRule="auto"/>
        <w:ind w:left="1" w:firstLine="235"/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  <w:t>二、设备要求：必须满足《全国应急广播体系建设总体规划》《贵州省应急广播体系建设总体规划》的设备技术标准。</w:t>
      </w:r>
    </w:p>
    <w:p w14:paraId="5CD3A185">
      <w:pPr>
        <w:spacing w:before="180" w:line="337" w:lineRule="auto"/>
        <w:ind w:left="1" w:firstLine="235"/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eastAsia="zh-CN"/>
        </w:rPr>
        <w:t>三、网络传输要求：分配应急广播系统固定</w:t>
      </w: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  <w:t xml:space="preserve">IP，专业的网络传输资源覆盖，省、市、县三级平台之间、应急广播平台与应急信息发布部门之间、应急广播平台与各级台站/前端之间以及各类传输覆盖通道中，采用统一的平台接口规范和应急广播传输覆盖通道指令封装协议，对全省各类应急广播系统及资源、应急广播终端采用统一的地址规划和编码，核心关键设备采用统一标准，全系统的信息传递实现互联互通， </w:t>
      </w:r>
    </w:p>
    <w:p w14:paraId="6A964C7C">
      <w:pPr>
        <w:spacing w:before="180" w:line="337" w:lineRule="auto"/>
        <w:ind w:left="1" w:firstLine="235"/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  <w:t>应急信息播发实现快速响应，核心设备实现互换。</w:t>
      </w:r>
    </w:p>
    <w:p w14:paraId="4DC4B60F">
      <w:pPr>
        <w:spacing w:before="180" w:line="337" w:lineRule="auto"/>
        <w:ind w:left="1" w:firstLine="235"/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  <w:t>四、信息播发：建成后，必须实现全省重大应急信息在 1 分钟内传送到目标区域，日常应急信息在 3 分钟内送到目标区域；提供全省范围内省、市、县三级平台日均 100 条以上的应急信息播发和处理能力；实现省级平台 3 路、市县级平台 2 路的应急信息并发能力。</w:t>
      </w:r>
    </w:p>
    <w:p w14:paraId="40ADFEEC">
      <w:pPr>
        <w:spacing w:before="180" w:line="337" w:lineRule="auto"/>
        <w:ind w:left="1" w:firstLine="235"/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  <w:t>五、传输方式：各级应急广播平台之间，以及至本级广播电视播出机构、本级传输覆盖网之间，采用主备传输方式，确保应急广播消息的可靠传输。</w:t>
      </w:r>
    </w:p>
    <w:p w14:paraId="170D638B">
      <w:pPr>
        <w:spacing w:before="180" w:line="337" w:lineRule="auto"/>
        <w:ind w:left="1" w:firstLine="235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b/>
          <w:bCs/>
          <w:spacing w:val="-2"/>
          <w:sz w:val="24"/>
          <w:szCs w:val="24"/>
          <w:lang w:val="en-US" w:eastAsia="zh-CN"/>
        </w:rPr>
        <w:t>六、取电方式:前端设备须按国家标准电压、电流接入市电电源。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2.10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供应商必须保证在谈判过程中随时处于在线状态。在谈判小组发出响应或报价通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知后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20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分钟内，供应商未按时在交易系统中通过有效谈判途径进行响应或报价的，将视作无补充响应内容或按其上一轮报价作为其本轮最终报价（第一轮在线报价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20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分钟内未实质响应的该轮报价即为其基础报价，第二轮在线报价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20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分钟内未实质响应的该轮报价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即为第一轮报价，以此类推）。请各供应商在参加报价前，认真阅读并熟悉毕节市公共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资源交易中心综合及业务系统操作流程。</w:t>
      </w:r>
    </w:p>
    <w:p w14:paraId="0AE7DFCC">
      <w:pPr>
        <w:spacing w:line="337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06" w:h="16839"/>
          <w:pgMar w:top="400" w:right="1247" w:bottom="1131" w:left="1426" w:header="0" w:footer="890" w:gutter="0"/>
          <w:cols w:space="720" w:num="1"/>
        </w:sectPr>
      </w:pPr>
    </w:p>
    <w:p w14:paraId="0890AE25">
      <w:pPr>
        <w:spacing w:before="114" w:line="224" w:lineRule="auto"/>
        <w:outlineLvl w:val="0"/>
      </w:pPr>
      <w:r>
        <w:rPr>
          <w:b/>
          <w:bCs/>
          <w:spacing w:val="-8"/>
          <w:sz w:val="28"/>
          <w:szCs w:val="28"/>
        </w:rPr>
        <w:t>四、</w:t>
      </w:r>
      <w:r>
        <w:rPr>
          <w:rFonts w:ascii="宋体" w:hAnsi="宋体" w:eastAsia="宋体" w:cs="宋体"/>
          <w:b/>
          <w:bCs/>
          <w:spacing w:val="6"/>
          <w:sz w:val="28"/>
          <w:szCs w:val="28"/>
        </w:rPr>
        <w:t>评审方法</w:t>
      </w:r>
    </w:p>
    <w:p w14:paraId="72348C11">
      <w:pPr>
        <w:spacing w:before="181" w:line="312" w:lineRule="auto"/>
        <w:ind w:right="8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供应商必须满足竞争性谈判文件资格审查和符合性审查，以及对竞争性谈判文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件作出实质性响应，在此基础上根据最后谈判报价（或最后</w:t>
      </w:r>
      <w:r>
        <w:rPr>
          <w:rFonts w:ascii="宋体" w:hAnsi="宋体" w:eastAsia="宋体" w:cs="宋体"/>
          <w:spacing w:val="-4"/>
          <w:sz w:val="24"/>
          <w:szCs w:val="24"/>
        </w:rPr>
        <w:t>谈判报价经扣除后）最低的原</w:t>
      </w:r>
      <w:r>
        <w:rPr>
          <w:rFonts w:ascii="宋体" w:hAnsi="宋体" w:eastAsia="宋体" w:cs="宋体"/>
          <w:sz w:val="24"/>
          <w:szCs w:val="24"/>
        </w:rPr>
        <w:t xml:space="preserve"> 则确定成交供应商（最后谈判报价被谈判小组按无</w:t>
      </w:r>
      <w:r>
        <w:rPr>
          <w:rFonts w:ascii="宋体" w:hAnsi="宋体" w:eastAsia="宋体" w:cs="宋体"/>
          <w:spacing w:val="-1"/>
          <w:sz w:val="24"/>
          <w:szCs w:val="24"/>
        </w:rPr>
        <w:t>效报价处理的除外）。</w:t>
      </w:r>
    </w:p>
    <w:p w14:paraId="72D72EDD">
      <w:pPr>
        <w:pStyle w:val="2"/>
        <w:spacing w:before="201" w:line="362" w:lineRule="auto"/>
        <w:ind w:left="22" w:firstLine="483"/>
      </w:pPr>
    </w:p>
    <w:sectPr>
      <w:footerReference r:id="rId6" w:type="default"/>
      <w:pgSz w:w="11906" w:h="16839"/>
      <w:pgMar w:top="1431" w:right="169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0A64C">
    <w:pPr>
      <w:spacing w:line="230" w:lineRule="exact"/>
      <w:ind w:left="44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2"/>
        <w:position w:val="2"/>
        <w:sz w:val="18"/>
        <w:szCs w:val="18"/>
      </w:rPr>
      <w:t xml:space="preserve">9 </w:t>
    </w:r>
    <w:r>
      <w:rPr>
        <w:rFonts w:ascii="Calibri" w:hAnsi="Calibri" w:eastAsia="Calibri" w:cs="Calibri"/>
        <w:spacing w:val="-2"/>
        <w:position w:val="2"/>
        <w:sz w:val="18"/>
        <w:szCs w:val="18"/>
      </w:rPr>
      <w:t>/</w:t>
    </w:r>
    <w:r>
      <w:rPr>
        <w:rFonts w:ascii="Calibri" w:hAnsi="Calibri" w:eastAsia="Calibri" w:cs="Calibri"/>
        <w:spacing w:val="3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2"/>
        <w:position w:val="2"/>
        <w:sz w:val="18"/>
        <w:szCs w:val="18"/>
      </w:rPr>
      <w:t>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98D39">
    <w:pPr>
      <w:spacing w:line="230" w:lineRule="exact"/>
      <w:ind w:left="45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position w:val="2"/>
        <w:sz w:val="18"/>
        <w:szCs w:val="18"/>
      </w:rPr>
      <w:t xml:space="preserve">3 </w:t>
    </w:r>
    <w:r>
      <w:rPr>
        <w:rFonts w:ascii="Calibri" w:hAnsi="Calibri" w:eastAsia="Calibri" w:cs="Calibri"/>
        <w:spacing w:val="-3"/>
        <w:position w:val="2"/>
        <w:sz w:val="18"/>
        <w:szCs w:val="18"/>
      </w:rPr>
      <w:t>/</w:t>
    </w:r>
    <w:r>
      <w:rPr>
        <w:rFonts w:ascii="Calibri" w:hAnsi="Calibri" w:eastAsia="Calibri" w:cs="Calibri"/>
        <w:spacing w:val="6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position w:val="2"/>
        <w:sz w:val="18"/>
        <w:szCs w:val="18"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54B18BF"/>
    <w:rsid w:val="1F9629E5"/>
    <w:rsid w:val="1FA232C4"/>
    <w:rsid w:val="525043B8"/>
    <w:rsid w:val="55E709E2"/>
    <w:rsid w:val="6F9C354F"/>
    <w:rsid w:val="77591C54"/>
    <w:rsid w:val="7B265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toc 1"/>
    <w:basedOn w:val="1"/>
    <w:next w:val="1"/>
    <w:qFormat/>
    <w:uiPriority w:val="39"/>
    <w:pPr>
      <w:spacing w:line="360" w:lineRule="auto"/>
    </w:pPr>
    <w:rPr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2144</Words>
  <Characters>2263</Characters>
  <TotalTime>0</TotalTime>
  <ScaleCrop>false</ScaleCrop>
  <LinksUpToDate>false</LinksUpToDate>
  <CharactersWithSpaces>2308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2025-05-07T19:47:00Z</dcterms:created>
  <dc:creator>Administrator</dc:creator>
  <cp:lastModifiedBy>花间半醒</cp:lastModifiedBy>
  <dcterms:modified xsi:type="dcterms:W3CDTF">2025-08-05T01:41:14Z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2025-05-14T11:56:48Z</vt:filetime>
  </property>
  <property fmtid="{D5CDD505-2E9C-101B-9397-08002B2CF9AE}" pid="4" name="KSOTemplateDocerSaveRecord">
    <vt:lpwstr>eyJoZGlkIjoiODkwZWUyODc0MWQ4MGI0MTFkMDk0Mzc0OTYyM2ZmZDkiLCJ1c2VySWQiOiI2MDU1NDA2MjQifQ==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5E90DED8C7714789B359A95A5399B1C6_13</vt:lpwstr>
  </property>
</Properties>
</file>