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0275">
      <w:pPr>
        <w:ind w:left="0" w:leftChars="0" w:firstLine="0" w:firstLineChars="0"/>
        <w:rPr>
          <w:rFonts w:ascii="宋体" w:hAnsi="宋体" w:eastAsia="宋体" w:cs="宋体"/>
          <w:color w:val="auto"/>
          <w:spacing w:val="20"/>
          <w:sz w:val="44"/>
          <w:szCs w:val="44"/>
        </w:rPr>
      </w:pPr>
      <w:bookmarkStart w:id="0" w:name="_Toc28228"/>
    </w:p>
    <w:p w14:paraId="3EB863CC">
      <w:pPr>
        <w:ind w:left="0" w:leftChars="0" w:firstLine="0" w:firstLineChars="0"/>
      </w:pPr>
    </w:p>
    <w:p w14:paraId="298372DA">
      <w:pPr>
        <w:ind w:left="0" w:leftChars="0" w:firstLine="0" w:firstLineChars="0"/>
        <w:jc w:val="center"/>
        <w:rPr>
          <w:rFonts w:hint="eastAsia"/>
          <w:sz w:val="32"/>
          <w:szCs w:val="32"/>
        </w:rPr>
      </w:pPr>
      <w:r>
        <w:rPr>
          <w:rFonts w:hint="eastAsia" w:ascii="宋体" w:hAnsi="宋体" w:cs="宋体"/>
          <w:sz w:val="52"/>
          <w:szCs w:val="52"/>
          <w:lang w:eastAsia="zh-CN"/>
        </w:rPr>
        <w:t>钟山区2025年保华镇初级中学综合楼改建项目</w:t>
      </w:r>
    </w:p>
    <w:p w14:paraId="58E4F8E5">
      <w:pPr>
        <w:rPr>
          <w:rFonts w:hint="eastAsia"/>
        </w:rPr>
      </w:pPr>
    </w:p>
    <w:p w14:paraId="317CC659">
      <w:pPr>
        <w:pStyle w:val="4"/>
        <w:rPr>
          <w:rFonts w:hint="eastAsia"/>
        </w:rPr>
      </w:pPr>
    </w:p>
    <w:p w14:paraId="34FFB3C8">
      <w:pPr>
        <w:pStyle w:val="4"/>
        <w:jc w:val="center"/>
        <w:rPr>
          <w:rFonts w:hint="eastAsia" w:ascii="宋体" w:hAnsi="宋体" w:cs="宋体"/>
          <w:color w:val="auto"/>
          <w:spacing w:val="20"/>
          <w:sz w:val="44"/>
          <w:szCs w:val="44"/>
          <w:lang w:eastAsia="zh-CN"/>
        </w:rPr>
      </w:pPr>
    </w:p>
    <w:p w14:paraId="40FE2E72">
      <w:pPr>
        <w:pStyle w:val="4"/>
        <w:jc w:val="center"/>
        <w:rPr>
          <w:rFonts w:hint="eastAsia" w:ascii="宋体" w:hAnsi="宋体" w:cs="宋体"/>
          <w:color w:val="auto"/>
          <w:spacing w:val="20"/>
          <w:sz w:val="44"/>
          <w:szCs w:val="44"/>
          <w:lang w:eastAsia="zh-CN"/>
        </w:rPr>
      </w:pPr>
    </w:p>
    <w:p w14:paraId="2C0503DB">
      <w:pPr>
        <w:pStyle w:val="4"/>
        <w:jc w:val="center"/>
        <w:rPr>
          <w:rFonts w:hint="eastAsia" w:ascii="宋体" w:hAnsi="宋体" w:cs="宋体"/>
          <w:color w:val="auto"/>
          <w:spacing w:val="20"/>
          <w:sz w:val="44"/>
          <w:szCs w:val="44"/>
          <w:lang w:eastAsia="zh-CN"/>
        </w:rPr>
      </w:pPr>
    </w:p>
    <w:p w14:paraId="6ADDBBED">
      <w:pPr>
        <w:pStyle w:val="4"/>
        <w:jc w:val="center"/>
        <w:rPr>
          <w:rFonts w:hint="eastAsia" w:ascii="宋体" w:hAnsi="宋体" w:eastAsia="宋体" w:cs="宋体"/>
          <w:color w:val="auto"/>
          <w:spacing w:val="20"/>
          <w:sz w:val="44"/>
          <w:szCs w:val="44"/>
          <w:lang w:eastAsia="zh-CN"/>
        </w:rPr>
      </w:pPr>
      <w:r>
        <w:rPr>
          <w:rFonts w:hint="eastAsia" w:ascii="宋体" w:hAnsi="宋体" w:cs="宋体"/>
          <w:color w:val="auto"/>
          <w:spacing w:val="20"/>
          <w:sz w:val="44"/>
          <w:szCs w:val="44"/>
          <w:lang w:eastAsia="zh-CN"/>
        </w:rPr>
        <w:t>采购需求</w:t>
      </w:r>
    </w:p>
    <w:p w14:paraId="2EF8C5FE">
      <w:pPr>
        <w:pStyle w:val="4"/>
        <w:jc w:val="center"/>
        <w:rPr>
          <w:rFonts w:ascii="宋体" w:hAnsi="宋体" w:eastAsia="宋体" w:cs="宋体"/>
          <w:color w:val="auto"/>
          <w:spacing w:val="20"/>
          <w:sz w:val="44"/>
          <w:szCs w:val="44"/>
        </w:rPr>
      </w:pPr>
    </w:p>
    <w:p w14:paraId="235AC895">
      <w:pPr>
        <w:pStyle w:val="4"/>
        <w:jc w:val="center"/>
        <w:rPr>
          <w:rFonts w:ascii="宋体" w:hAnsi="宋体" w:eastAsia="宋体" w:cs="宋体"/>
          <w:color w:val="auto"/>
          <w:spacing w:val="20"/>
          <w:sz w:val="44"/>
          <w:szCs w:val="44"/>
        </w:rPr>
      </w:pPr>
    </w:p>
    <w:p w14:paraId="69239EEB">
      <w:pPr>
        <w:pStyle w:val="4"/>
        <w:jc w:val="center"/>
        <w:rPr>
          <w:rFonts w:ascii="宋体" w:hAnsi="宋体" w:eastAsia="宋体" w:cs="宋体"/>
          <w:color w:val="auto"/>
          <w:spacing w:val="20"/>
          <w:sz w:val="44"/>
          <w:szCs w:val="44"/>
        </w:rPr>
      </w:pPr>
    </w:p>
    <w:p w14:paraId="10A66439">
      <w:pPr>
        <w:pStyle w:val="4"/>
        <w:jc w:val="center"/>
        <w:rPr>
          <w:rFonts w:hint="eastAsia" w:ascii="宋体" w:hAnsi="宋体" w:eastAsia="宋体" w:cs="宋体"/>
          <w:color w:val="auto"/>
          <w:sz w:val="32"/>
          <w:szCs w:val="28"/>
        </w:rPr>
      </w:pPr>
      <w:r>
        <w:rPr>
          <w:rFonts w:hint="eastAsia" w:ascii="宋体" w:hAnsi="宋体" w:eastAsia="宋体" w:cs="宋体"/>
          <w:color w:val="auto"/>
          <w:sz w:val="32"/>
          <w:szCs w:val="28"/>
        </w:rPr>
        <w:t>采 购 人：</w:t>
      </w:r>
      <w:r>
        <w:rPr>
          <w:rFonts w:hint="eastAsia" w:ascii="宋体" w:hAnsi="宋体" w:cs="宋体"/>
          <w:b/>
          <w:sz w:val="32"/>
          <w:szCs w:val="28"/>
          <w:u w:val="single"/>
          <w:lang w:val="en-US" w:eastAsia="zh-CN"/>
        </w:rPr>
        <w:t>六盘水市钟山区保华镇中心校</w:t>
      </w:r>
      <w:r>
        <w:rPr>
          <w:rFonts w:hint="eastAsia" w:ascii="宋体" w:hAnsi="宋体" w:eastAsia="宋体" w:cs="宋体"/>
          <w:color w:val="auto"/>
          <w:sz w:val="40"/>
          <w:szCs w:val="40"/>
          <w:u w:val="single"/>
        </w:rPr>
        <w:t xml:space="preserve"> </w:t>
      </w:r>
    </w:p>
    <w:p w14:paraId="39A0D1A3">
      <w:pPr>
        <w:pStyle w:val="4"/>
        <w:ind w:left="0" w:leftChars="0" w:firstLine="0" w:firstLineChars="0"/>
        <w:rPr>
          <w:rFonts w:hint="eastAsia"/>
        </w:rPr>
      </w:pPr>
    </w:p>
    <w:p w14:paraId="162C01C0">
      <w:pPr>
        <w:pStyle w:val="4"/>
        <w:jc w:val="center"/>
        <w:rPr>
          <w:rFonts w:hint="eastAsia" w:ascii="宋体" w:hAnsi="宋体" w:eastAsia="宋体" w:cs="宋体"/>
          <w:color w:val="auto"/>
          <w:sz w:val="30"/>
          <w:szCs w:val="30"/>
        </w:rPr>
      </w:pPr>
    </w:p>
    <w:p w14:paraId="4BCF656E">
      <w:pPr>
        <w:rPr>
          <w:rFonts w:hint="eastAsia" w:ascii="宋体" w:hAnsi="宋体" w:eastAsia="宋体" w:cs="宋体"/>
          <w:color w:val="auto"/>
          <w:sz w:val="30"/>
          <w:szCs w:val="30"/>
          <w:lang w:eastAsia="zh-CN"/>
        </w:rPr>
      </w:pPr>
      <w:bookmarkStart w:id="1" w:name="_Toc407182662"/>
      <w:bookmarkStart w:id="2" w:name="_Toc22879"/>
      <w:r>
        <w:rPr>
          <w:rFonts w:hint="eastAsia" w:ascii="宋体" w:hAnsi="宋体" w:eastAsia="宋体" w:cs="宋体"/>
          <w:color w:val="auto"/>
          <w:sz w:val="30"/>
          <w:szCs w:val="30"/>
          <w:lang w:eastAsia="zh-CN"/>
        </w:rPr>
        <w:br w:type="page"/>
      </w:r>
    </w:p>
    <w:p w14:paraId="362D8F70">
      <w:pPr>
        <w:pStyle w:val="3"/>
        <w:spacing w:before="240" w:after="240"/>
        <w:rPr>
          <w:rFonts w:ascii="宋体" w:hAnsi="宋体" w:eastAsia="宋体" w:cs="宋体"/>
          <w:color w:val="auto"/>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 xml:space="preserve"> 采购项目概述</w:t>
      </w:r>
      <w:bookmarkEnd w:id="1"/>
      <w:bookmarkEnd w:id="2"/>
    </w:p>
    <w:p w14:paraId="0362FC28">
      <w:pPr>
        <w:spacing w:beforeLines="50" w:afterLines="50" w:line="240" w:lineRule="auto"/>
        <w:ind w:firstLine="480"/>
        <w:rPr>
          <w:rFonts w:hint="eastAsia" w:ascii="宋体" w:hAnsi="宋体" w:eastAsia="宋体" w:cs="宋体"/>
        </w:rPr>
      </w:pPr>
      <w:bookmarkStart w:id="3" w:name="_Toc407182663"/>
      <w:r>
        <w:rPr>
          <w:rStyle w:val="15"/>
          <w:rFonts w:hint="eastAsia" w:ascii="宋体" w:hAnsi="宋体" w:eastAsia="宋体" w:cs="宋体"/>
          <w:lang w:val="en-US" w:eastAsia="zh-CN"/>
        </w:rPr>
        <w:t>（一）</w:t>
      </w:r>
      <w:r>
        <w:rPr>
          <w:rStyle w:val="15"/>
          <w:rFonts w:hint="eastAsia" w:ascii="宋体" w:hAnsi="宋体" w:eastAsia="宋体" w:cs="宋体"/>
          <w:lang w:eastAsia="zh-CN"/>
        </w:rPr>
        <w:t>项目名称：</w:t>
      </w:r>
      <w:r>
        <w:rPr>
          <w:rFonts w:hint="eastAsia" w:ascii="宋体" w:hAnsi="宋体" w:eastAsia="宋体" w:cs="宋体"/>
          <w:lang w:eastAsia="zh-CN"/>
        </w:rPr>
        <w:t>钟山区2025年保华镇初级中学综合楼改建项目</w:t>
      </w:r>
    </w:p>
    <w:p w14:paraId="63A7D74C">
      <w:pPr>
        <w:spacing w:beforeLines="50" w:afterLines="50" w:line="240" w:lineRule="auto"/>
        <w:ind w:firstLine="480" w:firstLineChars="200"/>
        <w:rPr>
          <w:rStyle w:val="15"/>
          <w:rFonts w:ascii="宋体" w:hAnsi="宋体" w:eastAsia="宋体" w:cs="宋体"/>
        </w:rPr>
      </w:pPr>
      <w:r>
        <w:rPr>
          <w:rStyle w:val="15"/>
          <w:rFonts w:hint="eastAsia" w:ascii="宋体" w:hAnsi="宋体" w:eastAsia="宋体" w:cs="宋体"/>
          <w:lang w:val="en-US" w:eastAsia="zh-CN"/>
        </w:rPr>
        <w:t>（二）</w:t>
      </w:r>
      <w:r>
        <w:rPr>
          <w:rStyle w:val="15"/>
          <w:rFonts w:hint="eastAsia" w:ascii="宋体" w:hAnsi="宋体" w:eastAsia="宋体" w:cs="宋体"/>
        </w:rPr>
        <w:t>资金来源</w:t>
      </w:r>
    </w:p>
    <w:p w14:paraId="5E723338">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rPr>
        <w:t>本项目资金来源为</w:t>
      </w:r>
      <w:r>
        <w:rPr>
          <w:rFonts w:hint="eastAsia" w:ascii="宋体" w:hAnsi="宋体" w:eastAsia="宋体" w:cs="宋体"/>
          <w:lang w:val="en-US" w:eastAsia="zh-CN"/>
        </w:rPr>
        <w:t xml:space="preserve">根据《省财政厅 省教育厅关于提前下达 </w:t>
      </w:r>
      <w:r>
        <w:rPr>
          <w:rFonts w:hint="default" w:ascii="宋体" w:hAnsi="宋体" w:eastAsia="宋体" w:cs="宋体"/>
          <w:lang w:val="en-US" w:eastAsia="zh-CN"/>
        </w:rPr>
        <w:t xml:space="preserve">2025 </w:t>
      </w:r>
      <w:r>
        <w:rPr>
          <w:rFonts w:hint="eastAsia" w:ascii="宋体" w:hAnsi="宋体" w:eastAsia="宋体" w:cs="宋体"/>
          <w:lang w:val="en-US" w:eastAsia="zh-CN"/>
        </w:rPr>
        <w:t>年义务教育薄 弱环节改善与能力提升中央补助资金预算的通知》（黔财教 〔</w:t>
      </w:r>
      <w:r>
        <w:rPr>
          <w:rFonts w:hint="default" w:ascii="宋体" w:hAnsi="宋体" w:eastAsia="宋体" w:cs="宋体"/>
          <w:lang w:val="en-US" w:eastAsia="zh-CN"/>
        </w:rPr>
        <w:t>2024</w:t>
      </w:r>
      <w:r>
        <w:rPr>
          <w:rFonts w:hint="eastAsia" w:ascii="宋体" w:hAnsi="宋体" w:eastAsia="宋体" w:cs="宋体"/>
          <w:lang w:val="en-US" w:eastAsia="zh-CN"/>
        </w:rPr>
        <w:t>〕</w:t>
      </w:r>
      <w:r>
        <w:rPr>
          <w:rFonts w:hint="default" w:ascii="宋体" w:hAnsi="宋体" w:eastAsia="宋体" w:cs="宋体"/>
          <w:lang w:val="en-US" w:eastAsia="zh-CN"/>
        </w:rPr>
        <w:t xml:space="preserve">163 </w:t>
      </w:r>
      <w:r>
        <w:rPr>
          <w:rFonts w:hint="eastAsia" w:ascii="宋体" w:hAnsi="宋体" w:eastAsia="宋体" w:cs="宋体"/>
          <w:lang w:val="en-US" w:eastAsia="zh-CN"/>
        </w:rPr>
        <w:t xml:space="preserve">号）及《省财政厅 省教育厅关于提前下达 </w:t>
      </w:r>
      <w:r>
        <w:rPr>
          <w:rFonts w:hint="default" w:ascii="宋体" w:hAnsi="宋体" w:eastAsia="宋体" w:cs="宋体"/>
          <w:lang w:val="en-US" w:eastAsia="zh-CN"/>
        </w:rPr>
        <w:t xml:space="preserve">2025 </w:t>
      </w:r>
      <w:r>
        <w:rPr>
          <w:rFonts w:hint="eastAsia" w:ascii="宋体" w:hAnsi="宋体" w:eastAsia="宋体" w:cs="宋体"/>
          <w:lang w:val="en-US" w:eastAsia="zh-CN"/>
        </w:rPr>
        <w:t>年义务教育薄弱环节改善与能力提升省级补助资金预算的通知》《六盘水财教〔</w:t>
      </w:r>
      <w:r>
        <w:rPr>
          <w:rFonts w:hint="default" w:ascii="宋体" w:hAnsi="宋体" w:eastAsia="宋体" w:cs="宋体"/>
          <w:lang w:val="en-US" w:eastAsia="zh-CN"/>
        </w:rPr>
        <w:t>2025</w:t>
      </w:r>
      <w:r>
        <w:rPr>
          <w:rFonts w:hint="eastAsia" w:ascii="宋体" w:hAnsi="宋体" w:eastAsia="宋体" w:cs="宋体"/>
          <w:lang w:val="en-US" w:eastAsia="zh-CN"/>
        </w:rPr>
        <w:t>〕</w:t>
      </w:r>
      <w:r>
        <w:rPr>
          <w:rFonts w:hint="default" w:ascii="宋体" w:hAnsi="宋体" w:eastAsia="宋体" w:cs="宋体"/>
          <w:lang w:val="en-US" w:eastAsia="zh-CN"/>
        </w:rPr>
        <w:t>4</w:t>
      </w:r>
      <w:r>
        <w:rPr>
          <w:rFonts w:hint="eastAsia" w:ascii="宋体" w:hAnsi="宋体" w:eastAsia="宋体" w:cs="宋体"/>
          <w:lang w:val="en-US" w:eastAsia="zh-CN"/>
        </w:rPr>
        <w:t>号》</w:t>
      </w:r>
    </w:p>
    <w:p w14:paraId="3F27450D">
      <w:pPr>
        <w:rPr>
          <w:rFonts w:hint="eastAsia" w:ascii="宋体" w:hAnsi="宋体" w:eastAsia="宋体" w:cs="宋体"/>
          <w:u w:val="single"/>
          <w:lang w:val="en-US" w:eastAsia="zh-CN"/>
        </w:rPr>
      </w:pPr>
      <w:r>
        <w:rPr>
          <w:rFonts w:hint="eastAsia" w:ascii="宋体" w:hAnsi="宋体" w:eastAsia="宋体" w:cs="宋体"/>
          <w:lang w:eastAsia="zh-CN"/>
        </w:rPr>
        <w:t>本</w:t>
      </w:r>
      <w:r>
        <w:rPr>
          <w:rFonts w:hint="eastAsia" w:ascii="宋体" w:hAnsi="宋体" w:eastAsia="宋体" w:cs="宋体"/>
        </w:rPr>
        <w:t>项目采购预算为：</w:t>
      </w:r>
      <w:r>
        <w:rPr>
          <w:rFonts w:hint="eastAsia" w:ascii="宋体" w:hAnsi="宋体" w:eastAsia="宋体" w:cs="宋体"/>
          <w:u w:val="single"/>
          <w:lang w:val="en-US" w:eastAsia="zh-CN"/>
        </w:rPr>
        <w:t>壹佰万元整</w:t>
      </w:r>
      <w:bookmarkStart w:id="14" w:name="_GoBack"/>
      <w:bookmarkEnd w:id="14"/>
      <w:r>
        <w:rPr>
          <w:rFonts w:hint="eastAsia" w:ascii="宋体" w:hAnsi="宋体" w:eastAsia="宋体" w:cs="宋体"/>
          <w:lang w:val="en-US" w:eastAsia="zh-CN"/>
        </w:rPr>
        <w:t>；（小写：</w:t>
      </w:r>
      <w:r>
        <w:rPr>
          <w:rFonts w:hint="eastAsia" w:ascii="宋体" w:hAnsi="宋体" w:eastAsia="宋体" w:cs="宋体"/>
          <w:u w:val="single"/>
          <w:lang w:val="en-US" w:eastAsia="zh-CN"/>
        </w:rPr>
        <w:t>￥1000000.00</w:t>
      </w:r>
      <w:r>
        <w:rPr>
          <w:rFonts w:hint="eastAsia" w:ascii="宋体" w:hAnsi="宋体" w:eastAsia="宋体" w:cs="宋体"/>
        </w:rPr>
        <w:t>元</w:t>
      </w:r>
      <w:r>
        <w:rPr>
          <w:rFonts w:hint="eastAsia" w:ascii="宋体" w:hAnsi="宋体" w:eastAsia="宋体" w:cs="宋体"/>
          <w:lang w:val="en-US" w:eastAsia="zh-CN"/>
        </w:rPr>
        <w:t>），</w:t>
      </w:r>
      <w:r>
        <w:rPr>
          <w:rFonts w:hint="eastAsia" w:ascii="宋体" w:hAnsi="宋体" w:eastAsia="宋体" w:cs="宋体"/>
        </w:rPr>
        <w:t>本项目</w:t>
      </w:r>
      <w:r>
        <w:rPr>
          <w:rFonts w:hint="eastAsia" w:ascii="宋体" w:hAnsi="宋体" w:eastAsia="宋体" w:cs="宋体"/>
          <w:lang w:val="en-US" w:eastAsia="zh-CN"/>
        </w:rPr>
        <w:t>最高</w:t>
      </w:r>
      <w:r>
        <w:rPr>
          <w:rFonts w:hint="eastAsia" w:ascii="宋体" w:hAnsi="宋体" w:eastAsia="宋体" w:cs="宋体"/>
        </w:rPr>
        <w:t>限价为：</w:t>
      </w:r>
      <w:r>
        <w:rPr>
          <w:rFonts w:hint="eastAsia" w:ascii="宋体" w:hAnsi="宋体" w:eastAsia="宋体" w:cs="宋体"/>
          <w:u w:val="single"/>
          <w:lang w:val="en-US" w:eastAsia="zh-CN"/>
        </w:rPr>
        <w:t>￥1000000.00元。</w:t>
      </w:r>
    </w:p>
    <w:p w14:paraId="7F9ECCAD">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采 购 人</w:t>
      </w:r>
    </w:p>
    <w:p w14:paraId="3236346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采购人名称：</w:t>
      </w:r>
      <w:r>
        <w:rPr>
          <w:rFonts w:hint="eastAsia" w:ascii="宋体" w:hAnsi="宋体" w:eastAsia="宋体" w:cs="宋体"/>
          <w:u w:val="single"/>
          <w:lang w:eastAsia="zh-CN"/>
        </w:rPr>
        <w:t>六盘水市钟山区保华镇中心校</w:t>
      </w:r>
    </w:p>
    <w:p w14:paraId="5FD79EEA">
      <w:pPr>
        <w:spacing w:beforeLines="50" w:afterLines="50" w:line="240" w:lineRule="auto"/>
        <w:ind w:firstLine="480"/>
        <w:jc w:val="both"/>
        <w:rPr>
          <w:rFonts w:ascii="宋体" w:hAnsi="宋体" w:eastAsia="宋体" w:cs="宋体"/>
          <w:u w:val="single"/>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      址：</w:t>
      </w:r>
      <w:r>
        <w:rPr>
          <w:rFonts w:hint="eastAsia" w:ascii="宋体" w:hAnsi="宋体" w:eastAsia="宋体" w:cs="宋体"/>
          <w:u w:val="single"/>
          <w:lang w:eastAsia="zh-CN"/>
        </w:rPr>
        <w:t>六盘水钟山区保华镇</w:t>
      </w:r>
    </w:p>
    <w:p w14:paraId="11DC400D">
      <w:pPr>
        <w:spacing w:beforeLines="50" w:afterLines="50" w:line="240" w:lineRule="auto"/>
        <w:ind w:firstLine="480"/>
        <w:jc w:val="both"/>
        <w:rPr>
          <w:rFonts w:hint="eastAsia"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  系  人：</w:t>
      </w:r>
      <w:r>
        <w:rPr>
          <w:rFonts w:hint="eastAsia" w:ascii="宋体" w:hAnsi="宋体" w:eastAsia="宋体" w:cs="宋体"/>
          <w:u w:val="single"/>
          <w:lang w:val="en-US" w:eastAsia="zh-CN"/>
        </w:rPr>
        <w:t>普老师</w:t>
      </w:r>
    </w:p>
    <w:p w14:paraId="7E1734C8">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15685820107</w:t>
      </w:r>
    </w:p>
    <w:p w14:paraId="1D3B0171">
      <w:pPr>
        <w:spacing w:beforeLines="50" w:afterLines="50" w:line="240" w:lineRule="auto"/>
        <w:ind w:firstLine="480" w:firstLineChars="200"/>
        <w:jc w:val="both"/>
        <w:rPr>
          <w:rFonts w:ascii="宋体" w:hAnsi="宋体" w:eastAsia="宋体" w:cs="宋体"/>
        </w:rPr>
      </w:pPr>
      <w:bookmarkStart w:id="4" w:name="_Toc406671677"/>
      <w:bookmarkStart w:id="5" w:name="_Toc406670716"/>
      <w:bookmarkStart w:id="6" w:name="_Toc406671087"/>
      <w:r>
        <w:rPr>
          <w:rFonts w:hint="eastAsia" w:ascii="宋体" w:hAnsi="宋体" w:eastAsia="宋体" w:cs="宋体"/>
          <w:lang w:eastAsia="zh-CN"/>
        </w:rPr>
        <w:t>（四）</w:t>
      </w:r>
      <w:r>
        <w:rPr>
          <w:rFonts w:hint="eastAsia" w:ascii="宋体" w:hAnsi="宋体" w:eastAsia="宋体" w:cs="宋体"/>
        </w:rPr>
        <w:t>代理机构</w:t>
      </w:r>
      <w:bookmarkEnd w:id="4"/>
      <w:bookmarkEnd w:id="5"/>
      <w:bookmarkEnd w:id="6"/>
    </w:p>
    <w:p w14:paraId="78C741D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u w:val="single"/>
          <w:lang w:val="en-US" w:eastAsia="zh-CN"/>
        </w:rPr>
        <w:t>贵州建安工程管理有限公司</w:t>
      </w:r>
    </w:p>
    <w:p w14:paraId="5B3D8FE6">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地址：</w:t>
      </w:r>
      <w:r>
        <w:rPr>
          <w:rFonts w:hint="eastAsia" w:ascii="宋体" w:hAnsi="宋体" w:eastAsia="宋体" w:cs="宋体"/>
          <w:b w:val="0"/>
          <w:bCs/>
          <w:color w:val="auto"/>
          <w:kern w:val="0"/>
          <w:sz w:val="24"/>
          <w:szCs w:val="24"/>
          <w:highlight w:val="none"/>
          <w:u w:val="none"/>
          <w:lang w:eastAsia="zh-CN"/>
        </w:rPr>
        <w:t>六盘水市钟山区明湖路25号劳动局家属楼4号楼301室</w:t>
      </w:r>
    </w:p>
    <w:p w14:paraId="1DAC303B">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联系人：</w:t>
      </w:r>
      <w:r>
        <w:rPr>
          <w:rFonts w:hint="eastAsia" w:ascii="宋体" w:hAnsi="宋体" w:eastAsia="宋体" w:cs="宋体"/>
          <w:u w:val="single"/>
          <w:lang w:val="en-US" w:eastAsia="zh-CN"/>
        </w:rPr>
        <w:t>吴佳</w:t>
      </w:r>
    </w:p>
    <w:p w14:paraId="225168BE">
      <w:pPr>
        <w:spacing w:beforeLines="50" w:afterLines="50" w:line="240" w:lineRule="auto"/>
        <w:ind w:firstLine="480" w:firstLineChars="200"/>
        <w:jc w:val="both"/>
        <w:rPr>
          <w:rFonts w:hint="eastAsia"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18985906100</w:t>
      </w:r>
    </w:p>
    <w:p w14:paraId="7642E62C">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（五）</w:t>
      </w:r>
      <w:r>
        <w:rPr>
          <w:rFonts w:hint="eastAsia" w:ascii="宋体" w:hAnsi="宋体" w:eastAsia="宋体" w:cs="宋体"/>
        </w:rPr>
        <w:t>监督部门</w:t>
      </w:r>
    </w:p>
    <w:p w14:paraId="61D715D3">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六盘水市</w:t>
      </w:r>
      <w:r>
        <w:rPr>
          <w:rFonts w:hint="eastAsia" w:ascii="宋体" w:hAnsi="宋体" w:eastAsia="宋体" w:cs="宋体"/>
          <w:u w:val="single"/>
          <w:lang w:val="en-US" w:eastAsia="zh-CN"/>
        </w:rPr>
        <w:t>钟山区</w:t>
      </w:r>
      <w:r>
        <w:rPr>
          <w:rFonts w:hint="eastAsia" w:ascii="宋体" w:hAnsi="宋体" w:eastAsia="宋体" w:cs="宋体"/>
          <w:u w:val="single"/>
        </w:rPr>
        <w:t>财政局</w:t>
      </w:r>
    </w:p>
    <w:p w14:paraId="1062F472">
      <w:pPr>
        <w:pStyle w:val="28"/>
        <w:spacing w:before="155" w:line="220" w:lineRule="auto"/>
        <w:ind w:left="118"/>
        <w:rPr>
          <w:u w:val="single"/>
        </w:rPr>
      </w:pPr>
      <w:r>
        <w:rPr>
          <w:rFonts w:hint="eastAsia" w:ascii="宋体" w:hAnsi="宋体" w:eastAsia="宋体" w:cs="宋体"/>
        </w:rPr>
        <w:t>监督电话：</w:t>
      </w:r>
      <w:r>
        <w:rPr>
          <w:rFonts w:hint="eastAsia" w:ascii="宋体" w:hAnsi="宋体" w:eastAsia="宋体" w:cs="宋体"/>
          <w:u w:val="single"/>
          <w:lang w:val="en-US" w:eastAsia="zh-CN"/>
        </w:rPr>
        <w:t xml:space="preserve"> </w:t>
      </w:r>
      <w:r>
        <w:rPr>
          <w:spacing w:val="-1"/>
          <w:u w:val="single"/>
        </w:rPr>
        <w:t>0858-8694075</w:t>
      </w:r>
    </w:p>
    <w:p w14:paraId="39A1E8B7">
      <w:pPr>
        <w:spacing w:beforeLines="50" w:afterLines="50" w:line="240" w:lineRule="auto"/>
        <w:ind w:firstLine="491" w:firstLineChars="205"/>
        <w:rPr>
          <w:rFonts w:hint="eastAsia" w:ascii="宋体" w:hAnsi="宋体" w:eastAsia="宋体" w:cs="宋体"/>
          <w:u w:val="single"/>
          <w:lang w:eastAsia="zh-CN"/>
        </w:rPr>
      </w:pPr>
      <w:r>
        <w:rPr>
          <w:rFonts w:hint="eastAsia" w:ascii="宋体" w:hAnsi="宋体" w:eastAsia="宋体" w:cs="宋体"/>
        </w:rPr>
        <w:t>详细地址：</w:t>
      </w:r>
      <w:r>
        <w:rPr>
          <w:rFonts w:hint="eastAsia" w:ascii="宋体" w:hAnsi="宋体" w:eastAsia="宋体" w:cs="宋体"/>
          <w:u w:val="single"/>
        </w:rPr>
        <w:t>贵州省六盘水市</w:t>
      </w:r>
      <w:r>
        <w:rPr>
          <w:rFonts w:hint="eastAsia" w:ascii="宋体" w:hAnsi="宋体" w:eastAsia="宋体" w:cs="宋体"/>
          <w:u w:val="single"/>
          <w:lang w:val="en-US" w:eastAsia="zh-CN"/>
        </w:rPr>
        <w:t>钟山</w:t>
      </w:r>
      <w:r>
        <w:rPr>
          <w:rFonts w:hint="eastAsia" w:ascii="宋体" w:hAnsi="宋体" w:eastAsia="宋体" w:cs="宋体"/>
          <w:u w:val="single"/>
        </w:rPr>
        <w:t>区</w:t>
      </w:r>
      <w:r>
        <w:rPr>
          <w:rFonts w:hint="eastAsia" w:ascii="宋体" w:hAnsi="宋体" w:eastAsia="宋体" w:cs="宋体"/>
          <w:u w:val="single"/>
          <w:lang w:val="en-US" w:eastAsia="zh-CN"/>
        </w:rPr>
        <w:t xml:space="preserve"> </w:t>
      </w:r>
    </w:p>
    <w:bookmarkEnd w:id="0"/>
    <w:bookmarkEnd w:id="3"/>
    <w:p w14:paraId="66F348C9">
      <w:pPr>
        <w:rPr>
          <w:rFonts w:hint="eastAsia" w:ascii="宋体" w:hAnsi="宋体" w:eastAsia="宋体" w:cs="宋体"/>
          <w:color w:val="auto"/>
          <w:sz w:val="30"/>
          <w:szCs w:val="30"/>
        </w:rPr>
      </w:pPr>
      <w:bookmarkStart w:id="7" w:name="_Toc19399"/>
      <w:bookmarkStart w:id="8" w:name="_Toc407182665"/>
      <w:bookmarkStart w:id="9" w:name="_Toc407169873"/>
      <w:r>
        <w:rPr>
          <w:rFonts w:hint="eastAsia" w:ascii="宋体" w:hAnsi="宋体" w:eastAsia="宋体" w:cs="宋体"/>
          <w:color w:val="auto"/>
          <w:sz w:val="30"/>
          <w:szCs w:val="30"/>
        </w:rPr>
        <w:br w:type="page"/>
      </w:r>
    </w:p>
    <w:p w14:paraId="6E0B002B">
      <w:pPr>
        <w:pStyle w:val="2"/>
        <w:numPr>
          <w:ilvl w:val="0"/>
          <w:numId w:val="0"/>
        </w:numPr>
        <w:spacing w:before="120" w:after="120"/>
        <w:ind w:leftChars="20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二、资格条件及要求</w:t>
      </w:r>
    </w:p>
    <w:p w14:paraId="7D84F8CA">
      <w:pPr>
        <w:spacing w:line="440" w:lineRule="exact"/>
        <w:rPr>
          <w:rFonts w:hint="eastAsia" w:ascii="宋体" w:hAnsi="宋体" w:eastAsia="宋体" w:cs="宋体"/>
          <w:b/>
          <w:bCs w:val="0"/>
          <w:color w:val="000000"/>
          <w:sz w:val="24"/>
          <w:szCs w:val="24"/>
          <w:highlight w:val="none"/>
        </w:rPr>
      </w:pPr>
      <w:r>
        <w:rPr>
          <w:rFonts w:hint="eastAsia" w:ascii="宋体" w:hAnsi="宋体" w:eastAsia="宋体" w:cs="宋体"/>
          <w:lang w:eastAsia="zh-CN"/>
        </w:rPr>
        <w:t>（一）</w:t>
      </w:r>
      <w:r>
        <w:rPr>
          <w:rFonts w:hint="eastAsia" w:ascii="宋体" w:hAnsi="宋体" w:eastAsia="宋体" w:cs="宋体"/>
          <w:b/>
          <w:bCs w:val="0"/>
          <w:color w:val="000000"/>
          <w:sz w:val="24"/>
          <w:szCs w:val="24"/>
          <w:highlight w:val="none"/>
        </w:rPr>
        <w:t>一般资格要求：</w:t>
      </w:r>
    </w:p>
    <w:p w14:paraId="1B5CDC33">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一般资格要求：</w:t>
      </w:r>
    </w:p>
    <w:p w14:paraId="2629553B">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1、符合中华人民共和国政府采购法第二十二条之规定：</w:t>
      </w:r>
    </w:p>
    <w:p w14:paraId="630F47E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 具有独立承担民事责任的能力；</w:t>
      </w:r>
    </w:p>
    <w:p w14:paraId="4B060B2B">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具有良好的商业信誉和健全的财务会计制度；</w:t>
      </w:r>
    </w:p>
    <w:p w14:paraId="2B816885">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具有履行合同所必需的设备和专业技术能力；</w:t>
      </w:r>
    </w:p>
    <w:p w14:paraId="3F52546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 有依法缴纳税收和社会保障资金的良好记录；</w:t>
      </w:r>
    </w:p>
    <w:p w14:paraId="006D6815">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 参加政府采购活动前三年内，在经营活动中没有重大违法记录；</w:t>
      </w:r>
    </w:p>
    <w:p w14:paraId="58A78821">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 法律、行政法规规定的其他条件。</w:t>
      </w:r>
    </w:p>
    <w:p w14:paraId="67DBF055">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特殊资格要求：(1) 具备建设行政主管部门核发的</w:t>
      </w:r>
      <w:r>
        <w:rPr>
          <w:rFonts w:hint="eastAsia" w:ascii="宋体" w:hAnsi="宋体" w:eastAsia="宋体" w:cs="宋体"/>
          <w:color w:val="auto"/>
          <w:sz w:val="24"/>
          <w:lang w:val="en-US" w:eastAsia="zh-CN"/>
        </w:rPr>
        <w:t>建筑</w:t>
      </w:r>
      <w:r>
        <w:rPr>
          <w:rFonts w:hint="eastAsia" w:ascii="宋体" w:hAnsi="宋体" w:eastAsia="宋体" w:cs="宋体"/>
          <w:color w:val="auto"/>
          <w:sz w:val="24"/>
        </w:rPr>
        <w:t>施工</w:t>
      </w:r>
      <w:r>
        <w:rPr>
          <w:rFonts w:hint="eastAsia" w:ascii="宋体" w:hAnsi="宋体" w:eastAsia="宋体" w:cs="宋体"/>
          <w:color w:val="auto"/>
          <w:sz w:val="24"/>
          <w:lang w:eastAsia="zh-CN"/>
        </w:rPr>
        <w:t>总承包</w:t>
      </w:r>
      <w:r>
        <w:rPr>
          <w:rFonts w:hint="eastAsia" w:ascii="宋体" w:hAnsi="宋体" w:eastAsia="宋体" w:cs="宋体"/>
          <w:color w:val="auto"/>
          <w:sz w:val="24"/>
          <w:lang w:val="en-US" w:eastAsia="zh-CN"/>
        </w:rPr>
        <w:t>叁</w:t>
      </w:r>
      <w:r>
        <w:rPr>
          <w:rFonts w:hint="eastAsia" w:ascii="宋体" w:hAnsi="宋体" w:eastAsia="宋体" w:cs="宋体"/>
          <w:color w:val="auto"/>
          <w:sz w:val="24"/>
          <w:lang w:eastAsia="zh-CN"/>
        </w:rPr>
        <w:t>级</w:t>
      </w:r>
      <w:r>
        <w:rPr>
          <w:rFonts w:hint="eastAsia" w:ascii="宋体" w:hAnsi="宋体" w:eastAsia="宋体" w:cs="宋体"/>
          <w:color w:val="auto"/>
          <w:sz w:val="24"/>
        </w:rPr>
        <w:t>及以</w:t>
      </w:r>
      <w:r>
        <w:rPr>
          <w:rFonts w:hint="eastAsia" w:ascii="宋体" w:hAnsi="宋体" w:eastAsia="宋体" w:cs="宋体"/>
          <w:color w:val="auto"/>
          <w:sz w:val="24"/>
          <w:lang w:eastAsia="zh-CN"/>
        </w:rPr>
        <w:t>上</w:t>
      </w:r>
      <w:r>
        <w:rPr>
          <w:rFonts w:hint="eastAsia" w:ascii="宋体" w:hAnsi="宋体" w:eastAsia="宋体" w:cs="宋体"/>
          <w:color w:val="auto"/>
          <w:sz w:val="24"/>
          <w:lang w:val="en-US" w:eastAsia="zh-CN"/>
        </w:rPr>
        <w:t>或建筑装修装饰工程专业承包二级及以上</w:t>
      </w:r>
      <w:r>
        <w:rPr>
          <w:rFonts w:hint="eastAsia" w:ascii="宋体" w:hAnsi="宋体" w:eastAsia="宋体" w:cs="宋体"/>
          <w:color w:val="auto"/>
          <w:sz w:val="24"/>
          <w:lang w:eastAsia="zh-CN"/>
        </w:rPr>
        <w:t>资质</w:t>
      </w:r>
      <w:r>
        <w:rPr>
          <w:rFonts w:hint="eastAsia" w:ascii="宋体" w:hAnsi="宋体" w:eastAsia="宋体" w:cs="宋体"/>
          <w:color w:val="auto"/>
          <w:sz w:val="24"/>
        </w:rPr>
        <w:t>，并在人员、设备、资金等方面具有相应的能力。</w:t>
      </w:r>
    </w:p>
    <w:p w14:paraId="44EDC66D">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提供：有效的资质证书(提供加盖公章的复印件或扫描件)。</w:t>
      </w:r>
    </w:p>
    <w:p w14:paraId="17FCE54C">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 具备有效的营业执照。</w:t>
      </w:r>
    </w:p>
    <w:p w14:paraId="2BFB1831">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提供：有效的营业执照(提供加盖公章的复印件或扫描件)。</w:t>
      </w:r>
    </w:p>
    <w:p w14:paraId="0F8C891F">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 具备有效的安全生产许可证</w:t>
      </w:r>
    </w:p>
    <w:p w14:paraId="3979A060">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提供：有效的安全生产许可证(提供加盖公章的复印件或扫描件)。</w:t>
      </w:r>
    </w:p>
    <w:p w14:paraId="3D9E5546">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2.项目经理资格</w:t>
      </w:r>
    </w:p>
    <w:p w14:paraId="49ECF1F4">
      <w:pPr>
        <w:rPr>
          <w:rFonts w:hint="eastAsia" w:ascii="宋体" w:hAnsi="宋体" w:eastAsia="宋体" w:cs="宋体"/>
          <w:color w:val="auto"/>
          <w:sz w:val="24"/>
        </w:rPr>
      </w:pPr>
      <w:r>
        <w:rPr>
          <w:rFonts w:hint="eastAsia" w:ascii="宋体" w:hAnsi="宋体" w:eastAsia="宋体" w:cs="宋体"/>
          <w:color w:val="auto"/>
          <w:sz w:val="24"/>
        </w:rPr>
        <w:t>具备</w:t>
      </w:r>
      <w:r>
        <w:rPr>
          <w:rFonts w:hint="eastAsia" w:ascii="宋体" w:hAnsi="宋体" w:eastAsia="宋体" w:cs="宋体"/>
          <w:color w:val="auto"/>
          <w:sz w:val="24"/>
          <w:lang w:val="en-US" w:eastAsia="zh-CN"/>
        </w:rPr>
        <w:t>贰</w:t>
      </w:r>
      <w:r>
        <w:rPr>
          <w:rFonts w:hint="eastAsia" w:ascii="宋体" w:hAnsi="宋体" w:eastAsia="宋体" w:cs="宋体"/>
          <w:color w:val="auto"/>
          <w:sz w:val="24"/>
        </w:rPr>
        <w:t>级及以上注册建造师资格(注册专业：</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)、有效的安全生产考核合格证书(B类)、</w:t>
      </w:r>
      <w:r>
        <w:rPr>
          <w:rFonts w:hint="eastAsia" w:ascii="宋体" w:hAnsi="宋体" w:eastAsia="宋体" w:cs="宋体"/>
          <w:color w:val="auto"/>
          <w:sz w:val="24"/>
          <w:lang w:val="en-US" w:eastAsia="zh-CN"/>
        </w:rPr>
        <w:t>供应商在2025年1月至今任意1个月为其缴纳社保证明的复印件或扫描件加盖公章</w:t>
      </w:r>
      <w:r>
        <w:rPr>
          <w:rFonts w:hint="eastAsia" w:ascii="宋体" w:hAnsi="宋体" w:eastAsia="宋体" w:cs="宋体"/>
          <w:color w:val="auto"/>
          <w:sz w:val="24"/>
        </w:rPr>
        <w:t>且未担任其他在建项目的项目经理。</w:t>
      </w:r>
    </w:p>
    <w:p w14:paraId="03EE8BD0">
      <w:pPr>
        <w:widowControl/>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p w14:paraId="2873DBE7">
      <w:pPr>
        <w:widowControl/>
        <w:spacing w:line="500" w:lineRule="exact"/>
        <w:ind w:firstLine="480" w:firstLineChars="200"/>
        <w:rPr>
          <w:rFonts w:hint="eastAsia" w:cs="宋体"/>
          <w:color w:val="auto"/>
          <w:sz w:val="24"/>
        </w:rPr>
      </w:pPr>
    </w:p>
    <w:p w14:paraId="7B788F38">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52EB9051">
      <w:pPr>
        <w:pStyle w:val="2"/>
        <w:numPr>
          <w:ilvl w:val="0"/>
          <w:numId w:val="0"/>
        </w:numPr>
        <w:spacing w:before="120" w:after="120"/>
        <w:ind w:leftChars="200"/>
        <w:jc w:val="center"/>
        <w:rPr>
          <w:rFonts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采购清单及商务要求</w:t>
      </w:r>
      <w:bookmarkEnd w:id="7"/>
      <w:bookmarkEnd w:id="8"/>
      <w:bookmarkEnd w:id="9"/>
    </w:p>
    <w:p w14:paraId="37C7D135">
      <w:pPr>
        <w:spacing w:before="240" w:beforeLines="100" w:after="120" w:afterLines="50" w:line="240" w:lineRule="auto"/>
        <w:rPr>
          <w:rFonts w:hint="eastAsia" w:ascii="宋体" w:hAnsi="宋体" w:eastAsia="宋体" w:cs="宋体"/>
          <w:b/>
          <w:bCs w:val="0"/>
          <w:color w:val="000000"/>
          <w:sz w:val="30"/>
          <w:szCs w:val="30"/>
          <w:highlight w:val="none"/>
        </w:rPr>
      </w:pPr>
      <w:bookmarkStart w:id="10" w:name="_Toc407182666"/>
      <w:bookmarkStart w:id="11" w:name="_Toc3595"/>
      <w:r>
        <w:rPr>
          <w:rFonts w:hint="eastAsia" w:ascii="宋体" w:hAnsi="宋体" w:eastAsia="宋体" w:cs="宋体"/>
          <w:b/>
          <w:bCs w:val="0"/>
          <w:color w:val="000000"/>
          <w:sz w:val="30"/>
          <w:szCs w:val="30"/>
          <w:highlight w:val="none"/>
        </w:rPr>
        <w:t>（一）</w:t>
      </w:r>
      <w:r>
        <w:rPr>
          <w:rFonts w:hint="eastAsia" w:ascii="宋体" w:hAnsi="宋体" w:eastAsia="宋体" w:cs="宋体"/>
          <w:b/>
          <w:bCs w:val="0"/>
          <w:color w:val="000000"/>
          <w:sz w:val="30"/>
          <w:szCs w:val="30"/>
          <w:highlight w:val="none"/>
          <w:lang w:val="en-US" w:eastAsia="zh-CN"/>
        </w:rPr>
        <w:t>工程量</w:t>
      </w:r>
      <w:r>
        <w:rPr>
          <w:rFonts w:hint="eastAsia" w:ascii="宋体" w:hAnsi="宋体" w:eastAsia="宋体" w:cs="宋体"/>
          <w:b/>
          <w:bCs w:val="0"/>
          <w:color w:val="000000"/>
          <w:sz w:val="30"/>
          <w:szCs w:val="30"/>
          <w:highlight w:val="none"/>
        </w:rPr>
        <w:t>清单</w:t>
      </w:r>
      <w:bookmarkEnd w:id="10"/>
      <w:bookmarkEnd w:id="11"/>
    </w:p>
    <w:p w14:paraId="1896D0A4">
      <w:pPr>
        <w:spacing w:before="240" w:beforeLines="100" w:after="120" w:afterLines="50" w:line="24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二</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商务</w:t>
      </w:r>
      <w:r>
        <w:rPr>
          <w:rFonts w:hint="eastAsia" w:ascii="宋体" w:hAnsi="宋体" w:eastAsia="宋体" w:cs="宋体"/>
          <w:b/>
          <w:bCs w:val="0"/>
          <w:color w:val="auto"/>
          <w:sz w:val="30"/>
          <w:szCs w:val="30"/>
          <w:highlight w:val="none"/>
          <w:lang w:val="en-US" w:eastAsia="zh-CN"/>
        </w:rPr>
        <w:t>要求</w:t>
      </w:r>
      <w:r>
        <w:rPr>
          <w:rFonts w:hint="eastAsia" w:ascii="宋体" w:hAnsi="宋体" w:eastAsia="宋体" w:cs="宋体"/>
          <w:b/>
          <w:bCs w:val="0"/>
          <w:color w:val="auto"/>
          <w:sz w:val="30"/>
          <w:szCs w:val="30"/>
          <w:highlight w:val="none"/>
        </w:rPr>
        <w:t>：</w:t>
      </w:r>
    </w:p>
    <w:tbl>
      <w:tblPr>
        <w:tblStyle w:val="12"/>
        <w:tblpPr w:leftFromText="180" w:rightFromText="180" w:vertAnchor="text" w:horzAnchor="margin" w:tblpXSpec="center" w:tblpY="444"/>
        <w:tblW w:w="10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19"/>
        <w:gridCol w:w="8065"/>
      </w:tblGrid>
      <w:tr w14:paraId="63F2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772" w:type="dxa"/>
            <w:noWrap w:val="0"/>
            <w:vAlign w:val="center"/>
          </w:tcPr>
          <w:p w14:paraId="0D74919D">
            <w:pPr>
              <w:pStyle w:val="7"/>
              <w:spacing w:line="440" w:lineRule="exact"/>
              <w:jc w:val="center"/>
              <w:rPr>
                <w:rFonts w:hint="eastAsia" w:cs="宋体"/>
                <w:b/>
                <w:sz w:val="24"/>
                <w:szCs w:val="24"/>
              </w:rPr>
            </w:pPr>
            <w:r>
              <w:rPr>
                <w:rFonts w:hint="eastAsia" w:cs="宋体"/>
                <w:b/>
                <w:sz w:val="24"/>
                <w:szCs w:val="24"/>
              </w:rPr>
              <w:t>序号</w:t>
            </w:r>
          </w:p>
        </w:tc>
        <w:tc>
          <w:tcPr>
            <w:tcW w:w="2019" w:type="dxa"/>
            <w:noWrap w:val="0"/>
            <w:vAlign w:val="center"/>
          </w:tcPr>
          <w:p w14:paraId="7D87EA98">
            <w:pPr>
              <w:pStyle w:val="7"/>
              <w:spacing w:line="440" w:lineRule="exact"/>
              <w:jc w:val="center"/>
              <w:rPr>
                <w:rFonts w:cs="宋体"/>
                <w:b/>
                <w:sz w:val="24"/>
                <w:szCs w:val="24"/>
              </w:rPr>
            </w:pPr>
            <w:r>
              <w:rPr>
                <w:rFonts w:hint="eastAsia" w:cs="宋体"/>
                <w:b/>
                <w:sz w:val="24"/>
                <w:szCs w:val="24"/>
              </w:rPr>
              <w:t>内容</w:t>
            </w:r>
          </w:p>
        </w:tc>
        <w:tc>
          <w:tcPr>
            <w:tcW w:w="8065" w:type="dxa"/>
            <w:noWrap w:val="0"/>
            <w:vAlign w:val="center"/>
          </w:tcPr>
          <w:p w14:paraId="24FDE3DD">
            <w:pPr>
              <w:pStyle w:val="7"/>
              <w:spacing w:line="440" w:lineRule="exact"/>
              <w:jc w:val="center"/>
              <w:rPr>
                <w:rFonts w:hint="eastAsia" w:cs="宋体"/>
                <w:b/>
                <w:sz w:val="24"/>
                <w:szCs w:val="24"/>
              </w:rPr>
            </w:pPr>
            <w:r>
              <w:rPr>
                <w:rFonts w:hint="eastAsia" w:cs="宋体"/>
                <w:b/>
                <w:sz w:val="24"/>
                <w:szCs w:val="24"/>
              </w:rPr>
              <w:t>说明与要求</w:t>
            </w:r>
          </w:p>
        </w:tc>
      </w:tr>
      <w:tr w14:paraId="755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2" w:type="dxa"/>
            <w:noWrap w:val="0"/>
            <w:vAlign w:val="center"/>
          </w:tcPr>
          <w:p w14:paraId="39ED1ACA">
            <w:pPr>
              <w:pStyle w:val="7"/>
              <w:spacing w:line="440" w:lineRule="exact"/>
              <w:jc w:val="center"/>
              <w:rPr>
                <w:rFonts w:hint="eastAsia" w:cs="宋体"/>
                <w:b/>
                <w:sz w:val="24"/>
                <w:szCs w:val="24"/>
              </w:rPr>
            </w:pPr>
            <w:r>
              <w:rPr>
                <w:rFonts w:hint="eastAsia" w:cs="宋体"/>
                <w:b/>
                <w:sz w:val="24"/>
                <w:szCs w:val="24"/>
              </w:rPr>
              <w:t>1</w:t>
            </w:r>
          </w:p>
        </w:tc>
        <w:tc>
          <w:tcPr>
            <w:tcW w:w="2019" w:type="dxa"/>
            <w:noWrap w:val="0"/>
            <w:vAlign w:val="center"/>
          </w:tcPr>
          <w:p w14:paraId="4AB78DF1">
            <w:pPr>
              <w:pStyle w:val="7"/>
              <w:spacing w:line="440" w:lineRule="exact"/>
              <w:jc w:val="center"/>
              <w:rPr>
                <w:rFonts w:cs="宋体"/>
                <w:b/>
                <w:sz w:val="24"/>
                <w:szCs w:val="24"/>
              </w:rPr>
            </w:pPr>
            <w:r>
              <w:rPr>
                <w:rFonts w:hint="eastAsia" w:cs="宋体"/>
                <w:b/>
                <w:sz w:val="24"/>
                <w:szCs w:val="24"/>
              </w:rPr>
              <w:t>项目名称</w:t>
            </w:r>
          </w:p>
        </w:tc>
        <w:tc>
          <w:tcPr>
            <w:tcW w:w="8065" w:type="dxa"/>
            <w:noWrap w:val="0"/>
            <w:vAlign w:val="center"/>
          </w:tcPr>
          <w:p w14:paraId="45073DF4">
            <w:pPr>
              <w:pStyle w:val="7"/>
              <w:spacing w:line="440" w:lineRule="exact"/>
              <w:jc w:val="center"/>
              <w:rPr>
                <w:rFonts w:hint="eastAsia" w:ascii="宋体" w:hAnsi="宋体" w:eastAsia="宋体" w:cs="宋体"/>
                <w:bCs/>
                <w:kern w:val="2"/>
                <w:sz w:val="24"/>
                <w:szCs w:val="24"/>
                <w:highlight w:val="none"/>
                <w:shd w:val="clear" w:color="auto" w:fill="FFFFFF"/>
                <w:lang w:val="en-US" w:eastAsia="zh-CN" w:bidi="ar-SA"/>
              </w:rPr>
            </w:pPr>
            <w:r>
              <w:rPr>
                <w:rFonts w:hint="eastAsia" w:hAnsi="宋体" w:eastAsia="宋体" w:cs="宋体"/>
                <w:bCs/>
                <w:kern w:val="2"/>
                <w:sz w:val="24"/>
                <w:szCs w:val="24"/>
                <w:highlight w:val="none"/>
                <w:shd w:val="clear" w:color="auto" w:fill="FFFFFF"/>
                <w:lang w:val="en-US" w:eastAsia="zh-CN" w:bidi="ar-SA"/>
              </w:rPr>
              <w:t>钟山区2025年保华镇初级中学综合楼改建项目</w:t>
            </w:r>
          </w:p>
        </w:tc>
      </w:tr>
      <w:tr w14:paraId="33D2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72" w:type="dxa"/>
            <w:noWrap w:val="0"/>
            <w:vAlign w:val="center"/>
          </w:tcPr>
          <w:p w14:paraId="4B3F3217">
            <w:pPr>
              <w:pStyle w:val="7"/>
              <w:spacing w:line="440" w:lineRule="exact"/>
              <w:jc w:val="center"/>
              <w:rPr>
                <w:rFonts w:cs="宋体"/>
                <w:b/>
                <w:sz w:val="24"/>
                <w:szCs w:val="24"/>
              </w:rPr>
            </w:pPr>
            <w:r>
              <w:rPr>
                <w:rFonts w:hint="eastAsia" w:cs="宋体"/>
                <w:b/>
                <w:sz w:val="24"/>
                <w:szCs w:val="24"/>
              </w:rPr>
              <w:t>2</w:t>
            </w:r>
          </w:p>
        </w:tc>
        <w:tc>
          <w:tcPr>
            <w:tcW w:w="2019" w:type="dxa"/>
            <w:noWrap w:val="0"/>
            <w:vAlign w:val="center"/>
          </w:tcPr>
          <w:p w14:paraId="357A5EB8">
            <w:pPr>
              <w:pStyle w:val="7"/>
              <w:spacing w:line="440" w:lineRule="exact"/>
              <w:jc w:val="center"/>
              <w:rPr>
                <w:rFonts w:hint="eastAsia" w:cs="宋体"/>
                <w:b/>
                <w:sz w:val="24"/>
                <w:szCs w:val="24"/>
              </w:rPr>
            </w:pPr>
            <w:r>
              <w:rPr>
                <w:rFonts w:hint="eastAsia" w:cs="宋体"/>
                <w:b/>
                <w:sz w:val="24"/>
                <w:szCs w:val="24"/>
              </w:rPr>
              <w:t>项目编号</w:t>
            </w:r>
          </w:p>
        </w:tc>
        <w:tc>
          <w:tcPr>
            <w:tcW w:w="8065" w:type="dxa"/>
            <w:noWrap w:val="0"/>
            <w:vAlign w:val="center"/>
          </w:tcPr>
          <w:p w14:paraId="6050977D">
            <w:pPr>
              <w:pStyle w:val="7"/>
              <w:spacing w:line="440" w:lineRule="exact"/>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 xml:space="preserve"> GZJA-2025-1</w:t>
            </w:r>
            <w:r>
              <w:rPr>
                <w:rFonts w:hint="eastAsia" w:hAnsi="宋体" w:eastAsia="宋体" w:cs="宋体"/>
                <w:bCs/>
                <w:kern w:val="2"/>
                <w:sz w:val="24"/>
                <w:szCs w:val="24"/>
                <w:highlight w:val="none"/>
                <w:shd w:val="clear" w:color="auto" w:fill="FFFFFF"/>
                <w:lang w:val="en-US" w:eastAsia="zh-CN" w:bidi="ar-SA"/>
              </w:rPr>
              <w:t>8</w:t>
            </w:r>
          </w:p>
        </w:tc>
      </w:tr>
      <w:tr w14:paraId="590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72" w:type="dxa"/>
            <w:noWrap w:val="0"/>
            <w:vAlign w:val="center"/>
          </w:tcPr>
          <w:p w14:paraId="1615BCB1">
            <w:pPr>
              <w:pStyle w:val="7"/>
              <w:spacing w:line="440" w:lineRule="exact"/>
              <w:jc w:val="center"/>
              <w:rPr>
                <w:rFonts w:cs="宋体"/>
                <w:b/>
                <w:sz w:val="24"/>
                <w:szCs w:val="24"/>
              </w:rPr>
            </w:pPr>
            <w:r>
              <w:rPr>
                <w:rFonts w:hint="eastAsia" w:cs="宋体"/>
                <w:b/>
                <w:sz w:val="24"/>
                <w:szCs w:val="24"/>
              </w:rPr>
              <w:t>3</w:t>
            </w:r>
          </w:p>
        </w:tc>
        <w:tc>
          <w:tcPr>
            <w:tcW w:w="2019" w:type="dxa"/>
            <w:noWrap w:val="0"/>
            <w:vAlign w:val="center"/>
          </w:tcPr>
          <w:p w14:paraId="557CA10F">
            <w:pPr>
              <w:pStyle w:val="7"/>
              <w:spacing w:line="440" w:lineRule="exact"/>
              <w:jc w:val="center"/>
              <w:rPr>
                <w:rFonts w:cs="宋体"/>
                <w:b/>
                <w:sz w:val="24"/>
                <w:szCs w:val="24"/>
              </w:rPr>
            </w:pPr>
            <w:r>
              <w:rPr>
                <w:rFonts w:hint="eastAsia" w:cs="宋体"/>
                <w:b/>
                <w:sz w:val="24"/>
                <w:szCs w:val="24"/>
              </w:rPr>
              <w:t>供应商资格要求</w:t>
            </w:r>
          </w:p>
        </w:tc>
        <w:tc>
          <w:tcPr>
            <w:tcW w:w="8065" w:type="dxa"/>
            <w:noWrap w:val="0"/>
            <w:vAlign w:val="center"/>
          </w:tcPr>
          <w:p w14:paraId="74446CA7">
            <w:pPr>
              <w:autoSpaceDN w:val="0"/>
              <w:spacing w:line="560" w:lineRule="exact"/>
              <w:rPr>
                <w:rFonts w:hint="eastAsia" w:ascii="宋体" w:hAnsi="宋体" w:eastAsia="宋体" w:cs="宋体"/>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lang w:val="en-US" w:eastAsia="zh-CN"/>
              </w:rPr>
              <w:t>1.</w:t>
            </w:r>
            <w:r>
              <w:rPr>
                <w:rFonts w:hint="eastAsia" w:ascii="宋体" w:hAnsi="宋体" w:eastAsia="宋体" w:cs="宋体"/>
                <w:bCs/>
                <w:sz w:val="24"/>
                <w:szCs w:val="24"/>
                <w:highlight w:val="none"/>
                <w:shd w:val="clear" w:color="auto" w:fill="FFFFFF"/>
              </w:rPr>
              <w:t>一般资格要求</w:t>
            </w:r>
            <w:r>
              <w:rPr>
                <w:rFonts w:hint="eastAsia" w:ascii="宋体" w:hAnsi="宋体" w:eastAsia="宋体" w:cs="宋体"/>
                <w:bCs/>
                <w:sz w:val="24"/>
                <w:szCs w:val="24"/>
                <w:highlight w:val="none"/>
                <w:shd w:val="clear" w:color="auto" w:fill="FFFFFF"/>
                <w:lang w:eastAsia="zh-CN"/>
              </w:rPr>
              <w:t>：</w:t>
            </w:r>
          </w:p>
          <w:p w14:paraId="79F6FE3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①法定代表人身份证明或法定代表人授权委托书；</w:t>
            </w:r>
          </w:p>
          <w:p w14:paraId="4B8BE7D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②法人或者其他组织的（营业执照、税务登记证、组织机构代码证、或多证合一营业执照）证明文件；</w:t>
            </w:r>
          </w:p>
          <w:p w14:paraId="3B69E3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③提供202</w:t>
            </w: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年度</w:t>
            </w:r>
            <w:r>
              <w:rPr>
                <w:rFonts w:hint="eastAsia" w:ascii="宋体" w:hAnsi="宋体" w:eastAsia="宋体" w:cs="宋体"/>
                <w:bCs/>
                <w:sz w:val="24"/>
                <w:szCs w:val="24"/>
                <w:highlight w:val="none"/>
                <w:shd w:val="clear" w:color="auto" w:fill="FFFFFF"/>
                <w:lang w:val="en-US" w:eastAsia="zh-CN"/>
              </w:rPr>
              <w:t>或2024年度</w:t>
            </w:r>
            <w:r>
              <w:rPr>
                <w:rFonts w:hint="eastAsia" w:ascii="宋体" w:hAnsi="宋体" w:eastAsia="宋体" w:cs="宋体"/>
                <w:bCs/>
                <w:sz w:val="24"/>
                <w:szCs w:val="24"/>
                <w:highlight w:val="none"/>
                <w:shd w:val="clear" w:color="auto" w:fill="FFFFFF"/>
              </w:rPr>
              <w:t>经审计的财务审计报告或</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1月至今</w:t>
            </w:r>
            <w:r>
              <w:rPr>
                <w:rFonts w:hint="eastAsia" w:ascii="宋体" w:hAnsi="宋体" w:eastAsia="宋体" w:cs="宋体"/>
                <w:bCs/>
                <w:sz w:val="24"/>
                <w:szCs w:val="24"/>
                <w:highlight w:val="none"/>
                <w:shd w:val="clear" w:color="auto" w:fill="FFFFFF"/>
              </w:rPr>
              <w:t>任意1个月的财务报表或出具基本开户银行的资信证明；</w:t>
            </w:r>
          </w:p>
          <w:p w14:paraId="0AFB6B8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④依法缴纳税收的相关材料（</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至今任意1个月相关的纳税证明材料），免税企业提供证明材料；</w:t>
            </w:r>
          </w:p>
          <w:p w14:paraId="4A8D6BB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⑤依法缴纳社会保障资金的相关材料(</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至今任意1个月的社保缴纳证明)，不需要缴纳社会保障资金的供应商应提供相应文件证明；</w:t>
            </w:r>
          </w:p>
          <w:p w14:paraId="012FB59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⑥具备履行合同所必需的设备和专业技术能力的证明材料（自行承诺）；</w:t>
            </w:r>
          </w:p>
          <w:p w14:paraId="2F4A9D4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⑦参加政府采购活动前三年内在经营活动中没有重大违法记录的书面声明（自行声明）；</w:t>
            </w:r>
          </w:p>
          <w:p w14:paraId="5AA2547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⑧供应商</w:t>
            </w:r>
            <w:r>
              <w:rPr>
                <w:rFonts w:hint="eastAsia" w:ascii="宋体" w:hAnsi="宋体" w:eastAsia="宋体" w:cs="宋体"/>
                <w:bCs/>
                <w:sz w:val="24"/>
                <w:szCs w:val="24"/>
                <w:highlight w:val="none"/>
                <w:shd w:val="clear" w:color="auto" w:fill="FFFFFF"/>
                <w:lang w:val="en-US" w:eastAsia="zh-CN"/>
              </w:rPr>
              <w:t>须</w:t>
            </w:r>
            <w:r>
              <w:rPr>
                <w:rFonts w:hint="eastAsia" w:ascii="宋体" w:hAnsi="宋体" w:eastAsia="宋体" w:cs="宋体"/>
                <w:bCs/>
                <w:sz w:val="24"/>
                <w:szCs w:val="24"/>
                <w:highlight w:val="none"/>
                <w:shd w:val="clear" w:color="auto" w:fill="FFFFFF"/>
              </w:rPr>
              <w:t>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磋商资格，并承担由此造成的一切法律责任及后果。</w:t>
            </w:r>
          </w:p>
          <w:p w14:paraId="555D802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fldChar w:fldCharType="begin"/>
            </w:r>
            <w:r>
              <w:rPr>
                <w:rFonts w:hint="eastAsia" w:ascii="宋体" w:hAnsi="宋体" w:eastAsia="宋体" w:cs="宋体"/>
                <w:bCs/>
                <w:sz w:val="24"/>
                <w:szCs w:val="24"/>
                <w:highlight w:val="none"/>
                <w:shd w:val="clear" w:color="auto" w:fill="FFFFFF"/>
                <w:lang w:val="en-US" w:eastAsia="zh-CN"/>
              </w:rPr>
              <w:instrText xml:space="preserve"> = 9 \* GB3 \* MERGEFORMAT </w:instrText>
            </w:r>
            <w:r>
              <w:rPr>
                <w:rFonts w:hint="eastAsia" w:ascii="宋体" w:hAnsi="宋体" w:eastAsia="宋体" w:cs="宋体"/>
                <w:bCs/>
                <w:sz w:val="24"/>
                <w:szCs w:val="24"/>
                <w:highlight w:val="none"/>
                <w:shd w:val="clear" w:color="auto" w:fill="FFFFFF"/>
                <w:lang w:val="en-US" w:eastAsia="zh-CN"/>
              </w:rPr>
              <w:fldChar w:fldCharType="separate"/>
            </w:r>
            <w:r>
              <w:rPr>
                <w:rFonts w:hint="eastAsia" w:ascii="宋体" w:hAnsi="宋体" w:eastAsia="宋体" w:cs="宋体"/>
                <w:bCs/>
                <w:sz w:val="24"/>
                <w:szCs w:val="24"/>
                <w:highlight w:val="none"/>
                <w:shd w:val="clear" w:color="auto" w:fill="FFFFFF"/>
                <w:lang w:val="en-US" w:eastAsia="zh-CN"/>
              </w:rPr>
              <w:t>⑨</w:t>
            </w:r>
            <w:r>
              <w:rPr>
                <w:rFonts w:hint="eastAsia" w:ascii="宋体" w:hAnsi="宋体" w:eastAsia="宋体" w:cs="宋体"/>
                <w:bCs/>
                <w:sz w:val="24"/>
                <w:szCs w:val="24"/>
                <w:highlight w:val="none"/>
                <w:shd w:val="clear" w:color="auto" w:fill="FFFFFF"/>
                <w:lang w:val="en-US" w:eastAsia="zh-CN"/>
              </w:rPr>
              <w:fldChar w:fldCharType="end"/>
            </w:r>
            <w:r>
              <w:rPr>
                <w:rFonts w:hint="eastAsia" w:ascii="宋体" w:hAnsi="宋体" w:eastAsia="宋体" w:cs="宋体"/>
                <w:bCs/>
                <w:sz w:val="24"/>
                <w:szCs w:val="24"/>
                <w:highlight w:val="none"/>
                <w:shd w:val="clear" w:color="auto" w:fill="FFFFFF"/>
                <w:lang w:val="en-US" w:eastAsia="zh-CN"/>
              </w:rPr>
              <w:t>供应商须是中小企业。</w:t>
            </w:r>
          </w:p>
          <w:p w14:paraId="719F4F3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2.</w:t>
            </w:r>
            <w:r>
              <w:rPr>
                <w:rFonts w:hint="eastAsia" w:ascii="宋体" w:hAnsi="宋体" w:eastAsia="宋体" w:cs="宋体"/>
                <w:bCs/>
                <w:sz w:val="24"/>
                <w:szCs w:val="24"/>
                <w:highlight w:val="none"/>
                <w:shd w:val="clear" w:color="auto" w:fill="FFFFFF"/>
              </w:rPr>
              <w:t>特殊资格要求：</w:t>
            </w:r>
          </w:p>
          <w:p w14:paraId="55164463">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 具备建设行政主管部门核发的</w:t>
            </w:r>
            <w:r>
              <w:rPr>
                <w:rFonts w:hint="eastAsia" w:ascii="宋体" w:hAnsi="宋体" w:eastAsia="宋体" w:cs="宋体"/>
                <w:bCs/>
                <w:sz w:val="24"/>
                <w:szCs w:val="24"/>
                <w:highlight w:val="none"/>
                <w:shd w:val="clear" w:color="auto" w:fill="FFFFFF"/>
                <w:lang w:val="en-US" w:eastAsia="zh-CN"/>
              </w:rPr>
              <w:t>建筑</w:t>
            </w:r>
            <w:r>
              <w:rPr>
                <w:rFonts w:hint="eastAsia" w:ascii="宋体" w:hAnsi="宋体" w:eastAsia="宋体" w:cs="宋体"/>
                <w:bCs/>
                <w:sz w:val="24"/>
                <w:szCs w:val="24"/>
                <w:highlight w:val="none"/>
                <w:shd w:val="clear" w:color="auto" w:fill="FFFFFF"/>
              </w:rPr>
              <w:t>施工</w:t>
            </w:r>
            <w:r>
              <w:rPr>
                <w:rFonts w:hint="eastAsia" w:ascii="宋体" w:hAnsi="宋体" w:eastAsia="宋体" w:cs="宋体"/>
                <w:bCs/>
                <w:sz w:val="24"/>
                <w:szCs w:val="24"/>
                <w:highlight w:val="none"/>
                <w:shd w:val="clear" w:color="auto" w:fill="FFFFFF"/>
                <w:lang w:eastAsia="zh-CN"/>
              </w:rPr>
              <w:t>总承包</w:t>
            </w:r>
            <w:r>
              <w:rPr>
                <w:rFonts w:hint="eastAsia" w:ascii="宋体" w:hAnsi="宋体" w:eastAsia="宋体" w:cs="宋体"/>
                <w:bCs/>
                <w:sz w:val="24"/>
                <w:szCs w:val="24"/>
                <w:highlight w:val="none"/>
                <w:shd w:val="clear" w:color="auto" w:fill="FFFFFF"/>
                <w:lang w:val="en-US" w:eastAsia="zh-CN"/>
              </w:rPr>
              <w:t>叁</w:t>
            </w:r>
            <w:r>
              <w:rPr>
                <w:rFonts w:hint="eastAsia" w:ascii="宋体" w:hAnsi="宋体" w:eastAsia="宋体" w:cs="宋体"/>
                <w:bCs/>
                <w:sz w:val="24"/>
                <w:szCs w:val="24"/>
                <w:highlight w:val="none"/>
                <w:shd w:val="clear" w:color="auto" w:fill="FFFFFF"/>
                <w:lang w:eastAsia="zh-CN"/>
              </w:rPr>
              <w:t>级</w:t>
            </w:r>
            <w:r>
              <w:rPr>
                <w:rFonts w:hint="eastAsia" w:ascii="宋体" w:hAnsi="宋体" w:eastAsia="宋体" w:cs="宋体"/>
                <w:bCs/>
                <w:sz w:val="24"/>
                <w:szCs w:val="24"/>
                <w:highlight w:val="none"/>
                <w:shd w:val="clear" w:color="auto" w:fill="FFFFFF"/>
              </w:rPr>
              <w:t>及以</w:t>
            </w:r>
            <w:r>
              <w:rPr>
                <w:rFonts w:hint="eastAsia" w:ascii="宋体" w:hAnsi="宋体" w:eastAsia="宋体" w:cs="宋体"/>
                <w:bCs/>
                <w:sz w:val="24"/>
                <w:szCs w:val="24"/>
                <w:highlight w:val="none"/>
                <w:shd w:val="clear" w:color="auto" w:fill="FFFFFF"/>
                <w:lang w:eastAsia="zh-CN"/>
              </w:rPr>
              <w:t>上</w:t>
            </w:r>
            <w:r>
              <w:rPr>
                <w:rFonts w:hint="eastAsia" w:ascii="宋体" w:hAnsi="宋体" w:eastAsia="宋体" w:cs="宋体"/>
                <w:bCs/>
                <w:sz w:val="24"/>
                <w:szCs w:val="24"/>
                <w:highlight w:val="none"/>
                <w:shd w:val="clear" w:color="auto" w:fill="FFFFFF"/>
                <w:lang w:val="en-US" w:eastAsia="zh-CN"/>
              </w:rPr>
              <w:t>或建筑装修装饰工程专业承包二级及以上</w:t>
            </w:r>
            <w:r>
              <w:rPr>
                <w:rFonts w:hint="eastAsia" w:ascii="宋体" w:hAnsi="宋体" w:eastAsia="宋体" w:cs="宋体"/>
                <w:bCs/>
                <w:sz w:val="24"/>
                <w:szCs w:val="24"/>
                <w:highlight w:val="none"/>
                <w:shd w:val="clear" w:color="auto" w:fill="FFFFFF"/>
                <w:lang w:eastAsia="zh-CN"/>
              </w:rPr>
              <w:t>资质</w:t>
            </w:r>
            <w:r>
              <w:rPr>
                <w:rFonts w:hint="eastAsia" w:ascii="宋体" w:hAnsi="宋体" w:eastAsia="宋体" w:cs="宋体"/>
                <w:bCs/>
                <w:sz w:val="24"/>
                <w:szCs w:val="24"/>
                <w:highlight w:val="none"/>
                <w:shd w:val="clear" w:color="auto" w:fill="FFFFFF"/>
              </w:rPr>
              <w:t>，并在人员、设备、资金等方面具有相应的能力。</w:t>
            </w:r>
          </w:p>
          <w:p w14:paraId="3D062381">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提供：有效的资质证书(提供加盖公章的复印件或扫描件)。</w:t>
            </w:r>
          </w:p>
          <w:p w14:paraId="12FB47F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 具备有效的营业执照。</w:t>
            </w:r>
          </w:p>
          <w:p w14:paraId="641D94F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提供：有效的营业执照(提供加盖公章的复印件或扫描件)。</w:t>
            </w:r>
          </w:p>
          <w:p w14:paraId="78BB0C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 具备有效的安全生产许可证</w:t>
            </w:r>
          </w:p>
          <w:p w14:paraId="2FB8921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提供：有效的安全生产许可证(提供加盖公章的复印件或扫描件)。2.项目经理资格</w:t>
            </w:r>
          </w:p>
          <w:p w14:paraId="6825F01C">
            <w:pPr>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具备</w:t>
            </w:r>
            <w:r>
              <w:rPr>
                <w:rFonts w:hint="eastAsia" w:ascii="宋体" w:hAnsi="宋体" w:eastAsia="宋体" w:cs="宋体"/>
                <w:bCs/>
                <w:sz w:val="24"/>
                <w:szCs w:val="24"/>
                <w:highlight w:val="none"/>
                <w:shd w:val="clear" w:color="auto" w:fill="FFFFFF"/>
                <w:lang w:val="en-US" w:eastAsia="zh-CN"/>
              </w:rPr>
              <w:t>贰</w:t>
            </w:r>
            <w:r>
              <w:rPr>
                <w:rFonts w:hint="eastAsia" w:ascii="宋体" w:hAnsi="宋体" w:eastAsia="宋体" w:cs="宋体"/>
                <w:bCs/>
                <w:sz w:val="24"/>
                <w:szCs w:val="24"/>
                <w:highlight w:val="none"/>
                <w:shd w:val="clear" w:color="auto" w:fill="FFFFFF"/>
              </w:rPr>
              <w:t>级及以上注册建造师资格(注册专业：</w:t>
            </w:r>
            <w:r>
              <w:rPr>
                <w:rFonts w:hint="eastAsia" w:ascii="宋体" w:hAnsi="宋体" w:eastAsia="宋体" w:cs="宋体"/>
                <w:bCs/>
                <w:sz w:val="24"/>
                <w:szCs w:val="24"/>
                <w:highlight w:val="none"/>
                <w:shd w:val="clear" w:color="auto" w:fill="FFFFFF"/>
                <w:lang w:val="en-US" w:eastAsia="zh-CN"/>
              </w:rPr>
              <w:t>建筑工程</w:t>
            </w:r>
            <w:r>
              <w:rPr>
                <w:rFonts w:hint="eastAsia" w:ascii="宋体" w:hAnsi="宋体" w:eastAsia="宋体" w:cs="宋体"/>
                <w:bCs/>
                <w:sz w:val="24"/>
                <w:szCs w:val="24"/>
                <w:highlight w:val="none"/>
                <w:shd w:val="clear" w:color="auto" w:fill="FFFFFF"/>
              </w:rPr>
              <w:t>)、有效的安全生产考核合格证书(B类)、</w:t>
            </w:r>
            <w:r>
              <w:rPr>
                <w:rFonts w:hint="eastAsia" w:ascii="宋体" w:hAnsi="宋体" w:eastAsia="宋体" w:cs="宋体"/>
                <w:b w:val="0"/>
                <w:bCs w:val="0"/>
                <w:color w:val="0000FF"/>
                <w:sz w:val="24"/>
                <w:szCs w:val="24"/>
                <w:highlight w:val="none"/>
                <w:lang w:val="en-US" w:eastAsia="zh-CN" w:bidi="zh-CN"/>
              </w:rPr>
              <w:t>供应商在2025年1月至今任意1个月为其缴纳社保证明的复印件或扫描件加盖公章</w:t>
            </w:r>
            <w:r>
              <w:rPr>
                <w:rFonts w:hint="eastAsia" w:ascii="宋体" w:hAnsi="宋体" w:eastAsia="宋体" w:cs="宋体"/>
                <w:bCs/>
                <w:sz w:val="24"/>
                <w:szCs w:val="24"/>
                <w:highlight w:val="none"/>
                <w:shd w:val="clear" w:color="auto" w:fill="FFFFFF"/>
              </w:rPr>
              <w:t>且未担任其他在建项目的项目经理。</w:t>
            </w:r>
          </w:p>
          <w:p w14:paraId="6BB2B74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p w14:paraId="1014FC7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 注：提供的资质复印件不清晰，不能有效证明供应商资质情况，经磋商小组审查，将视为该资质未提供。</w:t>
            </w:r>
          </w:p>
        </w:tc>
      </w:tr>
    </w:tbl>
    <w:p w14:paraId="247D01E2">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62A26627">
      <w:pPr>
        <w:jc w:val="center"/>
        <w:rPr>
          <w:rFonts w:hint="eastAsia" w:eastAsia="宋体"/>
          <w:lang w:eastAsia="zh-CN"/>
        </w:rPr>
      </w:pPr>
      <w:r>
        <w:rPr>
          <w:rFonts w:hint="eastAsia" w:ascii="宋体" w:hAnsi="宋体" w:eastAsia="宋体" w:cs="宋体"/>
          <w:color w:val="auto"/>
          <w:sz w:val="30"/>
          <w:szCs w:val="30"/>
          <w:lang w:eastAsia="zh-CN"/>
        </w:rPr>
        <w:t>四、谈判程序及评定成交标准</w:t>
      </w:r>
    </w:p>
    <w:p w14:paraId="511C469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1.磋商规定</w:t>
      </w:r>
    </w:p>
    <w:p w14:paraId="08149CB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1.1.采购代理机构在“竞争性磋商相关资料明细表”中规定的日期、时间和地点组织竞争性磋商。</w:t>
      </w:r>
    </w:p>
    <w:p w14:paraId="47E10DB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2.磋商小组</w:t>
      </w:r>
    </w:p>
    <w:p w14:paraId="562EC49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由采购单位熟悉相关业务的代表1人和有关技术、经济等方面的专家2人，共3人组成。</w:t>
      </w:r>
    </w:p>
    <w:p w14:paraId="21B710B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3.响应文件的澄清</w:t>
      </w:r>
    </w:p>
    <w:p w14:paraId="6D10ABC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7A3D5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0FCE4B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4.响应文件的初审</w:t>
      </w:r>
    </w:p>
    <w:p w14:paraId="475EF8B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4.1.磋商小组将要审查每份响应文件是否实质上响应了磋商文件的要求。实质性响应是指无实质性偏离、反对、设定条件或提出保留，与磋商文件要求的全部条款、条件和规格相符。实质性偏离是指：</w:t>
      </w:r>
    </w:p>
    <w:p w14:paraId="634CC6D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4.1.1.实质性影响服务的范围、质量和履行；</w:t>
      </w:r>
    </w:p>
    <w:p w14:paraId="38D7F97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4.1.2.实质性违背磋商文件，限制了采购人的权利和成交供应商履行服务的义务；</w:t>
      </w:r>
    </w:p>
    <w:p w14:paraId="448D093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4.1.3.不公正地影响了其它作出实质性响应的供应商的竞争地位；</w:t>
      </w:r>
    </w:p>
    <w:p w14:paraId="6026568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4.1.4.磋商小组决定磋商的响应性只根据响应文件本身的内容，而不寻求外部的证据。</w:t>
      </w:r>
    </w:p>
    <w:p w14:paraId="009D0BC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4.2.实质上没有响应磋商文件要求的磋商将被拒绝。如发现下列情况之一的，其磋商将被拒绝并作无效磋商处理：</w:t>
      </w:r>
    </w:p>
    <w:p w14:paraId="3718EB2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（1）响应文件中的内容与本采购项目内容不符的；</w:t>
      </w:r>
    </w:p>
    <w:p w14:paraId="0A42CC6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（2）未按规定交纳磋商保证金的；</w:t>
      </w:r>
    </w:p>
    <w:p w14:paraId="7537477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（3）供应商资格或商务符合性审查不通过的；</w:t>
      </w:r>
    </w:p>
    <w:p w14:paraId="669BA1D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（4）响应文件未能对竞争性磋商文件提出的要求和条件作出实质性响应的；</w:t>
      </w:r>
    </w:p>
    <w:p w14:paraId="7B534A3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（5）响应文件附有采购人不能接受的条件的；</w:t>
      </w:r>
    </w:p>
    <w:p w14:paraId="0285A94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（6）不同供应商的响应文件由同一单位或者个人编制的；</w:t>
      </w:r>
    </w:p>
    <w:p w14:paraId="13F74E5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（7）不同供应商的响应文件异常一致或者磋商报价呈规律性差异的；</w:t>
      </w:r>
    </w:p>
    <w:p w14:paraId="0999B3F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（8）不同供应商的磋商保证金从同一单位或者个人的账户转出的；</w:t>
      </w:r>
    </w:p>
    <w:p w14:paraId="4D6961B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（9）不同供应商的法定代表人或委托代理人等由同一个单位缴纳社会保险的；</w:t>
      </w:r>
    </w:p>
    <w:p w14:paraId="55729AB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（10）不同供应商存在直接控股、管理关系的；</w:t>
      </w:r>
    </w:p>
    <w:p w14:paraId="445F4A3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（11）不同供应商的响应文件错、漏之处一致或雷同，且不能合理解释的；</w:t>
      </w:r>
    </w:p>
    <w:p w14:paraId="32B503F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（12）不同供应商的响应文件载明的项目管理成员或联系人为同一人的；</w:t>
      </w:r>
    </w:p>
    <w:p w14:paraId="71DC1F6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13）磋商报价被磋商小组认定低于成本价的（即：供应商的报价明显低于其他通过资格性及商务符合性审查的供应商的报价，有可能影响工程质量或者不能诚信履约的，磋商小组要求其在磋商现场合理的时间内提供书面说明、提交相关证明材料；供应商不能证明其报价合理性的、或不能按磋商小组要求提供说明或证明材料的，作为无效磋商处理）；</w:t>
      </w:r>
    </w:p>
    <w:p w14:paraId="5397650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（14）响应文件未按竞争性磋商文件要求签字</w:t>
      </w:r>
      <w:r>
        <w:rPr>
          <w:rFonts w:hint="eastAsia" w:ascii="宋体" w:hAnsi="宋体" w:eastAsia="宋体" w:cs="宋体"/>
          <w:bCs/>
          <w:sz w:val="24"/>
          <w:szCs w:val="24"/>
          <w:highlight w:val="none"/>
          <w:shd w:val="clear" w:color="auto" w:fill="FFFFFF"/>
          <w:lang w:val="en-US" w:eastAsia="zh-CN"/>
        </w:rPr>
        <w:t>和</w:t>
      </w:r>
      <w:r>
        <w:rPr>
          <w:rFonts w:hint="eastAsia" w:ascii="宋体" w:hAnsi="宋体" w:eastAsia="宋体" w:cs="宋体"/>
          <w:bCs/>
          <w:sz w:val="24"/>
          <w:szCs w:val="24"/>
          <w:highlight w:val="none"/>
          <w:shd w:val="clear" w:color="auto" w:fill="FFFFFF"/>
        </w:rPr>
        <w:t>盖章的；</w:t>
      </w:r>
    </w:p>
    <w:p w14:paraId="1DB5962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（15）供应商提供的资料不真实的；</w:t>
      </w:r>
    </w:p>
    <w:p w14:paraId="063C98F1">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（16）磋商报价超过采购最高限价的；</w:t>
      </w:r>
    </w:p>
    <w:p w14:paraId="3EE0F97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（17）达到法律法规规定的无效磋商条件的。</w:t>
      </w:r>
    </w:p>
    <w:p w14:paraId="6ED60A8A">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5.评审方法</w:t>
      </w:r>
    </w:p>
    <w:p w14:paraId="19A42E7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5.1.响应文件的审查</w:t>
      </w:r>
    </w:p>
    <w:p w14:paraId="1F232E3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5.1.1.磋商小组在对响应文件的有效性、完整性和响应程度进行审查时，可以要求供应商对响应文件中含义不明确、同类问题表述不一致或者有明显文字和计算错误的内容等作出必要的澄清、说明或者更正。</w:t>
      </w:r>
    </w:p>
    <w:p w14:paraId="27EEDA3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5.1.2.竞争性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竞争性磋商小组要求供应商澄清、说明或者更正响应文件以电子形式作出。供应商的澄清、说明或者更正采用电子形式，由供应商在交易中心平台确认。</w:t>
      </w:r>
    </w:p>
    <w:p w14:paraId="5E1E7CBB">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5.2.磋商程序 </w:t>
      </w:r>
    </w:p>
    <w:p w14:paraId="6067BC2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5.2.1.采购代理机构将于竞争性磋商文件中规定的时间和地点举行磋商会议。</w:t>
      </w:r>
    </w:p>
    <w:p w14:paraId="568D337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5.2.2.实行网上解密，供应商应在响应文件递交截止时间后40分钟内，使用CA锁登录六盘水市公共资源交易平台（https://ggzy.guizhou.gov.cn/）对其电子响应文件完成解密。成功解密响应文件满足三家及三家以上时磋商会议继续进行；不足三家时该项目不再继续进行。</w:t>
      </w:r>
    </w:p>
    <w:p w14:paraId="5660667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5.2.3.磋商过程中，如果供应商对项目磋商过程中有质疑，可以在不见面磋商大厅发起质疑。</w:t>
      </w:r>
    </w:p>
    <w:p w14:paraId="2B745DE0">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5.2.4.</w:t>
      </w:r>
      <w:r>
        <w:rPr>
          <w:rFonts w:hint="eastAsia" w:ascii="宋体" w:hAnsi="宋体" w:eastAsia="宋体" w:cs="宋体"/>
          <w:bCs/>
          <w:sz w:val="24"/>
          <w:szCs w:val="24"/>
          <w:highlight w:val="none"/>
          <w:shd w:val="clear" w:color="auto" w:fill="FFFFFF"/>
          <w:lang w:val="en-US" w:eastAsia="zh-CN"/>
        </w:rPr>
        <w:t>解密完成后供应商</w:t>
      </w:r>
      <w:r>
        <w:rPr>
          <w:rFonts w:hint="eastAsia" w:ascii="宋体" w:hAnsi="宋体" w:eastAsia="宋体" w:cs="宋体"/>
          <w:bCs/>
          <w:sz w:val="24"/>
          <w:szCs w:val="24"/>
          <w:highlight w:val="none"/>
          <w:shd w:val="clear" w:color="auto" w:fill="FFFFFF"/>
          <w:lang w:eastAsia="zh-CN"/>
        </w:rPr>
        <w:t>自行核对开标记录表内容，并在文字互动对话框中回复“已确认”，未回复且未提出异议的，视为无异议，认可开标结果。如开标过程中存在问题，请及时联系代理机构。</w:t>
      </w:r>
    </w:p>
    <w:p w14:paraId="3D0CE35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5.2.5.磋商小组对符合要求的供应商的响应文件进行资格审查及商务符合性审查，以确定是否对竞争性磋商文件的实质性要求作出响应，未实质性响应竞争性磋商文件的响应文件按无效响应文件处理，对响应文件无效，无资格进入磋商阶段的供应商以书面形式出具无效原因说明。</w:t>
      </w:r>
    </w:p>
    <w:p w14:paraId="5625789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5.2.6.磋商小组将与通过资格审查及符合性审查的供应商通过交易中心系统在不见面磋商大厅进行不见面磋商，供应商需进入交易中心系统中不见面磋商大厅进行磋商。</w:t>
      </w:r>
    </w:p>
    <w:p w14:paraId="55443A58">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5.2.7.供应商应时刻关注电子交易系统中的项目进度和状态。磋商小组通过交易系统向供应商提出的磋商内容、澄清要求、报价要求等。供应商应自系统发出30分钟（另有约定的从其约定）内回复或报价，错过重要信息者，供应商自行承担责任。进入技术和商务磋商程序的供应商，磋商小组根据竞争性磋商文件要求及供应商提供的有关说明，分别与进入磋商的供应商就报价、技术内容、工期（或服务期） 等进行磋商。对技术和商务条件与竞争性磋商文件要求有重大差异、无资格进入最后报价的供应商出具书面无效原因说明。磋商小组要求所有实质性响应的供应商在规定时间内（30分钟）提交最后报价，最后报价是供应商响应文件的有效组成部分</w:t>
      </w:r>
      <w:r>
        <w:rPr>
          <w:rFonts w:hint="eastAsia" w:ascii="宋体" w:hAnsi="宋体" w:eastAsia="宋体" w:cs="宋体"/>
          <w:bCs/>
          <w:sz w:val="24"/>
          <w:szCs w:val="24"/>
          <w:highlight w:val="none"/>
          <w:shd w:val="clear" w:color="auto" w:fill="FFFFFF"/>
          <w:lang w:eastAsia="zh-CN"/>
        </w:rPr>
        <w:t>，</w:t>
      </w:r>
      <w:r>
        <w:rPr>
          <w:rFonts w:hint="eastAsia" w:ascii="宋体" w:hAnsi="宋体" w:eastAsia="宋体" w:cs="宋体"/>
          <w:bCs/>
          <w:sz w:val="24"/>
          <w:szCs w:val="24"/>
          <w:highlight w:val="none"/>
          <w:shd w:val="clear" w:color="auto" w:fill="FFFFFF"/>
          <w:lang w:val="en-US" w:eastAsia="zh-CN"/>
        </w:rPr>
        <w:t>未在规定时间内提交最后报价的做无效磋商处理</w:t>
      </w:r>
      <w:r>
        <w:rPr>
          <w:rFonts w:hint="eastAsia" w:ascii="宋体" w:hAnsi="宋体" w:eastAsia="宋体" w:cs="宋体"/>
          <w:bCs/>
          <w:sz w:val="24"/>
          <w:szCs w:val="24"/>
          <w:highlight w:val="none"/>
          <w:shd w:val="clear" w:color="auto" w:fill="FFFFFF"/>
        </w:rPr>
        <w:t>。</w:t>
      </w:r>
    </w:p>
    <w:p w14:paraId="327947C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5.2.8.磋商小组所有成员应当集中与供应商进行磋商，并给予所有参加磋商的供应商平等的磋商机会。</w:t>
      </w:r>
    </w:p>
    <w:p w14:paraId="0DAA42A6">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5.2.9.在磋商过程中，磋商小组可以根据磋商文件和磋商情况实质性变动采购需求中的工程量清单以及合同草案条款，但不得变动磋商文件中的其他内容。对磋商文件作出的实质性变动是磋商文件的有效组成部分，磋商小组应当及时通知所有参加磋商的供应商。</w:t>
      </w:r>
    </w:p>
    <w:p w14:paraId="7FABBE8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5.2.10.供应商应当按照磋商文件的变动情况和磋商小组的要求重新提交响应文件，并由其法定代表人或授权代表签字或者加盖公章。</w:t>
      </w:r>
    </w:p>
    <w:p w14:paraId="535423C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5.2.11.磋商结束后，所有实质性响应的供应商须提交最后报价。</w:t>
      </w:r>
    </w:p>
    <w:p w14:paraId="0C9DA395">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5.2.12.磋商小组应给予每个正在参加磋商的供应商相同的机会。被磋商小组认定为未实质性响应磋商文件的响应文件，供应商不再进入下一轮磋商报价。</w:t>
      </w:r>
    </w:p>
    <w:p w14:paraId="1855BAE4">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5.2.13.经磋商确定最终采购需求和提交最后报价的供应商后，由磋商小组采用综合评分法对提交最后报价的供应商的响应文件和最后报价进行综合评分。</w:t>
      </w:r>
    </w:p>
    <w:p w14:paraId="2465450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5.3.确定成交供应商</w:t>
      </w:r>
    </w:p>
    <w:p w14:paraId="5DB277E2">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5.3.1.磋商结束后，采购人在磋商小组推荐的成交候选人排名中，确定最终成交供应商。</w:t>
      </w:r>
    </w:p>
    <w:p w14:paraId="1117E22E">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5.3.2.采购代理机构将在贵州省政府采购网、全国公共资源交易平台(贵州省•六盘水市）等网站公示成交结果。</w:t>
      </w:r>
    </w:p>
    <w:p w14:paraId="384A269F">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5.3.3.确定成交供应商后，采购代理机构将以书面形式向成交供应商发出《成交通知书》，《成交通知书》一经发出即发生法律效力。</w:t>
      </w:r>
    </w:p>
    <w:p w14:paraId="67158057">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5.3.4.《竞争性磋商文件》、《竞争性磋商文件》澄清文件、《响应文件》、《响应文件》澄清文件、《单位现场承诺书》和《成交通知书》将作为签订合同的依据。</w:t>
      </w:r>
      <w:bookmarkStart w:id="12" w:name="_Toc243216310"/>
      <w:bookmarkEnd w:id="12"/>
      <w:bookmarkStart w:id="13" w:name="_Toc184785926"/>
      <w:bookmarkEnd w:id="13"/>
    </w:p>
    <w:p w14:paraId="6D6F48A6">
      <w:pPr>
        <w:jc w:val="center"/>
        <w:rPr>
          <w:rFonts w:hint="eastAsia"/>
        </w:rPr>
      </w:pPr>
      <w:r>
        <w:rPr>
          <w:rFonts w:hint="eastAsia" w:cs="宋体"/>
          <w:b/>
          <w:color w:val="auto"/>
          <w:sz w:val="24"/>
          <w:szCs w:val="24"/>
        </w:rPr>
        <w:t>资格审查表</w:t>
      </w:r>
    </w:p>
    <w:tbl>
      <w:tblPr>
        <w:tblStyle w:val="12"/>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534"/>
        <w:gridCol w:w="2459"/>
      </w:tblGrid>
      <w:tr w14:paraId="03CB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2" w:type="dxa"/>
            <w:noWrap w:val="0"/>
            <w:vAlign w:val="center"/>
          </w:tcPr>
          <w:p w14:paraId="1C754303">
            <w:pPr>
              <w:spacing w:line="360" w:lineRule="auto"/>
              <w:ind w:left="0" w:leftChars="0" w:firstLine="0" w:firstLineChars="0"/>
              <w:jc w:val="both"/>
              <w:rPr>
                <w:rFonts w:hint="eastAsia" w:cs="宋体"/>
                <w:bCs/>
                <w:color w:val="auto"/>
                <w:sz w:val="24"/>
              </w:rPr>
            </w:pPr>
            <w:r>
              <w:rPr>
                <w:rFonts w:hint="eastAsia" w:cs="宋体"/>
                <w:bCs/>
                <w:color w:val="auto"/>
                <w:sz w:val="24"/>
              </w:rPr>
              <w:t>序号</w:t>
            </w:r>
          </w:p>
        </w:tc>
        <w:tc>
          <w:tcPr>
            <w:tcW w:w="7534" w:type="dxa"/>
            <w:noWrap w:val="0"/>
            <w:vAlign w:val="center"/>
          </w:tcPr>
          <w:p w14:paraId="0ABDB470">
            <w:pPr>
              <w:jc w:val="center"/>
              <w:rPr>
                <w:rFonts w:hint="eastAsia" w:cs="宋体"/>
                <w:bCs/>
                <w:color w:val="auto"/>
                <w:sz w:val="24"/>
              </w:rPr>
            </w:pPr>
            <w:r>
              <w:rPr>
                <w:rFonts w:hint="eastAsia" w:cs="宋体"/>
                <w:bCs/>
                <w:color w:val="auto"/>
                <w:sz w:val="24"/>
              </w:rPr>
              <w:t>资格要求</w:t>
            </w:r>
          </w:p>
        </w:tc>
        <w:tc>
          <w:tcPr>
            <w:tcW w:w="2459" w:type="dxa"/>
            <w:noWrap w:val="0"/>
            <w:vAlign w:val="center"/>
          </w:tcPr>
          <w:p w14:paraId="25F8F51D">
            <w:pPr>
              <w:jc w:val="center"/>
              <w:rPr>
                <w:rFonts w:cs="宋体"/>
                <w:bCs/>
                <w:color w:val="auto"/>
                <w:sz w:val="24"/>
              </w:rPr>
            </w:pPr>
            <w:r>
              <w:rPr>
                <w:rFonts w:hint="eastAsia" w:cs="宋体"/>
                <w:bCs/>
                <w:color w:val="auto"/>
                <w:sz w:val="24"/>
              </w:rPr>
              <w:t>审查标准</w:t>
            </w:r>
          </w:p>
        </w:tc>
      </w:tr>
      <w:tr w14:paraId="3251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2" w:type="dxa"/>
            <w:noWrap w:val="0"/>
            <w:vAlign w:val="center"/>
          </w:tcPr>
          <w:p w14:paraId="13599BEC">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1</w:t>
            </w:r>
          </w:p>
        </w:tc>
        <w:tc>
          <w:tcPr>
            <w:tcW w:w="7534" w:type="dxa"/>
            <w:noWrap w:val="0"/>
            <w:vAlign w:val="top"/>
          </w:tcPr>
          <w:p w14:paraId="25340901">
            <w:pPr>
              <w:autoSpaceDN w:val="0"/>
              <w:spacing w:line="560" w:lineRule="exact"/>
              <w:rPr>
                <w:rFonts w:hint="eastAsia" w:ascii="宋体" w:hAnsi="宋体" w:eastAsia="宋体" w:cs="宋体"/>
                <w:bCs/>
                <w:sz w:val="24"/>
                <w:szCs w:val="24"/>
                <w:highlight w:val="none"/>
                <w:shd w:val="clear" w:color="auto" w:fill="FFFFFF"/>
                <w:lang w:val="zh-CN"/>
              </w:rPr>
            </w:pPr>
            <w:r>
              <w:rPr>
                <w:rFonts w:hint="eastAsia" w:ascii="宋体" w:hAnsi="宋体" w:eastAsia="宋体" w:cs="宋体"/>
                <w:bCs/>
                <w:sz w:val="24"/>
                <w:szCs w:val="24"/>
                <w:highlight w:val="none"/>
                <w:shd w:val="clear" w:color="auto" w:fill="FFFFFF"/>
              </w:rPr>
              <w:t>法定代表人身份证明或法定代表人授权委托书（按格式文本要求填写的加盖公章的扫描件）；</w:t>
            </w:r>
          </w:p>
        </w:tc>
        <w:tc>
          <w:tcPr>
            <w:tcW w:w="2459" w:type="dxa"/>
            <w:noWrap w:val="0"/>
            <w:vAlign w:val="center"/>
          </w:tcPr>
          <w:p w14:paraId="2314392C">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按格式文本要求填写和盖章</w:t>
            </w:r>
          </w:p>
        </w:tc>
      </w:tr>
      <w:tr w14:paraId="634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42" w:type="dxa"/>
            <w:noWrap w:val="0"/>
            <w:vAlign w:val="center"/>
          </w:tcPr>
          <w:p w14:paraId="1CCB394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2</w:t>
            </w:r>
          </w:p>
        </w:tc>
        <w:tc>
          <w:tcPr>
            <w:tcW w:w="7534" w:type="dxa"/>
            <w:noWrap w:val="0"/>
            <w:vAlign w:val="center"/>
          </w:tcPr>
          <w:p w14:paraId="4CE5E9D9">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法人或者其他组织的（营业执照、税务登记证、组织机构代码证、或多证合一营业执照）证明文件（加盖公章的扫描件）；</w:t>
            </w:r>
          </w:p>
        </w:tc>
        <w:tc>
          <w:tcPr>
            <w:tcW w:w="2459" w:type="dxa"/>
            <w:noWrap w:val="0"/>
            <w:vAlign w:val="center"/>
          </w:tcPr>
          <w:p w14:paraId="7EBA552D">
            <w:pPr>
              <w:autoSpaceDN w:val="0"/>
              <w:spacing w:line="56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有效</w:t>
            </w:r>
          </w:p>
        </w:tc>
      </w:tr>
      <w:tr w14:paraId="07D5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42" w:type="dxa"/>
            <w:noWrap w:val="0"/>
            <w:vAlign w:val="center"/>
          </w:tcPr>
          <w:p w14:paraId="067B1BA4">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3</w:t>
            </w:r>
          </w:p>
        </w:tc>
        <w:tc>
          <w:tcPr>
            <w:tcW w:w="7534" w:type="dxa"/>
            <w:noWrap w:val="0"/>
            <w:vAlign w:val="center"/>
          </w:tcPr>
          <w:p w14:paraId="685C931A">
            <w:pPr>
              <w:autoSpaceDN w:val="0"/>
              <w:spacing w:line="560" w:lineRule="exact"/>
              <w:rPr>
                <w:rFonts w:hint="eastAsia" w:ascii="宋体" w:hAnsi="宋体" w:eastAsia="宋体" w:cs="宋体"/>
                <w:bCs/>
                <w:sz w:val="24"/>
                <w:szCs w:val="24"/>
                <w:highlight w:val="none"/>
                <w:shd w:val="clear" w:color="auto" w:fill="FFFFFF"/>
                <w:lang w:val="zh-CN"/>
              </w:rPr>
            </w:pPr>
            <w:r>
              <w:rPr>
                <w:rFonts w:hint="eastAsia" w:ascii="宋体" w:hAnsi="宋体" w:eastAsia="宋体" w:cs="宋体"/>
                <w:bCs/>
                <w:sz w:val="24"/>
                <w:szCs w:val="24"/>
                <w:highlight w:val="none"/>
                <w:shd w:val="clear" w:color="auto" w:fill="FFFFFF"/>
              </w:rPr>
              <w:t>提供202</w:t>
            </w:r>
            <w:r>
              <w:rPr>
                <w:rFonts w:hint="eastAsia" w:ascii="宋体" w:hAnsi="宋体" w:eastAsia="宋体" w:cs="宋体"/>
                <w:bCs/>
                <w:sz w:val="24"/>
                <w:szCs w:val="24"/>
                <w:highlight w:val="none"/>
                <w:shd w:val="clear" w:color="auto" w:fill="FFFFFF"/>
                <w:lang w:val="en-US" w:eastAsia="zh-CN"/>
              </w:rPr>
              <w:t>3</w:t>
            </w:r>
            <w:r>
              <w:rPr>
                <w:rFonts w:hint="eastAsia" w:ascii="宋体" w:hAnsi="宋体" w:eastAsia="宋体" w:cs="宋体"/>
                <w:bCs/>
                <w:sz w:val="24"/>
                <w:szCs w:val="24"/>
                <w:highlight w:val="none"/>
                <w:shd w:val="clear" w:color="auto" w:fill="FFFFFF"/>
              </w:rPr>
              <w:t>年度</w:t>
            </w:r>
            <w:r>
              <w:rPr>
                <w:rFonts w:hint="eastAsia" w:ascii="宋体" w:hAnsi="宋体" w:eastAsia="宋体" w:cs="宋体"/>
                <w:bCs/>
                <w:sz w:val="24"/>
                <w:szCs w:val="24"/>
                <w:highlight w:val="none"/>
                <w:shd w:val="clear" w:color="auto" w:fill="FFFFFF"/>
                <w:lang w:val="en-US" w:eastAsia="zh-CN"/>
              </w:rPr>
              <w:t>或2024年度</w:t>
            </w:r>
            <w:r>
              <w:rPr>
                <w:rFonts w:hint="eastAsia" w:ascii="宋体" w:hAnsi="宋体" w:eastAsia="宋体" w:cs="宋体"/>
                <w:bCs/>
                <w:sz w:val="24"/>
                <w:szCs w:val="24"/>
                <w:highlight w:val="none"/>
                <w:shd w:val="clear" w:color="auto" w:fill="FFFFFF"/>
              </w:rPr>
              <w:t>经审计的财务审计报告或</w:t>
            </w:r>
            <w:r>
              <w:rPr>
                <w:rFonts w:hint="eastAsia" w:ascii="宋体" w:hAnsi="宋体" w:eastAsia="宋体" w:cs="宋体"/>
                <w:bCs/>
                <w:sz w:val="24"/>
                <w:szCs w:val="24"/>
                <w:highlight w:val="none"/>
                <w:shd w:val="clear" w:color="auto" w:fill="FFFFFF"/>
                <w:lang w:eastAsia="zh-CN"/>
              </w:rPr>
              <w:t>2025</w:t>
            </w:r>
            <w:r>
              <w:rPr>
                <w:rFonts w:hint="eastAsia" w:ascii="宋体" w:hAnsi="宋体" w:eastAsia="宋体" w:cs="宋体"/>
                <w:bCs/>
                <w:sz w:val="24"/>
                <w:szCs w:val="24"/>
                <w:highlight w:val="none"/>
                <w:shd w:val="clear" w:color="auto" w:fill="FFFFFF"/>
              </w:rPr>
              <w:t>年</w:t>
            </w:r>
            <w:r>
              <w:rPr>
                <w:rFonts w:hint="eastAsia" w:ascii="宋体" w:hAnsi="宋体" w:eastAsia="宋体" w:cs="宋体"/>
                <w:bCs/>
                <w:sz w:val="24"/>
                <w:szCs w:val="24"/>
                <w:highlight w:val="none"/>
                <w:shd w:val="clear" w:color="auto" w:fill="FFFFFF"/>
                <w:lang w:val="en-US" w:eastAsia="zh-CN"/>
              </w:rPr>
              <w:t>1月</w:t>
            </w:r>
            <w:r>
              <w:rPr>
                <w:rFonts w:hint="eastAsia" w:ascii="宋体" w:hAnsi="宋体" w:eastAsia="宋体" w:cs="宋体"/>
                <w:bCs/>
                <w:sz w:val="24"/>
                <w:szCs w:val="24"/>
                <w:highlight w:val="none"/>
                <w:shd w:val="clear" w:color="auto" w:fill="FFFFFF"/>
              </w:rPr>
              <w:t>至今任意1个月的财务报表或出具基本开户银行的资信证明（加盖公章的扫描件）；</w:t>
            </w:r>
          </w:p>
        </w:tc>
        <w:tc>
          <w:tcPr>
            <w:tcW w:w="2459" w:type="dxa"/>
            <w:noWrap w:val="0"/>
            <w:vAlign w:val="center"/>
          </w:tcPr>
          <w:p w14:paraId="0EE34506">
            <w:pPr>
              <w:autoSpaceDN w:val="0"/>
              <w:spacing w:line="560" w:lineRule="exact"/>
              <w:ind w:left="0" w:leftChars="0" w:firstLine="0" w:firstLineChars="0"/>
              <w:rPr>
                <w:rFonts w:hint="eastAsia" w:ascii="宋体" w:hAnsi="宋体" w:eastAsia="宋体" w:cs="宋体"/>
                <w:bCs/>
                <w:sz w:val="24"/>
                <w:szCs w:val="24"/>
                <w:highlight w:val="none"/>
                <w:shd w:val="clear" w:color="auto" w:fill="FFFFFF"/>
              </w:rPr>
            </w:pPr>
            <w:r>
              <w:rPr>
                <w:rFonts w:hint="eastAsia" w:ascii="宋体" w:hAnsi="宋体" w:eastAsia="宋体" w:cs="宋体"/>
                <w:bCs/>
                <w:sz w:val="22"/>
                <w:szCs w:val="22"/>
                <w:highlight w:val="none"/>
                <w:shd w:val="clear" w:color="auto" w:fill="FFFFFF"/>
              </w:rPr>
              <w:t>审计报告</w:t>
            </w:r>
            <w:r>
              <w:rPr>
                <w:rFonts w:hint="eastAsia" w:ascii="宋体" w:hAnsi="宋体" w:eastAsia="宋体" w:cs="宋体"/>
                <w:bCs/>
                <w:sz w:val="22"/>
                <w:szCs w:val="22"/>
                <w:highlight w:val="none"/>
                <w:shd w:val="clear" w:color="auto" w:fill="FFFFFF"/>
                <w:lang w:val="en-US" w:eastAsia="zh-CN"/>
              </w:rPr>
              <w:t>须</w:t>
            </w:r>
            <w:r>
              <w:rPr>
                <w:rFonts w:hint="eastAsia" w:ascii="宋体" w:hAnsi="宋体" w:eastAsia="宋体" w:cs="宋体"/>
                <w:bCs/>
                <w:sz w:val="22"/>
                <w:szCs w:val="22"/>
                <w:highlight w:val="none"/>
                <w:shd w:val="clear" w:color="auto" w:fill="FFFFFF"/>
              </w:rPr>
              <w:t>包含利润表、资产负债表、现金流量表及附注和审计机构的营业执照及 执业证书及人员证书；财务报表</w:t>
            </w:r>
            <w:r>
              <w:rPr>
                <w:rFonts w:hint="eastAsia" w:ascii="宋体" w:hAnsi="宋体" w:eastAsia="宋体" w:cs="宋体"/>
                <w:bCs/>
                <w:sz w:val="22"/>
                <w:szCs w:val="22"/>
                <w:highlight w:val="none"/>
                <w:shd w:val="clear" w:color="auto" w:fill="FFFFFF"/>
                <w:lang w:val="en-US" w:eastAsia="zh-CN"/>
              </w:rPr>
              <w:t>须</w:t>
            </w:r>
            <w:r>
              <w:rPr>
                <w:rFonts w:hint="eastAsia" w:ascii="宋体" w:hAnsi="宋体" w:eastAsia="宋体" w:cs="宋体"/>
                <w:bCs/>
                <w:sz w:val="22"/>
                <w:szCs w:val="22"/>
                <w:highlight w:val="none"/>
                <w:shd w:val="clear" w:color="auto" w:fill="FFFFFF"/>
              </w:rPr>
              <w:t>包含利润表、资产负债表。</w:t>
            </w:r>
          </w:p>
        </w:tc>
      </w:tr>
      <w:tr w14:paraId="513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30E67B41">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4</w:t>
            </w:r>
          </w:p>
        </w:tc>
        <w:tc>
          <w:tcPr>
            <w:tcW w:w="7534" w:type="dxa"/>
            <w:noWrap w:val="0"/>
            <w:vAlign w:val="top"/>
          </w:tcPr>
          <w:p w14:paraId="28A6B4D7">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依法缴纳税收的相关材料（2025年1月至今任意1个月相关的纳税证明材料），免税企业提供证明材料（加盖公章的扫描件）；</w:t>
            </w:r>
          </w:p>
        </w:tc>
        <w:tc>
          <w:tcPr>
            <w:tcW w:w="2459" w:type="dxa"/>
            <w:noWrap w:val="0"/>
            <w:vAlign w:val="center"/>
          </w:tcPr>
          <w:p w14:paraId="00E6C88C">
            <w:pPr>
              <w:pStyle w:val="4"/>
              <w:kinsoku w:val="0"/>
              <w:overflowPunct w:val="0"/>
              <w:spacing w:line="316" w:lineRule="auto"/>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280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17BC5273">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5</w:t>
            </w:r>
          </w:p>
        </w:tc>
        <w:tc>
          <w:tcPr>
            <w:tcW w:w="7534" w:type="dxa"/>
            <w:noWrap w:val="0"/>
            <w:vAlign w:val="top"/>
          </w:tcPr>
          <w:p w14:paraId="3887F6FC">
            <w:pPr>
              <w:pStyle w:val="4"/>
              <w:kinsoku w:val="0"/>
              <w:overflowPunct w:val="0"/>
              <w:spacing w:line="316" w:lineRule="auto"/>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依法缴纳社会保障资金的相关材料(2025年1月至今任意1个月的社保缴纳证明)，不需要缴纳社会保障资金的供应商应提供相应文件证明。</w:t>
            </w:r>
          </w:p>
        </w:tc>
        <w:tc>
          <w:tcPr>
            <w:tcW w:w="2459" w:type="dxa"/>
            <w:noWrap w:val="0"/>
            <w:vAlign w:val="center"/>
          </w:tcPr>
          <w:p w14:paraId="0248C151">
            <w:pPr>
              <w:pStyle w:val="4"/>
              <w:kinsoku w:val="0"/>
              <w:overflowPunct w:val="0"/>
              <w:spacing w:line="316" w:lineRule="auto"/>
              <w:jc w:val="center"/>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63E7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2" w:type="dxa"/>
            <w:noWrap w:val="0"/>
            <w:vAlign w:val="center"/>
          </w:tcPr>
          <w:p w14:paraId="3EC6F99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6</w:t>
            </w:r>
          </w:p>
        </w:tc>
        <w:tc>
          <w:tcPr>
            <w:tcW w:w="7534" w:type="dxa"/>
            <w:noWrap w:val="0"/>
            <w:vAlign w:val="center"/>
          </w:tcPr>
          <w:p w14:paraId="49C27582">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具备履行合同所必需的设备和专业技术能力的证明材料（自行承诺）</w:t>
            </w:r>
          </w:p>
        </w:tc>
        <w:tc>
          <w:tcPr>
            <w:tcW w:w="2459" w:type="dxa"/>
            <w:noWrap w:val="0"/>
            <w:vAlign w:val="center"/>
          </w:tcPr>
          <w:p w14:paraId="47173235">
            <w:pPr>
              <w:autoSpaceDN w:val="0"/>
              <w:spacing w:line="560" w:lineRule="exact"/>
              <w:ind w:left="0" w:leftChars="0" w:firstLine="0" w:firstLineChars="0"/>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提供承诺函并盖章</w:t>
            </w:r>
          </w:p>
        </w:tc>
      </w:tr>
      <w:tr w14:paraId="418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2FEE2F30">
            <w:pPr>
              <w:spacing w:line="360" w:lineRule="auto"/>
              <w:jc w:val="center"/>
              <w:rPr>
                <w:rFonts w:hint="eastAsia" w:ascii="宋体" w:hAnsi="宋体" w:eastAsia="宋体" w:cs="宋体"/>
                <w:bCs/>
                <w:color w:val="auto"/>
                <w:sz w:val="24"/>
                <w:lang w:eastAsia="en-US"/>
              </w:rPr>
            </w:pPr>
            <w:r>
              <w:rPr>
                <w:rFonts w:hint="eastAsia" w:ascii="宋体" w:hAnsi="宋体" w:eastAsia="宋体" w:cs="宋体"/>
                <w:bCs/>
                <w:color w:val="auto"/>
                <w:sz w:val="24"/>
                <w:lang w:eastAsia="en-US"/>
              </w:rPr>
              <w:t>7</w:t>
            </w:r>
          </w:p>
        </w:tc>
        <w:tc>
          <w:tcPr>
            <w:tcW w:w="7534" w:type="dxa"/>
            <w:noWrap w:val="0"/>
            <w:vAlign w:val="top"/>
          </w:tcPr>
          <w:p w14:paraId="7E8B2AD9">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参加政府采购活动前三年内在经营活动中没有重大违法记录的书面声明（自行声明）</w:t>
            </w:r>
          </w:p>
        </w:tc>
        <w:tc>
          <w:tcPr>
            <w:tcW w:w="2459" w:type="dxa"/>
            <w:noWrap w:val="0"/>
            <w:vAlign w:val="center"/>
          </w:tcPr>
          <w:p w14:paraId="7E609C45">
            <w:pPr>
              <w:autoSpaceDN w:val="0"/>
              <w:spacing w:line="560" w:lineRule="exact"/>
              <w:ind w:left="0" w:leftChars="0" w:firstLine="0" w:firstLineChars="0"/>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提供声明函并盖章</w:t>
            </w:r>
          </w:p>
        </w:tc>
      </w:tr>
      <w:tr w14:paraId="02E3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9B2E6CE">
            <w:pPr>
              <w:spacing w:line="360" w:lineRule="auto"/>
              <w:jc w:val="center"/>
              <w:rPr>
                <w:rFonts w:hint="eastAsia" w:cs="宋体"/>
                <w:bCs/>
                <w:color w:val="auto"/>
                <w:sz w:val="24"/>
              </w:rPr>
            </w:pPr>
            <w:r>
              <w:rPr>
                <w:rFonts w:hint="eastAsia" w:cs="宋体"/>
                <w:bCs/>
                <w:color w:val="auto"/>
                <w:sz w:val="24"/>
              </w:rPr>
              <w:t>8</w:t>
            </w:r>
          </w:p>
        </w:tc>
        <w:tc>
          <w:tcPr>
            <w:tcW w:w="7534" w:type="dxa"/>
            <w:noWrap w:val="0"/>
            <w:vAlign w:val="center"/>
          </w:tcPr>
          <w:p w14:paraId="5093C79C">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磋商资格，并承担由此造成的一切法律责任及后果（加盖公章）。</w:t>
            </w:r>
          </w:p>
        </w:tc>
        <w:tc>
          <w:tcPr>
            <w:tcW w:w="2459" w:type="dxa"/>
            <w:noWrap w:val="0"/>
            <w:vAlign w:val="center"/>
          </w:tcPr>
          <w:p w14:paraId="4405C43A">
            <w:pPr>
              <w:pStyle w:val="4"/>
              <w:kinsoku w:val="0"/>
              <w:overflowPunct w:val="0"/>
              <w:spacing w:line="316" w:lineRule="auto"/>
              <w:ind w:left="0" w:leftChars="0" w:firstLine="0" w:firstLineChars="0"/>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提供承诺函并盖章</w:t>
            </w:r>
          </w:p>
        </w:tc>
      </w:tr>
      <w:tr w14:paraId="7001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9447676">
            <w:pPr>
              <w:spacing w:line="360" w:lineRule="auto"/>
              <w:jc w:val="center"/>
              <w:rPr>
                <w:rFonts w:hint="eastAsia" w:eastAsia="宋体" w:cs="宋体"/>
                <w:bCs/>
                <w:color w:val="auto"/>
                <w:sz w:val="24"/>
                <w:lang w:val="en-US" w:eastAsia="zh-CN"/>
              </w:rPr>
            </w:pPr>
            <w:r>
              <w:rPr>
                <w:rFonts w:hint="eastAsia" w:cs="宋体"/>
                <w:bCs/>
                <w:color w:val="auto"/>
                <w:sz w:val="24"/>
                <w:lang w:val="en-US" w:eastAsia="zh-CN"/>
              </w:rPr>
              <w:t>9</w:t>
            </w:r>
          </w:p>
        </w:tc>
        <w:tc>
          <w:tcPr>
            <w:tcW w:w="7534" w:type="dxa"/>
            <w:noWrap w:val="0"/>
            <w:vAlign w:val="center"/>
          </w:tcPr>
          <w:p w14:paraId="4CCADB62">
            <w:pPr>
              <w:pStyle w:val="4"/>
              <w:kinsoku w:val="0"/>
              <w:overflowPunct w:val="0"/>
              <w:spacing w:line="316" w:lineRule="auto"/>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供应商须是中小企业。（提供中小企业声明函）</w:t>
            </w:r>
          </w:p>
        </w:tc>
        <w:tc>
          <w:tcPr>
            <w:tcW w:w="2459" w:type="dxa"/>
            <w:noWrap w:val="0"/>
            <w:vAlign w:val="center"/>
          </w:tcPr>
          <w:p w14:paraId="0A1F0719">
            <w:pPr>
              <w:pStyle w:val="4"/>
              <w:kinsoku w:val="0"/>
              <w:overflowPunct w:val="0"/>
              <w:spacing w:line="316" w:lineRule="auto"/>
              <w:ind w:left="0" w:leftChars="0" w:firstLine="0" w:firstLineChars="0"/>
              <w:jc w:val="both"/>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提供中小企业声明函和盖章</w:t>
            </w:r>
          </w:p>
        </w:tc>
      </w:tr>
      <w:tr w14:paraId="0DF3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3D40D076">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10</w:t>
            </w:r>
          </w:p>
        </w:tc>
        <w:tc>
          <w:tcPr>
            <w:tcW w:w="7534" w:type="dxa"/>
            <w:noWrap w:val="0"/>
            <w:vAlign w:val="center"/>
          </w:tcPr>
          <w:p w14:paraId="3F7C4127">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具备建设行政主管部门核发的建筑施工总承包叁级及以上或建筑装修装饰工程专业承包二级及以上资质，并在人员、设备、资金等方面具有相应的能力。</w:t>
            </w:r>
          </w:p>
        </w:tc>
        <w:tc>
          <w:tcPr>
            <w:tcW w:w="2459" w:type="dxa"/>
            <w:noWrap w:val="0"/>
            <w:vAlign w:val="center"/>
          </w:tcPr>
          <w:p w14:paraId="20F73243">
            <w:pPr>
              <w:autoSpaceDN w:val="0"/>
              <w:spacing w:line="560" w:lineRule="exact"/>
              <w:rPr>
                <w:rFonts w:hint="eastAsia" w:ascii="宋体" w:hAnsi="宋体" w:eastAsia="宋体" w:cs="宋体"/>
                <w:bCs/>
                <w:kern w:val="2"/>
                <w:sz w:val="24"/>
                <w:szCs w:val="24"/>
                <w:highlight w:val="none"/>
                <w:shd w:val="clear" w:color="auto" w:fill="FFFFFF"/>
                <w:lang w:val="en-US" w:eastAsia="zh-CN" w:bidi="ar-SA"/>
              </w:rPr>
            </w:pPr>
            <w:r>
              <w:rPr>
                <w:rFonts w:hint="eastAsia" w:ascii="宋体" w:hAnsi="宋体" w:eastAsia="宋体" w:cs="宋体"/>
                <w:bCs/>
                <w:kern w:val="2"/>
                <w:sz w:val="24"/>
                <w:szCs w:val="24"/>
                <w:highlight w:val="none"/>
                <w:shd w:val="clear" w:color="auto" w:fill="FFFFFF"/>
                <w:lang w:val="en-US" w:eastAsia="zh-CN" w:bidi="ar-SA"/>
              </w:rPr>
              <w:t>有效</w:t>
            </w:r>
          </w:p>
        </w:tc>
      </w:tr>
      <w:tr w14:paraId="4895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2" w:type="dxa"/>
            <w:noWrap w:val="0"/>
            <w:vAlign w:val="center"/>
          </w:tcPr>
          <w:p w14:paraId="1369D1D7">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11</w:t>
            </w:r>
          </w:p>
        </w:tc>
        <w:tc>
          <w:tcPr>
            <w:tcW w:w="7534" w:type="dxa"/>
            <w:noWrap w:val="0"/>
            <w:vAlign w:val="center"/>
          </w:tcPr>
          <w:p w14:paraId="34B2BF97">
            <w:pPr>
              <w:spacing w:line="360" w:lineRule="auto"/>
              <w:jc w:val="left"/>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具备有效的安全生产许可证。</w:t>
            </w:r>
          </w:p>
        </w:tc>
        <w:tc>
          <w:tcPr>
            <w:tcW w:w="2459" w:type="dxa"/>
            <w:noWrap w:val="0"/>
            <w:vAlign w:val="center"/>
          </w:tcPr>
          <w:p w14:paraId="068D1C00">
            <w:pPr>
              <w:pStyle w:val="4"/>
              <w:kinsoku w:val="0"/>
              <w:overflowPunct w:val="0"/>
              <w:spacing w:line="316" w:lineRule="auto"/>
              <w:jc w:val="center"/>
              <w:rPr>
                <w:rFonts w:hint="eastAsia" w:cs="宋体"/>
                <w:bCs/>
                <w:color w:val="auto"/>
                <w:sz w:val="24"/>
                <w:szCs w:val="24"/>
                <w:shd w:val="clear" w:color="auto" w:fill="FFFFFF"/>
              </w:rPr>
            </w:pPr>
            <w:r>
              <w:rPr>
                <w:rFonts w:hint="eastAsia" w:cs="宋体"/>
                <w:bCs/>
                <w:color w:val="auto"/>
                <w:sz w:val="24"/>
                <w:szCs w:val="24"/>
                <w:shd w:val="clear" w:color="auto" w:fill="FFFFFF"/>
              </w:rPr>
              <w:t>有效</w:t>
            </w:r>
          </w:p>
        </w:tc>
      </w:tr>
      <w:tr w14:paraId="549D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noWrap w:val="0"/>
            <w:vAlign w:val="center"/>
          </w:tcPr>
          <w:p w14:paraId="1722C0EC">
            <w:pPr>
              <w:spacing w:line="360" w:lineRule="auto"/>
              <w:jc w:val="center"/>
              <w:rPr>
                <w:rFonts w:hint="default" w:eastAsia="宋体" w:cs="宋体"/>
                <w:bCs/>
                <w:color w:val="auto"/>
                <w:sz w:val="24"/>
                <w:lang w:val="en-US" w:eastAsia="zh-CN"/>
              </w:rPr>
            </w:pPr>
            <w:r>
              <w:rPr>
                <w:rFonts w:hint="eastAsia" w:cs="宋体"/>
                <w:bCs/>
                <w:color w:val="auto"/>
                <w:sz w:val="24"/>
                <w:lang w:val="en-US" w:eastAsia="zh-CN"/>
              </w:rPr>
              <w:t>12</w:t>
            </w:r>
          </w:p>
        </w:tc>
        <w:tc>
          <w:tcPr>
            <w:tcW w:w="7534" w:type="dxa"/>
            <w:noWrap w:val="0"/>
            <w:vAlign w:val="center"/>
          </w:tcPr>
          <w:p w14:paraId="696BF4A6">
            <w:pPr>
              <w:rPr>
                <w:rFonts w:hint="eastAsia" w:ascii="宋体" w:hAnsi="宋体" w:eastAsia="宋体" w:cs="宋体"/>
                <w:color w:val="auto"/>
                <w:sz w:val="24"/>
              </w:rPr>
            </w:pPr>
            <w:r>
              <w:rPr>
                <w:rFonts w:hint="eastAsia" w:ascii="宋体" w:hAnsi="宋体" w:eastAsia="宋体" w:cs="宋体"/>
                <w:color w:val="auto"/>
                <w:sz w:val="24"/>
              </w:rPr>
              <w:t>具备</w:t>
            </w:r>
            <w:r>
              <w:rPr>
                <w:rFonts w:hint="eastAsia" w:ascii="宋体" w:hAnsi="宋体" w:eastAsia="宋体" w:cs="宋体"/>
                <w:color w:val="auto"/>
                <w:sz w:val="24"/>
                <w:lang w:val="en-US" w:eastAsia="zh-CN"/>
              </w:rPr>
              <w:t>贰</w:t>
            </w:r>
            <w:r>
              <w:rPr>
                <w:rFonts w:hint="eastAsia" w:ascii="宋体" w:hAnsi="宋体" w:eastAsia="宋体" w:cs="宋体"/>
                <w:color w:val="auto"/>
                <w:sz w:val="24"/>
              </w:rPr>
              <w:t>级及以上注册建造师资格(注册专业：</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)、有效的安全生产考核合格证书(B类)、</w:t>
            </w:r>
            <w:r>
              <w:rPr>
                <w:rFonts w:hint="eastAsia" w:ascii="宋体" w:hAnsi="宋体" w:eastAsia="宋体" w:cs="宋体"/>
                <w:color w:val="auto"/>
                <w:sz w:val="24"/>
                <w:lang w:val="en-US" w:eastAsia="zh-CN"/>
              </w:rPr>
              <w:t>供应商在2025年1月至今任意1个月为其缴纳社保证明的复印件或扫描件加盖公章</w:t>
            </w:r>
            <w:r>
              <w:rPr>
                <w:rFonts w:hint="eastAsia" w:ascii="宋体" w:hAnsi="宋体" w:eastAsia="宋体" w:cs="宋体"/>
                <w:color w:val="auto"/>
                <w:sz w:val="24"/>
              </w:rPr>
              <w:t>且未担任其他在建项目的项目经理。</w:t>
            </w:r>
          </w:p>
          <w:p w14:paraId="35B433F8">
            <w:pPr>
              <w:widowControl/>
              <w:spacing w:line="500" w:lineRule="exact"/>
              <w:ind w:firstLine="480" w:firstLineChars="200"/>
              <w:rPr>
                <w:rFonts w:hint="eastAsia" w:ascii="宋体" w:hAnsi="宋体" w:eastAsia="宋体" w:cs="宋体"/>
                <w:bCs/>
                <w:color w:val="auto"/>
                <w:sz w:val="24"/>
                <w:szCs w:val="24"/>
                <w:shd w:val="clear" w:color="auto" w:fill="FFFFFF"/>
              </w:rPr>
            </w:pPr>
            <w:r>
              <w:rPr>
                <w:rFonts w:hint="eastAsia" w:ascii="宋体" w:hAnsi="宋体" w:eastAsia="宋体" w:cs="宋体"/>
                <w:color w:val="auto"/>
                <w:sz w:val="24"/>
              </w:rPr>
              <w:t>注：项目经理证明材料应附身份证、注册证、资格证、安全生产考核合格(B)，且必须为投标单位本单位人员，如证书上的单位与投标单位不一致的，由发证单位出具正在变更的证明或养老保险(开标前6个月任意3个月)证明的复印件或扫描件，并加盖投标人单位公章，否则视为非本单位人员。</w:t>
            </w:r>
          </w:p>
        </w:tc>
        <w:tc>
          <w:tcPr>
            <w:tcW w:w="2459" w:type="dxa"/>
            <w:noWrap w:val="0"/>
            <w:vAlign w:val="center"/>
          </w:tcPr>
          <w:p w14:paraId="20ED84B9">
            <w:pPr>
              <w:pStyle w:val="4"/>
              <w:kinsoku w:val="0"/>
              <w:overflowPunct w:val="0"/>
              <w:spacing w:line="316" w:lineRule="auto"/>
              <w:jc w:val="center"/>
              <w:rPr>
                <w:rFonts w:hint="eastAsia" w:cs="宋体"/>
                <w:bCs/>
                <w:color w:val="auto"/>
                <w:sz w:val="24"/>
                <w:szCs w:val="24"/>
                <w:shd w:val="clear" w:color="auto" w:fill="FFFFFF"/>
              </w:rPr>
            </w:pPr>
            <w:r>
              <w:rPr>
                <w:rFonts w:hint="eastAsia" w:cs="宋体"/>
                <w:bCs/>
                <w:color w:val="auto"/>
                <w:sz w:val="24"/>
                <w:szCs w:val="24"/>
                <w:shd w:val="clear" w:color="auto" w:fill="FFFFFF"/>
              </w:rPr>
              <w:t>有效</w:t>
            </w:r>
          </w:p>
        </w:tc>
      </w:tr>
      <w:tr w14:paraId="5CE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76" w:type="dxa"/>
            <w:gridSpan w:val="2"/>
            <w:noWrap w:val="0"/>
            <w:vAlign w:val="center"/>
          </w:tcPr>
          <w:p w14:paraId="15693614">
            <w:pPr>
              <w:pStyle w:val="11"/>
              <w:spacing w:line="560" w:lineRule="exact"/>
              <w:ind w:firstLine="0" w:firstLineChars="0"/>
              <w:jc w:val="center"/>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结论（通过或不通过）</w:t>
            </w:r>
          </w:p>
        </w:tc>
        <w:tc>
          <w:tcPr>
            <w:tcW w:w="2459" w:type="dxa"/>
            <w:noWrap w:val="0"/>
            <w:vAlign w:val="center"/>
          </w:tcPr>
          <w:p w14:paraId="650CDAAA">
            <w:pPr>
              <w:pStyle w:val="11"/>
              <w:spacing w:line="560" w:lineRule="exact"/>
              <w:ind w:firstLine="0" w:firstLineChars="0"/>
              <w:jc w:val="center"/>
              <w:rPr>
                <w:rFonts w:hint="eastAsia" w:ascii="宋体" w:hAnsi="宋体" w:eastAsia="宋体" w:cs="宋体"/>
                <w:bCs/>
                <w:color w:val="auto"/>
                <w:sz w:val="24"/>
                <w:szCs w:val="24"/>
                <w:shd w:val="clear" w:color="auto" w:fill="FFFFFF"/>
              </w:rPr>
            </w:pPr>
          </w:p>
        </w:tc>
      </w:tr>
    </w:tbl>
    <w:p w14:paraId="0B53171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注：资格审查不通过的不进入</w:t>
      </w: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符合性审查。</w:t>
      </w:r>
    </w:p>
    <w:p w14:paraId="5E1D4AAF">
      <w:pPr>
        <w:jc w:val="center"/>
        <w:rPr>
          <w:rFonts w:hint="eastAsia" w:cs="宋体"/>
          <w:b/>
          <w:color w:val="auto"/>
          <w:sz w:val="24"/>
          <w:szCs w:val="24"/>
        </w:rPr>
      </w:pPr>
      <w:r>
        <w:rPr>
          <w:rFonts w:hint="eastAsia" w:cs="宋体"/>
          <w:b/>
          <w:color w:val="auto"/>
          <w:sz w:val="24"/>
          <w:szCs w:val="24"/>
        </w:rPr>
        <w:t>商务符合性审查表</w:t>
      </w:r>
    </w:p>
    <w:tbl>
      <w:tblPr>
        <w:tblStyle w:val="12"/>
        <w:tblW w:w="10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6524"/>
        <w:gridCol w:w="2956"/>
      </w:tblGrid>
      <w:tr w14:paraId="444D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03" w:type="dxa"/>
            <w:noWrap w:val="0"/>
            <w:vAlign w:val="center"/>
          </w:tcPr>
          <w:p w14:paraId="643D7724">
            <w:pPr>
              <w:spacing w:line="360" w:lineRule="auto"/>
              <w:jc w:val="center"/>
              <w:rPr>
                <w:rFonts w:eastAsia="宋体" w:cs="宋体"/>
                <w:color w:val="000000"/>
                <w:sz w:val="24"/>
                <w:szCs w:val="24"/>
              </w:rPr>
            </w:pPr>
            <w:r>
              <w:rPr>
                <w:rFonts w:hint="eastAsia" w:eastAsia="宋体" w:cs="宋体"/>
                <w:color w:val="000000"/>
                <w:sz w:val="24"/>
                <w:szCs w:val="24"/>
              </w:rPr>
              <w:t>序号</w:t>
            </w:r>
          </w:p>
        </w:tc>
        <w:tc>
          <w:tcPr>
            <w:tcW w:w="6524" w:type="dxa"/>
            <w:noWrap w:val="0"/>
            <w:vAlign w:val="center"/>
          </w:tcPr>
          <w:p w14:paraId="3D15450A">
            <w:pPr>
              <w:jc w:val="center"/>
              <w:rPr>
                <w:rFonts w:eastAsia="宋体" w:cs="宋体"/>
                <w:color w:val="000000"/>
                <w:sz w:val="24"/>
                <w:szCs w:val="24"/>
              </w:rPr>
            </w:pPr>
            <w:r>
              <w:rPr>
                <w:rFonts w:hint="eastAsia" w:eastAsia="宋体" w:cs="宋体"/>
                <w:color w:val="000000"/>
                <w:sz w:val="24"/>
                <w:szCs w:val="24"/>
              </w:rPr>
              <w:t>商务符合性要求</w:t>
            </w:r>
          </w:p>
        </w:tc>
        <w:tc>
          <w:tcPr>
            <w:tcW w:w="2956" w:type="dxa"/>
            <w:noWrap w:val="0"/>
            <w:vAlign w:val="center"/>
          </w:tcPr>
          <w:p w14:paraId="39107AAC">
            <w:pPr>
              <w:spacing w:line="360" w:lineRule="auto"/>
              <w:jc w:val="center"/>
              <w:rPr>
                <w:rFonts w:eastAsia="宋体" w:cs="宋体"/>
                <w:color w:val="000000"/>
                <w:sz w:val="24"/>
                <w:szCs w:val="24"/>
              </w:rPr>
            </w:pPr>
            <w:r>
              <w:rPr>
                <w:rFonts w:hint="eastAsia" w:eastAsia="宋体" w:cs="宋体"/>
                <w:bCs/>
                <w:color w:val="000000"/>
                <w:sz w:val="24"/>
              </w:rPr>
              <w:t>审查标准</w:t>
            </w:r>
          </w:p>
        </w:tc>
      </w:tr>
      <w:tr w14:paraId="49B3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03" w:type="dxa"/>
            <w:noWrap w:val="0"/>
            <w:vAlign w:val="center"/>
          </w:tcPr>
          <w:p w14:paraId="0FD59B67">
            <w:pPr>
              <w:spacing w:line="360" w:lineRule="auto"/>
              <w:jc w:val="center"/>
              <w:rPr>
                <w:rFonts w:eastAsia="宋体" w:cs="宋体"/>
                <w:color w:val="000000"/>
                <w:sz w:val="24"/>
                <w:szCs w:val="24"/>
              </w:rPr>
            </w:pPr>
            <w:r>
              <w:rPr>
                <w:rFonts w:hint="eastAsia" w:eastAsia="宋体" w:cs="宋体"/>
                <w:color w:val="000000"/>
                <w:sz w:val="24"/>
                <w:szCs w:val="24"/>
              </w:rPr>
              <w:t>1</w:t>
            </w:r>
          </w:p>
        </w:tc>
        <w:tc>
          <w:tcPr>
            <w:tcW w:w="6524" w:type="dxa"/>
            <w:noWrap w:val="0"/>
            <w:vAlign w:val="center"/>
          </w:tcPr>
          <w:p w14:paraId="347E6F56">
            <w:pPr>
              <w:spacing w:line="360" w:lineRule="auto"/>
              <w:jc w:val="both"/>
              <w:rPr>
                <w:rFonts w:eastAsia="宋体" w:cs="宋体"/>
                <w:color w:val="000000"/>
                <w:sz w:val="24"/>
                <w:szCs w:val="24"/>
              </w:rPr>
            </w:pPr>
            <w:r>
              <w:rPr>
                <w:rFonts w:hint="eastAsia" w:eastAsia="宋体" w:cs="宋体"/>
                <w:color w:val="000000"/>
                <w:sz w:val="24"/>
                <w:szCs w:val="24"/>
              </w:rPr>
              <w:t>建设工期</w:t>
            </w:r>
            <w:r>
              <w:rPr>
                <w:rFonts w:hint="eastAsia" w:eastAsia="宋体" w:cs="宋体"/>
                <w:color w:val="000000"/>
                <w:kern w:val="2"/>
                <w:sz w:val="24"/>
                <w:szCs w:val="24"/>
              </w:rPr>
              <w:t>是否响应磋商文件要求。</w:t>
            </w:r>
          </w:p>
        </w:tc>
        <w:tc>
          <w:tcPr>
            <w:tcW w:w="2956" w:type="dxa"/>
            <w:noWrap w:val="0"/>
            <w:vAlign w:val="center"/>
          </w:tcPr>
          <w:p w14:paraId="439FEF3E">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4E5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03" w:type="dxa"/>
            <w:noWrap w:val="0"/>
            <w:vAlign w:val="center"/>
          </w:tcPr>
          <w:p w14:paraId="34D1AD36">
            <w:pPr>
              <w:spacing w:line="360" w:lineRule="auto"/>
              <w:jc w:val="center"/>
              <w:rPr>
                <w:rFonts w:eastAsia="宋体" w:cs="宋体"/>
                <w:color w:val="000000"/>
                <w:sz w:val="24"/>
                <w:szCs w:val="24"/>
              </w:rPr>
            </w:pPr>
            <w:r>
              <w:rPr>
                <w:rFonts w:hint="eastAsia" w:eastAsia="宋体" w:cs="宋体"/>
                <w:color w:val="000000"/>
                <w:sz w:val="24"/>
                <w:szCs w:val="24"/>
              </w:rPr>
              <w:t>2</w:t>
            </w:r>
          </w:p>
        </w:tc>
        <w:tc>
          <w:tcPr>
            <w:tcW w:w="6524" w:type="dxa"/>
            <w:noWrap w:val="0"/>
            <w:vAlign w:val="center"/>
          </w:tcPr>
          <w:p w14:paraId="1596CEC3">
            <w:pPr>
              <w:spacing w:line="360" w:lineRule="auto"/>
              <w:jc w:val="both"/>
              <w:rPr>
                <w:rFonts w:eastAsia="宋体" w:cs="宋体"/>
                <w:color w:val="000000"/>
                <w:sz w:val="24"/>
                <w:szCs w:val="24"/>
              </w:rPr>
            </w:pPr>
            <w:r>
              <w:rPr>
                <w:rFonts w:hint="eastAsia" w:eastAsia="宋体" w:cs="宋体"/>
                <w:color w:val="000000"/>
                <w:sz w:val="24"/>
                <w:szCs w:val="24"/>
              </w:rPr>
              <w:t>工程建设地点</w:t>
            </w:r>
            <w:r>
              <w:rPr>
                <w:rFonts w:hint="eastAsia" w:eastAsia="宋体" w:cs="宋体"/>
                <w:color w:val="000000"/>
                <w:kern w:val="2"/>
                <w:sz w:val="24"/>
                <w:szCs w:val="24"/>
              </w:rPr>
              <w:t>是否响应磋商文件要求。</w:t>
            </w:r>
          </w:p>
        </w:tc>
        <w:tc>
          <w:tcPr>
            <w:tcW w:w="2956" w:type="dxa"/>
            <w:noWrap w:val="0"/>
            <w:vAlign w:val="center"/>
          </w:tcPr>
          <w:p w14:paraId="276F690A">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63F2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6AF74A56">
            <w:pPr>
              <w:spacing w:line="360" w:lineRule="auto"/>
              <w:jc w:val="center"/>
              <w:rPr>
                <w:rFonts w:eastAsia="宋体" w:cs="宋体"/>
                <w:color w:val="000000"/>
                <w:sz w:val="24"/>
                <w:szCs w:val="24"/>
              </w:rPr>
            </w:pPr>
            <w:r>
              <w:rPr>
                <w:rFonts w:hint="eastAsia" w:eastAsia="宋体" w:cs="宋体"/>
                <w:color w:val="000000"/>
                <w:sz w:val="24"/>
                <w:szCs w:val="24"/>
              </w:rPr>
              <w:t>3</w:t>
            </w:r>
          </w:p>
        </w:tc>
        <w:tc>
          <w:tcPr>
            <w:tcW w:w="6524" w:type="dxa"/>
            <w:noWrap w:val="0"/>
            <w:vAlign w:val="center"/>
          </w:tcPr>
          <w:p w14:paraId="62FD5F94">
            <w:pPr>
              <w:spacing w:line="360" w:lineRule="auto"/>
              <w:jc w:val="both"/>
              <w:rPr>
                <w:rFonts w:eastAsia="宋体" w:cs="宋体"/>
                <w:color w:val="000000"/>
                <w:sz w:val="24"/>
                <w:szCs w:val="24"/>
              </w:rPr>
            </w:pPr>
            <w:r>
              <w:rPr>
                <w:rFonts w:hint="eastAsia" w:eastAsia="宋体" w:cs="宋体"/>
                <w:color w:val="000000"/>
                <w:sz w:val="24"/>
                <w:szCs w:val="24"/>
              </w:rPr>
              <w:t>付款方式</w:t>
            </w:r>
            <w:r>
              <w:rPr>
                <w:rFonts w:hint="eastAsia" w:eastAsia="宋体" w:cs="宋体"/>
                <w:color w:val="000000"/>
                <w:kern w:val="2"/>
                <w:sz w:val="24"/>
                <w:szCs w:val="24"/>
              </w:rPr>
              <w:t>是否响应磋商文件要求。</w:t>
            </w:r>
          </w:p>
        </w:tc>
        <w:tc>
          <w:tcPr>
            <w:tcW w:w="2956" w:type="dxa"/>
            <w:noWrap w:val="0"/>
            <w:vAlign w:val="center"/>
          </w:tcPr>
          <w:p w14:paraId="7AA7FE03">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color w:val="000000"/>
                <w:kern w:val="2"/>
                <w:sz w:val="24"/>
                <w:szCs w:val="24"/>
                <w:lang w:val="en-US" w:eastAsia="zh-CN" w:bidi="ar-SA"/>
              </w:rPr>
              <w:t>响应</w:t>
            </w:r>
          </w:p>
        </w:tc>
      </w:tr>
      <w:tr w14:paraId="1931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2F08075C">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4</w:t>
            </w:r>
          </w:p>
        </w:tc>
        <w:tc>
          <w:tcPr>
            <w:tcW w:w="6524" w:type="dxa"/>
            <w:noWrap w:val="0"/>
            <w:vAlign w:val="center"/>
          </w:tcPr>
          <w:p w14:paraId="6F153C61">
            <w:pPr>
              <w:spacing w:line="360" w:lineRule="auto"/>
              <w:jc w:val="both"/>
              <w:rPr>
                <w:rFonts w:eastAsia="宋体"/>
                <w:color w:val="000000"/>
              </w:rPr>
            </w:pPr>
            <w:r>
              <w:rPr>
                <w:rFonts w:hint="eastAsia" w:eastAsia="宋体" w:cs="宋体"/>
                <w:color w:val="000000"/>
                <w:kern w:val="2"/>
                <w:sz w:val="24"/>
                <w:szCs w:val="24"/>
              </w:rPr>
              <w:t>质保期是否响应磋商文件要求。</w:t>
            </w:r>
          </w:p>
        </w:tc>
        <w:tc>
          <w:tcPr>
            <w:tcW w:w="2956" w:type="dxa"/>
            <w:noWrap w:val="0"/>
            <w:vAlign w:val="center"/>
          </w:tcPr>
          <w:p w14:paraId="6E84DBDA">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7E85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6C346926">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5</w:t>
            </w:r>
          </w:p>
        </w:tc>
        <w:tc>
          <w:tcPr>
            <w:tcW w:w="6524" w:type="dxa"/>
            <w:noWrap w:val="0"/>
            <w:vAlign w:val="center"/>
          </w:tcPr>
          <w:p w14:paraId="45C9CA48">
            <w:pPr>
              <w:spacing w:line="360" w:lineRule="auto"/>
              <w:jc w:val="both"/>
              <w:rPr>
                <w:rFonts w:eastAsia="宋体" w:cs="宋体"/>
                <w:color w:val="000000"/>
                <w:sz w:val="24"/>
                <w:szCs w:val="24"/>
              </w:rPr>
            </w:pPr>
            <w:r>
              <w:rPr>
                <w:rFonts w:hint="eastAsia" w:eastAsia="宋体" w:cs="宋体"/>
                <w:color w:val="000000"/>
                <w:sz w:val="24"/>
                <w:szCs w:val="24"/>
              </w:rPr>
              <w:t>质量标准</w:t>
            </w:r>
            <w:r>
              <w:rPr>
                <w:rFonts w:hint="eastAsia" w:eastAsia="宋体" w:cs="宋体"/>
                <w:color w:val="000000"/>
                <w:kern w:val="2"/>
                <w:sz w:val="24"/>
                <w:szCs w:val="24"/>
              </w:rPr>
              <w:t>是否响应磋商文件要求。</w:t>
            </w:r>
          </w:p>
        </w:tc>
        <w:tc>
          <w:tcPr>
            <w:tcW w:w="2956" w:type="dxa"/>
            <w:noWrap w:val="0"/>
            <w:vAlign w:val="center"/>
          </w:tcPr>
          <w:p w14:paraId="2EE0434C">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404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7E059583">
            <w:pPr>
              <w:spacing w:line="360" w:lineRule="auto"/>
              <w:jc w:val="center"/>
              <w:rPr>
                <w:rFonts w:hint="eastAsia" w:eastAsia="宋体" w:cs="宋体"/>
                <w:color w:val="000000"/>
                <w:sz w:val="24"/>
                <w:szCs w:val="24"/>
                <w:lang w:val="en-US" w:eastAsia="zh-CN"/>
              </w:rPr>
            </w:pPr>
            <w:r>
              <w:rPr>
                <w:rFonts w:hint="eastAsia" w:eastAsia="宋体" w:cs="宋体"/>
                <w:color w:val="000000"/>
                <w:sz w:val="24"/>
                <w:szCs w:val="24"/>
                <w:lang w:val="en-US" w:eastAsia="zh-CN"/>
              </w:rPr>
              <w:t>6</w:t>
            </w:r>
          </w:p>
        </w:tc>
        <w:tc>
          <w:tcPr>
            <w:tcW w:w="6524" w:type="dxa"/>
            <w:noWrap w:val="0"/>
            <w:vAlign w:val="center"/>
          </w:tcPr>
          <w:p w14:paraId="7B140EDD">
            <w:pPr>
              <w:spacing w:line="360" w:lineRule="auto"/>
              <w:jc w:val="both"/>
              <w:rPr>
                <w:rFonts w:hint="default" w:eastAsia="宋体" w:cs="宋体"/>
                <w:color w:val="000000"/>
                <w:sz w:val="24"/>
                <w:szCs w:val="24"/>
                <w:lang w:val="en-US" w:eastAsia="zh-CN"/>
              </w:rPr>
            </w:pPr>
            <w:r>
              <w:rPr>
                <w:rFonts w:hint="eastAsia" w:eastAsia="宋体" w:cs="宋体"/>
                <w:color w:val="000000"/>
                <w:sz w:val="24"/>
                <w:szCs w:val="24"/>
                <w:lang w:val="en-US" w:eastAsia="zh-CN"/>
              </w:rPr>
              <w:t>结算方式是否响应磋商文件要求。</w:t>
            </w:r>
          </w:p>
        </w:tc>
        <w:tc>
          <w:tcPr>
            <w:tcW w:w="2956" w:type="dxa"/>
            <w:noWrap w:val="0"/>
            <w:vAlign w:val="center"/>
          </w:tcPr>
          <w:p w14:paraId="7BEEE6DB">
            <w:pPr>
              <w:spacing w:line="312" w:lineRule="auto"/>
              <w:ind w:left="-23"/>
              <w:jc w:val="center"/>
              <w:rPr>
                <w:rFonts w:hint="default" w:eastAsia="宋体" w:cs="宋体"/>
                <w:color w:val="000000"/>
                <w:kern w:val="2"/>
                <w:sz w:val="24"/>
                <w:szCs w:val="24"/>
                <w:lang w:val="en-US" w:eastAsia="zh-CN"/>
              </w:rPr>
            </w:pPr>
            <w:r>
              <w:rPr>
                <w:rFonts w:hint="eastAsia" w:eastAsia="宋体" w:cs="宋体"/>
                <w:color w:val="000000"/>
                <w:kern w:val="2"/>
                <w:sz w:val="24"/>
                <w:szCs w:val="24"/>
                <w:lang w:val="en-US" w:eastAsia="zh-CN"/>
              </w:rPr>
              <w:t>响应</w:t>
            </w:r>
          </w:p>
        </w:tc>
      </w:tr>
      <w:tr w14:paraId="0665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3" w:type="dxa"/>
            <w:noWrap w:val="0"/>
            <w:vAlign w:val="center"/>
          </w:tcPr>
          <w:p w14:paraId="0157178E">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7</w:t>
            </w:r>
          </w:p>
        </w:tc>
        <w:tc>
          <w:tcPr>
            <w:tcW w:w="6524" w:type="dxa"/>
            <w:noWrap w:val="0"/>
            <w:vAlign w:val="center"/>
          </w:tcPr>
          <w:p w14:paraId="18059A06">
            <w:pPr>
              <w:spacing w:line="360" w:lineRule="auto"/>
              <w:jc w:val="both"/>
              <w:rPr>
                <w:rFonts w:hint="eastAsia" w:eastAsia="宋体" w:cs="宋体"/>
                <w:color w:val="000000"/>
                <w:sz w:val="24"/>
                <w:szCs w:val="24"/>
              </w:rPr>
            </w:pPr>
            <w:r>
              <w:rPr>
                <w:rFonts w:hint="eastAsia" w:eastAsia="宋体" w:cs="宋体"/>
                <w:color w:val="000000"/>
                <w:sz w:val="24"/>
                <w:szCs w:val="24"/>
                <w:lang w:val="en-US" w:eastAsia="zh-CN"/>
              </w:rPr>
              <w:t>其他要求</w:t>
            </w:r>
            <w:r>
              <w:rPr>
                <w:rFonts w:hint="eastAsia" w:eastAsia="宋体" w:cs="宋体"/>
                <w:color w:val="000000"/>
                <w:sz w:val="24"/>
                <w:szCs w:val="24"/>
              </w:rPr>
              <w:t>是否响应磋商文件要求。</w:t>
            </w:r>
          </w:p>
        </w:tc>
        <w:tc>
          <w:tcPr>
            <w:tcW w:w="2956" w:type="dxa"/>
            <w:noWrap w:val="0"/>
            <w:vAlign w:val="center"/>
          </w:tcPr>
          <w:p w14:paraId="4C0E873A">
            <w:pPr>
              <w:spacing w:line="312" w:lineRule="auto"/>
              <w:ind w:left="-23"/>
              <w:jc w:val="center"/>
              <w:rPr>
                <w:rFonts w:hint="eastAsia" w:eastAsia="宋体" w:cs="宋体"/>
                <w:color w:val="000000"/>
                <w:kern w:val="2"/>
                <w:sz w:val="24"/>
                <w:szCs w:val="24"/>
              </w:rPr>
            </w:pPr>
            <w:r>
              <w:rPr>
                <w:rFonts w:hint="eastAsia" w:eastAsia="宋体" w:cs="宋体"/>
                <w:color w:val="000000"/>
                <w:kern w:val="2"/>
                <w:sz w:val="24"/>
                <w:szCs w:val="24"/>
              </w:rPr>
              <w:t>响应</w:t>
            </w:r>
          </w:p>
        </w:tc>
      </w:tr>
      <w:tr w14:paraId="59CF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03" w:type="dxa"/>
            <w:noWrap w:val="0"/>
            <w:vAlign w:val="center"/>
          </w:tcPr>
          <w:p w14:paraId="78730F0E">
            <w:pPr>
              <w:spacing w:line="360" w:lineRule="auto"/>
              <w:jc w:val="center"/>
              <w:rPr>
                <w:rFonts w:hint="eastAsia" w:eastAsia="宋体" w:cs="宋体"/>
                <w:color w:val="000000"/>
                <w:sz w:val="24"/>
                <w:szCs w:val="24"/>
                <w:lang w:eastAsia="zh-CN"/>
              </w:rPr>
            </w:pPr>
            <w:r>
              <w:rPr>
                <w:rFonts w:hint="eastAsia" w:eastAsia="宋体" w:cs="宋体"/>
                <w:color w:val="000000"/>
                <w:sz w:val="24"/>
                <w:szCs w:val="24"/>
                <w:lang w:val="en-US" w:eastAsia="zh-CN"/>
              </w:rPr>
              <w:t>8</w:t>
            </w:r>
          </w:p>
        </w:tc>
        <w:tc>
          <w:tcPr>
            <w:tcW w:w="6524" w:type="dxa"/>
            <w:noWrap w:val="0"/>
            <w:vAlign w:val="center"/>
          </w:tcPr>
          <w:p w14:paraId="614B2744">
            <w:pPr>
              <w:spacing w:line="360" w:lineRule="auto"/>
              <w:jc w:val="both"/>
              <w:rPr>
                <w:rFonts w:eastAsia="宋体" w:cs="宋体"/>
                <w:color w:val="000000"/>
                <w:sz w:val="24"/>
                <w:szCs w:val="24"/>
              </w:rPr>
            </w:pPr>
            <w:r>
              <w:rPr>
                <w:rFonts w:hint="eastAsia" w:eastAsia="宋体" w:cs="宋体"/>
                <w:color w:val="000000"/>
                <w:sz w:val="24"/>
                <w:szCs w:val="24"/>
              </w:rPr>
              <w:t>无效磋商情形。</w:t>
            </w:r>
          </w:p>
        </w:tc>
        <w:tc>
          <w:tcPr>
            <w:tcW w:w="2956" w:type="dxa"/>
            <w:noWrap w:val="0"/>
            <w:vAlign w:val="center"/>
          </w:tcPr>
          <w:p w14:paraId="3AAD52ED">
            <w:pPr>
              <w:widowControl w:val="0"/>
              <w:numPr>
                <w:ilvl w:val="0"/>
                <w:numId w:val="0"/>
              </w:numPr>
              <w:tabs>
                <w:tab w:val="left" w:pos="700"/>
              </w:tabs>
              <w:spacing w:line="312" w:lineRule="auto"/>
              <w:ind w:left="-23"/>
              <w:jc w:val="center"/>
              <w:rPr>
                <w:rFonts w:ascii="宋体" w:hAnsi="宋体" w:eastAsia="宋体" w:cs="宋体"/>
                <w:color w:val="000000"/>
                <w:sz w:val="24"/>
                <w:szCs w:val="24"/>
                <w:lang w:val="en-US" w:eastAsia="zh-CN" w:bidi="ar-SA"/>
              </w:rPr>
            </w:pPr>
            <w:r>
              <w:rPr>
                <w:rFonts w:hint="eastAsia" w:ascii="宋体" w:hAnsi="宋体" w:eastAsia="宋体" w:cs="宋体"/>
                <w:bCs/>
                <w:color w:val="000000"/>
                <w:sz w:val="24"/>
                <w:szCs w:val="24"/>
                <w:lang w:val="en-US" w:eastAsia="zh-CN" w:bidi="ar-SA"/>
              </w:rPr>
              <w:t>不存在无效磋商情形</w:t>
            </w:r>
          </w:p>
        </w:tc>
      </w:tr>
      <w:tr w14:paraId="792B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27" w:type="dxa"/>
            <w:gridSpan w:val="2"/>
            <w:noWrap w:val="0"/>
            <w:vAlign w:val="center"/>
          </w:tcPr>
          <w:p w14:paraId="47B8019A">
            <w:pPr>
              <w:spacing w:line="360" w:lineRule="auto"/>
              <w:jc w:val="center"/>
              <w:rPr>
                <w:rFonts w:eastAsia="宋体" w:cs="宋体"/>
                <w:color w:val="000000"/>
                <w:sz w:val="24"/>
                <w:szCs w:val="24"/>
              </w:rPr>
            </w:pPr>
            <w:r>
              <w:rPr>
                <w:rFonts w:hint="eastAsia" w:eastAsia="宋体" w:cs="宋体"/>
                <w:bCs/>
                <w:color w:val="000000"/>
                <w:sz w:val="24"/>
                <w:szCs w:val="24"/>
                <w:shd w:val="clear" w:color="auto" w:fill="FFFFFF"/>
              </w:rPr>
              <w:t>结论（通过或不通过）</w:t>
            </w:r>
          </w:p>
        </w:tc>
        <w:tc>
          <w:tcPr>
            <w:tcW w:w="2956" w:type="dxa"/>
            <w:noWrap w:val="0"/>
            <w:vAlign w:val="top"/>
          </w:tcPr>
          <w:p w14:paraId="56625453">
            <w:pPr>
              <w:spacing w:line="360" w:lineRule="auto"/>
              <w:rPr>
                <w:rFonts w:eastAsia="宋体" w:cs="宋体"/>
                <w:color w:val="000000"/>
                <w:sz w:val="24"/>
                <w:szCs w:val="24"/>
              </w:rPr>
            </w:pPr>
          </w:p>
        </w:tc>
      </w:tr>
    </w:tbl>
    <w:p w14:paraId="5411A1BC">
      <w:pPr>
        <w:pStyle w:val="8"/>
        <w:spacing w:before="120" w:beforeLines="50" w:line="360" w:lineRule="auto"/>
        <w:ind w:firstLine="482"/>
        <w:rPr>
          <w:rFonts w:hint="eastAsia" w:cs="宋体"/>
          <w:b/>
          <w:color w:val="auto"/>
          <w:sz w:val="24"/>
          <w:szCs w:val="24"/>
        </w:rPr>
      </w:pPr>
      <w:r>
        <w:rPr>
          <w:rFonts w:hint="eastAsia" w:cs="宋体"/>
          <w:b/>
          <w:color w:val="auto"/>
          <w:sz w:val="24"/>
          <w:szCs w:val="24"/>
        </w:rPr>
        <w:t>注：商务符合性审查不通过的不进入下一轮评审。</w:t>
      </w:r>
    </w:p>
    <w:tbl>
      <w:tblPr>
        <w:tblStyle w:val="12"/>
        <w:tblpPr w:leftFromText="180" w:rightFromText="180" w:vertAnchor="text" w:horzAnchor="page" w:tblpX="766" w:tblpY="585"/>
        <w:tblOverlap w:val="never"/>
        <w:tblW w:w="10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4"/>
        <w:gridCol w:w="2008"/>
        <w:gridCol w:w="6576"/>
      </w:tblGrid>
      <w:tr w14:paraId="0D5C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723" w:type="dxa"/>
            <w:noWrap w:val="0"/>
            <w:vAlign w:val="center"/>
          </w:tcPr>
          <w:p w14:paraId="6388FC15">
            <w:pPr>
              <w:ind w:left="0" w:leftChars="0" w:firstLine="0" w:firstLineChars="0"/>
              <w:jc w:val="both"/>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1294" w:type="dxa"/>
            <w:noWrap w:val="0"/>
            <w:vAlign w:val="center"/>
          </w:tcPr>
          <w:p w14:paraId="3BD46324">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名称</w:t>
            </w:r>
          </w:p>
        </w:tc>
        <w:tc>
          <w:tcPr>
            <w:tcW w:w="2008" w:type="dxa"/>
            <w:noWrap w:val="0"/>
            <w:vAlign w:val="center"/>
          </w:tcPr>
          <w:p w14:paraId="771D0E99">
            <w:pPr>
              <w:jc w:val="cente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评分因素</w:t>
            </w:r>
          </w:p>
        </w:tc>
        <w:tc>
          <w:tcPr>
            <w:tcW w:w="6576" w:type="dxa"/>
            <w:tcBorders>
              <w:bottom w:val="single" w:color="auto" w:sz="4" w:space="0"/>
            </w:tcBorders>
            <w:noWrap w:val="0"/>
            <w:vAlign w:val="center"/>
          </w:tcPr>
          <w:p w14:paraId="49B2EA39">
            <w:pPr>
              <w:jc w:val="cente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评分标准</w:t>
            </w:r>
          </w:p>
        </w:tc>
      </w:tr>
      <w:tr w14:paraId="0C01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23" w:type="dxa"/>
            <w:noWrap w:val="0"/>
            <w:vAlign w:val="center"/>
          </w:tcPr>
          <w:p w14:paraId="0B5B75CA">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1</w:t>
            </w:r>
          </w:p>
        </w:tc>
        <w:tc>
          <w:tcPr>
            <w:tcW w:w="1294" w:type="dxa"/>
            <w:noWrap w:val="0"/>
            <w:vAlign w:val="center"/>
          </w:tcPr>
          <w:p w14:paraId="3E9413DD">
            <w:pPr>
              <w:ind w:left="0" w:leftChars="0" w:firstLine="0" w:firstLineChars="0"/>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报价部分</w:t>
            </w:r>
          </w:p>
          <w:p w14:paraId="5E7BE892">
            <w:pPr>
              <w:jc w:val="both"/>
              <w:rPr>
                <w:rFonts w:hint="eastAsia" w:ascii="宋体" w:hAnsi="宋体" w:cs="宋体"/>
                <w:b w:val="0"/>
                <w:bCs w:val="0"/>
                <w:color w:val="000000"/>
                <w:sz w:val="24"/>
                <w:szCs w:val="24"/>
                <w:highlight w:val="none"/>
              </w:rPr>
            </w:pPr>
          </w:p>
        </w:tc>
        <w:tc>
          <w:tcPr>
            <w:tcW w:w="2008" w:type="dxa"/>
            <w:noWrap w:val="0"/>
            <w:vAlign w:val="center"/>
          </w:tcPr>
          <w:p w14:paraId="4CE884C4">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投标报价</w:t>
            </w:r>
            <w:r>
              <w:rPr>
                <w:rFonts w:hint="eastAsia" w:cs="宋体"/>
                <w:b w:val="0"/>
                <w:bCs w:val="0"/>
                <w:color w:val="000000"/>
                <w:sz w:val="24"/>
                <w:szCs w:val="24"/>
                <w:highlight w:val="none"/>
                <w:lang w:val="zh-CN"/>
              </w:rPr>
              <w:t>（</w:t>
            </w:r>
            <w:r>
              <w:rPr>
                <w:rFonts w:hint="eastAsia" w:cs="宋体"/>
                <w:b w:val="0"/>
                <w:bCs w:val="0"/>
                <w:color w:val="000000"/>
                <w:sz w:val="24"/>
                <w:szCs w:val="24"/>
                <w:highlight w:val="none"/>
                <w:lang w:val="en-US" w:eastAsia="zh-CN"/>
              </w:rPr>
              <w:t>30分</w:t>
            </w:r>
            <w:r>
              <w:rPr>
                <w:rFonts w:hint="eastAsia" w:cs="宋体"/>
                <w:b w:val="0"/>
                <w:bCs w:val="0"/>
                <w:color w:val="000000"/>
                <w:sz w:val="24"/>
                <w:szCs w:val="24"/>
                <w:highlight w:val="none"/>
                <w:lang w:val="zh-CN"/>
              </w:rPr>
              <w:t>）</w:t>
            </w:r>
          </w:p>
        </w:tc>
        <w:tc>
          <w:tcPr>
            <w:tcW w:w="6576" w:type="dxa"/>
            <w:tcBorders>
              <w:bottom w:val="single" w:color="auto" w:sz="4" w:space="0"/>
            </w:tcBorders>
            <w:noWrap w:val="0"/>
            <w:vAlign w:val="center"/>
          </w:tcPr>
          <w:p w14:paraId="6BD6294C">
            <w:pPr>
              <w:spacing w:line="360" w:lineRule="auto"/>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报价部份价格分采用低价优先法计算，即满足</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文件要求且投标价格最低的投标报价作为磋商基准价，其价格分为满分。其他</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的价格分统一按照下列公式计算：</w:t>
            </w:r>
          </w:p>
          <w:p w14:paraId="5ACF6D57">
            <w:pPr>
              <w:spacing w:line="360" w:lineRule="auto"/>
              <w:jc w:val="left"/>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报价得分=（磋商基准价/最后磋商报价）×</w:t>
            </w:r>
            <w:r>
              <w:rPr>
                <w:rFonts w:hint="eastAsia" w:cs="宋体"/>
                <w:b w:val="0"/>
                <w:bCs w:val="0"/>
                <w:color w:val="000000"/>
                <w:sz w:val="24"/>
                <w:szCs w:val="24"/>
                <w:highlight w:val="none"/>
                <w:lang w:val="en-US" w:eastAsia="zh-CN"/>
              </w:rPr>
              <w:t>30</w:t>
            </w:r>
          </w:p>
          <w:p w14:paraId="70B3C5C5">
            <w:pPr>
              <w:tabs>
                <w:tab w:val="left" w:pos="0"/>
              </w:tabs>
              <w:adjustRightInd w:val="0"/>
              <w:snapToGrid w:val="0"/>
              <w:spacing w:line="360" w:lineRule="auto"/>
              <w:jc w:val="both"/>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w:t>
            </w:r>
            <w:r>
              <w:rPr>
                <w:rFonts w:hint="eastAsia" w:ascii="宋体" w:hAnsi="宋体" w:eastAsia="宋体" w:cs="宋体"/>
                <w:b/>
                <w:bCs/>
                <w:color w:val="000000"/>
                <w:sz w:val="24"/>
                <w:szCs w:val="24"/>
                <w:highlight w:val="none"/>
                <w:lang w:val="en-US" w:eastAsia="zh-CN"/>
              </w:rPr>
              <w:t>1.磋商小组认为供应商的报价明显低于其他供应商的报价，有可能影响产品或工程质量或者不能诚信履约的，应当要求其在磋商时合理的时间内提供说明，必要时提交相关证明材料（列如，发票及成本文件等）；供应商不能证明其报价合理性的，磋商小组应当将其作为无效投标处理。</w:t>
            </w:r>
          </w:p>
        </w:tc>
      </w:tr>
      <w:tr w14:paraId="60B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3" w:type="dxa"/>
            <w:vMerge w:val="restart"/>
            <w:noWrap w:val="0"/>
            <w:vAlign w:val="center"/>
          </w:tcPr>
          <w:p w14:paraId="73BFB8AC">
            <w:pPr>
              <w:jc w:val="center"/>
              <w:rPr>
                <w:rFonts w:hint="eastAsia" w:ascii="宋体" w:hAnsi="宋体" w:cs="宋体"/>
                <w:b w:val="0"/>
                <w:bCs w:val="0"/>
                <w:color w:val="000000"/>
                <w:sz w:val="24"/>
                <w:szCs w:val="24"/>
                <w:highlight w:val="none"/>
                <w:lang w:val="zh-CN"/>
              </w:rPr>
            </w:pPr>
            <w:r>
              <w:rPr>
                <w:rFonts w:hint="eastAsia" w:ascii="宋体" w:hAnsi="宋体" w:cs="宋体"/>
                <w:b w:val="0"/>
                <w:bCs w:val="0"/>
                <w:color w:val="000000"/>
                <w:sz w:val="24"/>
                <w:szCs w:val="24"/>
                <w:highlight w:val="none"/>
                <w:lang w:val="zh-CN"/>
              </w:rPr>
              <w:t>2</w:t>
            </w:r>
          </w:p>
        </w:tc>
        <w:tc>
          <w:tcPr>
            <w:tcW w:w="1294" w:type="dxa"/>
            <w:vMerge w:val="restart"/>
            <w:noWrap w:val="0"/>
            <w:vAlign w:val="center"/>
          </w:tcPr>
          <w:p w14:paraId="505FA06E">
            <w:pPr>
              <w:pStyle w:val="7"/>
              <w:jc w:val="center"/>
              <w:rPr>
                <w:rFonts w:hint="eastAsia" w:hAnsi="宋体" w:cs="宋体"/>
                <w:b w:val="0"/>
                <w:bCs w:val="0"/>
                <w:color w:val="000000"/>
                <w:sz w:val="24"/>
                <w:szCs w:val="24"/>
                <w:highlight w:val="none"/>
              </w:rPr>
            </w:pPr>
            <w:r>
              <w:rPr>
                <w:rFonts w:hint="eastAsia" w:hAnsi="宋体" w:cs="宋体"/>
                <w:b w:val="0"/>
                <w:bCs w:val="0"/>
                <w:color w:val="000000"/>
                <w:sz w:val="24"/>
                <w:szCs w:val="24"/>
                <w:highlight w:val="none"/>
              </w:rPr>
              <w:t>技术部分</w:t>
            </w:r>
          </w:p>
          <w:p w14:paraId="01E18A9C">
            <w:pPr>
              <w:pStyle w:val="7"/>
              <w:ind w:left="-101" w:leftChars="-42"/>
              <w:jc w:val="center"/>
              <w:rPr>
                <w:rFonts w:hint="eastAsia" w:hAnsi="宋体" w:cs="宋体"/>
                <w:b w:val="0"/>
                <w:bCs w:val="0"/>
                <w:color w:val="000000"/>
                <w:sz w:val="24"/>
                <w:szCs w:val="24"/>
                <w:highlight w:val="none"/>
              </w:rPr>
            </w:pPr>
            <w:r>
              <w:rPr>
                <w:rFonts w:hint="eastAsia" w:cs="宋体"/>
                <w:b w:val="0"/>
                <w:bCs w:val="0"/>
                <w:color w:val="000000"/>
                <w:sz w:val="24"/>
                <w:szCs w:val="24"/>
                <w:highlight w:val="none"/>
                <w:lang w:val="en-US" w:eastAsia="zh-CN"/>
              </w:rPr>
              <w:t>（45</w:t>
            </w:r>
            <w:r>
              <w:rPr>
                <w:rFonts w:hint="eastAsia" w:hAnsi="宋体" w:cs="宋体"/>
                <w:b w:val="0"/>
                <w:bCs w:val="0"/>
                <w:color w:val="000000"/>
                <w:sz w:val="24"/>
                <w:szCs w:val="24"/>
                <w:highlight w:val="none"/>
                <w:lang w:val="zh-CN"/>
              </w:rPr>
              <w:t>分</w:t>
            </w:r>
            <w:r>
              <w:rPr>
                <w:rFonts w:hint="eastAsia" w:cs="宋体"/>
                <w:b w:val="0"/>
                <w:bCs w:val="0"/>
                <w:color w:val="000000"/>
                <w:sz w:val="24"/>
                <w:szCs w:val="24"/>
                <w:highlight w:val="none"/>
                <w:lang w:val="en-US" w:eastAsia="zh-CN"/>
              </w:rPr>
              <w:t>）</w:t>
            </w:r>
          </w:p>
        </w:tc>
        <w:tc>
          <w:tcPr>
            <w:tcW w:w="2008" w:type="dxa"/>
            <w:noWrap w:val="0"/>
            <w:vAlign w:val="center"/>
          </w:tcPr>
          <w:p w14:paraId="7A35FC2D">
            <w:pPr>
              <w:spacing w:line="360" w:lineRule="auto"/>
              <w:jc w:val="center"/>
              <w:rPr>
                <w:rFonts w:hint="eastAsia" w:ascii="宋体" w:hAnsi="宋体" w:cs="宋体"/>
                <w:b w:val="0"/>
                <w:bCs w:val="0"/>
                <w:color w:val="000000"/>
                <w:sz w:val="24"/>
                <w:szCs w:val="24"/>
                <w:highlight w:val="none"/>
              </w:rPr>
            </w:pPr>
            <w:r>
              <w:rPr>
                <w:rFonts w:hint="eastAsia" w:cs="宋体"/>
                <w:b w:val="0"/>
                <w:bCs w:val="0"/>
                <w:color w:val="000000"/>
                <w:sz w:val="24"/>
                <w:szCs w:val="24"/>
                <w:highlight w:val="none"/>
                <w:lang w:val="zh-TW" w:eastAsia="zh-CN"/>
              </w:rPr>
              <w:t>施工方案及技术措施（</w:t>
            </w:r>
            <w:r>
              <w:rPr>
                <w:rFonts w:hint="eastAsia" w:cs="宋体"/>
                <w:b w:val="0"/>
                <w:bCs w:val="0"/>
                <w:color w:val="000000"/>
                <w:sz w:val="24"/>
                <w:szCs w:val="24"/>
                <w:highlight w:val="none"/>
                <w:lang w:val="en-US" w:eastAsia="zh-CN"/>
              </w:rPr>
              <w:t>15分）</w:t>
            </w:r>
          </w:p>
        </w:tc>
        <w:tc>
          <w:tcPr>
            <w:tcW w:w="6576" w:type="dxa"/>
            <w:tcBorders>
              <w:top w:val="single" w:color="auto" w:sz="4" w:space="0"/>
            </w:tcBorders>
            <w:noWrap w:val="0"/>
            <w:vAlign w:val="center"/>
          </w:tcPr>
          <w:p w14:paraId="230911B7">
            <w:pPr>
              <w:spacing w:line="360" w:lineRule="auto"/>
              <w:ind w:left="0" w:leftChars="0" w:firstLine="0" w:firstLineChars="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施工工程难点分析及技术处理、专项施工方案的运用。</w:t>
            </w:r>
          </w:p>
          <w:p w14:paraId="44B7747C">
            <w:pPr>
              <w:widowControl/>
              <w:spacing w:line="276" w:lineRule="auto"/>
              <w:jc w:val="left"/>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针对性强、完善、合理的得1</w:t>
            </w:r>
            <w:r>
              <w:rPr>
                <w:rFonts w:hint="eastAsia"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10 分，较好的9.</w:t>
            </w:r>
            <w:r>
              <w:rPr>
                <w:rFonts w:hint="eastAsia"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val="en-US" w:eastAsia="zh-CN"/>
              </w:rPr>
              <w:t>9</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5 分，一般的得4.</w:t>
            </w:r>
            <w:r>
              <w:rPr>
                <w:rFonts w:hint="eastAsia"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val="en-US" w:eastAsia="zh-CN"/>
              </w:rPr>
              <w:t>9</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0 分。不提供不得分。</w:t>
            </w:r>
          </w:p>
        </w:tc>
      </w:tr>
      <w:tr w14:paraId="6D4A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723" w:type="dxa"/>
            <w:vMerge w:val="continue"/>
            <w:noWrap w:val="0"/>
            <w:vAlign w:val="center"/>
          </w:tcPr>
          <w:p w14:paraId="439852E2">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746FD2F8">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46E70C25">
            <w:pPr>
              <w:spacing w:line="360" w:lineRule="auto"/>
              <w:jc w:val="center"/>
              <w:rPr>
                <w:rFonts w:hint="eastAsia"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质量保证措施（</w:t>
            </w:r>
            <w:r>
              <w:rPr>
                <w:rFonts w:hint="eastAsia"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分）</w:t>
            </w:r>
          </w:p>
        </w:tc>
        <w:tc>
          <w:tcPr>
            <w:tcW w:w="6576" w:type="dxa"/>
            <w:tcBorders>
              <w:top w:val="single" w:color="auto" w:sz="4" w:space="0"/>
            </w:tcBorders>
            <w:noWrap w:val="0"/>
            <w:vAlign w:val="center"/>
          </w:tcPr>
          <w:p w14:paraId="6DC96B79">
            <w:pPr>
              <w:spacing w:line="360" w:lineRule="auto"/>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755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723" w:type="dxa"/>
            <w:vMerge w:val="continue"/>
            <w:noWrap w:val="0"/>
            <w:vAlign w:val="center"/>
          </w:tcPr>
          <w:p w14:paraId="7F52275A">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18BCB70E">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6C75ADD2">
            <w:pPr>
              <w:jc w:val="center"/>
              <w:rPr>
                <w:rFonts w:hint="eastAsia" w:cs="宋体"/>
                <w:b w:val="0"/>
                <w:bCs w:val="0"/>
                <w:color w:val="000000"/>
                <w:sz w:val="24"/>
                <w:szCs w:val="24"/>
                <w:highlight w:val="none"/>
                <w:lang w:val="en-US" w:eastAsia="zh-CN"/>
              </w:rPr>
            </w:pPr>
            <w:r>
              <w:rPr>
                <w:rFonts w:hint="eastAsia" w:cs="宋体"/>
                <w:b w:val="0"/>
                <w:bCs w:val="0"/>
                <w:color w:val="000000"/>
                <w:sz w:val="24"/>
                <w:szCs w:val="24"/>
                <w:highlight w:val="none"/>
                <w:lang w:val="en-US" w:eastAsia="zh-CN"/>
              </w:rPr>
              <w:t>施工总进度及保证措施（6分）</w:t>
            </w:r>
          </w:p>
        </w:tc>
        <w:tc>
          <w:tcPr>
            <w:tcW w:w="6576" w:type="dxa"/>
            <w:tcBorders>
              <w:top w:val="single" w:color="auto" w:sz="4" w:space="0"/>
            </w:tcBorders>
            <w:noWrap w:val="0"/>
            <w:vAlign w:val="center"/>
          </w:tcPr>
          <w:p w14:paraId="21875187">
            <w:pPr>
              <w:widowControl/>
              <w:spacing w:line="360" w:lineRule="auto"/>
              <w:jc w:val="both"/>
              <w:textAlignment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15A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723" w:type="dxa"/>
            <w:vMerge w:val="continue"/>
            <w:noWrap w:val="0"/>
            <w:vAlign w:val="center"/>
          </w:tcPr>
          <w:p w14:paraId="56AFD4CA">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2E52BB57">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09CFEB02">
            <w:pPr>
              <w:jc w:val="center"/>
              <w:rPr>
                <w:rFonts w:hint="eastAsia" w:cs="宋体"/>
                <w:b w:val="0"/>
                <w:bCs w:val="0"/>
                <w:color w:val="000000"/>
                <w:sz w:val="24"/>
                <w:szCs w:val="24"/>
                <w:highlight w:val="none"/>
                <w:lang w:val="en-US" w:eastAsia="zh-CN"/>
              </w:rPr>
            </w:pPr>
            <w:r>
              <w:rPr>
                <w:rFonts w:hint="eastAsia" w:cs="宋体"/>
                <w:b w:val="0"/>
                <w:bCs w:val="0"/>
                <w:color w:val="000000"/>
                <w:sz w:val="24"/>
                <w:szCs w:val="24"/>
                <w:highlight w:val="none"/>
                <w:lang w:val="en-US" w:eastAsia="zh-CN"/>
              </w:rPr>
              <w:t>施工安全措施（6分）</w:t>
            </w:r>
          </w:p>
        </w:tc>
        <w:tc>
          <w:tcPr>
            <w:tcW w:w="6576" w:type="dxa"/>
            <w:tcBorders>
              <w:top w:val="single" w:color="auto" w:sz="4" w:space="0"/>
            </w:tcBorders>
            <w:noWrap w:val="0"/>
            <w:vAlign w:val="center"/>
          </w:tcPr>
          <w:p w14:paraId="3F735DEC">
            <w:pPr>
              <w:widowControl/>
              <w:spacing w:line="360" w:lineRule="auto"/>
              <w:jc w:val="both"/>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1091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3" w:type="dxa"/>
            <w:vMerge w:val="continue"/>
            <w:noWrap w:val="0"/>
            <w:vAlign w:val="center"/>
          </w:tcPr>
          <w:p w14:paraId="2CE84996">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05D3D392">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2838EE48">
            <w:pPr>
              <w:spacing w:line="360" w:lineRule="auto"/>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施工环保措施（6分）</w:t>
            </w:r>
          </w:p>
        </w:tc>
        <w:tc>
          <w:tcPr>
            <w:tcW w:w="6576" w:type="dxa"/>
            <w:tcBorders>
              <w:top w:val="single" w:color="auto" w:sz="4" w:space="0"/>
            </w:tcBorders>
            <w:noWrap w:val="0"/>
            <w:vAlign w:val="center"/>
          </w:tcPr>
          <w:p w14:paraId="60A3F5BF">
            <w:pPr>
              <w:spacing w:line="360" w:lineRule="auto"/>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79AD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723" w:type="dxa"/>
            <w:vMerge w:val="continue"/>
            <w:noWrap w:val="0"/>
            <w:vAlign w:val="center"/>
          </w:tcPr>
          <w:p w14:paraId="0D91A38F">
            <w:pPr>
              <w:jc w:val="center"/>
              <w:rPr>
                <w:rFonts w:hint="eastAsia" w:ascii="宋体" w:hAnsi="宋体" w:cs="宋体"/>
                <w:b w:val="0"/>
                <w:bCs w:val="0"/>
                <w:color w:val="000000"/>
                <w:sz w:val="24"/>
                <w:szCs w:val="24"/>
                <w:highlight w:val="none"/>
                <w:lang w:val="zh-CN"/>
              </w:rPr>
            </w:pPr>
          </w:p>
        </w:tc>
        <w:tc>
          <w:tcPr>
            <w:tcW w:w="1294" w:type="dxa"/>
            <w:vMerge w:val="continue"/>
            <w:noWrap w:val="0"/>
            <w:vAlign w:val="center"/>
          </w:tcPr>
          <w:p w14:paraId="31CD82E2">
            <w:pPr>
              <w:pStyle w:val="7"/>
              <w:ind w:left="-101" w:leftChars="-42"/>
              <w:jc w:val="center"/>
              <w:rPr>
                <w:rFonts w:hint="eastAsia" w:cs="宋体"/>
                <w:b w:val="0"/>
                <w:bCs w:val="0"/>
                <w:color w:val="000000"/>
                <w:sz w:val="24"/>
                <w:szCs w:val="24"/>
                <w:highlight w:val="none"/>
                <w:lang w:val="en-US" w:eastAsia="zh-CN"/>
              </w:rPr>
            </w:pPr>
          </w:p>
        </w:tc>
        <w:tc>
          <w:tcPr>
            <w:tcW w:w="2008" w:type="dxa"/>
            <w:noWrap w:val="0"/>
            <w:vAlign w:val="center"/>
          </w:tcPr>
          <w:p w14:paraId="39D500EB">
            <w:pPr>
              <w:spacing w:line="360" w:lineRule="auto"/>
              <w:jc w:val="center"/>
              <w:rPr>
                <w:rFonts w:hint="eastAsia"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现场组织管理机构（6分）</w:t>
            </w:r>
          </w:p>
        </w:tc>
        <w:tc>
          <w:tcPr>
            <w:tcW w:w="6576" w:type="dxa"/>
            <w:tcBorders>
              <w:top w:val="single" w:color="auto" w:sz="4" w:space="0"/>
            </w:tcBorders>
            <w:noWrap w:val="0"/>
            <w:vAlign w:val="center"/>
          </w:tcPr>
          <w:p w14:paraId="19BB9D05">
            <w:pPr>
              <w:spacing w:line="360" w:lineRule="auto"/>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 xml:space="preserve">措施方案针对性强、完善、合理的得 </w:t>
            </w:r>
            <w:r>
              <w:rPr>
                <w:rFonts w:hint="eastAsia"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lang w:val="en-US" w:eastAsia="zh-CN"/>
              </w:rPr>
              <w:t xml:space="preserve"> 分；较好的 3</w:t>
            </w:r>
            <w:r>
              <w:rPr>
                <w:rFonts w:hint="eastAsia" w:eastAsia="宋体" w:cs="宋体"/>
                <w:b w:val="0"/>
                <w:bCs w:val="0"/>
                <w:color w:val="000000"/>
                <w:sz w:val="24"/>
                <w:szCs w:val="24"/>
                <w:highlight w:val="none"/>
                <w:lang w:val="en-US" w:eastAsia="zh-CN"/>
              </w:rPr>
              <w:t>.99-</w:t>
            </w:r>
            <w:r>
              <w:rPr>
                <w:rFonts w:hint="eastAsia" w:ascii="宋体" w:hAnsi="宋体" w:eastAsia="宋体" w:cs="宋体"/>
                <w:b w:val="0"/>
                <w:bCs w:val="0"/>
                <w:color w:val="000000"/>
                <w:sz w:val="24"/>
                <w:szCs w:val="24"/>
                <w:highlight w:val="none"/>
                <w:lang w:val="en-US" w:eastAsia="zh-CN"/>
              </w:rPr>
              <w:t xml:space="preserve">2分 ；一般的得 </w:t>
            </w:r>
            <w:r>
              <w:rPr>
                <w:rFonts w:hint="eastAsia" w:eastAsia="宋体" w:cs="宋体"/>
                <w:b w:val="0"/>
                <w:bCs w:val="0"/>
                <w:color w:val="000000"/>
                <w:sz w:val="24"/>
                <w:szCs w:val="24"/>
                <w:highlight w:val="none"/>
                <w:lang w:val="en-US" w:eastAsia="zh-CN"/>
              </w:rPr>
              <w:t>1.99-0</w:t>
            </w:r>
            <w:r>
              <w:rPr>
                <w:rFonts w:hint="eastAsia" w:ascii="宋体" w:hAnsi="宋体" w:eastAsia="宋体" w:cs="宋体"/>
                <w:b w:val="0"/>
                <w:bCs w:val="0"/>
                <w:color w:val="000000"/>
                <w:sz w:val="24"/>
                <w:szCs w:val="24"/>
                <w:highlight w:val="none"/>
                <w:lang w:val="en-US" w:eastAsia="zh-CN"/>
              </w:rPr>
              <w:t xml:space="preserve"> 分</w:t>
            </w:r>
            <w:r>
              <w:rPr>
                <w:rFonts w:hint="eastAsia"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不提供不得分。</w:t>
            </w:r>
          </w:p>
        </w:tc>
      </w:tr>
      <w:tr w14:paraId="449A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723" w:type="dxa"/>
            <w:vMerge w:val="restart"/>
            <w:noWrap w:val="0"/>
            <w:vAlign w:val="center"/>
          </w:tcPr>
          <w:p w14:paraId="0945C0EF">
            <w:pPr>
              <w:jc w:val="center"/>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w:t>
            </w:r>
          </w:p>
        </w:tc>
        <w:tc>
          <w:tcPr>
            <w:tcW w:w="1294" w:type="dxa"/>
            <w:vMerge w:val="restart"/>
            <w:noWrap w:val="0"/>
            <w:vAlign w:val="center"/>
          </w:tcPr>
          <w:p w14:paraId="3DDDF8D9">
            <w:pPr>
              <w:pStyle w:val="25"/>
              <w:spacing w:before="79"/>
              <w:ind w:left="0" w:leftChars="0" w:right="131" w:firstLine="0" w:firstLineChars="0"/>
              <w:jc w:val="both"/>
              <w:rPr>
                <w:rFonts w:hint="default" w:eastAsia="宋体"/>
                <w:b w:val="0"/>
                <w:bCs w:val="0"/>
                <w:color w:val="000000"/>
                <w:sz w:val="24"/>
                <w:szCs w:val="24"/>
                <w:highlight w:val="none"/>
                <w:lang w:val="en-US" w:eastAsia="zh-CN"/>
              </w:rPr>
            </w:pPr>
            <w:r>
              <w:rPr>
                <w:rFonts w:hint="eastAsia"/>
                <w:b w:val="0"/>
                <w:bCs w:val="0"/>
                <w:color w:val="000000"/>
                <w:sz w:val="24"/>
                <w:szCs w:val="24"/>
                <w:highlight w:val="none"/>
                <w:lang w:val="en-US" w:eastAsia="zh-CN"/>
              </w:rPr>
              <w:t>商务部分（25分）</w:t>
            </w:r>
          </w:p>
        </w:tc>
        <w:tc>
          <w:tcPr>
            <w:tcW w:w="2008" w:type="dxa"/>
            <w:noWrap w:val="0"/>
            <w:vAlign w:val="center"/>
          </w:tcPr>
          <w:p w14:paraId="41069382">
            <w:pPr>
              <w:pStyle w:val="25"/>
              <w:spacing w:before="79"/>
              <w:ind w:right="131"/>
              <w:jc w:val="center"/>
              <w:rPr>
                <w:rFonts w:hint="default"/>
                <w:b w:val="0"/>
                <w:bCs w:val="0"/>
                <w:color w:val="000000"/>
                <w:sz w:val="24"/>
                <w:szCs w:val="24"/>
                <w:highlight w:val="none"/>
                <w:lang w:val="en-US" w:eastAsia="zh-CN"/>
              </w:rPr>
            </w:pPr>
            <w:r>
              <w:rPr>
                <w:rFonts w:hint="eastAsia"/>
                <w:b w:val="0"/>
                <w:bCs w:val="0"/>
                <w:color w:val="000000"/>
                <w:sz w:val="24"/>
                <w:szCs w:val="24"/>
                <w:highlight w:val="none"/>
                <w:lang w:val="en-US" w:eastAsia="zh-CN"/>
              </w:rPr>
              <w:t>业绩（10分）</w:t>
            </w:r>
          </w:p>
        </w:tc>
        <w:tc>
          <w:tcPr>
            <w:tcW w:w="6576" w:type="dxa"/>
            <w:tcBorders>
              <w:top w:val="single" w:color="auto" w:sz="4" w:space="0"/>
              <w:bottom w:val="single" w:color="auto" w:sz="4" w:space="0"/>
            </w:tcBorders>
            <w:noWrap w:val="0"/>
            <w:vAlign w:val="center"/>
          </w:tcPr>
          <w:p w14:paraId="2FB19E3C">
            <w:pPr>
              <w:pStyle w:val="25"/>
              <w:tabs>
                <w:tab w:val="left" w:pos="1101"/>
              </w:tabs>
              <w:spacing w:before="79" w:line="360" w:lineRule="auto"/>
              <w:ind w:right="131"/>
              <w:jc w:val="both"/>
              <w:rPr>
                <w:rFonts w:hint="eastAsia"/>
                <w:b w:val="0"/>
                <w:bCs w:val="0"/>
                <w:color w:val="000000"/>
                <w:sz w:val="24"/>
                <w:szCs w:val="24"/>
                <w:highlight w:val="none"/>
                <w:lang w:val="en-US" w:eastAsia="zh-CN"/>
              </w:rPr>
            </w:pPr>
            <w:r>
              <w:rPr>
                <w:rFonts w:hint="eastAsia" w:cs="宋体"/>
                <w:b w:val="0"/>
                <w:bCs w:val="0"/>
                <w:color w:val="000000"/>
                <w:sz w:val="24"/>
                <w:szCs w:val="24"/>
                <w:highlight w:val="none"/>
                <w:lang w:val="en-US" w:eastAsia="zh-CN" w:bidi="zh-CN"/>
              </w:rPr>
              <w:t>供应商</w:t>
            </w:r>
            <w:r>
              <w:rPr>
                <w:rFonts w:hint="eastAsia" w:ascii="宋体" w:hAnsi="宋体" w:eastAsia="宋体" w:cs="宋体"/>
                <w:b w:val="0"/>
                <w:bCs w:val="0"/>
                <w:color w:val="000000"/>
                <w:sz w:val="24"/>
                <w:szCs w:val="24"/>
                <w:highlight w:val="none"/>
                <w:lang w:val="zh-TW" w:eastAsia="zh-CN" w:bidi="zh-CN"/>
              </w:rPr>
              <w:t>提供20</w:t>
            </w:r>
            <w:r>
              <w:rPr>
                <w:rFonts w:hint="eastAsia" w:ascii="宋体" w:hAnsi="宋体" w:eastAsia="宋体" w:cs="宋体"/>
                <w:b w:val="0"/>
                <w:bCs w:val="0"/>
                <w:color w:val="000000"/>
                <w:sz w:val="24"/>
                <w:szCs w:val="24"/>
                <w:highlight w:val="none"/>
                <w:lang w:val="en-US" w:eastAsia="zh-CN" w:bidi="zh-CN"/>
              </w:rPr>
              <w:t>20</w:t>
            </w:r>
            <w:r>
              <w:rPr>
                <w:rFonts w:hint="eastAsia" w:ascii="宋体" w:hAnsi="宋体" w:eastAsia="宋体" w:cs="宋体"/>
                <w:b w:val="0"/>
                <w:bCs w:val="0"/>
                <w:color w:val="000000"/>
                <w:sz w:val="24"/>
                <w:szCs w:val="24"/>
                <w:highlight w:val="none"/>
                <w:lang w:val="zh-TW" w:eastAsia="zh-CN" w:bidi="zh-CN"/>
              </w:rPr>
              <w:t>年</w:t>
            </w:r>
            <w:r>
              <w:rPr>
                <w:rFonts w:hint="eastAsia" w:ascii="宋体" w:hAnsi="宋体" w:eastAsia="宋体" w:cs="宋体"/>
                <w:b w:val="0"/>
                <w:bCs w:val="0"/>
                <w:color w:val="000000"/>
                <w:sz w:val="24"/>
                <w:szCs w:val="24"/>
                <w:highlight w:val="none"/>
                <w:lang w:val="en-US" w:eastAsia="zh-CN" w:bidi="zh-CN"/>
              </w:rPr>
              <w:t>1月</w:t>
            </w:r>
            <w:r>
              <w:rPr>
                <w:rFonts w:hint="eastAsia" w:ascii="宋体" w:hAnsi="宋体" w:eastAsia="宋体" w:cs="宋体"/>
                <w:b w:val="0"/>
                <w:bCs w:val="0"/>
                <w:color w:val="000000"/>
                <w:sz w:val="24"/>
                <w:szCs w:val="24"/>
                <w:highlight w:val="none"/>
                <w:lang w:val="zh-TW" w:eastAsia="zh-CN" w:bidi="zh-CN"/>
              </w:rPr>
              <w:t>至今</w:t>
            </w:r>
            <w:r>
              <w:rPr>
                <w:rFonts w:hint="eastAsia" w:cs="宋体"/>
                <w:b w:val="0"/>
                <w:bCs w:val="0"/>
                <w:color w:val="000000"/>
                <w:sz w:val="24"/>
                <w:szCs w:val="24"/>
                <w:highlight w:val="none"/>
                <w:lang w:val="en-US" w:eastAsia="zh-CN" w:bidi="zh-CN"/>
              </w:rPr>
              <w:t>建筑工程或</w:t>
            </w:r>
            <w:r>
              <w:rPr>
                <w:rFonts w:hint="eastAsia" w:ascii="宋体" w:hAnsi="宋体" w:eastAsia="宋体" w:cs="宋体"/>
                <w:color w:val="auto"/>
                <w:sz w:val="24"/>
                <w:lang w:val="en-US" w:eastAsia="zh-CN"/>
              </w:rPr>
              <w:t>建筑装修装饰工程</w:t>
            </w:r>
            <w:r>
              <w:rPr>
                <w:rFonts w:hint="eastAsia" w:cs="宋体"/>
                <w:b w:val="0"/>
                <w:bCs w:val="0"/>
                <w:color w:val="000000"/>
                <w:sz w:val="24"/>
                <w:szCs w:val="24"/>
                <w:highlight w:val="none"/>
                <w:lang w:val="en-US" w:eastAsia="zh-CN" w:bidi="zh-CN"/>
              </w:rPr>
              <w:t>相关业绩</w:t>
            </w:r>
            <w:r>
              <w:rPr>
                <w:rFonts w:hint="eastAsia" w:ascii="宋体" w:hAnsi="宋体" w:eastAsia="宋体" w:cs="宋体"/>
                <w:b w:val="0"/>
                <w:bCs w:val="0"/>
                <w:color w:val="000000"/>
                <w:sz w:val="24"/>
                <w:szCs w:val="24"/>
                <w:highlight w:val="none"/>
                <w:lang w:val="zh-TW" w:eastAsia="zh-CN" w:bidi="zh-CN"/>
              </w:rPr>
              <w:t>1个得</w:t>
            </w:r>
            <w:r>
              <w:rPr>
                <w:rFonts w:hint="eastAsia" w:cs="宋体"/>
                <w:b w:val="0"/>
                <w:bCs w:val="0"/>
                <w:color w:val="000000"/>
                <w:sz w:val="24"/>
                <w:szCs w:val="24"/>
                <w:highlight w:val="none"/>
                <w:lang w:val="en-US" w:eastAsia="zh-CN" w:bidi="zh-CN"/>
              </w:rPr>
              <w:t>2</w:t>
            </w:r>
            <w:r>
              <w:rPr>
                <w:rFonts w:hint="eastAsia" w:ascii="宋体" w:hAnsi="宋体" w:eastAsia="宋体" w:cs="宋体"/>
                <w:b w:val="0"/>
                <w:bCs w:val="0"/>
                <w:color w:val="000000"/>
                <w:sz w:val="24"/>
                <w:szCs w:val="24"/>
                <w:highlight w:val="none"/>
                <w:lang w:val="zh-TW" w:eastAsia="zh-CN" w:bidi="zh-CN"/>
              </w:rPr>
              <w:t>分，</w:t>
            </w:r>
            <w:r>
              <w:rPr>
                <w:rFonts w:hint="eastAsia" w:cs="宋体"/>
                <w:b w:val="0"/>
                <w:bCs w:val="0"/>
                <w:color w:val="000000"/>
                <w:sz w:val="24"/>
                <w:szCs w:val="24"/>
                <w:highlight w:val="none"/>
                <w:lang w:val="en-US" w:eastAsia="zh-CN" w:bidi="zh-CN"/>
              </w:rPr>
              <w:t>此项最高</w:t>
            </w:r>
            <w:r>
              <w:rPr>
                <w:rFonts w:hint="eastAsia" w:ascii="宋体" w:hAnsi="宋体" w:eastAsia="宋体" w:cs="宋体"/>
                <w:b w:val="0"/>
                <w:bCs w:val="0"/>
                <w:color w:val="000000"/>
                <w:sz w:val="24"/>
                <w:szCs w:val="24"/>
                <w:highlight w:val="none"/>
                <w:lang w:val="zh-TW" w:eastAsia="zh-CN" w:bidi="zh-CN"/>
              </w:rPr>
              <w:t>得</w:t>
            </w:r>
            <w:r>
              <w:rPr>
                <w:rFonts w:hint="eastAsia" w:cs="宋体"/>
                <w:b w:val="0"/>
                <w:bCs w:val="0"/>
                <w:color w:val="000000"/>
                <w:sz w:val="24"/>
                <w:szCs w:val="24"/>
                <w:highlight w:val="none"/>
                <w:lang w:val="en-US" w:eastAsia="zh-CN" w:bidi="zh-CN"/>
              </w:rPr>
              <w:t>10</w:t>
            </w:r>
            <w:r>
              <w:rPr>
                <w:rFonts w:hint="eastAsia" w:ascii="宋体" w:hAnsi="宋体" w:eastAsia="宋体" w:cs="宋体"/>
                <w:b w:val="0"/>
                <w:bCs w:val="0"/>
                <w:color w:val="000000"/>
                <w:sz w:val="24"/>
                <w:szCs w:val="24"/>
                <w:highlight w:val="none"/>
                <w:lang w:val="zh-TW" w:eastAsia="zh-CN" w:bidi="zh-CN"/>
              </w:rPr>
              <w:t>分。</w:t>
            </w:r>
            <w:r>
              <w:rPr>
                <w:rFonts w:hint="eastAsia" w:cs="宋体"/>
                <w:b w:val="0"/>
                <w:bCs w:val="0"/>
                <w:color w:val="000000"/>
                <w:sz w:val="24"/>
                <w:szCs w:val="24"/>
                <w:highlight w:val="none"/>
                <w:lang w:val="zh-TW" w:eastAsia="zh-CN" w:bidi="zh-CN"/>
              </w:rPr>
              <w:t>（</w:t>
            </w:r>
            <w:r>
              <w:rPr>
                <w:rFonts w:hint="eastAsia" w:ascii="宋体" w:hAnsi="宋体" w:eastAsia="宋体" w:cs="宋体"/>
                <w:b w:val="0"/>
                <w:bCs w:val="0"/>
                <w:color w:val="000000"/>
                <w:sz w:val="24"/>
                <w:szCs w:val="24"/>
                <w:highlight w:val="none"/>
                <w:lang w:val="zh-TW" w:eastAsia="zh-CN" w:bidi="zh-CN"/>
              </w:rPr>
              <w:t>须提供中标（</w:t>
            </w:r>
            <w:r>
              <w:rPr>
                <w:rFonts w:hint="eastAsia" w:ascii="宋体" w:hAnsi="宋体" w:eastAsia="宋体" w:cs="宋体"/>
                <w:b w:val="0"/>
                <w:bCs w:val="0"/>
                <w:color w:val="000000"/>
                <w:sz w:val="24"/>
                <w:szCs w:val="24"/>
                <w:highlight w:val="none"/>
                <w:lang w:val="en-US" w:eastAsia="zh-CN" w:bidi="zh-CN"/>
              </w:rPr>
              <w:t>成交</w:t>
            </w:r>
            <w:r>
              <w:rPr>
                <w:rFonts w:hint="eastAsia" w:ascii="宋体" w:hAnsi="宋体" w:eastAsia="宋体" w:cs="宋体"/>
                <w:b w:val="0"/>
                <w:bCs w:val="0"/>
                <w:color w:val="000000"/>
                <w:sz w:val="24"/>
                <w:szCs w:val="24"/>
                <w:highlight w:val="none"/>
                <w:lang w:val="zh-TW" w:eastAsia="zh-CN" w:bidi="zh-CN"/>
              </w:rPr>
              <w:t>）通知书</w:t>
            </w:r>
            <w:r>
              <w:rPr>
                <w:rFonts w:hint="eastAsia" w:cs="宋体"/>
                <w:b w:val="0"/>
                <w:bCs w:val="0"/>
                <w:color w:val="000000"/>
                <w:sz w:val="24"/>
                <w:szCs w:val="24"/>
                <w:highlight w:val="none"/>
                <w:lang w:val="en-US" w:eastAsia="zh-CN" w:bidi="zh-CN"/>
              </w:rPr>
              <w:t>或</w:t>
            </w:r>
            <w:r>
              <w:rPr>
                <w:rFonts w:hint="eastAsia" w:ascii="宋体" w:hAnsi="宋体" w:eastAsia="宋体" w:cs="宋体"/>
                <w:b w:val="0"/>
                <w:bCs w:val="0"/>
                <w:color w:val="000000"/>
                <w:sz w:val="24"/>
                <w:szCs w:val="24"/>
                <w:highlight w:val="none"/>
                <w:lang w:val="zh-TW" w:eastAsia="zh-CN" w:bidi="zh-CN"/>
              </w:rPr>
              <w:t>合同复印件加盖</w:t>
            </w:r>
            <w:r>
              <w:rPr>
                <w:rFonts w:hint="eastAsia" w:cs="宋体"/>
                <w:b w:val="0"/>
                <w:bCs w:val="0"/>
                <w:color w:val="000000"/>
                <w:sz w:val="24"/>
                <w:szCs w:val="24"/>
                <w:highlight w:val="none"/>
                <w:lang w:val="en-US" w:eastAsia="zh-CN" w:bidi="zh-CN"/>
              </w:rPr>
              <w:t>供应商</w:t>
            </w:r>
            <w:r>
              <w:rPr>
                <w:rFonts w:hint="eastAsia" w:ascii="宋体" w:hAnsi="宋体" w:eastAsia="宋体" w:cs="宋体"/>
                <w:b w:val="0"/>
                <w:bCs w:val="0"/>
                <w:color w:val="000000"/>
                <w:sz w:val="24"/>
                <w:szCs w:val="24"/>
                <w:highlight w:val="none"/>
                <w:lang w:val="zh-TW" w:eastAsia="zh-CN" w:bidi="zh-CN"/>
              </w:rPr>
              <w:t>公章）</w:t>
            </w:r>
          </w:p>
        </w:tc>
      </w:tr>
      <w:tr w14:paraId="28C6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23" w:type="dxa"/>
            <w:vMerge w:val="continue"/>
            <w:noWrap w:val="0"/>
            <w:vAlign w:val="center"/>
          </w:tcPr>
          <w:p w14:paraId="230BE92F">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1294" w:type="dxa"/>
            <w:vMerge w:val="continue"/>
            <w:noWrap w:val="0"/>
            <w:vAlign w:val="center"/>
          </w:tcPr>
          <w:p w14:paraId="0769DE8B">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2008" w:type="dxa"/>
            <w:noWrap w:val="0"/>
            <w:vAlign w:val="center"/>
          </w:tcPr>
          <w:p w14:paraId="45567511">
            <w:pPr>
              <w:pStyle w:val="27"/>
              <w:snapToGrid w:val="0"/>
              <w:spacing w:before="120" w:beforeLines="50" w:line="360" w:lineRule="auto"/>
              <w:rPr>
                <w:rFonts w:hint="default"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人员配备（15分）</w:t>
            </w:r>
          </w:p>
        </w:tc>
        <w:tc>
          <w:tcPr>
            <w:tcW w:w="6576" w:type="dxa"/>
            <w:tcBorders>
              <w:bottom w:val="single" w:color="auto" w:sz="4" w:space="0"/>
            </w:tcBorders>
            <w:noWrap w:val="0"/>
            <w:vAlign w:val="center"/>
          </w:tcPr>
          <w:p w14:paraId="225EB89E">
            <w:pPr>
              <w:pStyle w:val="27"/>
              <w:numPr>
                <w:ilvl w:val="0"/>
                <w:numId w:val="2"/>
              </w:numPr>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default" w:ascii="宋体" w:hAnsi="宋体" w:eastAsia="宋体" w:cs="宋体"/>
                <w:b w:val="0"/>
                <w:bCs w:val="0"/>
                <w:color w:val="000000"/>
                <w:kern w:val="2"/>
                <w:sz w:val="24"/>
                <w:szCs w:val="24"/>
                <w:highlight w:val="none"/>
                <w:lang w:val="en-US" w:eastAsia="zh-CN" w:bidi="zh-CN"/>
              </w:rPr>
              <w:t>拟派本项目的技术负责人具有中级</w:t>
            </w:r>
            <w:r>
              <w:rPr>
                <w:rFonts w:hint="eastAsia" w:ascii="宋体" w:hAnsi="宋体" w:eastAsia="宋体" w:cs="宋体"/>
                <w:b w:val="0"/>
                <w:bCs w:val="0"/>
                <w:color w:val="000000"/>
                <w:kern w:val="2"/>
                <w:sz w:val="24"/>
                <w:szCs w:val="24"/>
                <w:highlight w:val="none"/>
                <w:lang w:val="en-US" w:eastAsia="zh-CN" w:bidi="zh-CN"/>
              </w:rPr>
              <w:t>及以上</w:t>
            </w:r>
            <w:r>
              <w:rPr>
                <w:rFonts w:hint="default" w:ascii="宋体" w:hAnsi="宋体" w:eastAsia="宋体" w:cs="宋体"/>
                <w:b w:val="0"/>
                <w:bCs w:val="0"/>
                <w:color w:val="000000"/>
                <w:kern w:val="2"/>
                <w:sz w:val="24"/>
                <w:szCs w:val="24"/>
                <w:highlight w:val="none"/>
                <w:lang w:val="en-US" w:eastAsia="zh-CN" w:bidi="zh-CN"/>
              </w:rPr>
              <w:t>职称</w:t>
            </w:r>
            <w:r>
              <w:rPr>
                <w:rFonts w:hint="eastAsia" w:ascii="宋体" w:hAnsi="宋体" w:eastAsia="宋体" w:cs="宋体"/>
                <w:b w:val="0"/>
                <w:bCs w:val="0"/>
                <w:color w:val="000000"/>
                <w:kern w:val="2"/>
                <w:sz w:val="24"/>
                <w:szCs w:val="24"/>
                <w:highlight w:val="none"/>
                <w:lang w:val="en-US" w:eastAsia="zh-CN" w:bidi="zh-CN"/>
              </w:rPr>
              <w:t>的得5分。</w:t>
            </w:r>
          </w:p>
          <w:p w14:paraId="6F23E394">
            <w:pPr>
              <w:pStyle w:val="27"/>
              <w:numPr>
                <w:ilvl w:val="0"/>
                <w:numId w:val="0"/>
              </w:numPr>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2.提供施工员1名（具备有效的岗位证书）、质检（量)员1名（具备有效的岗位证书）、资料员1名（具备有效的岗位证书）、材料员1名（具备有效的岗位证书）、安全员1名（具备安全考核C类证件）。提供齐全得10分，提供不全不得分。</w:t>
            </w:r>
          </w:p>
          <w:p w14:paraId="465FD3F6">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注：提供相关人员证书、身份证及供应商在2025年1月至今任意1个月为其缴纳社保证明的复印件或扫描件加盖公章。</w:t>
            </w:r>
          </w:p>
        </w:tc>
      </w:tr>
      <w:tr w14:paraId="752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trPr>
        <w:tc>
          <w:tcPr>
            <w:tcW w:w="2017" w:type="dxa"/>
            <w:gridSpan w:val="2"/>
            <w:vMerge w:val="restart"/>
            <w:noWrap w:val="0"/>
            <w:vAlign w:val="center"/>
          </w:tcPr>
          <w:p w14:paraId="1697CEC5">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政策性加分5分</w:t>
            </w:r>
          </w:p>
        </w:tc>
        <w:tc>
          <w:tcPr>
            <w:tcW w:w="8584" w:type="dxa"/>
            <w:gridSpan w:val="2"/>
            <w:noWrap w:val="0"/>
            <w:vAlign w:val="center"/>
          </w:tcPr>
          <w:p w14:paraId="3E77AE9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zh-TW" w:eastAsia="zh-TW" w:bidi="zh-CN"/>
              </w:rPr>
            </w:pPr>
            <w:r>
              <w:rPr>
                <w:rFonts w:hint="eastAsia" w:ascii="宋体" w:hAnsi="宋体" w:eastAsia="宋体" w:cs="宋体"/>
                <w:b w:val="0"/>
                <w:bCs w:val="0"/>
                <w:color w:val="000000"/>
                <w:kern w:val="2"/>
                <w:sz w:val="24"/>
                <w:szCs w:val="24"/>
                <w:highlight w:val="none"/>
                <w:lang w:val="zh-TW" w:eastAsia="zh-TW" w:bidi="zh-CN"/>
              </w:rPr>
              <w:t>投标产品属于"节能产品政府采购品目清单"或"环境标志产品政府采购品目清单"有效期内中的产强制采购产品除外，在评审过程中，给予适当加分，即在总得分基础上，每一项加0.3分；如投标产品同时属于"节能产品政府采购品目清单"和"环境标志产品政府采购品目清单"两个清单中产品的，每一项加0.5分，最高不得超过2分。提供投标产品所在清单页复印件，并加盖投标单位公章。</w:t>
            </w:r>
          </w:p>
        </w:tc>
      </w:tr>
      <w:tr w14:paraId="2712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9" w:hRule="atLeast"/>
        </w:trPr>
        <w:tc>
          <w:tcPr>
            <w:tcW w:w="2017" w:type="dxa"/>
            <w:gridSpan w:val="2"/>
            <w:vMerge w:val="continue"/>
            <w:noWrap w:val="0"/>
            <w:vAlign w:val="center"/>
          </w:tcPr>
          <w:p w14:paraId="184E9E74">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p>
        </w:tc>
        <w:tc>
          <w:tcPr>
            <w:tcW w:w="8584" w:type="dxa"/>
            <w:gridSpan w:val="2"/>
            <w:noWrap w:val="0"/>
            <w:vAlign w:val="center"/>
          </w:tcPr>
          <w:p w14:paraId="43FE8DD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zh-TW" w:eastAsia="zh-TW" w:bidi="zh-CN"/>
              </w:rPr>
            </w:pPr>
            <w:r>
              <w:rPr>
                <w:rFonts w:hint="eastAsia" w:ascii="宋体" w:hAnsi="宋体" w:eastAsia="宋体" w:cs="宋体"/>
                <w:b w:val="0"/>
                <w:bCs w:val="0"/>
                <w:color w:val="000000"/>
                <w:kern w:val="2"/>
                <w:sz w:val="24"/>
                <w:szCs w:val="24"/>
                <w:highlight w:val="none"/>
                <w:lang w:val="zh-TW" w:eastAsia="zh-TW" w:bidi="zh-CN"/>
              </w:rPr>
              <w:t>少数民族：对原产地在少数民族自治区和享受少数民族自治待遇的省份的投标主产品(不含附带产品)，享受政策性加分和价格扣除，在总得分基础上加3分。投标主产品按照不得低于本采购项目预算金额50%进行确定。①少数民族自治区：内蒙古自治区、新疆维吾尔自治区、宁夏回族自治区、广西壮族自治区、西藏自治区；②享受少数民族自治待遇的省份：青海省、云南省、贵州省。</w:t>
            </w:r>
          </w:p>
        </w:tc>
      </w:tr>
    </w:tbl>
    <w:p w14:paraId="7CF98879">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（二）评审总得分计算方法：</w:t>
      </w:r>
    </w:p>
    <w:p w14:paraId="5B978B16">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评审总得分＝F1＋F2＋F3＋…＋Fn</w:t>
      </w:r>
    </w:p>
    <w:p w14:paraId="6BCF8683">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F1、F2……Fn分别为各项评分因素的汇总平均得分</w:t>
      </w:r>
    </w:p>
    <w:p w14:paraId="6FC7BC97">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注：以上打分计算最终得分保留小数二位。</w:t>
      </w:r>
    </w:p>
    <w:p w14:paraId="4ED96E3E">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（三）排序原则：按评审总得分由高到低顺序排序。得分相同的，按磋商报价由低到高顺序排列。得分且磋商报价相同的，按技术指标优劣顺序排列。</w:t>
      </w:r>
    </w:p>
    <w:p w14:paraId="78468389">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（四）成交原则：由磋商小组对符合采购要求的服务、磋商价格、企业业绩等综合进行评分，并按评审总得分由高到低向采购人推荐前三名成交供应商，原则上由采购人依序确定成交供应商。</w:t>
      </w:r>
    </w:p>
    <w:p w14:paraId="0E3C98E3">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（五）本评审办法的解释权为采购代理机构。</w:t>
      </w:r>
    </w:p>
    <w:p w14:paraId="61805FF2">
      <w:pPr>
        <w:pStyle w:val="27"/>
        <w:snapToGrid w:val="0"/>
        <w:spacing w:before="120" w:beforeLines="50" w:line="360" w:lineRule="auto"/>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磋商方法</w:t>
      </w:r>
    </w:p>
    <w:p w14:paraId="63BBB339">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1、磋商小组在对响应文件的有效性、完整性和响应程度进行审查时，可以要求供应商对响应文件中含义不明确、同类问题表述不一致或者有明显文字和计算错误的内容等作出必要的澄清、说明或者更正。</w:t>
      </w:r>
    </w:p>
    <w:p w14:paraId="16A1471C">
      <w:pPr>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2、竞争性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竞争性磋商小组要求供应商澄清、说明或者更正响应文件以电子形式作出。供应商的澄清、说明或者更正采用电子形式，由供应商在交易中心平台确认。</w:t>
      </w:r>
    </w:p>
    <w:p w14:paraId="34C4BB4B">
      <w:pPr>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3、磋商小组所有成员应当集中与供应商进行磋商，并给予所有参加磋商的供应商平等的磋商机会。</w:t>
      </w:r>
    </w:p>
    <w:p w14:paraId="0BE89E1E">
      <w:pPr>
        <w:widowControl/>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4、在磋商过程中，磋商小组可以根据磋商文件和磋商情况实质性变动采购需求中的技术、工程量清单以及合同草案条款，但不得变动磋商文件中的其他内容。对磋商文件作出的实质性变动是磋商文件的有效组成部分，磋商小组应当通知所有参加磋商的供应商。</w:t>
      </w:r>
    </w:p>
    <w:p w14:paraId="3A139CF2">
      <w:pPr>
        <w:widowControl/>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供应商应当按照磋商文件的变动情况和磋商小组的要求重新提交响应文件，并由其法定代表人或授权代表签字或者加盖公章。</w:t>
      </w:r>
    </w:p>
    <w:p w14:paraId="0E2C4E85">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5、最后一轮磋商结束后，所有实质性响应的供应商须提交最后报价。</w:t>
      </w:r>
    </w:p>
    <w:p w14:paraId="2EEB2499">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6、磋商小组应给予每个正在参加磋商的供应商相同的机会。被磋商小组认定为未实质性响应磋商文件的响应文件，供应商不再进入下一轮磋商报价。</w:t>
      </w:r>
    </w:p>
    <w:p w14:paraId="1FCAFCDF">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7、磋商确定最终采购需求和提交最后报价的供应商后，由磋商小组采用综合评分法对提交最后报价的供应商的响应文件和最后报价进行综合评分。</w:t>
      </w:r>
    </w:p>
    <w:p w14:paraId="41FC2C60">
      <w:pPr>
        <w:snapToGrid w:val="0"/>
        <w:spacing w:line="360" w:lineRule="auto"/>
        <w:ind w:firstLine="480" w:firstLineChars="200"/>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 xml:space="preserve"> 8、磋商小组应当根据综合评审情况，按照评审得分由高到低顺序推荐3名以上成交候选供应商，并编写磋商报告。评审得分相同的，按照最后报价由低到高的顺序推荐。评审得分且最后报价相同的，按照技术指标优劣顺序推荐。</w:t>
      </w:r>
    </w:p>
    <w:p w14:paraId="7C279D70">
      <w:pPr>
        <w:pStyle w:val="11"/>
        <w:spacing w:line="480" w:lineRule="auto"/>
        <w:ind w:left="0" w:leftChars="0" w:firstLine="0" w:firstLineChars="0"/>
        <w:rPr>
          <w:rFonts w:hint="eastAsia" w:ascii="宋体" w:hAnsi="宋体" w:eastAsia="宋体" w:cs="宋体"/>
          <w:b w:val="0"/>
          <w:bCs w:val="0"/>
          <w:color w:val="000000"/>
          <w:kern w:val="2"/>
          <w:sz w:val="24"/>
          <w:szCs w:val="24"/>
          <w:highlight w:val="none"/>
          <w:lang w:val="en-US" w:eastAsia="zh-CN" w:bidi="zh-CN"/>
        </w:rPr>
      </w:pPr>
    </w:p>
    <w:p w14:paraId="4BAC178C">
      <w:pPr>
        <w:jc w:val="center"/>
        <w:rPr>
          <w:rFonts w:hint="eastAsia" w:ascii="宋体" w:hAnsi="宋体" w:eastAsia="宋体" w:cs="宋体"/>
          <w:b w:val="0"/>
          <w:bCs w:val="0"/>
          <w:color w:val="000000"/>
          <w:kern w:val="2"/>
          <w:sz w:val="24"/>
          <w:szCs w:val="24"/>
          <w:highlight w:val="none"/>
          <w:lang w:val="en-US" w:eastAsia="zh-CN" w:bidi="zh-CN"/>
        </w:rPr>
      </w:pPr>
    </w:p>
    <w:p w14:paraId="405293A0">
      <w:pPr>
        <w:jc w:val="center"/>
        <w:rPr>
          <w:rFonts w:hint="eastAsia" w:ascii="宋体" w:hAnsi="宋体" w:eastAsia="宋体" w:cs="宋体"/>
          <w:b w:val="0"/>
          <w:bCs w:val="0"/>
          <w:color w:val="000000"/>
          <w:kern w:val="2"/>
          <w:sz w:val="24"/>
          <w:szCs w:val="24"/>
          <w:highlight w:val="none"/>
          <w:lang w:val="en-US" w:eastAsia="zh-CN" w:bidi="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7C06">
    <w:pPr>
      <w:pStyle w:val="9"/>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40</w:t>
    </w:r>
    <w:r>
      <w:rPr>
        <w:b/>
        <w:szCs w:val="21"/>
      </w:rPr>
      <w:fldChar w:fldCharType="end"/>
    </w:r>
  </w:p>
  <w:p w14:paraId="2B257C4A">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01056"/>
    <w:multiLevelType w:val="singleLevel"/>
    <w:tmpl w:val="7A801056"/>
    <w:lvl w:ilvl="0" w:tentative="0">
      <w:start w:val="1"/>
      <w:numFmt w:val="decimal"/>
      <w:lvlText w:val="%1."/>
      <w:lvlJc w:val="left"/>
      <w:pPr>
        <w:tabs>
          <w:tab w:val="left" w:pos="312"/>
        </w:tabs>
      </w:pPr>
    </w:lvl>
  </w:abstractNum>
  <w:abstractNum w:abstractNumId="1">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2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MzODIzZGYxZmMxZDg2ZTEwMDE0OTJlNmM1ZmQifQ=="/>
  </w:docVars>
  <w:rsids>
    <w:rsidRoot w:val="38605594"/>
    <w:rsid w:val="0B2A25AC"/>
    <w:rsid w:val="0B7F219B"/>
    <w:rsid w:val="0C2C52A7"/>
    <w:rsid w:val="0D2D3E8C"/>
    <w:rsid w:val="10E14671"/>
    <w:rsid w:val="178E5765"/>
    <w:rsid w:val="17C86167"/>
    <w:rsid w:val="1A3D6718"/>
    <w:rsid w:val="1ABC563F"/>
    <w:rsid w:val="1E4916E0"/>
    <w:rsid w:val="1E74176B"/>
    <w:rsid w:val="1FC5179A"/>
    <w:rsid w:val="263F01CE"/>
    <w:rsid w:val="2647181B"/>
    <w:rsid w:val="2A2E79C7"/>
    <w:rsid w:val="2D5E29B1"/>
    <w:rsid w:val="34A20F0E"/>
    <w:rsid w:val="38605594"/>
    <w:rsid w:val="3A541DD0"/>
    <w:rsid w:val="3F5E4125"/>
    <w:rsid w:val="40210BCD"/>
    <w:rsid w:val="41E74901"/>
    <w:rsid w:val="43CB7AB2"/>
    <w:rsid w:val="45B578ED"/>
    <w:rsid w:val="46A6205C"/>
    <w:rsid w:val="48EE1717"/>
    <w:rsid w:val="493E15A9"/>
    <w:rsid w:val="49E704D5"/>
    <w:rsid w:val="4B2D5B71"/>
    <w:rsid w:val="4CD63865"/>
    <w:rsid w:val="55464832"/>
    <w:rsid w:val="5B2374E7"/>
    <w:rsid w:val="5F542CB1"/>
    <w:rsid w:val="61FC1381"/>
    <w:rsid w:val="69484650"/>
    <w:rsid w:val="6A4D497A"/>
    <w:rsid w:val="6CB57E24"/>
    <w:rsid w:val="72C94B8C"/>
    <w:rsid w:val="78CA6BC2"/>
    <w:rsid w:val="79E05138"/>
    <w:rsid w:val="7C4B36D3"/>
    <w:rsid w:val="7C4E1B20"/>
    <w:rsid w:val="7FAF0A15"/>
    <w:rsid w:val="7FD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rFonts w:ascii="Calibri" w:hAnsi="Calibri" w:eastAsia="宋体"/>
      <w:szCs w:val="22"/>
    </w:rPr>
  </w:style>
  <w:style w:type="paragraph" w:styleId="5">
    <w:name w:val="Body Text Indent"/>
    <w:basedOn w:val="1"/>
    <w:next w:val="6"/>
    <w:qFormat/>
    <w:uiPriority w:val="0"/>
    <w:pPr>
      <w:spacing w:line="320" w:lineRule="exact"/>
      <w:ind w:firstLine="210"/>
    </w:pPr>
    <w:rPr>
      <w:rFonts w:ascii="宋体"/>
      <w:spacing w:val="-2"/>
    </w:rPr>
  </w:style>
  <w:style w:type="paragraph" w:styleId="6">
    <w:name w:val="envelope return"/>
    <w:basedOn w:val="1"/>
    <w:qFormat/>
    <w:uiPriority w:val="0"/>
    <w:pPr>
      <w:snapToGrid w:val="0"/>
    </w:pPr>
    <w:rPr>
      <w:rFonts w:ascii="Arial" w:hAnsi="Arial" w:eastAsia="宋体" w:cs="Times New Roman"/>
    </w:rPr>
  </w:style>
  <w:style w:type="paragraph" w:styleId="7">
    <w:name w:val="Plain Text"/>
    <w:basedOn w:val="1"/>
    <w:qFormat/>
    <w:uiPriority w:val="0"/>
    <w:pPr>
      <w:autoSpaceDE w:val="0"/>
      <w:autoSpaceDN w:val="0"/>
      <w:adjustRightInd w:val="0"/>
      <w:jc w:val="left"/>
      <w:textAlignment w:val="baseline"/>
    </w:pPr>
    <w:rPr>
      <w:rFonts w:ascii="宋体"/>
      <w:kern w:val="0"/>
      <w:sz w:val="34"/>
    </w:rPr>
  </w:style>
  <w:style w:type="paragraph" w:styleId="8">
    <w:name w:val="Date"/>
    <w:basedOn w:val="1"/>
    <w:next w:val="1"/>
    <w:qFormat/>
    <w:uiPriority w:val="0"/>
    <w:pPr>
      <w:jc w:val="both"/>
    </w:pPr>
    <w:rPr>
      <w:sz w:val="28"/>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5"/>
    <w:qFormat/>
    <w:uiPriority w:val="0"/>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rFonts w:eastAsia="黑体"/>
      <w:bCs/>
    </w:rPr>
  </w:style>
  <w:style w:type="character" w:styleId="16">
    <w:name w:val="Hyperlink"/>
    <w:basedOn w:val="14"/>
    <w:unhideWhenUsed/>
    <w:qFormat/>
    <w:uiPriority w:val="99"/>
    <w:rPr>
      <w:color w:val="0000FF"/>
      <w:u w:val="single"/>
    </w:rPr>
  </w:style>
  <w:style w:type="paragraph" w:customStyle="1" w:styleId="17">
    <w:name w:val="正文-公1"/>
    <w:basedOn w:val="18"/>
    <w:next w:val="10"/>
    <w:qFormat/>
    <w:uiPriority w:val="0"/>
    <w:pPr>
      <w:ind w:firstLine="200" w:firstLineChars="200"/>
    </w:pPr>
    <w:rPr>
      <w:rFonts w:ascii="Calibri" w:hAnsi="Calibri" w:eastAsia="宋体" w:cs="Times New Roman"/>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NormalCharacter"/>
    <w:link w:val="1"/>
    <w:qFormat/>
    <w:uiPriority w:val="0"/>
    <w:rPr>
      <w:rFonts w:ascii="Times New Roman" w:hAnsi="Times New Roman" w:eastAsia="仿宋_GB2312" w:cs="Times New Roman"/>
      <w:kern w:val="2"/>
      <w:sz w:val="24"/>
      <w:szCs w:val="24"/>
      <w:lang w:val="en-US" w:eastAsia="zh-CN" w:bidi="ar-SA"/>
    </w:rPr>
  </w:style>
  <w:style w:type="paragraph" w:customStyle="1" w:styleId="21">
    <w:name w:val="（符号）三标题1.1"/>
    <w:basedOn w:val="1"/>
    <w:qFormat/>
    <w:uiPriority w:val="0"/>
    <w:pPr>
      <w:numPr>
        <w:ilvl w:val="1"/>
        <w:numId w:val="1"/>
      </w:numPr>
      <w:spacing w:line="500" w:lineRule="exact"/>
    </w:pPr>
    <w:rPr>
      <w:rFonts w:ascii="宋体" w:hAnsi="宋体" w:eastAsia="宋体" w:cs="Times New Roman"/>
      <w:sz w:val="24"/>
    </w:rPr>
  </w:style>
  <w:style w:type="character" w:customStyle="1" w:styleId="22">
    <w:name w:val="font31"/>
    <w:basedOn w:val="14"/>
    <w:qFormat/>
    <w:uiPriority w:val="0"/>
    <w:rPr>
      <w:rFonts w:hint="eastAsia" w:ascii="宋体" w:hAnsi="宋体" w:eastAsia="宋体" w:cs="宋体"/>
      <w:color w:val="000000"/>
      <w:sz w:val="24"/>
      <w:szCs w:val="24"/>
      <w:u w:val="none"/>
    </w:rPr>
  </w:style>
  <w:style w:type="character" w:customStyle="1" w:styleId="23">
    <w:name w:val="font51"/>
    <w:basedOn w:val="14"/>
    <w:qFormat/>
    <w:uiPriority w:val="0"/>
    <w:rPr>
      <w:rFonts w:ascii="Calibri" w:hAnsi="Calibri" w:cs="Calibri"/>
      <w:color w:val="000000"/>
      <w:sz w:val="24"/>
      <w:szCs w:val="24"/>
      <w:u w:val="none"/>
    </w:rPr>
  </w:style>
  <w:style w:type="character" w:customStyle="1" w:styleId="24">
    <w:name w:val="font21"/>
    <w:basedOn w:val="14"/>
    <w:qFormat/>
    <w:uiPriority w:val="0"/>
    <w:rPr>
      <w:rFonts w:hint="eastAsia" w:ascii="宋体" w:hAnsi="宋体" w:eastAsia="宋体" w:cs="宋体"/>
      <w:color w:val="000000"/>
      <w:sz w:val="24"/>
      <w:szCs w:val="24"/>
      <w:u w:val="none"/>
    </w:rPr>
  </w:style>
  <w:style w:type="paragraph" w:customStyle="1" w:styleId="25">
    <w:name w:val="Table Paragraph"/>
    <w:basedOn w:val="1"/>
    <w:qFormat/>
    <w:uiPriority w:val="0"/>
    <w:rPr>
      <w:rFonts w:ascii="宋体" w:hAnsi="宋体" w:eastAsia="宋体" w:cs="宋体"/>
      <w:lang w:val="zh-CN" w:eastAsia="zh-CN" w:bidi="zh-CN"/>
    </w:rPr>
  </w:style>
  <w:style w:type="paragraph" w:styleId="26">
    <w:name w:val="List Paragraph"/>
    <w:basedOn w:val="1"/>
    <w:qFormat/>
    <w:uiPriority w:val="0"/>
    <w:pPr>
      <w:ind w:firstLine="420"/>
    </w:pPr>
  </w:style>
  <w:style w:type="paragraph" w:customStyle="1" w:styleId="27">
    <w:name w:val="Date"/>
    <w:basedOn w:val="1"/>
    <w:next w:val="1"/>
    <w:qFormat/>
    <w:uiPriority w:val="0"/>
    <w:pPr>
      <w:jc w:val="both"/>
    </w:p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8295</Words>
  <Characters>8826</Characters>
  <Lines>0</Lines>
  <Paragraphs>0</Paragraphs>
  <TotalTime>46</TotalTime>
  <ScaleCrop>false</ScaleCrop>
  <LinksUpToDate>false</LinksUpToDate>
  <CharactersWithSpaces>8904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2021-12-06T05:30:00Z</dcterms:created>
  <dc:creator>Link  co</dc:creator>
  <cp:lastModifiedBy>邓献玺</cp:lastModifiedBy>
  <dcterms:modified xsi:type="dcterms:W3CDTF">2025-07-17T07:03:23Z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321ED07BA33A4CCB825510C026238C6A</vt:lpwstr>
  </property>
  <property fmtid="{D5CDD505-2E9C-101B-9397-08002B2CF9AE}" pid="4" name="KSOTemplateDocerSaveRecord">
    <vt:lpwstr>eyJoZGlkIjoiOTA3MjE5NGEwOWY4NWY4ZjJmNGU4ODMzMDU1NzY0MWEiLCJ1c2VySWQiOiIzNTkyNzg0NTkifQ==</vt:lpwstr>
  </property>
</Properties>
</file>