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EB6465">
      <w:pPr>
        <w:pStyle w:val="3"/>
        <w:spacing w:line="500" w:lineRule="exact"/>
        <w:jc w:val="center"/>
        <w:rPr>
          <w:rFonts w:asciiTheme="minorEastAsia" w:hAnsiTheme="minorEastAsia" w:eastAsiaTheme="minorEastAsia"/>
          <w:color w:val="auto"/>
          <w:sz w:val="32"/>
          <w:szCs w:val="32"/>
          <w:highlight w:val="none"/>
        </w:rPr>
      </w:pPr>
      <w:bookmarkStart w:id="34" w:name="_GoBack"/>
      <w:bookmarkStart w:id="0" w:name="_Toc517881069"/>
      <w:bookmarkStart w:id="1" w:name="_Toc517881179"/>
      <w:bookmarkStart w:id="2" w:name="_Toc73383426"/>
      <w:r>
        <w:rPr>
          <w:rFonts w:hint="eastAsia" w:asciiTheme="minorEastAsia" w:hAnsiTheme="minorEastAsia" w:eastAsiaTheme="minorEastAsia"/>
          <w:color w:val="auto"/>
          <w:sz w:val="32"/>
          <w:szCs w:val="32"/>
          <w:highlight w:val="none"/>
        </w:rPr>
        <w:t>第二章 磋商内容</w:t>
      </w:r>
      <w:bookmarkEnd w:id="0"/>
      <w:bookmarkEnd w:id="1"/>
      <w:bookmarkEnd w:id="2"/>
    </w:p>
    <w:bookmarkEnd w:id="34"/>
    <w:p w14:paraId="3F594C2F">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2.1 采购内容：工程量清单所示全部内容，详见磋商文件。</w:t>
      </w:r>
    </w:p>
    <w:p w14:paraId="128A57AF">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2.2报价的依据和要求：详见竞争</w:t>
      </w:r>
      <w:r>
        <w:rPr>
          <w:rFonts w:hint="eastAsia" w:cs="仿宋_GB2312" w:asciiTheme="minorEastAsia" w:hAnsiTheme="minorEastAsia" w:eastAsiaTheme="minorEastAsia"/>
          <w:color w:val="auto"/>
          <w:sz w:val="24"/>
          <w:szCs w:val="24"/>
          <w:highlight w:val="none"/>
          <w:lang w:val="en-US" w:eastAsia="zh-CN"/>
        </w:rPr>
        <w:t>性</w:t>
      </w:r>
      <w:r>
        <w:rPr>
          <w:rFonts w:hint="eastAsia" w:cs="仿宋_GB2312" w:asciiTheme="minorEastAsia" w:hAnsiTheme="minorEastAsia" w:eastAsiaTheme="minorEastAsia"/>
          <w:color w:val="auto"/>
          <w:sz w:val="24"/>
          <w:szCs w:val="24"/>
          <w:highlight w:val="none"/>
        </w:rPr>
        <w:t>磋商文件中规定。</w:t>
      </w:r>
    </w:p>
    <w:p w14:paraId="12124114">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2.3最高限价为：</w:t>
      </w:r>
      <w:r>
        <w:rPr>
          <w:rFonts w:hint="eastAsia" w:cs="仿宋_GB2312" w:asciiTheme="minorEastAsia" w:hAnsiTheme="minorEastAsia" w:eastAsiaTheme="minorEastAsia"/>
          <w:color w:val="auto"/>
          <w:sz w:val="24"/>
          <w:szCs w:val="24"/>
          <w:highlight w:val="none"/>
          <w:lang w:eastAsia="zh-CN"/>
        </w:rPr>
        <w:t>1221821.64</w:t>
      </w:r>
      <w:r>
        <w:rPr>
          <w:rFonts w:hint="eastAsia" w:cs="仿宋_GB2312" w:asciiTheme="minorEastAsia" w:hAnsiTheme="minorEastAsia" w:eastAsiaTheme="minorEastAsia"/>
          <w:color w:val="auto"/>
          <w:sz w:val="24"/>
          <w:szCs w:val="24"/>
          <w:highlight w:val="none"/>
        </w:rPr>
        <w:t>元，投标报价不得高于最高限价，否则为无效报价。</w:t>
      </w:r>
    </w:p>
    <w:p w14:paraId="54A5880E">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2.4投标有效期：递交响应文件截止之日起60日。</w:t>
      </w:r>
    </w:p>
    <w:p w14:paraId="40BD69DE">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2.5 质量标准：符合国家现行有关施工质量验收规范标准。</w:t>
      </w:r>
    </w:p>
    <w:p w14:paraId="4F2D1209">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2.6施工安全文明标准化：满足有关规范要求。</w:t>
      </w:r>
    </w:p>
    <w:p w14:paraId="4C488EEC">
      <w:pPr>
        <w:spacing w:line="500" w:lineRule="exact"/>
        <w:ind w:firstLine="473" w:firstLineChars="196"/>
        <w:rPr>
          <w:rFonts w:hint="eastAsia"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2.7项目地点：</w:t>
      </w:r>
      <w:r>
        <w:rPr>
          <w:rFonts w:hint="eastAsia" w:cs="仿宋_GB2312" w:asciiTheme="minorEastAsia" w:hAnsiTheme="minorEastAsia" w:eastAsiaTheme="minorEastAsia"/>
          <w:color w:val="auto"/>
          <w:sz w:val="24"/>
          <w:szCs w:val="24"/>
          <w:highlight w:val="none"/>
          <w:lang w:eastAsia="zh-CN"/>
        </w:rPr>
        <w:t>毕节市七星关区杨家湾镇</w:t>
      </w:r>
      <w:r>
        <w:rPr>
          <w:rFonts w:hint="eastAsia" w:cs="仿宋_GB2312" w:asciiTheme="minorEastAsia" w:hAnsiTheme="minorEastAsia" w:eastAsiaTheme="minorEastAsia"/>
          <w:color w:val="auto"/>
          <w:sz w:val="24"/>
          <w:szCs w:val="24"/>
          <w:highlight w:val="none"/>
        </w:rPr>
        <w:t>。</w:t>
      </w:r>
    </w:p>
    <w:p w14:paraId="4F2C32B6">
      <w:pPr>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2.</w:t>
      </w:r>
      <w:r>
        <w:rPr>
          <w:rFonts w:hint="eastAsia" w:cs="仿宋_GB2312" w:asciiTheme="minorEastAsia" w:hAnsiTheme="minorEastAsia" w:eastAsiaTheme="minorEastAsia"/>
          <w:color w:val="auto"/>
          <w:sz w:val="24"/>
          <w:szCs w:val="24"/>
          <w:highlight w:val="none"/>
        </w:rPr>
        <w:t>8供应商应承诺：若有幸中标，在领取《成交通知书》前，按采购代理机构与采购人签订代理协议约定的金额</w:t>
      </w:r>
      <w:r>
        <w:rPr>
          <w:rFonts w:hint="eastAsia" w:cs="仿宋_GB2312" w:asciiTheme="minorEastAsia" w:hAnsiTheme="minorEastAsia" w:eastAsiaTheme="minorEastAsia"/>
          <w:color w:val="auto"/>
          <w:sz w:val="24"/>
          <w:szCs w:val="24"/>
          <w:highlight w:val="none"/>
          <w:lang w:eastAsia="zh-CN"/>
        </w:rPr>
        <w:t>（</w:t>
      </w:r>
      <w:r>
        <w:rPr>
          <w:rFonts w:hint="eastAsia" w:cs="仿宋_GB2312" w:asciiTheme="minorEastAsia" w:hAnsiTheme="minorEastAsia" w:eastAsiaTheme="minorEastAsia"/>
          <w:color w:val="auto"/>
          <w:sz w:val="24"/>
          <w:szCs w:val="24"/>
          <w:highlight w:val="none"/>
          <w:lang w:val="en-US" w:eastAsia="zh-CN"/>
        </w:rPr>
        <w:t>包干价陆仟元整</w:t>
      </w:r>
      <w:r>
        <w:rPr>
          <w:rFonts w:hint="eastAsia" w:cs="仿宋_GB2312" w:asciiTheme="minorEastAsia" w:hAnsiTheme="minorEastAsia" w:eastAsiaTheme="minorEastAsia"/>
          <w:color w:val="auto"/>
          <w:sz w:val="24"/>
          <w:szCs w:val="24"/>
          <w:highlight w:val="none"/>
        </w:rPr>
        <w:t>一次性向采购代理机构支付本项目招标代理服务费。</w:t>
      </w:r>
      <w:r>
        <w:rPr>
          <w:rFonts w:hint="eastAsia" w:ascii="宋体" w:hAnsi="宋体" w:cs="仿宋_GB2312"/>
          <w:b/>
          <w:color w:val="auto"/>
          <w:sz w:val="24"/>
          <w:szCs w:val="24"/>
          <w:highlight w:val="none"/>
        </w:rPr>
        <w:t>（符合性审查项）</w:t>
      </w:r>
    </w:p>
    <w:p w14:paraId="6173DDBD">
      <w:pPr>
        <w:spacing w:line="500" w:lineRule="exact"/>
        <w:ind w:firstLine="473" w:firstLineChars="196"/>
        <w:rPr>
          <w:rFonts w:ascii="宋体" w:hAnsi="宋体" w:cs="仿宋_GB2312"/>
          <w:b/>
          <w:color w:val="auto"/>
          <w:sz w:val="24"/>
          <w:szCs w:val="24"/>
          <w:highlight w:val="none"/>
        </w:rPr>
      </w:pPr>
      <w:r>
        <w:rPr>
          <w:rFonts w:hint="eastAsia" w:cs="仿宋_GB2312" w:asciiTheme="minorEastAsia" w:hAnsiTheme="minorEastAsia" w:eastAsiaTheme="minorEastAsia"/>
          <w:color w:val="auto"/>
          <w:sz w:val="24"/>
          <w:szCs w:val="24"/>
          <w:highlight w:val="none"/>
        </w:rPr>
        <w:t>2.9供应商需承诺:</w:t>
      </w:r>
      <w:r>
        <w:rPr>
          <w:rFonts w:hint="eastAsia" w:ascii="宋体" w:hAnsi="宋体" w:cs="仿宋_GB2312"/>
          <w:color w:val="auto"/>
          <w:sz w:val="24"/>
          <w:szCs w:val="24"/>
          <w:highlight w:val="none"/>
        </w:rPr>
        <w:t>提交的《响应文件》中的全部文件和资料均是真实、合法、有效的，同意招标人对我公司提供的资料进行核查，一旦查出我公司提供虚假资料，愿意接受招标人一切处理意见（包括取消中标资格）并对此无任何异议。</w:t>
      </w:r>
      <w:r>
        <w:rPr>
          <w:rFonts w:hint="eastAsia" w:ascii="宋体" w:hAnsi="宋体" w:cs="仿宋_GB2312"/>
          <w:b/>
          <w:color w:val="auto"/>
          <w:sz w:val="24"/>
          <w:szCs w:val="24"/>
          <w:highlight w:val="none"/>
        </w:rPr>
        <w:t>（符合性审查项）</w:t>
      </w:r>
    </w:p>
    <w:p w14:paraId="2AC6482A">
      <w:pPr>
        <w:snapToGrid w:val="0"/>
        <w:spacing w:line="500" w:lineRule="exact"/>
        <w:ind w:firstLine="473" w:firstLineChars="196"/>
        <w:rPr>
          <w:rFonts w:ascii="宋体" w:hAnsi="宋体" w:cs="仿宋_GB2312"/>
          <w:bCs/>
          <w:color w:val="auto"/>
          <w:sz w:val="24"/>
          <w:szCs w:val="24"/>
          <w:highlight w:val="none"/>
        </w:rPr>
      </w:pPr>
      <w:r>
        <w:rPr>
          <w:rFonts w:hint="eastAsia" w:ascii="宋体" w:hAnsi="宋体" w:cs="仿宋_GB2312"/>
          <w:bCs/>
          <w:color w:val="auto"/>
          <w:sz w:val="24"/>
          <w:szCs w:val="24"/>
          <w:highlight w:val="none"/>
        </w:rPr>
        <w:t>2</w:t>
      </w:r>
      <w:r>
        <w:rPr>
          <w:rFonts w:ascii="宋体" w:hAnsi="宋体" w:cs="仿宋_GB2312"/>
          <w:bCs/>
          <w:color w:val="auto"/>
          <w:sz w:val="24"/>
          <w:szCs w:val="24"/>
          <w:highlight w:val="none"/>
        </w:rPr>
        <w:t>.</w:t>
      </w:r>
      <w:r>
        <w:rPr>
          <w:rFonts w:hint="eastAsia" w:ascii="宋体" w:hAnsi="宋体" w:cs="仿宋_GB2312"/>
          <w:bCs/>
          <w:color w:val="auto"/>
          <w:sz w:val="24"/>
          <w:szCs w:val="24"/>
          <w:highlight w:val="none"/>
        </w:rPr>
        <w:t>10税率及费率：执行《关于重新调整贵州省建设工程计价依据增值税税率的通知》（黔建建字【2019】121号）、《关于调整贵州省建设工程计价依据规费费率的通知》（黔建建字【2019】317 号），如国家有最新政策文件，则按最新文件规定执行。</w:t>
      </w:r>
    </w:p>
    <w:p w14:paraId="38FEEEAA">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w:t>
      </w:r>
      <w:r>
        <w:rPr>
          <w:rFonts w:cs="仿宋_GB2312" w:asciiTheme="minorEastAsia" w:hAnsiTheme="minorEastAsia" w:eastAsiaTheme="minorEastAsia"/>
          <w:color w:val="auto"/>
          <w:sz w:val="24"/>
          <w:szCs w:val="24"/>
          <w:highlight w:val="none"/>
        </w:rPr>
        <w:t>.11</w:t>
      </w:r>
      <w:r>
        <w:rPr>
          <w:rFonts w:hint="eastAsia" w:cs="仿宋_GB2312" w:asciiTheme="minorEastAsia" w:hAnsiTheme="minorEastAsia" w:eastAsiaTheme="minorEastAsia"/>
          <w:color w:val="auto"/>
          <w:sz w:val="24"/>
          <w:szCs w:val="24"/>
          <w:highlight w:val="none"/>
        </w:rPr>
        <w:t>资金来源：</w:t>
      </w:r>
      <w:r>
        <w:rPr>
          <w:rFonts w:hint="eastAsia" w:cs="仿宋_GB2312" w:asciiTheme="minorEastAsia" w:hAnsiTheme="minorEastAsia" w:eastAsiaTheme="minorEastAsia"/>
          <w:color w:val="auto"/>
          <w:sz w:val="24"/>
          <w:szCs w:val="24"/>
          <w:highlight w:val="none"/>
          <w:lang w:eastAsia="zh-CN"/>
        </w:rPr>
        <w:t>财政资金</w:t>
      </w:r>
      <w:r>
        <w:rPr>
          <w:rFonts w:hint="eastAsia" w:cs="仿宋_GB2312" w:asciiTheme="minorEastAsia" w:hAnsiTheme="minorEastAsia" w:eastAsiaTheme="minorEastAsia"/>
          <w:color w:val="auto"/>
          <w:sz w:val="24"/>
          <w:szCs w:val="24"/>
          <w:highlight w:val="none"/>
        </w:rPr>
        <w:t>。</w:t>
      </w:r>
    </w:p>
    <w:p w14:paraId="1627B8FF">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2.12</w:t>
      </w:r>
      <w:r>
        <w:rPr>
          <w:rFonts w:hint="eastAsia" w:cs="仿宋_GB2312" w:asciiTheme="minorEastAsia" w:hAnsiTheme="minorEastAsia" w:eastAsiaTheme="minorEastAsia"/>
          <w:color w:val="auto"/>
          <w:sz w:val="24"/>
          <w:szCs w:val="24"/>
          <w:highlight w:val="none"/>
        </w:rPr>
        <w:t>工程款支付方式：由采购单位与成交单位签订合同时自行约定。</w:t>
      </w:r>
    </w:p>
    <w:p w14:paraId="408EE12E">
      <w:pPr>
        <w:autoSpaceDE w:val="0"/>
        <w:autoSpaceDN w:val="0"/>
        <w:adjustRightInd w:val="0"/>
        <w:spacing w:line="500" w:lineRule="exact"/>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b/>
          <w:color w:val="auto"/>
          <w:kern w:val="0"/>
          <w:sz w:val="24"/>
          <w:szCs w:val="24"/>
          <w:highlight w:val="none"/>
        </w:rPr>
        <w:t>注：敬告</w:t>
      </w:r>
      <w:r>
        <w:rPr>
          <w:rFonts w:hint="eastAsia" w:cs="宋体" w:asciiTheme="minorEastAsia" w:hAnsiTheme="minorEastAsia" w:eastAsiaTheme="minorEastAsia"/>
          <w:color w:val="auto"/>
          <w:kern w:val="0"/>
          <w:sz w:val="24"/>
          <w:szCs w:val="24"/>
          <w:highlight w:val="none"/>
        </w:rPr>
        <w:t>：</w:t>
      </w:r>
    </w:p>
    <w:p w14:paraId="7D3B859A">
      <w:pPr>
        <w:autoSpaceDE w:val="0"/>
        <w:autoSpaceDN w:val="0"/>
        <w:adjustRightInd w:val="0"/>
        <w:spacing w:line="276" w:lineRule="auto"/>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投标供应商须对第二章 磋商内容第2</w:t>
      </w:r>
      <w:r>
        <w:rPr>
          <w:rFonts w:cs="宋体" w:asciiTheme="minorEastAsia" w:hAnsiTheme="minorEastAsia" w:eastAsiaTheme="minorEastAsia"/>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w:t>
      </w:r>
      <w:r>
        <w:rPr>
          <w:rFonts w:cs="宋体" w:asciiTheme="minorEastAsia" w:hAnsiTheme="minorEastAsia" w:eastAsiaTheme="minorEastAsia"/>
          <w:color w:val="auto"/>
          <w:kern w:val="0"/>
          <w:sz w:val="24"/>
          <w:szCs w:val="24"/>
          <w:highlight w:val="none"/>
        </w:rPr>
        <w:t>2.6</w:t>
      </w:r>
      <w:r>
        <w:rPr>
          <w:rFonts w:hint="eastAsia" w:cs="宋体" w:asciiTheme="minorEastAsia" w:hAnsiTheme="minorEastAsia" w:eastAsiaTheme="minorEastAsia"/>
          <w:color w:val="auto"/>
          <w:kern w:val="0"/>
          <w:sz w:val="24"/>
          <w:szCs w:val="24"/>
          <w:highlight w:val="none"/>
        </w:rPr>
        <w:t>条内容进行承诺；（</w:t>
      </w:r>
      <w:r>
        <w:rPr>
          <w:rFonts w:hint="eastAsia" w:ascii="宋体" w:hAnsi="宋体" w:cs="仿宋_GB2312"/>
          <w:b/>
          <w:color w:val="auto"/>
          <w:sz w:val="24"/>
          <w:szCs w:val="24"/>
          <w:highlight w:val="none"/>
        </w:rPr>
        <w:t>符合性审查项</w:t>
      </w:r>
      <w:r>
        <w:rPr>
          <w:rFonts w:hint="eastAsia" w:cs="宋体" w:asciiTheme="minorEastAsia" w:hAnsiTheme="minorEastAsia" w:eastAsiaTheme="minorEastAsia"/>
          <w:color w:val="auto"/>
          <w:kern w:val="0"/>
          <w:sz w:val="24"/>
          <w:szCs w:val="24"/>
          <w:highlight w:val="none"/>
        </w:rPr>
        <w:t>）</w:t>
      </w:r>
    </w:p>
    <w:p w14:paraId="7548F333">
      <w:pPr>
        <w:autoSpaceDE w:val="0"/>
        <w:autoSpaceDN w:val="0"/>
        <w:adjustRightInd w:val="0"/>
        <w:spacing w:line="276" w:lineRule="auto"/>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供应商必须按国家现行的相关规范、标准以及采购项目的实际需求完成本项目的施工内容；</w:t>
      </w:r>
    </w:p>
    <w:p w14:paraId="70DD78EF">
      <w:pPr>
        <w:autoSpaceDE w:val="0"/>
        <w:autoSpaceDN w:val="0"/>
        <w:adjustRightInd w:val="0"/>
        <w:spacing w:line="276" w:lineRule="auto"/>
        <w:ind w:firstLine="484" w:firstLineChars="200"/>
        <w:jc w:val="left"/>
        <w:rPr>
          <w:rFonts w:hint="eastAsia"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实现采购项目功能所需采购清单外的内容，供应商必须准备充分，若需增加，根据与采购人协商情况执行。供应商所提供的服务必须满足或优于本《磋商文件》的要求。</w:t>
      </w:r>
    </w:p>
    <w:p w14:paraId="05DF0ABB">
      <w:pPr>
        <w:pStyle w:val="3"/>
        <w:spacing w:before="0" w:after="0" w:line="500" w:lineRule="exact"/>
        <w:jc w:val="center"/>
        <w:rPr>
          <w:rFonts w:asciiTheme="minorEastAsia" w:hAnsiTheme="minorEastAsia" w:eastAsiaTheme="minorEastAsia"/>
          <w:color w:val="auto"/>
          <w:sz w:val="32"/>
          <w:szCs w:val="32"/>
          <w:highlight w:val="none"/>
        </w:rPr>
      </w:pPr>
      <w:r>
        <w:rPr>
          <w:rFonts w:asciiTheme="minorEastAsia" w:hAnsiTheme="minorEastAsia" w:eastAsiaTheme="minorEastAsia"/>
          <w:color w:val="auto"/>
          <w:sz w:val="28"/>
          <w:szCs w:val="28"/>
          <w:highlight w:val="none"/>
        </w:rPr>
        <w:br w:type="page"/>
      </w:r>
      <w:bookmarkStart w:id="3" w:name="_Toc73383427"/>
      <w:bookmarkStart w:id="4" w:name="_Toc517881070"/>
      <w:bookmarkStart w:id="5" w:name="_Toc517881180"/>
      <w:r>
        <w:rPr>
          <w:rFonts w:hint="eastAsia" w:asciiTheme="minorEastAsia" w:hAnsiTheme="minorEastAsia" w:eastAsiaTheme="minorEastAsia"/>
          <w:color w:val="auto"/>
          <w:sz w:val="32"/>
          <w:szCs w:val="32"/>
          <w:highlight w:val="none"/>
        </w:rPr>
        <w:t>第三章 磋商须知</w:t>
      </w:r>
      <w:bookmarkEnd w:id="3"/>
      <w:bookmarkEnd w:id="4"/>
      <w:bookmarkEnd w:id="5"/>
    </w:p>
    <w:p w14:paraId="156E29DE">
      <w:pPr>
        <w:snapToGrid w:val="0"/>
        <w:spacing w:line="500" w:lineRule="exact"/>
        <w:rPr>
          <w:rFonts w:asciiTheme="minorEastAsia" w:hAnsiTheme="minorEastAsia" w:eastAsiaTheme="minorEastAsia"/>
          <w:b/>
          <w:color w:val="auto"/>
          <w:sz w:val="24"/>
          <w:szCs w:val="24"/>
          <w:highlight w:val="none"/>
        </w:rPr>
      </w:pPr>
      <w:r>
        <w:rPr>
          <w:rFonts w:asciiTheme="minorEastAsia" w:hAnsiTheme="minorEastAsia" w:eastAsiaTheme="minorEastAsia"/>
          <w:b/>
          <w:color w:val="auto"/>
          <w:sz w:val="24"/>
          <w:szCs w:val="24"/>
          <w:highlight w:val="none"/>
        </w:rPr>
        <w:t xml:space="preserve">3.1 </w:t>
      </w:r>
      <w:r>
        <w:rPr>
          <w:rFonts w:hint="eastAsia" w:cs="宋体" w:asciiTheme="minorEastAsia" w:hAnsiTheme="minorEastAsia" w:eastAsiaTheme="minorEastAsia"/>
          <w:b/>
          <w:color w:val="auto"/>
          <w:sz w:val="24"/>
          <w:szCs w:val="24"/>
          <w:highlight w:val="none"/>
        </w:rPr>
        <w:t>总则</w:t>
      </w:r>
    </w:p>
    <w:p w14:paraId="7E510EC6">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3.1.1 </w:t>
      </w:r>
      <w:r>
        <w:rPr>
          <w:rFonts w:hint="eastAsia" w:cs="仿宋_GB2312" w:asciiTheme="minorEastAsia" w:hAnsiTheme="minorEastAsia" w:eastAsiaTheme="minorEastAsia"/>
          <w:color w:val="auto"/>
          <w:sz w:val="24"/>
          <w:szCs w:val="24"/>
          <w:highlight w:val="none"/>
        </w:rPr>
        <w:t>本《磋商文件》由</w:t>
      </w:r>
      <w:r>
        <w:rPr>
          <w:rFonts w:hint="eastAsia" w:cs="仿宋_GB2312" w:asciiTheme="minorEastAsia" w:hAnsiTheme="minorEastAsia" w:eastAsiaTheme="minorEastAsia"/>
          <w:b/>
          <w:bCs/>
          <w:color w:val="auto"/>
          <w:sz w:val="24"/>
          <w:szCs w:val="24"/>
          <w:highlight w:val="none"/>
          <w:u w:val="single"/>
          <w:lang w:eastAsia="zh-CN"/>
        </w:rPr>
        <w:t>贵州金秋工程项目管理有限公司</w:t>
      </w:r>
      <w:r>
        <w:rPr>
          <w:rFonts w:hint="eastAsia" w:cs="仿宋_GB2312" w:asciiTheme="minorEastAsia" w:hAnsiTheme="minorEastAsia" w:eastAsiaTheme="minorEastAsia"/>
          <w:color w:val="auto"/>
          <w:sz w:val="24"/>
          <w:szCs w:val="24"/>
          <w:highlight w:val="none"/>
        </w:rPr>
        <w:t>参照《中华人民共和国政府采购法》、财库〔2014〕214号、财库〔2015〕124号）及相相关法律、法规和规章的规定制定，仅适用于本次磋商。</w:t>
      </w:r>
    </w:p>
    <w:p w14:paraId="31E8D57B">
      <w:pPr>
        <w:snapToGrid w:val="0"/>
        <w:spacing w:line="500" w:lineRule="exact"/>
        <w:ind w:firstLine="473" w:firstLineChars="196"/>
        <w:rPr>
          <w:rFonts w:cs="仿宋_GB2312" w:asciiTheme="minorEastAsia" w:hAnsiTheme="minorEastAsia" w:eastAsiaTheme="minorEastAsia"/>
          <w:color w:val="auto"/>
          <w:sz w:val="24"/>
          <w:szCs w:val="24"/>
          <w:highlight w:val="none"/>
        </w:rPr>
      </w:pPr>
      <w:bookmarkStart w:id="6" w:name="_Hlk88495401"/>
      <w:r>
        <w:rPr>
          <w:rFonts w:cs="仿宋_GB2312" w:asciiTheme="minorEastAsia" w:hAnsiTheme="minorEastAsia" w:eastAsiaTheme="minorEastAsia"/>
          <w:color w:val="auto"/>
          <w:sz w:val="24"/>
          <w:szCs w:val="24"/>
          <w:highlight w:val="none"/>
        </w:rPr>
        <w:t xml:space="preserve">3.1.2 </w:t>
      </w:r>
      <w:r>
        <w:rPr>
          <w:rFonts w:hint="eastAsia" w:cs="仿宋_GB2312" w:asciiTheme="minorEastAsia" w:hAnsiTheme="minorEastAsia" w:eastAsiaTheme="minorEastAsia"/>
          <w:color w:val="auto"/>
          <w:sz w:val="24"/>
          <w:szCs w:val="24"/>
          <w:highlight w:val="none"/>
        </w:rPr>
        <w:t>供应商必须遵守《中华人民共和国政府采购法》及相关法律、法规和规章的规定，按照本《磋商文件》的要求参加磋商并履行相应的义务和承担相应的责任。</w:t>
      </w:r>
    </w:p>
    <w:bookmarkEnd w:id="6"/>
    <w:p w14:paraId="34BDD140">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3.1.3 </w:t>
      </w:r>
      <w:r>
        <w:rPr>
          <w:rFonts w:hint="eastAsia" w:cs="仿宋_GB2312" w:asciiTheme="minorEastAsia" w:hAnsiTheme="minorEastAsia" w:eastAsiaTheme="minorEastAsia"/>
          <w:color w:val="auto"/>
          <w:sz w:val="24"/>
          <w:szCs w:val="24"/>
          <w:highlight w:val="none"/>
        </w:rPr>
        <w:t>定义：</w:t>
      </w:r>
    </w:p>
    <w:p w14:paraId="39C0D14B">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⑴《磋商文件》是“政府采购竞争性磋商文件”的简称，是本公司依法制定的关于本次磋商性质、内容、程序、规则等的磋商文件，是评审和评定成交的依据，是供应商参加磋商应遵循的规则；</w:t>
      </w:r>
    </w:p>
    <w:p w14:paraId="5373CF42">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⑵《响应文件》是指供应商为参加磋商而上传的资格、技术、商务、报价等文件资料，是本次磋商评审的依据；</w:t>
      </w:r>
    </w:p>
    <w:p w14:paraId="0ECCF557">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⑶“采购组织机构”是指组织这次磋商的</w:t>
      </w:r>
      <w:r>
        <w:rPr>
          <w:rFonts w:hint="eastAsia" w:cs="仿宋_GB2312" w:asciiTheme="minorEastAsia" w:hAnsiTheme="minorEastAsia" w:eastAsiaTheme="minorEastAsia"/>
          <w:b/>
          <w:bCs/>
          <w:color w:val="auto"/>
          <w:sz w:val="24"/>
          <w:szCs w:val="24"/>
          <w:highlight w:val="none"/>
          <w:u w:val="single"/>
          <w:lang w:eastAsia="zh-CN"/>
        </w:rPr>
        <w:t>贵州金秋工程项目管理有限公司</w:t>
      </w:r>
      <w:r>
        <w:rPr>
          <w:rFonts w:hint="eastAsia" w:cs="仿宋_GB2312" w:asciiTheme="minorEastAsia" w:hAnsiTheme="minorEastAsia" w:eastAsiaTheme="minorEastAsia"/>
          <w:color w:val="auto"/>
          <w:sz w:val="24"/>
          <w:szCs w:val="24"/>
          <w:highlight w:val="none"/>
        </w:rPr>
        <w:t>，也称本公司；</w:t>
      </w:r>
    </w:p>
    <w:p w14:paraId="68A41AC8">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⑷“供应商”是指向本公司获取了《磋商文件》的法人、其他组织或自然人；</w:t>
      </w:r>
    </w:p>
    <w:p w14:paraId="6D34EBB9">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⑸“甲方”是指</w:t>
      </w:r>
      <w:r>
        <w:rPr>
          <w:rFonts w:hint="eastAsia" w:cs="仿宋_GB2312" w:asciiTheme="minorEastAsia" w:hAnsiTheme="minorEastAsia" w:eastAsiaTheme="minorEastAsia"/>
          <w:b/>
          <w:color w:val="auto"/>
          <w:sz w:val="24"/>
          <w:szCs w:val="24"/>
          <w:highlight w:val="none"/>
          <w:u w:val="single"/>
          <w:lang w:eastAsia="zh-CN"/>
        </w:rPr>
        <w:t>毕节市七星关区杨家湾镇中心校</w:t>
      </w:r>
      <w:r>
        <w:rPr>
          <w:rFonts w:hint="eastAsia" w:cs="仿宋_GB2312" w:asciiTheme="minorEastAsia" w:hAnsiTheme="minorEastAsia" w:eastAsiaTheme="minorEastAsia"/>
          <w:color w:val="auto"/>
          <w:sz w:val="24"/>
          <w:szCs w:val="24"/>
          <w:highlight w:val="none"/>
        </w:rPr>
        <w:t>，也称采购单位、采购人、采购方；</w:t>
      </w:r>
    </w:p>
    <w:p w14:paraId="7E6C3446">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⑹“乙方”是指成交供应商。</w:t>
      </w:r>
    </w:p>
    <w:p w14:paraId="4C58D15F">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⑺本项目中小企业所属行业和划分标准：</w:t>
      </w:r>
    </w:p>
    <w:p w14:paraId="345F316F">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①与本项目对应的中小企业划分标准所属行业为：</w:t>
      </w:r>
      <w:r>
        <w:rPr>
          <w:rFonts w:hint="eastAsia" w:cs="仿宋_GB2312" w:asciiTheme="minorEastAsia" w:hAnsiTheme="minorEastAsia" w:eastAsiaTheme="minorEastAsia"/>
          <w:b/>
          <w:bCs/>
          <w:color w:val="auto"/>
          <w:sz w:val="24"/>
          <w:szCs w:val="24"/>
          <w:highlight w:val="none"/>
          <w:u w:val="single"/>
        </w:rPr>
        <w:t>建筑业</w:t>
      </w:r>
      <w:r>
        <w:rPr>
          <w:rFonts w:hint="eastAsia" w:cs="仿宋_GB2312" w:asciiTheme="minorEastAsia" w:hAnsiTheme="minorEastAsia" w:eastAsiaTheme="minorEastAsia"/>
          <w:color w:val="auto"/>
          <w:sz w:val="24"/>
          <w:szCs w:val="24"/>
          <w:highlight w:val="none"/>
        </w:rPr>
        <w:t>；</w:t>
      </w:r>
    </w:p>
    <w:p w14:paraId="0990F1E1">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②划分标准：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0ACB904B">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③投标人提供的《中小企业声明函》内容不实的，属于提供虚假材料谋取中标、成交，依照《中华人民共和国政府采购法》等国家有关规定追究相应责任；</w:t>
      </w:r>
    </w:p>
    <w:p w14:paraId="670D35E6">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④依据《政府采购促进中小企业发展管理办法》法规定，享受扶持政策获得本项目政府采购合同的，小微企业不得将合同分包给大中型企业，中型企业不得将合同分包给大型企业。</w:t>
      </w:r>
    </w:p>
    <w:p w14:paraId="3E5B61AB">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3.1.4 </w:t>
      </w:r>
      <w:r>
        <w:rPr>
          <w:rFonts w:hint="eastAsia" w:cs="仿宋_GB2312" w:asciiTheme="minorEastAsia" w:hAnsiTheme="minorEastAsia" w:eastAsiaTheme="minorEastAsia"/>
          <w:color w:val="auto"/>
          <w:sz w:val="24"/>
          <w:szCs w:val="24"/>
          <w:highlight w:val="none"/>
        </w:rPr>
        <w:t>在本次竞争性磋商活动中，供应商应自己承担与磋商有关的一切费用，不管磋商结果如何本公司对这些费用概不负责。磋商小组和本公司不向供应商解释不成交的原因，不退还《响应文件》。</w:t>
      </w:r>
    </w:p>
    <w:p w14:paraId="172FE365">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cs="仿宋_GB2312" w:asciiTheme="minorEastAsia" w:hAnsiTheme="minorEastAsia" w:eastAsiaTheme="minorEastAsia"/>
          <w:color w:val="auto"/>
          <w:sz w:val="24"/>
          <w:szCs w:val="24"/>
          <w:highlight w:val="none"/>
        </w:rPr>
        <w:t>3.1.5</w:t>
      </w:r>
      <w:r>
        <w:rPr>
          <w:rFonts w:hint="eastAsia" w:cs="仿宋_GB2312" w:asciiTheme="minorEastAsia" w:hAnsiTheme="minorEastAsia" w:eastAsiaTheme="minorEastAsia"/>
          <w:color w:val="auto"/>
          <w:sz w:val="24"/>
          <w:szCs w:val="24"/>
          <w:highlight w:val="none"/>
        </w:rPr>
        <w:t>投标保证金缴纳</w:t>
      </w:r>
      <w:r>
        <w:rPr>
          <w:rFonts w:hint="eastAsia" w:cs="仿宋_GB2312" w:asciiTheme="minorEastAsia" w:hAnsiTheme="minorEastAsia" w:eastAsiaTheme="minorEastAsia"/>
          <w:color w:val="auto"/>
          <w:sz w:val="24"/>
          <w:szCs w:val="24"/>
          <w:highlight w:val="none"/>
          <w:lang w:eastAsia="zh-CN"/>
        </w:rPr>
        <w:t>：</w:t>
      </w:r>
      <w:r>
        <w:rPr>
          <w:rFonts w:hint="eastAsia" w:cs="宋体" w:asciiTheme="minorEastAsia" w:hAnsiTheme="minorEastAsia"/>
          <w:b w:val="0"/>
          <w:bCs w:val="0"/>
          <w:color w:val="auto"/>
          <w:kern w:val="2"/>
          <w:sz w:val="24"/>
          <w:szCs w:val="24"/>
          <w:highlight w:val="none"/>
          <w:lang w:val="en-US" w:eastAsia="zh-CN" w:bidi="ar-SA"/>
        </w:rPr>
        <w:t>按磋商公告要求缴纳</w:t>
      </w:r>
      <w:r>
        <w:rPr>
          <w:rFonts w:hint="eastAsia" w:eastAsia="宋体" w:cs="宋体" w:asciiTheme="minorEastAsia" w:hAnsiTheme="minorEastAsia"/>
          <w:b w:val="0"/>
          <w:bCs w:val="0"/>
          <w:color w:val="auto"/>
          <w:kern w:val="2"/>
          <w:sz w:val="24"/>
          <w:szCs w:val="24"/>
          <w:highlight w:val="none"/>
          <w:lang w:val="en-US" w:eastAsia="zh-CN" w:bidi="ar-SA"/>
        </w:rPr>
        <w:t xml:space="preserve">。若发生下列情况之一的，磋商保证金不予退还： </w:t>
      </w:r>
    </w:p>
    <w:p w14:paraId="4E2452D4">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（1）供应商在提交响应文件截止时间后撤回响应文件的；</w:t>
      </w:r>
    </w:p>
    <w:p w14:paraId="41C3A9A9">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 xml:space="preserve">（2）供应商在响应文件中提供虚假材料的； </w:t>
      </w:r>
    </w:p>
    <w:p w14:paraId="26DD481C">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 xml:space="preserve">（3）除因不可抗力或磋商文件、成交通知书认可的情形以外，成交供应商不与采购人签订合同的； </w:t>
      </w:r>
    </w:p>
    <w:p w14:paraId="6C03CC95">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 xml:space="preserve">（4）供应商与采购人、其他供应商或者采购代理机构恶意串通的； </w:t>
      </w:r>
    </w:p>
    <w:p w14:paraId="3FD55471">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 xml:space="preserve">（5）成交供应商违反法律、法规、政策规定向他人转让或分包成交项目的； </w:t>
      </w:r>
    </w:p>
    <w:p w14:paraId="315DDCD7">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 xml:space="preserve">（6）拒绝履行合同义务的。 </w:t>
      </w:r>
    </w:p>
    <w:p w14:paraId="01A792AC">
      <w:pPr>
        <w:snapToGrid w:val="0"/>
        <w:spacing w:line="500" w:lineRule="exact"/>
        <w:ind w:firstLine="468" w:firstLineChars="194"/>
        <w:rPr>
          <w:rFonts w:hint="eastAsia" w:eastAsia="宋体" w:cs="宋体" w:asciiTheme="minorEastAsia" w:hAnsiTheme="minorEastAsia"/>
          <w:b w:val="0"/>
          <w:bCs w:val="0"/>
          <w:color w:val="auto"/>
          <w:kern w:val="2"/>
          <w:sz w:val="24"/>
          <w:szCs w:val="24"/>
          <w:highlight w:val="none"/>
          <w:lang w:val="en-US" w:eastAsia="zh-CN" w:bidi="ar-SA"/>
        </w:rPr>
      </w:pPr>
      <w:r>
        <w:rPr>
          <w:rFonts w:hint="eastAsia" w:eastAsia="宋体" w:cs="宋体" w:asciiTheme="minorEastAsia" w:hAnsiTheme="minorEastAsia"/>
          <w:b w:val="0"/>
          <w:bCs w:val="0"/>
          <w:color w:val="auto"/>
          <w:kern w:val="2"/>
          <w:sz w:val="24"/>
          <w:szCs w:val="24"/>
          <w:highlight w:val="none"/>
          <w:lang w:val="en-US" w:eastAsia="zh-CN" w:bidi="ar-SA"/>
        </w:rPr>
        <w:t xml:space="preserve">（7）未按《中华人民共和国政府采购法》规定时间领取成交（中标）通知书的。 </w:t>
      </w:r>
    </w:p>
    <w:p w14:paraId="6CFBE9DC">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3.1.6 投标人（供应商）有下列情形之一的，由采购人或其主管部门处以政府采购项目中标金额千分之五以上千分之十以下的罚款，列入不良行为记录名单，在一至三年内禁止参加政府采购活动，并予以公告，有违法所得的，并处没收违法所得，情节严重的，由工商行政管理机关吊销营业执照；构成犯罪的，依法追究刑事责任：</w:t>
      </w:r>
    </w:p>
    <w:p w14:paraId="63C11161">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①提供虚假材料谋取中标的；</w:t>
      </w:r>
    </w:p>
    <w:p w14:paraId="32DA34A0">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 xml:space="preserve">②采取不正当手段诋毁、排挤其他投标人（供应商）的； </w:t>
      </w:r>
    </w:p>
    <w:p w14:paraId="5E0FA682">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 xml:space="preserve">③与招标采购单位、其他投标人（供应商）恶意串通的； </w:t>
      </w:r>
    </w:p>
    <w:p w14:paraId="29D5FEA1">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④向招标采购单位行贿或者提供其他不正当利益的；</w:t>
      </w:r>
    </w:p>
    <w:p w14:paraId="33880371">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 xml:space="preserve">⑤在招标过程中与招标采购单位进行协商谈判、不按照《磋商文件》和中标投标人（供应商）的响应文件订立合同，或者与采购人另行订立背离合同实质性内容的协议的； </w:t>
      </w:r>
    </w:p>
    <w:p w14:paraId="2092950E">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⑥拒绝有关部门监督检查或者提供虚假情况的。</w:t>
      </w:r>
    </w:p>
    <w:p w14:paraId="66E5D4E4">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⑦投标人（供应商）有前款第①至⑥项情形之一的，中标无效。</w:t>
      </w:r>
    </w:p>
    <w:p w14:paraId="54DF5FF3">
      <w:pPr>
        <w:snapToGrid w:val="0"/>
        <w:spacing w:line="500" w:lineRule="exact"/>
        <w:ind w:firstLine="468" w:firstLineChars="194"/>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3.1.7  </w:t>
      </w:r>
      <w:r>
        <w:rPr>
          <w:rFonts w:hint="eastAsia" w:cs="仿宋_GB2312" w:asciiTheme="minorEastAsia" w:hAnsiTheme="minorEastAsia" w:eastAsiaTheme="minorEastAsia"/>
          <w:color w:val="auto"/>
          <w:sz w:val="24"/>
          <w:szCs w:val="24"/>
          <w:highlight w:val="none"/>
        </w:rPr>
        <w:t>报价及结算方式：</w:t>
      </w:r>
    </w:p>
    <w:p w14:paraId="38E9E93F">
      <w:pPr>
        <w:snapToGrid w:val="0"/>
        <w:spacing w:line="500" w:lineRule="exact"/>
        <w:ind w:firstLine="484" w:firstLineChars="200"/>
        <w:rPr>
          <w:rFonts w:ascii="宋体" w:hAnsi="宋体" w:cs="仿宋_GB2312"/>
          <w:bCs/>
          <w:color w:val="auto"/>
          <w:sz w:val="24"/>
          <w:szCs w:val="24"/>
        </w:rPr>
      </w:pPr>
      <w:r>
        <w:rPr>
          <w:rFonts w:cs="仿宋_GB2312" w:asciiTheme="minorEastAsia" w:hAnsiTheme="minorEastAsia" w:eastAsiaTheme="minorEastAsia"/>
          <w:color w:val="auto"/>
          <w:sz w:val="24"/>
          <w:szCs w:val="24"/>
        </w:rPr>
        <w:t>(1)</w:t>
      </w:r>
      <w:r>
        <w:rPr>
          <w:rFonts w:hint="eastAsia" w:ascii="宋体" w:hAnsi="宋体" w:cs="仿宋_GB2312"/>
          <w:bCs/>
          <w:color w:val="auto"/>
          <w:sz w:val="24"/>
          <w:szCs w:val="24"/>
        </w:rPr>
        <w:t>供应商在《响应文件》中填报的基础报价是参加磋商会议的初步报价，初步报价仅为磋商参考。供应商在磋商会议上填报的最后报价是对全部采购标的物的总报价，是响应文件的有效组成部分，成交后即为合同总价款的计价，在合同有效期内不受市场价格变化因素的影响</w:t>
      </w:r>
      <w:r>
        <w:rPr>
          <w:rFonts w:hint="eastAsia" w:ascii="宋体" w:hAnsi="宋体" w:cs="仿宋_GB2312"/>
          <w:color w:val="auto"/>
          <w:sz w:val="24"/>
          <w:szCs w:val="24"/>
        </w:rPr>
        <w:t>。</w:t>
      </w:r>
    </w:p>
    <w:p w14:paraId="0374FF86">
      <w:pPr>
        <w:snapToGrid w:val="0"/>
        <w:spacing w:line="500" w:lineRule="exact"/>
        <w:ind w:firstLine="484" w:firstLineChars="200"/>
        <w:rPr>
          <w:rFonts w:cs="仿宋_GB2312" w:asciiTheme="minorEastAsia" w:hAnsiTheme="minorEastAsia" w:eastAsiaTheme="minorEastAsia"/>
          <w:color w:val="auto"/>
          <w:sz w:val="24"/>
          <w:szCs w:val="24"/>
        </w:rPr>
      </w:pPr>
      <w:r>
        <w:rPr>
          <w:rFonts w:cs="仿宋_GB2312" w:asciiTheme="minorEastAsia" w:hAnsiTheme="minorEastAsia" w:eastAsiaTheme="minorEastAsia"/>
          <w:color w:val="auto"/>
          <w:sz w:val="24"/>
          <w:szCs w:val="24"/>
        </w:rPr>
        <w:t>(2)报价一律用</w:t>
      </w:r>
      <w:r>
        <w:rPr>
          <w:rFonts w:hint="eastAsia" w:cs="仿宋_GB2312" w:asciiTheme="minorEastAsia" w:hAnsiTheme="minorEastAsia" w:eastAsiaTheme="minorEastAsia"/>
          <w:color w:val="auto"/>
          <w:sz w:val="24"/>
          <w:szCs w:val="24"/>
        </w:rPr>
        <w:t>人民币</w:t>
      </w:r>
      <w:r>
        <w:rPr>
          <w:rFonts w:cs="仿宋_GB2312" w:asciiTheme="minorEastAsia" w:hAnsiTheme="minorEastAsia" w:eastAsiaTheme="minorEastAsia"/>
          <w:color w:val="auto"/>
          <w:sz w:val="24"/>
          <w:szCs w:val="24"/>
        </w:rPr>
        <w:t>（</w:t>
      </w:r>
      <w:r>
        <w:rPr>
          <w:rFonts w:hint="eastAsia" w:cs="仿宋_GB2312" w:asciiTheme="minorEastAsia" w:hAnsiTheme="minorEastAsia" w:eastAsiaTheme="minorEastAsia"/>
          <w:color w:val="auto"/>
          <w:sz w:val="24"/>
          <w:szCs w:val="24"/>
        </w:rPr>
        <w:t>元</w:t>
      </w:r>
      <w:r>
        <w:rPr>
          <w:rFonts w:cs="仿宋_GB2312" w:asciiTheme="minorEastAsia" w:hAnsiTheme="minorEastAsia" w:eastAsiaTheme="minorEastAsia"/>
          <w:color w:val="auto"/>
          <w:sz w:val="24"/>
          <w:szCs w:val="24"/>
        </w:rPr>
        <w:t>）表示，其大写金额和小写金额不一致的，以大写金额为准；</w:t>
      </w:r>
      <w:r>
        <w:rPr>
          <w:rFonts w:hint="eastAsia" w:cs="仿宋_GB2312" w:asciiTheme="minorEastAsia" w:hAnsiTheme="minorEastAsia" w:eastAsiaTheme="minorEastAsia"/>
          <w:color w:val="auto"/>
          <w:sz w:val="24"/>
          <w:szCs w:val="24"/>
        </w:rPr>
        <w:t>分项报价之和不得大于总报价，否则作无效报价处理</w:t>
      </w:r>
      <w:r>
        <w:rPr>
          <w:rFonts w:cs="仿宋_GB2312" w:asciiTheme="minorEastAsia" w:hAnsiTheme="minorEastAsia" w:eastAsiaTheme="minorEastAsia"/>
          <w:color w:val="auto"/>
          <w:sz w:val="24"/>
          <w:szCs w:val="24"/>
        </w:rPr>
        <w:t>；单价金额小数点有明显错位的，应以总价为准</w:t>
      </w:r>
      <w:r>
        <w:rPr>
          <w:rFonts w:hint="eastAsia" w:cs="仿宋_GB2312" w:asciiTheme="minorEastAsia" w:hAnsiTheme="minorEastAsia" w:eastAsiaTheme="minorEastAsia"/>
          <w:color w:val="auto"/>
          <w:sz w:val="24"/>
          <w:szCs w:val="24"/>
        </w:rPr>
        <w:t>，</w:t>
      </w:r>
      <w:r>
        <w:rPr>
          <w:rFonts w:cs="仿宋_GB2312" w:asciiTheme="minorEastAsia" w:hAnsiTheme="minorEastAsia" w:eastAsiaTheme="minorEastAsia"/>
          <w:color w:val="auto"/>
          <w:sz w:val="24"/>
          <w:szCs w:val="24"/>
        </w:rPr>
        <w:t>并修改单价；对不同文字文本响应文件的解释发生异议的，以中文文本为准。</w:t>
      </w:r>
    </w:p>
    <w:p w14:paraId="71EFF614">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3.1.8</w:t>
      </w:r>
      <w:r>
        <w:rPr>
          <w:rFonts w:hint="eastAsia" w:cs="仿宋_GB2312" w:asciiTheme="minorEastAsia" w:hAnsiTheme="minorEastAsia" w:eastAsiaTheme="minorEastAsia"/>
          <w:color w:val="auto"/>
          <w:sz w:val="24"/>
          <w:szCs w:val="24"/>
          <w:highlight w:val="none"/>
        </w:rPr>
        <w:t>成交通知：按磋商小组评审结果确定并公布成交候选人，采购人确认成交供应商后，发布成交公告，并发出成交通知书；成交供应商应在收到成交通知书后及时联系采购人签订政府采购合同。</w:t>
      </w:r>
    </w:p>
    <w:p w14:paraId="513CA3ED">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3.1.9 </w:t>
      </w:r>
      <w:r>
        <w:rPr>
          <w:rFonts w:hint="eastAsia" w:cs="仿宋_GB2312" w:asciiTheme="minorEastAsia" w:hAnsiTheme="minorEastAsia" w:eastAsiaTheme="minorEastAsia"/>
          <w:color w:val="auto"/>
          <w:sz w:val="24"/>
          <w:szCs w:val="24"/>
          <w:highlight w:val="none"/>
        </w:rPr>
        <w:t>服务的时间、地点、验收和付款：</w:t>
      </w:r>
    </w:p>
    <w:p w14:paraId="4FAE2EB5">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⑴工期：</w:t>
      </w:r>
      <w:r>
        <w:rPr>
          <w:rFonts w:hint="eastAsia" w:ascii="宋体" w:cs="宋体" w:eastAsiaTheme="minorEastAsia"/>
          <w:color w:val="auto"/>
          <w:kern w:val="0"/>
          <w:sz w:val="24"/>
          <w:szCs w:val="24"/>
          <w:highlight w:val="none"/>
          <w:lang w:eastAsia="zh-CN"/>
        </w:rPr>
        <w:t>合同签订后45日历天内完成本项目</w:t>
      </w:r>
      <w:r>
        <w:rPr>
          <w:rFonts w:hint="eastAsia" w:ascii="宋体" w:cs="宋体"/>
          <w:color w:val="auto"/>
          <w:kern w:val="0"/>
          <w:sz w:val="24"/>
          <w:szCs w:val="24"/>
          <w:highlight w:val="none"/>
        </w:rPr>
        <w:t>；</w:t>
      </w:r>
    </w:p>
    <w:p w14:paraId="140C5F58">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⑵地点：</w:t>
      </w:r>
      <w:r>
        <w:rPr>
          <w:rFonts w:hint="eastAsia" w:cs="仿宋_GB2312" w:asciiTheme="minorEastAsia" w:hAnsiTheme="minorEastAsia" w:eastAsiaTheme="minorEastAsia"/>
          <w:color w:val="auto"/>
          <w:sz w:val="24"/>
          <w:szCs w:val="24"/>
          <w:highlight w:val="none"/>
          <w:lang w:eastAsia="zh-CN"/>
        </w:rPr>
        <w:t>毕节市七星关区</w:t>
      </w:r>
      <w:r>
        <w:rPr>
          <w:rFonts w:hint="eastAsia" w:cs="仿宋_GB2312" w:asciiTheme="minorEastAsia" w:hAnsiTheme="minorEastAsia" w:eastAsiaTheme="minorEastAsia"/>
          <w:color w:val="auto"/>
          <w:sz w:val="24"/>
          <w:szCs w:val="24"/>
          <w:highlight w:val="none"/>
        </w:rPr>
        <w:t>。</w:t>
      </w:r>
    </w:p>
    <w:p w14:paraId="2C29B51E">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⑶验收：</w:t>
      </w:r>
      <w:r>
        <w:rPr>
          <w:rFonts w:hint="eastAsia" w:ascii="宋体" w:hAnsi="宋体" w:cs="仿宋_GB2312"/>
          <w:color w:val="auto"/>
          <w:sz w:val="24"/>
          <w:szCs w:val="24"/>
          <w:highlight w:val="none"/>
        </w:rPr>
        <w:t>经甲方（采购单位）和中标单位及具有相应资格的单位和人员对成果进行签章并交甲方备案后向甲方提出书面验收申请，甲方收到验收申请后15个工作日内，由甲方召集供应商及其他相关部门人员对本项目进行总体验收，并出具验收报告</w:t>
      </w:r>
      <w:r>
        <w:rPr>
          <w:rFonts w:hint="eastAsia" w:cs="仿宋_GB2312" w:asciiTheme="minorEastAsia" w:hAnsiTheme="minorEastAsia" w:eastAsiaTheme="minorEastAsia"/>
          <w:color w:val="auto"/>
          <w:sz w:val="24"/>
          <w:szCs w:val="24"/>
          <w:highlight w:val="none"/>
        </w:rPr>
        <w:t>；如验收不合格的，采购人有权拒绝付款，因此产生的一切经济损失由供应商自行承担。</w:t>
      </w:r>
    </w:p>
    <w:p w14:paraId="302BEB48">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⑷付款：合同签订时，由甲乙双方自行约定。</w:t>
      </w:r>
    </w:p>
    <w:p w14:paraId="7C7DB001">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3.1.9  </w:t>
      </w:r>
      <w:r>
        <w:rPr>
          <w:rFonts w:hint="eastAsia" w:cs="仿宋_GB2312" w:asciiTheme="minorEastAsia" w:hAnsiTheme="minorEastAsia" w:eastAsiaTheme="minorEastAsia"/>
          <w:color w:val="auto"/>
          <w:sz w:val="24"/>
          <w:szCs w:val="24"/>
          <w:highlight w:val="none"/>
        </w:rPr>
        <w:t>本公司不接受采购单位和成交供应商与《磋商文件》相违背的任何协议和要求。</w:t>
      </w:r>
    </w:p>
    <w:p w14:paraId="695F87AE">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3.1.10  </w:t>
      </w:r>
      <w:r>
        <w:rPr>
          <w:rFonts w:hint="eastAsia" w:cs="仿宋_GB2312" w:asciiTheme="minorEastAsia" w:hAnsiTheme="minorEastAsia" w:eastAsiaTheme="minorEastAsia"/>
          <w:color w:val="auto"/>
          <w:sz w:val="24"/>
          <w:szCs w:val="24"/>
          <w:highlight w:val="none"/>
        </w:rPr>
        <w:t>本《磋商文件》解释权属</w:t>
      </w:r>
      <w:r>
        <w:rPr>
          <w:rFonts w:hint="eastAsia" w:cs="宋体" w:asciiTheme="minorEastAsia" w:hAnsiTheme="minorEastAsia" w:eastAsiaTheme="minorEastAsia"/>
          <w:b/>
          <w:color w:val="auto"/>
          <w:kern w:val="1"/>
          <w:sz w:val="24"/>
          <w:szCs w:val="24"/>
          <w:highlight w:val="none"/>
          <w:u w:val="single"/>
        </w:rPr>
        <w:t>采购人及采购代理机构</w:t>
      </w:r>
      <w:r>
        <w:rPr>
          <w:rFonts w:hint="eastAsia" w:cs="仿宋_GB2312" w:asciiTheme="minorEastAsia" w:hAnsiTheme="minorEastAsia" w:eastAsiaTheme="minorEastAsia"/>
          <w:color w:val="auto"/>
          <w:sz w:val="24"/>
          <w:szCs w:val="24"/>
          <w:highlight w:val="none"/>
        </w:rPr>
        <w:t>。</w:t>
      </w:r>
    </w:p>
    <w:p w14:paraId="0E2D1482">
      <w:pPr>
        <w:snapToGrid w:val="0"/>
        <w:spacing w:line="500" w:lineRule="exact"/>
        <w:rPr>
          <w:rFonts w:asciiTheme="minorEastAsia" w:hAnsiTheme="minorEastAsia" w:eastAsiaTheme="minorEastAsia"/>
          <w:b/>
          <w:color w:val="auto"/>
          <w:sz w:val="24"/>
          <w:szCs w:val="24"/>
          <w:highlight w:val="none"/>
        </w:rPr>
      </w:pPr>
      <w:r>
        <w:rPr>
          <w:rFonts w:asciiTheme="minorEastAsia" w:hAnsiTheme="minorEastAsia" w:eastAsiaTheme="minorEastAsia"/>
          <w:b/>
          <w:color w:val="auto"/>
          <w:sz w:val="24"/>
          <w:szCs w:val="24"/>
          <w:highlight w:val="none"/>
        </w:rPr>
        <w:t xml:space="preserve">3.2  </w:t>
      </w:r>
      <w:r>
        <w:rPr>
          <w:rFonts w:hint="eastAsia" w:cs="宋体" w:asciiTheme="minorEastAsia" w:hAnsiTheme="minorEastAsia" w:eastAsiaTheme="minorEastAsia"/>
          <w:b/>
          <w:color w:val="auto"/>
          <w:sz w:val="24"/>
          <w:szCs w:val="24"/>
          <w:highlight w:val="none"/>
        </w:rPr>
        <w:t>供应商参加磋商的资格要求</w:t>
      </w:r>
    </w:p>
    <w:p w14:paraId="054AD498">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3.2.1  </w:t>
      </w:r>
      <w:r>
        <w:rPr>
          <w:rFonts w:hint="eastAsia" w:cs="仿宋_GB2312" w:asciiTheme="minorEastAsia" w:hAnsiTheme="minorEastAsia" w:eastAsiaTheme="minorEastAsia"/>
          <w:color w:val="auto"/>
          <w:sz w:val="24"/>
          <w:szCs w:val="24"/>
          <w:highlight w:val="none"/>
        </w:rPr>
        <w:t>有公告要求的资格证书；</w:t>
      </w:r>
    </w:p>
    <w:p w14:paraId="3D9DBCBB">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 xml:space="preserve">3.2.2  </w:t>
      </w:r>
      <w:r>
        <w:rPr>
          <w:rFonts w:hint="eastAsia" w:cs="仿宋_GB2312" w:asciiTheme="minorEastAsia" w:hAnsiTheme="minorEastAsia" w:eastAsiaTheme="minorEastAsia"/>
          <w:color w:val="auto"/>
          <w:sz w:val="24"/>
          <w:szCs w:val="24"/>
          <w:highlight w:val="none"/>
        </w:rPr>
        <w:t>在规定时间内向毕节市公共资源交易中心系统获取了《磋商文件》，并按《磋商文件》要求提供（上传）了相关资料；</w:t>
      </w:r>
    </w:p>
    <w:p w14:paraId="77B1AD10">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3.2.</w:t>
      </w:r>
      <w:r>
        <w:rPr>
          <w:rFonts w:hint="eastAsia" w:cs="仿宋_GB2312" w:asciiTheme="minorEastAsia" w:hAnsiTheme="minorEastAsia" w:eastAsiaTheme="minorEastAsia"/>
          <w:color w:val="auto"/>
          <w:sz w:val="24"/>
          <w:szCs w:val="24"/>
          <w:highlight w:val="none"/>
          <w:lang w:val="en-US" w:eastAsia="zh-CN"/>
        </w:rPr>
        <w:t>3</w:t>
      </w:r>
      <w:r>
        <w:rPr>
          <w:rFonts w:cs="仿宋_GB2312" w:asciiTheme="minorEastAsia" w:hAnsiTheme="minorEastAsia" w:eastAsiaTheme="minorEastAsia"/>
          <w:color w:val="auto"/>
          <w:sz w:val="24"/>
          <w:szCs w:val="24"/>
          <w:highlight w:val="none"/>
        </w:rPr>
        <w:t xml:space="preserve">  </w:t>
      </w:r>
      <w:r>
        <w:rPr>
          <w:rFonts w:hint="eastAsia" w:cs="仿宋_GB2312" w:asciiTheme="minorEastAsia" w:hAnsiTheme="minorEastAsia" w:eastAsiaTheme="minorEastAsia"/>
          <w:color w:val="auto"/>
          <w:sz w:val="24"/>
          <w:szCs w:val="24"/>
          <w:highlight w:val="none"/>
        </w:rPr>
        <w:t>《响应文件》的编制、上传、加解密符合本《磋商文件》的要求；</w:t>
      </w:r>
    </w:p>
    <w:p w14:paraId="268AD8BF">
      <w:pPr>
        <w:snapToGrid w:val="0"/>
        <w:spacing w:line="500" w:lineRule="exact"/>
        <w:rPr>
          <w:rFonts w:asciiTheme="minorEastAsia" w:hAnsiTheme="minorEastAsia" w:eastAsiaTheme="minorEastAsia"/>
          <w:b/>
          <w:color w:val="auto"/>
          <w:sz w:val="24"/>
          <w:szCs w:val="24"/>
          <w:highlight w:val="none"/>
        </w:rPr>
      </w:pPr>
      <w:r>
        <w:rPr>
          <w:rFonts w:asciiTheme="minorEastAsia" w:hAnsiTheme="minorEastAsia" w:eastAsiaTheme="minorEastAsia"/>
          <w:b/>
          <w:color w:val="auto"/>
          <w:sz w:val="24"/>
          <w:szCs w:val="24"/>
          <w:highlight w:val="none"/>
        </w:rPr>
        <w:t xml:space="preserve">3.3 </w:t>
      </w:r>
      <w:r>
        <w:rPr>
          <w:rFonts w:hint="eastAsia" w:cs="宋体" w:asciiTheme="minorEastAsia" w:hAnsiTheme="minorEastAsia" w:eastAsiaTheme="minorEastAsia"/>
          <w:b/>
          <w:color w:val="auto"/>
          <w:sz w:val="24"/>
          <w:szCs w:val="24"/>
          <w:highlight w:val="none"/>
        </w:rPr>
        <w:t>《磋商文件》的澄清和修改，供应商质疑期限</w:t>
      </w:r>
    </w:p>
    <w:p w14:paraId="42EDD01D">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3.3.1 采购人或者采购代理机构可以对已发出的竞争性磋商文件进行必要的澄清或者修改，澄清或者修改的内容影响供应商编制响应文件的，采购人或者采购代理机构应当在上传响应文件截止时间5天前，在全国公共资源交易平台（贵州省·毕节市）毕节市公共资源交易中心公共服务平台及贵州省政府采购网发出澄清或者修改通知，通知所有获取竞争性磋商文件的供应商，由于供应商未及时上网查询的，责任由供应商自行承担；澄清或者修改的内容影响供应商编制响应文件的，顺延提交响应文件的截止时间。澄清或者修改的内容不影响供应商编制响应文件的，原则上不顺延提交响应文件的截止时间。</w:t>
      </w:r>
    </w:p>
    <w:p w14:paraId="21028C51">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3.3.2 供应商对竞争性磋商文件有询问或质疑的，可以在招标公告规定的获取《竞争性磋商文件》之日或报名截止时间之日起3个工作日内向代理公司或者采购人书面提出，提出询问的方式不限，提出质疑的方式为通过全国公共资源交易平台（贵州省·毕节市）毕节市公共资源交易中心公共服务平台系统或将质疑函（原件）送达代理机构或采购人。代理公司或者采购人将针对质疑或询问的内容进行答复，询问的答复时间为3个工作日，质疑的答复时间为7个工作日。未获取竞争性磋商文件或不符合政府采购法第二十二条要求的供应商对本项目提出的质疑或询问，代理公司不作答复。供应商只能在法定质疑期内一次性提出针对同一采购程序环节的质疑。</w:t>
      </w:r>
    </w:p>
    <w:p w14:paraId="2FCB1397">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3.3.2.1.供应商提出质疑的，应当提交已在全国公共资源交易平台（贵州省·毕节市）毕节市公共资源交易中心公共服务平台报名的证明材料、质疑函和必要的佐证材料，并符合《政府采购质疑和投诉办法》（中华人民共和国财政部令第 94 号）第十二条的规定。通过毕节市公共资源交易中心-毕节市人民政府门户网站系统提出质疑的，质疑函须原件扫描上传，报名证明材料可以采用复印件加盖公章扫描上传；直接将质疑函送达代理机构或采购人的，质疑函要求原件，其他的可提供复印件加盖公章。</w:t>
      </w:r>
    </w:p>
    <w:p w14:paraId="28EB7159">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3.3.2.2.质疑函递交相关信息</w:t>
      </w:r>
    </w:p>
    <w:p w14:paraId="59F049EB">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采购人信息：详见竞争性磋商公告规定内容</w:t>
      </w:r>
    </w:p>
    <w:p w14:paraId="0F921CBF">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采购代理机构信息：详见竞争性磋商公告规定内容；代理机构QQ邮箱：</w:t>
      </w:r>
      <w:r>
        <w:rPr>
          <w:rFonts w:hint="eastAsia" w:cs="仿宋_GB2312" w:asciiTheme="minorEastAsia" w:hAnsiTheme="minorEastAsia" w:eastAsiaTheme="minorEastAsia"/>
          <w:color w:val="auto"/>
          <w:sz w:val="24"/>
          <w:szCs w:val="24"/>
          <w:highlight w:val="none"/>
          <w:lang w:val="en-US" w:eastAsia="zh-CN"/>
        </w:rPr>
        <w:t>415978387</w:t>
      </w:r>
      <w:r>
        <w:rPr>
          <w:rFonts w:hint="eastAsia" w:cs="仿宋_GB2312" w:asciiTheme="minorEastAsia" w:hAnsiTheme="minorEastAsia" w:eastAsiaTheme="minorEastAsia"/>
          <w:color w:val="auto"/>
          <w:sz w:val="24"/>
          <w:szCs w:val="24"/>
          <w:highlight w:val="none"/>
        </w:rPr>
        <w:t>@qq.com</w:t>
      </w:r>
    </w:p>
    <w:p w14:paraId="7F53791E">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3.3.3 供应商在报名截止时间之日起 7 个工作日内，没有按前款（3.3.2 条）要求提出书面质疑或询问的，将被视为完全认同竞争性磋商文件。在此时间之后提出质疑或询问的，代理公司及采购人不予受理。</w:t>
      </w:r>
    </w:p>
    <w:p w14:paraId="6371A2C6">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3.3.3本公司对已发出的《磋商文件》进行必要的澄清或修改时，将以书面形式通知所有的供应商，其澄清或修改的内容为《磋商文件》的组成部分。</w:t>
      </w:r>
    </w:p>
    <w:p w14:paraId="4E6218B4">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3.3.4在开标期间，磋商文件中存在的瑕疵或疏漏由采购人代表进行明确或澄清，但不得对磋商文件作实质性的修改。</w:t>
      </w:r>
    </w:p>
    <w:p w14:paraId="5067C839">
      <w:pPr>
        <w:snapToGrid w:val="0"/>
        <w:spacing w:line="500" w:lineRule="exact"/>
        <w:rPr>
          <w:rFonts w:asciiTheme="minorEastAsia" w:hAnsiTheme="minorEastAsia" w:eastAsiaTheme="minorEastAsia"/>
          <w:b/>
          <w:color w:val="auto"/>
          <w:sz w:val="24"/>
          <w:szCs w:val="24"/>
          <w:highlight w:val="none"/>
        </w:rPr>
      </w:pPr>
      <w:r>
        <w:rPr>
          <w:rFonts w:asciiTheme="minorEastAsia" w:hAnsiTheme="minorEastAsia" w:eastAsiaTheme="minorEastAsia"/>
          <w:b/>
          <w:color w:val="auto"/>
          <w:sz w:val="24"/>
          <w:szCs w:val="24"/>
          <w:highlight w:val="none"/>
        </w:rPr>
        <w:t xml:space="preserve">3.4 </w:t>
      </w:r>
      <w:r>
        <w:rPr>
          <w:rFonts w:hint="eastAsia" w:cs="宋体" w:asciiTheme="minorEastAsia" w:hAnsiTheme="minorEastAsia" w:eastAsiaTheme="minorEastAsia"/>
          <w:b/>
          <w:color w:val="auto"/>
          <w:sz w:val="24"/>
          <w:szCs w:val="24"/>
          <w:highlight w:val="none"/>
        </w:rPr>
        <w:t>《响应文件》的编制要求</w:t>
      </w:r>
    </w:p>
    <w:p w14:paraId="11FE1AE6">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敬告：响应文件的制作必须完全符合毕节市公共资源交易中心交易系统要求，否则可能导致投标被拒绝。</w:t>
      </w:r>
    </w:p>
    <w:p w14:paraId="0D4C4E57">
      <w:pPr>
        <w:snapToGrid w:val="0"/>
        <w:spacing w:line="500" w:lineRule="exact"/>
        <w:ind w:firstLine="605" w:firstLineChars="25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3.4.1响应文件的构成和格式：</w:t>
      </w:r>
    </w:p>
    <w:p w14:paraId="5D8467D8">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（1）供应商须保证上传的《响应文件》中的全部文件资料真实、合法、有效；</w:t>
      </w:r>
    </w:p>
    <w:p w14:paraId="2FC979B1">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（2）</w:t>
      </w:r>
      <w:bookmarkStart w:id="7" w:name="_Hlk88496549"/>
      <w:r>
        <w:rPr>
          <w:rFonts w:hint="eastAsia" w:cs="仿宋_GB2312" w:asciiTheme="minorEastAsia" w:hAnsiTheme="minorEastAsia" w:eastAsiaTheme="minorEastAsia"/>
          <w:color w:val="auto"/>
          <w:sz w:val="24"/>
          <w:szCs w:val="24"/>
          <w:highlight w:val="none"/>
        </w:rPr>
        <w:t>格式、盖章要求：《响应文件》必须符合磋商文件中指定格式要求签章，其他没有具体要求的，须逐页加盖投标人电子公章和法定代表人电子印章，在评标过程中，因电子系统导致的投标人电子公章或法人印章位置有偏差的，只要在同一页码范围内具有有效签章的，视为已在指定位置签章，不作为废标条款。</w:t>
      </w:r>
      <w:r>
        <w:rPr>
          <w:rFonts w:hint="eastAsia" w:cs="仿宋_GB2312" w:asciiTheme="minorEastAsia" w:hAnsiTheme="minorEastAsia" w:eastAsiaTheme="minorEastAsia"/>
          <w:b/>
          <w:color w:val="auto"/>
          <w:sz w:val="24"/>
          <w:szCs w:val="24"/>
          <w:highlight w:val="none"/>
        </w:rPr>
        <w:t>（符合性审查项）</w:t>
      </w:r>
      <w:bookmarkEnd w:id="7"/>
    </w:p>
    <w:p w14:paraId="33C74524">
      <w:pPr>
        <w:snapToGrid w:val="0"/>
        <w:spacing w:line="500" w:lineRule="exact"/>
        <w:ind w:firstLine="484" w:firstLineChars="200"/>
        <w:rPr>
          <w:rFonts w:cs="仿宋_GB2312" w:asciiTheme="minorEastAsia" w:hAnsiTheme="minorEastAsia" w:eastAsiaTheme="minorEastAsia"/>
          <w:color w:val="auto"/>
          <w:sz w:val="24"/>
          <w:szCs w:val="24"/>
          <w:highlight w:val="none"/>
        </w:rPr>
      </w:pPr>
      <w:r>
        <w:rPr>
          <w:rFonts w:cs="仿宋_GB2312" w:asciiTheme="minorEastAsia" w:hAnsiTheme="minorEastAsia" w:eastAsiaTheme="minorEastAsia"/>
          <w:color w:val="auto"/>
          <w:sz w:val="24"/>
          <w:szCs w:val="24"/>
          <w:highlight w:val="none"/>
        </w:rPr>
        <w:t>3.4.</w:t>
      </w:r>
      <w:r>
        <w:rPr>
          <w:rFonts w:hint="eastAsia" w:cs="仿宋_GB2312" w:asciiTheme="minorEastAsia" w:hAnsiTheme="minorEastAsia" w:eastAsiaTheme="minorEastAsia"/>
          <w:color w:val="auto"/>
          <w:sz w:val="24"/>
          <w:szCs w:val="24"/>
          <w:highlight w:val="none"/>
        </w:rPr>
        <w:t>2《响应文件》的内容：</w:t>
      </w:r>
    </w:p>
    <w:p w14:paraId="04987EF0">
      <w:pPr>
        <w:snapToGrid w:val="0"/>
        <w:spacing w:line="500" w:lineRule="exact"/>
        <w:ind w:firstLine="236" w:firstLineChars="98"/>
        <w:rPr>
          <w:rFonts w:cs="仿宋_GB2312" w:asciiTheme="minorEastAsia" w:hAnsiTheme="minorEastAsia" w:eastAsiaTheme="minorEastAsia"/>
          <w:b/>
          <w:bCs/>
          <w:color w:val="auto"/>
          <w:sz w:val="24"/>
          <w:szCs w:val="24"/>
          <w:highlight w:val="none"/>
        </w:rPr>
      </w:pPr>
      <w:r>
        <w:rPr>
          <w:rFonts w:hint="eastAsia" w:cs="仿宋_GB2312" w:asciiTheme="minorEastAsia" w:hAnsiTheme="minorEastAsia" w:eastAsiaTheme="minorEastAsia"/>
          <w:b/>
          <w:bCs/>
          <w:color w:val="auto"/>
          <w:sz w:val="24"/>
          <w:szCs w:val="24"/>
          <w:highlight w:val="none"/>
        </w:rPr>
        <w:t>（</w:t>
      </w:r>
      <w:r>
        <w:rPr>
          <w:rFonts w:cs="仿宋_GB2312" w:asciiTheme="minorEastAsia" w:hAnsiTheme="minorEastAsia" w:eastAsiaTheme="minorEastAsia"/>
          <w:b/>
          <w:bCs/>
          <w:color w:val="auto"/>
          <w:sz w:val="24"/>
          <w:szCs w:val="24"/>
          <w:highlight w:val="none"/>
        </w:rPr>
        <w:t>1</w:t>
      </w:r>
      <w:r>
        <w:rPr>
          <w:rFonts w:hint="eastAsia" w:cs="仿宋_GB2312" w:asciiTheme="minorEastAsia" w:hAnsiTheme="minorEastAsia" w:eastAsiaTheme="minorEastAsia"/>
          <w:b/>
          <w:bCs/>
          <w:color w:val="auto"/>
          <w:sz w:val="24"/>
          <w:szCs w:val="24"/>
          <w:highlight w:val="none"/>
        </w:rPr>
        <w:t>）报价文件：</w:t>
      </w:r>
    </w:p>
    <w:p w14:paraId="65A1C7F6">
      <w:pPr>
        <w:snapToGrid w:val="0"/>
        <w:spacing w:line="500" w:lineRule="exact"/>
        <w:ind w:firstLine="484" w:firstLineChars="200"/>
        <w:rPr>
          <w:rFonts w:cs="仿宋_GB2312" w:asciiTheme="minorEastAsia" w:hAnsiTheme="minorEastAsia" w:eastAsiaTheme="minorEastAsia"/>
          <w:b/>
          <w:color w:val="auto"/>
          <w:sz w:val="24"/>
          <w:szCs w:val="24"/>
          <w:highlight w:val="none"/>
        </w:rPr>
      </w:pPr>
      <w:r>
        <w:rPr>
          <w:rFonts w:cs="仿宋_GB2312" w:asciiTheme="minorEastAsia" w:hAnsiTheme="minorEastAsia" w:eastAsiaTheme="minorEastAsia"/>
          <w:color w:val="auto"/>
          <w:sz w:val="24"/>
          <w:szCs w:val="24"/>
          <w:highlight w:val="none"/>
        </w:rPr>
        <w:t>A</w:t>
      </w:r>
      <w:r>
        <w:rPr>
          <w:rFonts w:hint="eastAsia" w:cs="仿宋_GB2312" w:asciiTheme="minorEastAsia" w:hAnsiTheme="minorEastAsia" w:eastAsiaTheme="minorEastAsia"/>
          <w:color w:val="auto"/>
          <w:sz w:val="24"/>
          <w:szCs w:val="24"/>
          <w:highlight w:val="none"/>
        </w:rPr>
        <w:t>.基础报价书：按本《磋商文件》“附件</w:t>
      </w:r>
      <w:r>
        <w:rPr>
          <w:rFonts w:cs="仿宋_GB2312" w:asciiTheme="minorEastAsia" w:hAnsiTheme="minorEastAsia" w:eastAsiaTheme="minorEastAsia"/>
          <w:color w:val="auto"/>
          <w:sz w:val="24"/>
          <w:szCs w:val="24"/>
          <w:highlight w:val="none"/>
        </w:rPr>
        <w:t>1</w:t>
      </w:r>
      <w:r>
        <w:rPr>
          <w:rFonts w:hint="eastAsia" w:cs="仿宋_GB2312" w:asciiTheme="minorEastAsia" w:hAnsiTheme="minorEastAsia" w:eastAsiaTheme="minorEastAsia"/>
          <w:color w:val="auto"/>
          <w:sz w:val="24"/>
          <w:szCs w:val="24"/>
          <w:highlight w:val="none"/>
        </w:rPr>
        <w:t>”的格式填报并按格式要求签章；</w:t>
      </w:r>
      <w:r>
        <w:rPr>
          <w:rFonts w:hint="eastAsia" w:cs="仿宋_GB2312" w:asciiTheme="minorEastAsia" w:hAnsiTheme="minorEastAsia" w:eastAsiaTheme="minorEastAsia"/>
          <w:b/>
          <w:color w:val="auto"/>
          <w:sz w:val="24"/>
          <w:szCs w:val="24"/>
          <w:highlight w:val="none"/>
        </w:rPr>
        <w:t>（</w:t>
      </w:r>
      <w:r>
        <w:rPr>
          <w:rFonts w:hint="eastAsia" w:cs="仿宋_GB2312" w:asciiTheme="minorEastAsia" w:hAnsiTheme="minorEastAsia" w:eastAsiaTheme="minorEastAsia"/>
          <w:b/>
          <w:color w:val="auto"/>
          <w:sz w:val="24"/>
          <w:szCs w:val="24"/>
          <w:highlight w:val="none"/>
          <w:lang w:val="en-US" w:eastAsia="zh-CN"/>
        </w:rPr>
        <w:t>报价</w:t>
      </w:r>
      <w:r>
        <w:rPr>
          <w:rFonts w:hint="eastAsia" w:cs="仿宋_GB2312" w:asciiTheme="minorEastAsia" w:hAnsiTheme="minorEastAsia" w:eastAsiaTheme="minorEastAsia"/>
          <w:b/>
          <w:color w:val="auto"/>
          <w:sz w:val="24"/>
          <w:szCs w:val="24"/>
          <w:highlight w:val="none"/>
        </w:rPr>
        <w:t>审查）</w:t>
      </w:r>
    </w:p>
    <w:p w14:paraId="5E4C3A54">
      <w:pPr>
        <w:snapToGrid w:val="0"/>
        <w:spacing w:line="500" w:lineRule="exact"/>
        <w:ind w:firstLine="484" w:firstLineChars="200"/>
        <w:rPr>
          <w:rFonts w:cs="仿宋_GB2312" w:asciiTheme="minorEastAsia" w:hAnsiTheme="minorEastAsia" w:eastAsiaTheme="minorEastAsia"/>
          <w:b/>
          <w:color w:val="auto"/>
          <w:sz w:val="24"/>
          <w:szCs w:val="24"/>
          <w:highlight w:val="none"/>
        </w:rPr>
      </w:pPr>
      <w:r>
        <w:rPr>
          <w:rFonts w:hint="eastAsia" w:cs="仿宋_GB2312" w:asciiTheme="minorEastAsia" w:hAnsiTheme="minorEastAsia" w:eastAsiaTheme="minorEastAsia"/>
          <w:color w:val="auto"/>
          <w:sz w:val="24"/>
          <w:szCs w:val="24"/>
          <w:highlight w:val="none"/>
        </w:rPr>
        <w:t>B.</w:t>
      </w:r>
      <w:r>
        <w:rPr>
          <w:rFonts w:hint="eastAsia" w:ascii="宋体" w:hAnsi="宋体" w:cs="仿宋_GB2312"/>
          <w:color w:val="auto"/>
          <w:sz w:val="24"/>
          <w:szCs w:val="24"/>
          <w:highlight w:val="none"/>
        </w:rPr>
        <w:t>已标价工程量清单：按“附件</w:t>
      </w:r>
      <w:r>
        <w:rPr>
          <w:rFonts w:hint="eastAsia" w:ascii="宋体" w:hAnsi="宋体" w:cs="仿宋_GB2312"/>
          <w:color w:val="auto"/>
          <w:sz w:val="24"/>
          <w:szCs w:val="24"/>
          <w:highlight w:val="none"/>
          <w:lang w:val="en-US" w:eastAsia="zh-CN"/>
        </w:rPr>
        <w:t>4</w:t>
      </w:r>
      <w:r>
        <w:rPr>
          <w:rFonts w:hint="eastAsia" w:ascii="宋体" w:hAnsi="宋体" w:cs="仿宋_GB2312"/>
          <w:color w:val="auto"/>
          <w:sz w:val="24"/>
          <w:szCs w:val="24"/>
          <w:highlight w:val="none"/>
        </w:rPr>
        <w:t>：采购工程量清单”要求编制；注：已标价工程量清单表格样式不作强制要求，已标价工程量清单封面、扉页及内容无需造价人员签字或盖章。</w:t>
      </w:r>
      <w:r>
        <w:rPr>
          <w:rFonts w:hint="eastAsia" w:ascii="宋体" w:hAnsi="宋体" w:cs="仿宋_GB2312"/>
          <w:color w:val="auto"/>
          <w:sz w:val="24"/>
          <w:szCs w:val="24"/>
          <w:highlight w:val="none"/>
          <w:lang w:eastAsia="zh-CN"/>
        </w:rPr>
        <w:t>（</w:t>
      </w:r>
      <w:r>
        <w:rPr>
          <w:rFonts w:hint="eastAsia" w:ascii="宋体" w:hAnsi="宋体" w:cs="仿宋_GB2312"/>
          <w:color w:val="auto"/>
          <w:sz w:val="24"/>
          <w:szCs w:val="24"/>
          <w:highlight w:val="none"/>
          <w:lang w:val="en-US" w:eastAsia="zh-CN"/>
        </w:rPr>
        <w:t>若竞争性磋商文件中提供的工程量清单中项目名称与竞争性磋商文件中项目名称</w:t>
      </w:r>
      <w:r>
        <w:rPr>
          <w:rFonts w:hint="eastAsia" w:ascii="宋体" w:hAnsi="宋体" w:eastAsia="宋体" w:cs="仿宋_GB2312"/>
          <w:color w:val="auto"/>
          <w:sz w:val="24"/>
          <w:szCs w:val="24"/>
          <w:highlight w:val="none"/>
          <w:lang w:val="en-US" w:eastAsia="zh-CN"/>
        </w:rPr>
        <w:t>不一致</w:t>
      </w:r>
      <w:r>
        <w:rPr>
          <w:rFonts w:hint="eastAsia" w:ascii="宋体" w:hAnsi="宋体" w:cs="仿宋_GB2312"/>
          <w:color w:val="auto"/>
          <w:sz w:val="24"/>
          <w:szCs w:val="24"/>
          <w:highlight w:val="none"/>
          <w:lang w:val="en-US" w:eastAsia="zh-CN"/>
        </w:rPr>
        <w:t>的</w:t>
      </w:r>
      <w:r>
        <w:rPr>
          <w:rFonts w:hint="eastAsia" w:ascii="宋体" w:hAnsi="宋体" w:eastAsia="宋体" w:cs="仿宋_GB2312"/>
          <w:color w:val="auto"/>
          <w:sz w:val="24"/>
          <w:szCs w:val="24"/>
          <w:highlight w:val="none"/>
          <w:lang w:val="en-US" w:eastAsia="zh-CN"/>
        </w:rPr>
        <w:t>，各供应商以</w:t>
      </w:r>
      <w:r>
        <w:rPr>
          <w:rFonts w:hint="eastAsia" w:ascii="宋体" w:hAnsi="宋体" w:cs="仿宋_GB2312"/>
          <w:color w:val="auto"/>
          <w:sz w:val="24"/>
          <w:szCs w:val="24"/>
          <w:highlight w:val="none"/>
          <w:lang w:val="en-US" w:eastAsia="zh-CN"/>
        </w:rPr>
        <w:t>竞争性磋商文件中提供的工程量清单中项目名称或以竞争性磋商文件中项目名称制作</w:t>
      </w:r>
      <w:r>
        <w:rPr>
          <w:rFonts w:hint="eastAsia" w:ascii="宋体" w:hAnsi="宋体" w:eastAsia="宋体" w:cs="仿宋_GB2312"/>
          <w:color w:val="auto"/>
          <w:sz w:val="24"/>
          <w:szCs w:val="24"/>
          <w:highlight w:val="none"/>
          <w:lang w:val="en-US" w:eastAsia="zh-CN"/>
        </w:rPr>
        <w:t>已标价工程量清单均有效。）</w:t>
      </w:r>
      <w:r>
        <w:rPr>
          <w:rFonts w:hint="eastAsia" w:cs="仿宋_GB2312" w:asciiTheme="minorEastAsia" w:hAnsiTheme="minorEastAsia" w:eastAsiaTheme="minorEastAsia"/>
          <w:b/>
          <w:color w:val="auto"/>
          <w:sz w:val="24"/>
          <w:szCs w:val="24"/>
          <w:highlight w:val="none"/>
        </w:rPr>
        <w:t>（</w:t>
      </w:r>
      <w:r>
        <w:rPr>
          <w:rFonts w:hint="eastAsia" w:cs="仿宋_GB2312" w:asciiTheme="minorEastAsia" w:hAnsiTheme="minorEastAsia" w:eastAsiaTheme="minorEastAsia"/>
          <w:b/>
          <w:color w:val="auto"/>
          <w:sz w:val="24"/>
          <w:szCs w:val="24"/>
          <w:highlight w:val="none"/>
          <w:lang w:val="en-US" w:eastAsia="zh-CN"/>
        </w:rPr>
        <w:t>报价</w:t>
      </w:r>
      <w:r>
        <w:rPr>
          <w:rFonts w:hint="eastAsia" w:cs="仿宋_GB2312" w:asciiTheme="minorEastAsia" w:hAnsiTheme="minorEastAsia" w:eastAsiaTheme="minorEastAsia"/>
          <w:b/>
          <w:color w:val="auto"/>
          <w:sz w:val="24"/>
          <w:szCs w:val="24"/>
          <w:highlight w:val="none"/>
        </w:rPr>
        <w:t>审查）</w:t>
      </w:r>
    </w:p>
    <w:p w14:paraId="64EDD2A0">
      <w:pPr>
        <w:snapToGrid w:val="0"/>
        <w:spacing w:line="500" w:lineRule="exact"/>
        <w:ind w:firstLine="478" w:firstLineChars="198"/>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C.供应商认为应该提交的其他报价文件及资料。</w:t>
      </w:r>
    </w:p>
    <w:p w14:paraId="58E73162">
      <w:pPr>
        <w:snapToGrid w:val="0"/>
        <w:spacing w:line="500" w:lineRule="exact"/>
        <w:ind w:firstLine="236" w:firstLineChars="98"/>
        <w:rPr>
          <w:rFonts w:cs="仿宋_GB2312" w:asciiTheme="minorEastAsia" w:hAnsiTheme="minorEastAsia" w:eastAsiaTheme="minorEastAsia"/>
          <w:b/>
          <w:bCs/>
          <w:color w:val="auto"/>
          <w:sz w:val="24"/>
          <w:szCs w:val="24"/>
          <w:highlight w:val="none"/>
        </w:rPr>
      </w:pPr>
      <w:r>
        <w:rPr>
          <w:rFonts w:hint="eastAsia" w:cs="仿宋_GB2312" w:asciiTheme="minorEastAsia" w:hAnsiTheme="minorEastAsia" w:eastAsiaTheme="minorEastAsia"/>
          <w:b/>
          <w:bCs/>
          <w:color w:val="auto"/>
          <w:sz w:val="24"/>
          <w:szCs w:val="24"/>
          <w:highlight w:val="none"/>
        </w:rPr>
        <w:t>（</w:t>
      </w:r>
      <w:r>
        <w:rPr>
          <w:rFonts w:cs="仿宋_GB2312" w:asciiTheme="minorEastAsia" w:hAnsiTheme="minorEastAsia" w:eastAsiaTheme="minorEastAsia"/>
          <w:b/>
          <w:bCs/>
          <w:color w:val="auto"/>
          <w:sz w:val="24"/>
          <w:szCs w:val="24"/>
          <w:highlight w:val="none"/>
        </w:rPr>
        <w:t>2</w:t>
      </w:r>
      <w:r>
        <w:rPr>
          <w:rFonts w:hint="eastAsia" w:cs="仿宋_GB2312" w:asciiTheme="minorEastAsia" w:hAnsiTheme="minorEastAsia" w:eastAsiaTheme="minorEastAsia"/>
          <w:b/>
          <w:bCs/>
          <w:color w:val="auto"/>
          <w:sz w:val="24"/>
          <w:szCs w:val="24"/>
          <w:highlight w:val="none"/>
        </w:rPr>
        <w:t>）资格文件：</w:t>
      </w:r>
    </w:p>
    <w:p w14:paraId="6B842BAA">
      <w:pPr>
        <w:snapToGrid w:val="0"/>
        <w:spacing w:line="500" w:lineRule="exact"/>
        <w:ind w:firstLine="475" w:firstLineChars="197"/>
        <w:rPr>
          <w:rFonts w:cs="宋体-18030" w:asciiTheme="minorEastAsia" w:hAnsiTheme="minorEastAsia" w:eastAsiaTheme="minorEastAsia"/>
          <w:color w:val="auto"/>
          <w:sz w:val="24"/>
          <w:szCs w:val="24"/>
          <w:highlight w:val="none"/>
        </w:rPr>
      </w:pPr>
      <w:r>
        <w:rPr>
          <w:rFonts w:hint="eastAsia" w:cs="宋体-18030" w:asciiTheme="minorEastAsia" w:hAnsiTheme="minorEastAsia" w:eastAsiaTheme="minorEastAsia"/>
          <w:color w:val="auto"/>
          <w:sz w:val="24"/>
          <w:szCs w:val="24"/>
          <w:highlight w:val="none"/>
        </w:rPr>
        <w:t>A.具有独立承担民事责任的能力：</w:t>
      </w:r>
      <w:r>
        <w:rPr>
          <w:rFonts w:hint="eastAsia" w:cs="宋体-18030" w:asciiTheme="minorEastAsia" w:hAnsiTheme="minorEastAsia" w:eastAsiaTheme="minorEastAsia"/>
          <w:color w:val="auto"/>
          <w:sz w:val="24"/>
          <w:szCs w:val="24"/>
          <w:highlight w:val="none"/>
          <w:u w:val="single"/>
        </w:rPr>
        <w:t>提供有效的营业执照</w:t>
      </w:r>
      <w:r>
        <w:rPr>
          <w:rFonts w:hint="eastAsia" w:cs="宋体-18030" w:asciiTheme="minorEastAsia" w:hAnsiTheme="minorEastAsia" w:eastAsiaTheme="minorEastAsia"/>
          <w:color w:val="auto"/>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6675AE10">
      <w:pPr>
        <w:snapToGrid w:val="0"/>
        <w:spacing w:line="500" w:lineRule="exact"/>
        <w:ind w:firstLine="475" w:firstLineChars="197"/>
        <w:rPr>
          <w:rFonts w:cs="宋体-18030" w:asciiTheme="minorEastAsia" w:hAnsiTheme="minorEastAsia" w:eastAsiaTheme="minorEastAsia"/>
          <w:color w:val="auto"/>
          <w:sz w:val="24"/>
          <w:szCs w:val="24"/>
          <w:highlight w:val="none"/>
          <w:u w:val="single"/>
        </w:rPr>
      </w:pPr>
      <w:r>
        <w:rPr>
          <w:rFonts w:hint="eastAsia" w:cs="宋体-18030" w:asciiTheme="minorEastAsia" w:hAnsiTheme="minorEastAsia" w:eastAsiaTheme="minorEastAsia"/>
          <w:color w:val="auto"/>
          <w:sz w:val="24"/>
          <w:szCs w:val="24"/>
          <w:highlight w:val="none"/>
        </w:rPr>
        <w:t>B.具有良好的商业信誉和健全的财务会计制度：</w:t>
      </w:r>
      <w:r>
        <w:rPr>
          <w:rFonts w:hint="eastAsia" w:cs="宋体-18030" w:asciiTheme="minorEastAsia" w:hAnsiTheme="minorEastAsia" w:eastAsiaTheme="minorEastAsia"/>
          <w:color w:val="auto"/>
          <w:sz w:val="24"/>
          <w:szCs w:val="24"/>
          <w:highlight w:val="none"/>
          <w:u w:val="single"/>
        </w:rPr>
        <w:t>提供会计师事务所出具的</w:t>
      </w:r>
      <w:r>
        <w:rPr>
          <w:rFonts w:hint="eastAsia" w:cs="宋体-18030" w:asciiTheme="minorEastAsia" w:hAnsiTheme="minorEastAsia" w:eastAsiaTheme="minorEastAsia"/>
          <w:color w:val="auto"/>
          <w:sz w:val="24"/>
          <w:szCs w:val="24"/>
          <w:highlight w:val="none"/>
          <w:u w:val="single"/>
          <w:lang w:eastAsia="zh-CN"/>
        </w:rPr>
        <w:t>2024年度</w:t>
      </w:r>
      <w:r>
        <w:rPr>
          <w:rFonts w:hint="eastAsia" w:cs="宋体-18030" w:asciiTheme="minorEastAsia" w:hAnsiTheme="minorEastAsia" w:eastAsiaTheme="minorEastAsia"/>
          <w:color w:val="auto"/>
          <w:sz w:val="24"/>
          <w:szCs w:val="24"/>
          <w:highlight w:val="none"/>
          <w:u w:val="single"/>
        </w:rPr>
        <w:t>的财务审计报告（包括资产负债表、现金流量表、利润表或利润分配表、财务报表附注或财务状况说明书、会计师事务所的营业执照及执业资格证书）；或提供基本开户银行</w:t>
      </w:r>
      <w:r>
        <w:rPr>
          <w:rFonts w:hint="eastAsia" w:cs="宋体-18030" w:asciiTheme="minorEastAsia" w:hAnsiTheme="minorEastAsia" w:eastAsiaTheme="minorEastAsia"/>
          <w:color w:val="auto"/>
          <w:sz w:val="24"/>
          <w:szCs w:val="24"/>
          <w:highlight w:val="none"/>
          <w:u w:val="single"/>
          <w:lang w:eastAsia="zh-CN"/>
        </w:rPr>
        <w:t>2025年1月至</w:t>
      </w:r>
      <w:r>
        <w:rPr>
          <w:rFonts w:hint="eastAsia" w:cs="宋体-18030" w:asciiTheme="minorEastAsia" w:hAnsiTheme="minorEastAsia" w:eastAsiaTheme="minorEastAsia"/>
          <w:color w:val="auto"/>
          <w:sz w:val="24"/>
          <w:szCs w:val="24"/>
          <w:highlight w:val="none"/>
          <w:u w:val="single"/>
        </w:rPr>
        <w:t>开标前任意时间出具的资信证明；或提供承诺具有良好的商业信誉和健全的财务会计制度</w:t>
      </w:r>
      <w:r>
        <w:rPr>
          <w:rFonts w:hint="eastAsia" w:cs="宋体-18030" w:asciiTheme="minorEastAsia" w:hAnsiTheme="minorEastAsia" w:eastAsiaTheme="minorEastAsia"/>
          <w:color w:val="auto"/>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3E772D57">
      <w:pPr>
        <w:snapToGrid w:val="0"/>
        <w:spacing w:line="500" w:lineRule="exact"/>
        <w:ind w:firstLine="475" w:firstLineChars="197"/>
        <w:rPr>
          <w:rFonts w:cs="宋体-18030" w:asciiTheme="minorEastAsia" w:hAnsiTheme="minorEastAsia" w:eastAsiaTheme="minorEastAsia"/>
          <w:color w:val="auto"/>
          <w:sz w:val="24"/>
          <w:szCs w:val="24"/>
          <w:highlight w:val="none"/>
          <w:u w:val="single"/>
        </w:rPr>
      </w:pPr>
      <w:r>
        <w:rPr>
          <w:rFonts w:hint="eastAsia" w:cs="宋体-18030" w:asciiTheme="minorEastAsia" w:hAnsiTheme="minorEastAsia" w:eastAsiaTheme="minorEastAsia"/>
          <w:color w:val="auto"/>
          <w:sz w:val="24"/>
          <w:szCs w:val="24"/>
          <w:highlight w:val="none"/>
        </w:rPr>
        <w:t>C.具有履行合同所必需的设备和专业技术能力：</w:t>
      </w:r>
      <w:r>
        <w:rPr>
          <w:rFonts w:hint="eastAsia" w:cs="宋体-18030" w:asciiTheme="minorEastAsia" w:hAnsiTheme="minorEastAsia" w:eastAsiaTheme="minorEastAsia"/>
          <w:color w:val="auto"/>
          <w:sz w:val="24"/>
          <w:szCs w:val="24"/>
          <w:highlight w:val="none"/>
          <w:u w:val="single"/>
        </w:rPr>
        <w:t>提供具有履行合同所必需的设备清单和专业技术能力人员名单；或提供承诺具有履行合同所必需的设备和专业技术能力</w:t>
      </w:r>
      <w:r>
        <w:rPr>
          <w:rFonts w:hint="eastAsia" w:cs="宋体-18030" w:asciiTheme="minorEastAsia" w:hAnsiTheme="minorEastAsia" w:eastAsiaTheme="minorEastAsia"/>
          <w:color w:val="auto"/>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0357A059">
      <w:pPr>
        <w:snapToGrid w:val="0"/>
        <w:spacing w:line="500" w:lineRule="exact"/>
        <w:ind w:firstLine="475" w:firstLineChars="197"/>
        <w:rPr>
          <w:rFonts w:cs="宋体-18030" w:asciiTheme="minorEastAsia" w:hAnsiTheme="minorEastAsia" w:eastAsiaTheme="minorEastAsia"/>
          <w:color w:val="auto"/>
          <w:sz w:val="24"/>
          <w:szCs w:val="24"/>
          <w:highlight w:val="none"/>
          <w:u w:val="single"/>
        </w:rPr>
      </w:pPr>
      <w:r>
        <w:rPr>
          <w:rFonts w:hint="eastAsia" w:cs="宋体-18030" w:asciiTheme="minorEastAsia" w:hAnsiTheme="minorEastAsia" w:eastAsiaTheme="minorEastAsia"/>
          <w:color w:val="auto"/>
          <w:sz w:val="24"/>
          <w:szCs w:val="24"/>
          <w:highlight w:val="none"/>
        </w:rPr>
        <w:t>D.具有依法缴纳税收和社会保障资金的良好记录：</w:t>
      </w:r>
      <w:r>
        <w:rPr>
          <w:rFonts w:hint="eastAsia" w:cs="宋体-18030" w:asciiTheme="minorEastAsia" w:hAnsiTheme="minorEastAsia" w:eastAsiaTheme="minorEastAsia"/>
          <w:color w:val="auto"/>
          <w:sz w:val="24"/>
          <w:szCs w:val="24"/>
          <w:highlight w:val="none"/>
          <w:u w:val="single"/>
        </w:rPr>
        <w:t>提供</w:t>
      </w:r>
      <w:r>
        <w:rPr>
          <w:rFonts w:hint="eastAsia" w:cs="宋体-18030" w:asciiTheme="minorEastAsia" w:hAnsiTheme="minorEastAsia" w:eastAsiaTheme="minorEastAsia"/>
          <w:color w:val="auto"/>
          <w:sz w:val="24"/>
          <w:szCs w:val="24"/>
          <w:highlight w:val="none"/>
          <w:u w:val="single"/>
          <w:lang w:eastAsia="zh-CN"/>
        </w:rPr>
        <w:t>2025年1月至</w:t>
      </w:r>
      <w:r>
        <w:rPr>
          <w:rFonts w:hint="eastAsia" w:cs="宋体-18030" w:asciiTheme="minorEastAsia" w:hAnsiTheme="minorEastAsia" w:eastAsiaTheme="minorEastAsia"/>
          <w:color w:val="auto"/>
          <w:sz w:val="24"/>
          <w:szCs w:val="24"/>
          <w:highlight w:val="none"/>
          <w:u w:val="single"/>
        </w:rPr>
        <w:t>开标时间前任意一个月社会保障资金缴纳凭证和依法缴纳税收的凭证证明材料（所属日期税款为“0”而无缴纳凭证的，应有税务机关盖章认可的零申报说明材料）；不需要缴纳社保资金和缴纳税收或依法免税的供应商须提供相应证明文件；或提供承诺具有依法缴纳税收和社会保障资金的良好记录</w:t>
      </w:r>
      <w:r>
        <w:rPr>
          <w:rFonts w:hint="eastAsia" w:cs="宋体-18030" w:asciiTheme="minorEastAsia" w:hAnsiTheme="minorEastAsia" w:eastAsiaTheme="minorEastAsia"/>
          <w:color w:val="auto"/>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26E7BAD7">
      <w:pPr>
        <w:snapToGrid w:val="0"/>
        <w:spacing w:line="500" w:lineRule="exact"/>
        <w:ind w:firstLine="475" w:firstLineChars="197"/>
        <w:rPr>
          <w:rFonts w:cs="宋体-18030" w:asciiTheme="minorEastAsia" w:hAnsiTheme="minorEastAsia" w:eastAsiaTheme="minorEastAsia"/>
          <w:color w:val="auto"/>
          <w:sz w:val="24"/>
          <w:szCs w:val="24"/>
          <w:highlight w:val="none"/>
        </w:rPr>
      </w:pPr>
      <w:r>
        <w:rPr>
          <w:rFonts w:hint="eastAsia" w:cs="宋体-18030" w:asciiTheme="minorEastAsia" w:hAnsiTheme="minorEastAsia" w:eastAsiaTheme="minorEastAsia"/>
          <w:color w:val="auto"/>
          <w:sz w:val="24"/>
          <w:szCs w:val="24"/>
          <w:highlight w:val="none"/>
        </w:rPr>
        <w:t>E.参加本次政府采购活动前三年内，在经营活动中没有违法违规记录：</w:t>
      </w:r>
      <w:r>
        <w:rPr>
          <w:rFonts w:hint="eastAsia" w:cs="宋体-18030" w:asciiTheme="minorEastAsia" w:hAnsiTheme="minorEastAsia" w:eastAsiaTheme="minorEastAsia"/>
          <w:color w:val="auto"/>
          <w:sz w:val="24"/>
          <w:szCs w:val="24"/>
          <w:highlight w:val="none"/>
          <w:u w:val="single"/>
        </w:rPr>
        <w:t>提供书面声明：参加本次政府采购活动前三年内，在经营活动中没有违法记录（重大违法记录是指投标人因违法经营受到刑事处罚或者责令停产停业、吊销许可证或者执照、较大数额罚款等行政处罚</w:t>
      </w:r>
      <w:r>
        <w:rPr>
          <w:rFonts w:hint="eastAsia" w:cs="宋体-18030" w:asciiTheme="minorEastAsia" w:hAnsiTheme="minorEastAsia" w:eastAsiaTheme="minorEastAsia"/>
          <w:color w:val="auto"/>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44AAA2BD">
      <w:pPr>
        <w:spacing w:line="500" w:lineRule="exact"/>
        <w:ind w:firstLine="484" w:firstLineChars="200"/>
        <w:rPr>
          <w:rFonts w:cs="宋体" w:asciiTheme="minorEastAsia" w:hAnsiTheme="minorEastAsia" w:eastAsiaTheme="minorEastAsia"/>
          <w:color w:val="auto"/>
          <w:kern w:val="0"/>
          <w:sz w:val="24"/>
          <w:szCs w:val="24"/>
          <w:highlight w:val="none"/>
        </w:rPr>
      </w:pPr>
      <w:r>
        <w:rPr>
          <w:rFonts w:hint="eastAsia" w:cs="宋体-18030" w:asciiTheme="minorEastAsia" w:hAnsiTheme="minorEastAsia" w:eastAsiaTheme="minorEastAsia"/>
          <w:color w:val="auto"/>
          <w:sz w:val="24"/>
          <w:szCs w:val="24"/>
          <w:highlight w:val="none"/>
        </w:rPr>
        <w:t>F.</w:t>
      </w:r>
      <w:r>
        <w:rPr>
          <w:rFonts w:hint="eastAsia" w:cs="宋体" w:asciiTheme="minorEastAsia" w:hAnsiTheme="minorEastAsia" w:eastAsiaTheme="minorEastAsia"/>
          <w:color w:val="auto"/>
          <w:kern w:val="0"/>
          <w:sz w:val="24"/>
          <w:szCs w:val="24"/>
          <w:highlight w:val="none"/>
        </w:rPr>
        <w:t>诚信资格要求：</w:t>
      </w:r>
      <w:r>
        <w:rPr>
          <w:rFonts w:hint="eastAsia" w:cs="宋体" w:asciiTheme="minorEastAsia" w:hAnsiTheme="minorEastAsia" w:eastAsiaTheme="minorEastAsia"/>
          <w:color w:val="auto"/>
          <w:kern w:val="0"/>
          <w:sz w:val="24"/>
          <w:szCs w:val="24"/>
          <w:highlight w:val="none"/>
          <w:lang w:eastAsia="zh-CN"/>
        </w:rPr>
        <w:t>供应商须承诺：在“信用中国”网站（www.creditchina.gov.cn）、中国政府采购网（www.ccgp.gov.cn）等渠道查询中未被列入失信被执行人名单、重大税收违失信主体名单、政府采购严重违法失信行为记录名单中，如被列入失信被执行人、重大税收违失信主体名单、政府采购严重违法失信行为记录名单中，自愿取消投标资格，并承担由此造成的一切法律责任及后果。</w:t>
      </w:r>
      <w:r>
        <w:rPr>
          <w:rFonts w:hint="eastAsia" w:cs="宋体-18030" w:asciiTheme="minorEastAsia" w:hAnsiTheme="minorEastAsia" w:eastAsiaTheme="minorEastAsia"/>
          <w:b/>
          <w:bCs/>
          <w:color w:val="auto"/>
          <w:sz w:val="24"/>
          <w:szCs w:val="24"/>
          <w:highlight w:val="none"/>
        </w:rPr>
        <w:t>（资格审查项）</w:t>
      </w:r>
    </w:p>
    <w:p w14:paraId="3464052E">
      <w:pPr>
        <w:spacing w:line="500" w:lineRule="exact"/>
        <w:ind w:firstLine="484" w:firstLineChars="200"/>
        <w:rPr>
          <w:rFonts w:cs="宋体-18030"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kern w:val="0"/>
          <w:sz w:val="24"/>
          <w:szCs w:val="24"/>
          <w:highlight w:val="none"/>
        </w:rPr>
        <w:t>G.法定代表人参加投标的必须上传</w:t>
      </w:r>
      <w:r>
        <w:rPr>
          <w:rFonts w:hint="eastAsia" w:cs="宋体" w:asciiTheme="minorEastAsia" w:hAnsiTheme="minorEastAsia" w:eastAsiaTheme="minorEastAsia"/>
          <w:color w:val="auto"/>
          <w:kern w:val="0"/>
          <w:sz w:val="24"/>
          <w:szCs w:val="24"/>
          <w:highlight w:val="none"/>
          <w:lang w:eastAsia="zh-CN"/>
        </w:rPr>
        <w:t>法定代表人身份证</w:t>
      </w:r>
      <w:r>
        <w:rPr>
          <w:rFonts w:hint="eastAsia" w:cs="宋体" w:asciiTheme="minorEastAsia" w:hAnsiTheme="minorEastAsia" w:eastAsiaTheme="minorEastAsia"/>
          <w:color w:val="auto"/>
          <w:kern w:val="0"/>
          <w:sz w:val="24"/>
          <w:szCs w:val="24"/>
          <w:highlight w:val="none"/>
        </w:rPr>
        <w:t>；法人授权委托人参加投标的上传法定代表人授权委托书及被授权委托人身份证</w:t>
      </w:r>
      <w:r>
        <w:rPr>
          <w:rFonts w:hint="eastAsia" w:cs="宋体-18030" w:asciiTheme="minorEastAsia" w:hAnsiTheme="minorEastAsia" w:eastAsiaTheme="minorEastAsia"/>
          <w:color w:val="auto"/>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2A23B52C">
      <w:pPr>
        <w:autoSpaceDE w:val="0"/>
        <w:autoSpaceDN w:val="0"/>
        <w:adjustRightInd w:val="0"/>
        <w:spacing w:line="500" w:lineRule="exact"/>
        <w:ind w:firstLine="484" w:firstLineChars="200"/>
        <w:jc w:val="left"/>
        <w:rPr>
          <w:rFonts w:ascii="宋体" w:hAnsi="宋体" w:cs="宋体"/>
          <w:color w:val="auto"/>
          <w:kern w:val="0"/>
          <w:sz w:val="24"/>
          <w:szCs w:val="24"/>
          <w:highlight w:val="none"/>
        </w:rPr>
      </w:pPr>
      <w:r>
        <w:rPr>
          <w:rFonts w:ascii="宋体" w:hAnsi="宋体" w:cs="宋体"/>
          <w:color w:val="auto"/>
          <w:kern w:val="0"/>
          <w:sz w:val="24"/>
          <w:szCs w:val="24"/>
          <w:highlight w:val="none"/>
        </w:rPr>
        <w:t>H</w:t>
      </w:r>
      <w:r>
        <w:rPr>
          <w:rFonts w:hint="eastAsia" w:ascii="宋体" w:hAnsi="宋体" w:cs="宋体"/>
          <w:color w:val="auto"/>
          <w:kern w:val="0"/>
          <w:sz w:val="24"/>
          <w:szCs w:val="24"/>
          <w:highlight w:val="none"/>
        </w:rPr>
        <w:t>.具备建设行政主管部门核发的</w:t>
      </w:r>
      <w:r>
        <w:rPr>
          <w:rFonts w:hint="eastAsia" w:ascii="宋体" w:hAnsi="宋体" w:cs="宋体"/>
          <w:b/>
          <w:bCs/>
          <w:color w:val="auto"/>
          <w:kern w:val="0"/>
          <w:sz w:val="24"/>
          <w:szCs w:val="24"/>
          <w:highlight w:val="none"/>
          <w:u w:val="single"/>
          <w:lang w:eastAsia="zh-CN"/>
        </w:rPr>
        <w:t>建筑工程施工总承包叁级（含叁级）以上资质</w:t>
      </w:r>
      <w:r>
        <w:rPr>
          <w:rFonts w:hint="eastAsia" w:ascii="宋体" w:hAnsi="宋体" w:cs="宋体"/>
          <w:color w:val="auto"/>
          <w:kern w:val="0"/>
          <w:sz w:val="24"/>
          <w:szCs w:val="24"/>
          <w:highlight w:val="none"/>
        </w:rPr>
        <w:t>。</w:t>
      </w:r>
      <w:r>
        <w:rPr>
          <w:rFonts w:hint="eastAsia" w:cs="宋体-18030" w:asciiTheme="minorEastAsia" w:hAnsiTheme="minorEastAsia" w:eastAsiaTheme="minorEastAsia"/>
          <w:b/>
          <w:bCs/>
          <w:color w:val="auto"/>
          <w:sz w:val="24"/>
          <w:szCs w:val="24"/>
          <w:highlight w:val="none"/>
        </w:rPr>
        <w:t>（资格审查项）</w:t>
      </w:r>
    </w:p>
    <w:p w14:paraId="15AA4261">
      <w:pPr>
        <w:autoSpaceDE w:val="0"/>
        <w:autoSpaceDN w:val="0"/>
        <w:adjustRightInd w:val="0"/>
        <w:spacing w:line="500" w:lineRule="exact"/>
        <w:ind w:firstLine="484" w:firstLineChars="200"/>
        <w:jc w:val="left"/>
        <w:rPr>
          <w:rFonts w:ascii="宋体" w:hAnsi="宋体" w:cs="宋体"/>
          <w:color w:val="auto"/>
          <w:kern w:val="0"/>
          <w:sz w:val="24"/>
          <w:szCs w:val="24"/>
          <w:highlight w:val="none"/>
        </w:rPr>
      </w:pPr>
      <w:r>
        <w:rPr>
          <w:rFonts w:ascii="宋体" w:hAnsi="宋体" w:cs="宋体"/>
          <w:color w:val="auto"/>
          <w:kern w:val="0"/>
          <w:sz w:val="24"/>
          <w:szCs w:val="24"/>
          <w:highlight w:val="none"/>
        </w:rPr>
        <w:t>I</w:t>
      </w:r>
      <w:r>
        <w:rPr>
          <w:rFonts w:hint="eastAsia" w:ascii="宋体" w:hAnsi="宋体" w:cs="宋体"/>
          <w:color w:val="auto"/>
          <w:kern w:val="0"/>
          <w:sz w:val="24"/>
          <w:szCs w:val="24"/>
          <w:highlight w:val="none"/>
        </w:rPr>
        <w:t>.</w:t>
      </w:r>
      <w:r>
        <w:rPr>
          <w:rFonts w:hint="eastAsia" w:ascii="宋体" w:cs="宋体"/>
          <w:color w:val="auto"/>
          <w:kern w:val="0"/>
          <w:sz w:val="24"/>
          <w:szCs w:val="24"/>
          <w:highlight w:val="none"/>
        </w:rPr>
        <w:t>具备有效的安全生产许可证。</w:t>
      </w:r>
      <w:r>
        <w:rPr>
          <w:rFonts w:hint="eastAsia" w:cs="宋体-18030" w:asciiTheme="minorEastAsia" w:hAnsiTheme="minorEastAsia" w:eastAsiaTheme="minorEastAsia"/>
          <w:b/>
          <w:bCs/>
          <w:color w:val="auto"/>
          <w:sz w:val="24"/>
          <w:szCs w:val="24"/>
          <w:highlight w:val="none"/>
        </w:rPr>
        <w:t>（资格审查项）</w:t>
      </w:r>
    </w:p>
    <w:p w14:paraId="3F0D84B3">
      <w:pPr>
        <w:autoSpaceDE w:val="0"/>
        <w:autoSpaceDN w:val="0"/>
        <w:adjustRightInd w:val="0"/>
        <w:spacing w:line="500" w:lineRule="exact"/>
        <w:ind w:firstLine="484" w:firstLineChars="200"/>
        <w:jc w:val="left"/>
        <w:rPr>
          <w:rFonts w:cs="宋体-18030" w:asciiTheme="minorEastAsia" w:hAnsiTheme="minorEastAsia" w:eastAsiaTheme="minorEastAsia"/>
          <w:b/>
          <w:bCs/>
          <w:color w:val="auto"/>
          <w:sz w:val="24"/>
          <w:szCs w:val="24"/>
          <w:highlight w:val="none"/>
        </w:rPr>
      </w:pPr>
      <w:r>
        <w:rPr>
          <w:rFonts w:ascii="宋体" w:hAnsi="宋体" w:cs="宋体"/>
          <w:color w:val="auto"/>
          <w:kern w:val="0"/>
          <w:sz w:val="24"/>
          <w:szCs w:val="24"/>
          <w:highlight w:val="none"/>
        </w:rPr>
        <w:t>J</w:t>
      </w:r>
      <w:r>
        <w:rPr>
          <w:rFonts w:hint="eastAsia" w:ascii="宋体" w:hAnsi="宋体" w:cs="宋体"/>
          <w:color w:val="auto"/>
          <w:kern w:val="0"/>
          <w:sz w:val="24"/>
          <w:szCs w:val="24"/>
          <w:highlight w:val="none"/>
        </w:rPr>
        <w:t>.</w:t>
      </w:r>
      <w:r>
        <w:rPr>
          <w:rFonts w:hint="eastAsia" w:ascii="宋体" w:cs="宋体"/>
          <w:color w:val="auto"/>
          <w:kern w:val="0"/>
          <w:sz w:val="24"/>
          <w:szCs w:val="24"/>
          <w:highlight w:val="none"/>
        </w:rPr>
        <w:t>项目经理具备</w:t>
      </w:r>
      <w:r>
        <w:rPr>
          <w:rFonts w:hint="eastAsia" w:ascii="宋体" w:cs="宋体"/>
          <w:b/>
          <w:bCs/>
          <w:color w:val="auto"/>
          <w:kern w:val="0"/>
          <w:sz w:val="24"/>
          <w:szCs w:val="24"/>
          <w:highlight w:val="none"/>
          <w:u w:val="single"/>
          <w:lang w:eastAsia="zh-CN"/>
        </w:rPr>
        <w:t>建筑工程</w:t>
      </w:r>
      <w:r>
        <w:rPr>
          <w:rFonts w:hint="eastAsia" w:ascii="宋体" w:cs="宋体"/>
          <w:b/>
          <w:bCs/>
          <w:color w:val="auto"/>
          <w:kern w:val="0"/>
          <w:sz w:val="24"/>
          <w:szCs w:val="24"/>
          <w:highlight w:val="none"/>
          <w:u w:val="single"/>
        </w:rPr>
        <w:t>专业贰级（含贰级）</w:t>
      </w:r>
      <w:r>
        <w:rPr>
          <w:rFonts w:hint="eastAsia" w:ascii="宋体" w:cs="宋体"/>
          <w:color w:val="auto"/>
          <w:kern w:val="0"/>
          <w:sz w:val="24"/>
          <w:szCs w:val="24"/>
          <w:highlight w:val="none"/>
        </w:rPr>
        <w:t>以上注册建造师，并具备有效的安全生产考核合格证书（B类），且未担任其他在建建设工程项目的项目经理；须提供身份证、执业资格证、注册证、安考（B）证；注册证单位名称须与投标供应商单位一致，证件单位名称与投标供应商名称不一致的，由发证单位提供变更证明材料或由供应商提供相应的证明文件，否则视为非本单位人员。</w:t>
      </w:r>
      <w:r>
        <w:rPr>
          <w:rFonts w:hint="eastAsia" w:cs="宋体-18030" w:asciiTheme="minorEastAsia" w:hAnsiTheme="minorEastAsia" w:eastAsiaTheme="minorEastAsia"/>
          <w:b/>
          <w:bCs/>
          <w:color w:val="auto"/>
          <w:sz w:val="24"/>
          <w:szCs w:val="24"/>
          <w:highlight w:val="none"/>
        </w:rPr>
        <w:t>（资格审查项）</w:t>
      </w:r>
    </w:p>
    <w:p w14:paraId="64C78885">
      <w:pPr>
        <w:autoSpaceDE w:val="0"/>
        <w:autoSpaceDN w:val="0"/>
        <w:adjustRightInd w:val="0"/>
        <w:spacing w:line="500" w:lineRule="exact"/>
        <w:ind w:firstLine="484" w:firstLineChars="200"/>
        <w:jc w:val="left"/>
        <w:rPr>
          <w:rFonts w:cs="宋体-18030" w:asciiTheme="minorEastAsia" w:hAnsiTheme="minorEastAsia" w:eastAsiaTheme="minorEastAsia"/>
          <w:color w:val="auto"/>
          <w:sz w:val="24"/>
          <w:szCs w:val="24"/>
          <w:highlight w:val="none"/>
        </w:rPr>
      </w:pPr>
      <w:r>
        <w:rPr>
          <w:rFonts w:cs="宋体-18030" w:asciiTheme="minorEastAsia" w:hAnsiTheme="minorEastAsia" w:eastAsiaTheme="minorEastAsia"/>
          <w:color w:val="auto"/>
          <w:sz w:val="24"/>
          <w:szCs w:val="24"/>
          <w:highlight w:val="none"/>
        </w:rPr>
        <w:t>K</w:t>
      </w:r>
      <w:r>
        <w:rPr>
          <w:rFonts w:hint="eastAsia" w:cs="宋体-18030" w:asciiTheme="minorEastAsia" w:hAnsiTheme="minorEastAsia" w:eastAsiaTheme="minorEastAsia"/>
          <w:color w:val="auto"/>
          <w:sz w:val="24"/>
          <w:szCs w:val="24"/>
          <w:highlight w:val="none"/>
        </w:rPr>
        <w:t>．落实政府采购政策需满足的资格要求：本项目专门面向所属行业为“建筑业”的</w:t>
      </w:r>
    </w:p>
    <w:p w14:paraId="38C935D1">
      <w:pPr>
        <w:autoSpaceDE w:val="0"/>
        <w:autoSpaceDN w:val="0"/>
        <w:adjustRightInd w:val="0"/>
        <w:spacing w:line="500" w:lineRule="exact"/>
        <w:ind w:left="0" w:leftChars="0" w:firstLine="0" w:firstLineChars="0"/>
        <w:jc w:val="left"/>
        <w:rPr>
          <w:rFonts w:cs="宋体-18030" w:asciiTheme="minorEastAsia" w:hAnsiTheme="minorEastAsia" w:eastAsiaTheme="minorEastAsia"/>
          <w:color w:val="auto"/>
          <w:sz w:val="24"/>
          <w:szCs w:val="24"/>
          <w:highlight w:val="none"/>
        </w:rPr>
      </w:pPr>
      <w:r>
        <w:rPr>
          <w:rFonts w:hint="eastAsia" w:cs="宋体-18030" w:asciiTheme="minorEastAsia" w:hAnsiTheme="minorEastAsia" w:eastAsiaTheme="minorEastAsia"/>
          <w:color w:val="auto"/>
          <w:sz w:val="24"/>
          <w:szCs w:val="24"/>
          <w:highlight w:val="none"/>
        </w:rPr>
        <w:t>中小企业采购，供应商须提供《中小企业声明函》，且符合工信部联企业《2011》300</w:t>
      </w:r>
    </w:p>
    <w:p w14:paraId="080C30F4">
      <w:pPr>
        <w:autoSpaceDE w:val="0"/>
        <w:autoSpaceDN w:val="0"/>
        <w:adjustRightInd w:val="0"/>
        <w:spacing w:line="500" w:lineRule="exact"/>
        <w:ind w:left="0" w:leftChars="0" w:firstLine="0" w:firstLineChars="0"/>
        <w:jc w:val="left"/>
        <w:rPr>
          <w:rFonts w:cs="宋体-18030" w:asciiTheme="minorEastAsia" w:hAnsiTheme="minorEastAsia" w:eastAsiaTheme="minorEastAsia"/>
          <w:color w:val="auto"/>
          <w:sz w:val="24"/>
          <w:szCs w:val="24"/>
          <w:highlight w:val="none"/>
        </w:rPr>
      </w:pPr>
      <w:r>
        <w:rPr>
          <w:rFonts w:hint="eastAsia" w:cs="宋体-18030" w:asciiTheme="minorEastAsia" w:hAnsiTheme="minorEastAsia" w:eastAsiaTheme="minorEastAsia"/>
          <w:color w:val="auto"/>
          <w:sz w:val="24"/>
          <w:szCs w:val="24"/>
          <w:highlight w:val="none"/>
        </w:rPr>
        <w:t>号文件规定的中小企业划分标准；对视同中小企业的其他供应商，提供财政部会同有关</w:t>
      </w:r>
    </w:p>
    <w:p w14:paraId="1E99B810">
      <w:pPr>
        <w:autoSpaceDE w:val="0"/>
        <w:autoSpaceDN w:val="0"/>
        <w:adjustRightInd w:val="0"/>
        <w:spacing w:line="500" w:lineRule="exact"/>
        <w:ind w:left="0" w:leftChars="0" w:firstLine="0" w:firstLineChars="0"/>
        <w:jc w:val="left"/>
        <w:rPr>
          <w:rFonts w:cs="宋体-18030" w:asciiTheme="minorEastAsia" w:hAnsiTheme="minorEastAsia" w:eastAsiaTheme="minorEastAsia"/>
          <w:color w:val="auto"/>
          <w:sz w:val="24"/>
          <w:szCs w:val="24"/>
          <w:highlight w:val="none"/>
        </w:rPr>
      </w:pPr>
      <w:r>
        <w:rPr>
          <w:rFonts w:hint="eastAsia" w:cs="宋体-18030" w:asciiTheme="minorEastAsia" w:hAnsiTheme="minorEastAsia" w:eastAsiaTheme="minorEastAsia"/>
          <w:color w:val="auto"/>
          <w:sz w:val="24"/>
          <w:szCs w:val="24"/>
          <w:highlight w:val="none"/>
        </w:rPr>
        <w:t>部门规定的证明材料。（《中小企业声明函》符合格式要求，其他视同中小企业供应商</w:t>
      </w:r>
    </w:p>
    <w:p w14:paraId="333DE059">
      <w:pPr>
        <w:autoSpaceDE w:val="0"/>
        <w:autoSpaceDN w:val="0"/>
        <w:adjustRightInd w:val="0"/>
        <w:spacing w:line="500" w:lineRule="exact"/>
        <w:ind w:left="0" w:leftChars="0" w:firstLine="0" w:firstLineChars="0"/>
        <w:jc w:val="left"/>
        <w:rPr>
          <w:rFonts w:ascii="宋体" w:cs="宋体"/>
          <w:color w:val="auto"/>
          <w:kern w:val="0"/>
          <w:sz w:val="24"/>
          <w:szCs w:val="24"/>
          <w:highlight w:val="none"/>
        </w:rPr>
      </w:pPr>
      <w:r>
        <w:rPr>
          <w:rFonts w:hint="eastAsia" w:cs="宋体-18030" w:asciiTheme="minorEastAsia" w:hAnsiTheme="minorEastAsia" w:eastAsiaTheme="minorEastAsia"/>
          <w:color w:val="auto"/>
          <w:sz w:val="24"/>
          <w:szCs w:val="24"/>
          <w:highlight w:val="none"/>
        </w:rPr>
        <w:t>提供证明材料原件扫描件）。</w:t>
      </w:r>
      <w:r>
        <w:rPr>
          <w:rFonts w:hint="eastAsia" w:cs="宋体-18030" w:asciiTheme="minorEastAsia" w:hAnsiTheme="minorEastAsia" w:eastAsiaTheme="minorEastAsia"/>
          <w:b/>
          <w:bCs/>
          <w:color w:val="auto"/>
          <w:sz w:val="24"/>
          <w:szCs w:val="24"/>
          <w:highlight w:val="none"/>
        </w:rPr>
        <w:t>（资格审查项）</w:t>
      </w:r>
    </w:p>
    <w:p w14:paraId="6E674F7A">
      <w:pPr>
        <w:snapToGrid w:val="0"/>
        <w:spacing w:line="500" w:lineRule="exact"/>
        <w:ind w:firstLine="236" w:firstLineChars="98"/>
        <w:rPr>
          <w:rFonts w:cs="仿宋_GB2312" w:asciiTheme="minorEastAsia" w:hAnsiTheme="minorEastAsia" w:eastAsiaTheme="minorEastAsia"/>
          <w:b/>
          <w:bCs/>
          <w:color w:val="auto"/>
          <w:sz w:val="24"/>
          <w:szCs w:val="24"/>
          <w:highlight w:val="none"/>
        </w:rPr>
      </w:pPr>
      <w:r>
        <w:rPr>
          <w:rFonts w:hint="eastAsia" w:cs="仿宋_GB2312" w:asciiTheme="minorEastAsia" w:hAnsiTheme="minorEastAsia" w:eastAsiaTheme="minorEastAsia"/>
          <w:b/>
          <w:bCs/>
          <w:color w:val="auto"/>
          <w:sz w:val="24"/>
          <w:szCs w:val="24"/>
          <w:highlight w:val="none"/>
        </w:rPr>
        <w:t>（</w:t>
      </w:r>
      <w:r>
        <w:rPr>
          <w:rFonts w:cs="仿宋_GB2312" w:asciiTheme="minorEastAsia" w:hAnsiTheme="minorEastAsia" w:eastAsiaTheme="minorEastAsia"/>
          <w:b/>
          <w:bCs/>
          <w:color w:val="auto"/>
          <w:sz w:val="24"/>
          <w:szCs w:val="24"/>
          <w:highlight w:val="none"/>
        </w:rPr>
        <w:t>3</w:t>
      </w:r>
      <w:r>
        <w:rPr>
          <w:rFonts w:hint="eastAsia" w:cs="仿宋_GB2312" w:asciiTheme="minorEastAsia" w:hAnsiTheme="minorEastAsia" w:eastAsiaTheme="minorEastAsia"/>
          <w:b/>
          <w:bCs/>
          <w:color w:val="auto"/>
          <w:sz w:val="24"/>
          <w:szCs w:val="24"/>
          <w:highlight w:val="none"/>
        </w:rPr>
        <w:t>）技术文件：</w:t>
      </w:r>
    </w:p>
    <w:p w14:paraId="73ED9E0E">
      <w:pPr>
        <w:snapToGrid w:val="0"/>
        <w:spacing w:line="500" w:lineRule="exact"/>
        <w:ind w:firstLine="478" w:firstLineChars="198"/>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A.参加谈判说明：简要介绍投标人的基本情况和对《磋商文件》的响应程度；</w:t>
      </w:r>
    </w:p>
    <w:p w14:paraId="3AB01B28">
      <w:pPr>
        <w:snapToGrid w:val="0"/>
        <w:spacing w:line="500" w:lineRule="exact"/>
        <w:ind w:firstLine="478" w:firstLineChars="198"/>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B.</w:t>
      </w:r>
      <w:r>
        <w:rPr>
          <w:rFonts w:hint="eastAsia" w:ascii="宋体" w:hAnsi="宋体" w:cs="仿宋_GB2312"/>
          <w:color w:val="auto"/>
          <w:sz w:val="24"/>
          <w:szCs w:val="24"/>
          <w:highlight w:val="none"/>
        </w:rPr>
        <w:t>技术评分所需材料：结合评分标准自行编制</w:t>
      </w:r>
      <w:r>
        <w:rPr>
          <w:rFonts w:hint="eastAsia" w:cs="仿宋_GB2312" w:asciiTheme="minorEastAsia" w:hAnsiTheme="minorEastAsia" w:eastAsiaTheme="minorEastAsia"/>
          <w:color w:val="auto"/>
          <w:sz w:val="24"/>
          <w:szCs w:val="24"/>
          <w:highlight w:val="none"/>
        </w:rPr>
        <w:t>。</w:t>
      </w:r>
    </w:p>
    <w:p w14:paraId="057F08AA">
      <w:pPr>
        <w:snapToGrid w:val="0"/>
        <w:spacing w:line="500" w:lineRule="exact"/>
        <w:ind w:firstLine="478" w:firstLineChars="198"/>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C.投标人认为应该提交的技术性文件及资料。</w:t>
      </w:r>
    </w:p>
    <w:p w14:paraId="37A4ABB5">
      <w:pPr>
        <w:snapToGrid w:val="0"/>
        <w:spacing w:line="500" w:lineRule="exact"/>
        <w:ind w:firstLine="236" w:firstLineChars="98"/>
        <w:rPr>
          <w:rFonts w:cs="仿宋_GB2312" w:asciiTheme="minorEastAsia" w:hAnsiTheme="minorEastAsia" w:eastAsiaTheme="minorEastAsia"/>
          <w:b/>
          <w:bCs/>
          <w:color w:val="auto"/>
          <w:sz w:val="24"/>
          <w:szCs w:val="24"/>
          <w:highlight w:val="none"/>
        </w:rPr>
      </w:pPr>
      <w:r>
        <w:rPr>
          <w:rFonts w:hint="eastAsia" w:cs="仿宋_GB2312" w:asciiTheme="minorEastAsia" w:hAnsiTheme="minorEastAsia" w:eastAsiaTheme="minorEastAsia"/>
          <w:b/>
          <w:bCs/>
          <w:color w:val="auto"/>
          <w:sz w:val="24"/>
          <w:szCs w:val="24"/>
          <w:highlight w:val="none"/>
        </w:rPr>
        <w:t>（</w:t>
      </w:r>
      <w:r>
        <w:rPr>
          <w:rFonts w:cs="仿宋_GB2312" w:asciiTheme="minorEastAsia" w:hAnsiTheme="minorEastAsia" w:eastAsiaTheme="minorEastAsia"/>
          <w:b/>
          <w:bCs/>
          <w:color w:val="auto"/>
          <w:sz w:val="24"/>
          <w:szCs w:val="24"/>
          <w:highlight w:val="none"/>
        </w:rPr>
        <w:t>4</w:t>
      </w:r>
      <w:r>
        <w:rPr>
          <w:rFonts w:hint="eastAsia" w:cs="仿宋_GB2312" w:asciiTheme="minorEastAsia" w:hAnsiTheme="minorEastAsia" w:eastAsiaTheme="minorEastAsia"/>
          <w:b/>
          <w:bCs/>
          <w:color w:val="auto"/>
          <w:sz w:val="24"/>
          <w:szCs w:val="24"/>
          <w:highlight w:val="none"/>
        </w:rPr>
        <w:t>）商务文件：</w:t>
      </w:r>
    </w:p>
    <w:p w14:paraId="15D88068">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rPr>
        <w:t>A.商务评分所需材料：结合评分标准自行编制；</w:t>
      </w:r>
    </w:p>
    <w:p w14:paraId="3762ED1E">
      <w:pPr>
        <w:snapToGrid w:val="0"/>
        <w:spacing w:line="500" w:lineRule="exact"/>
        <w:ind w:firstLine="473" w:firstLineChars="196"/>
        <w:rPr>
          <w:rFonts w:cs="仿宋_GB2312" w:asciiTheme="minorEastAsia" w:hAnsiTheme="minorEastAsia" w:eastAsiaTheme="minorEastAsia"/>
          <w:b/>
          <w:color w:val="auto"/>
          <w:sz w:val="24"/>
          <w:szCs w:val="24"/>
          <w:highlight w:val="none"/>
        </w:rPr>
      </w:pPr>
      <w:r>
        <w:rPr>
          <w:rFonts w:hint="eastAsia" w:cs="仿宋_GB2312" w:asciiTheme="minorEastAsia" w:hAnsiTheme="minorEastAsia" w:eastAsiaTheme="minorEastAsia"/>
          <w:color w:val="auto"/>
          <w:sz w:val="24"/>
          <w:szCs w:val="24"/>
          <w:highlight w:val="none"/>
          <w:lang w:val="en-US" w:eastAsia="zh-CN"/>
        </w:rPr>
        <w:t>B</w:t>
      </w:r>
      <w:r>
        <w:rPr>
          <w:rFonts w:hint="eastAsia" w:cs="仿宋_GB2312" w:asciiTheme="minorEastAsia" w:hAnsiTheme="minorEastAsia" w:eastAsiaTheme="minorEastAsia"/>
          <w:color w:val="auto"/>
          <w:sz w:val="24"/>
          <w:szCs w:val="24"/>
          <w:highlight w:val="none"/>
        </w:rPr>
        <w:t>.工期承诺：</w:t>
      </w:r>
      <w:r>
        <w:rPr>
          <w:rFonts w:hint="eastAsia" w:cs="仿宋_GB2312" w:asciiTheme="minorEastAsia" w:hAnsiTheme="minorEastAsia" w:eastAsiaTheme="minorEastAsia"/>
          <w:color w:val="auto"/>
          <w:sz w:val="24"/>
          <w:szCs w:val="24"/>
          <w:highlight w:val="none"/>
          <w:lang w:eastAsia="zh-CN"/>
        </w:rPr>
        <w:t>合同签订后45日历天内完成本项目</w:t>
      </w:r>
      <w:r>
        <w:rPr>
          <w:rFonts w:hint="eastAsia" w:cs="仿宋_GB2312" w:asciiTheme="minorEastAsia" w:hAnsiTheme="minorEastAsia" w:eastAsiaTheme="minorEastAsia"/>
          <w:color w:val="auto"/>
          <w:sz w:val="24"/>
          <w:szCs w:val="24"/>
          <w:highlight w:val="none"/>
        </w:rPr>
        <w:t>；</w:t>
      </w:r>
      <w:r>
        <w:rPr>
          <w:rFonts w:hint="eastAsia" w:cs="仿宋_GB2312" w:asciiTheme="minorEastAsia" w:hAnsiTheme="minorEastAsia" w:eastAsiaTheme="minorEastAsia"/>
          <w:b/>
          <w:color w:val="auto"/>
          <w:sz w:val="24"/>
          <w:szCs w:val="24"/>
          <w:highlight w:val="none"/>
        </w:rPr>
        <w:t>（符合性审查项）</w:t>
      </w:r>
    </w:p>
    <w:p w14:paraId="3548DBCE">
      <w:pPr>
        <w:snapToGrid w:val="0"/>
        <w:spacing w:line="500" w:lineRule="exact"/>
        <w:ind w:firstLine="473" w:firstLineChars="196"/>
        <w:rPr>
          <w:rFonts w:cs="仿宋_GB2312" w:asciiTheme="minorEastAsia" w:hAnsiTheme="minorEastAsia" w:eastAsiaTheme="minorEastAsia"/>
          <w:color w:val="auto"/>
          <w:sz w:val="24"/>
          <w:szCs w:val="24"/>
          <w:highlight w:val="none"/>
        </w:rPr>
      </w:pPr>
      <w:r>
        <w:rPr>
          <w:rFonts w:hint="eastAsia" w:cs="仿宋_GB2312" w:asciiTheme="minorEastAsia" w:hAnsiTheme="minorEastAsia" w:eastAsiaTheme="minorEastAsia"/>
          <w:color w:val="auto"/>
          <w:sz w:val="24"/>
          <w:szCs w:val="24"/>
          <w:highlight w:val="none"/>
          <w:lang w:val="en-US" w:eastAsia="zh-CN"/>
        </w:rPr>
        <w:t>C</w:t>
      </w:r>
      <w:r>
        <w:rPr>
          <w:rFonts w:hint="eastAsia" w:cs="仿宋_GB2312" w:asciiTheme="minorEastAsia" w:hAnsiTheme="minorEastAsia" w:eastAsiaTheme="minorEastAsia"/>
          <w:color w:val="auto"/>
          <w:sz w:val="24"/>
          <w:szCs w:val="24"/>
          <w:highlight w:val="none"/>
        </w:rPr>
        <w:t>.投标人认为应该提交的商务性文件及资料。</w:t>
      </w:r>
    </w:p>
    <w:p w14:paraId="1FA17935">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3.4.3 响应文件的提交：</w:t>
      </w:r>
    </w:p>
    <w:p w14:paraId="2F4EBFD7">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(1)供应商应将《响应文件》按系统按要求进行编制导出后加密上传；</w:t>
      </w:r>
    </w:p>
    <w:p w14:paraId="0FB0F662">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3.5 投标</w:t>
      </w:r>
    </w:p>
    <w:p w14:paraId="17198B6E">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3.5.1供应商必须按本竞争性磋商文件规定的时间内上传响应文件，并签到；</w:t>
      </w:r>
    </w:p>
    <w:p w14:paraId="7B3872C1">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3.5.2 供应商必须按本竞争性磋商文件规定的时间内解密响应文件；</w:t>
      </w:r>
    </w:p>
    <w:p w14:paraId="1DFDF992">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3.6 投标资格的丧失</w:t>
      </w:r>
    </w:p>
    <w:p w14:paraId="71300078">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bookmarkStart w:id="8" w:name="_Toc517881071"/>
      <w:bookmarkStart w:id="9" w:name="_Toc517881181"/>
      <w:r>
        <w:rPr>
          <w:rFonts w:hint="eastAsia" w:cs="仿宋_GB2312" w:asciiTheme="minorEastAsia" w:hAnsiTheme="minorEastAsia" w:eastAsiaTheme="minorEastAsia"/>
          <w:color w:val="auto"/>
          <w:kern w:val="15"/>
          <w:sz w:val="24"/>
          <w:szCs w:val="24"/>
          <w:highlight w:val="none"/>
        </w:rPr>
        <w:t>3.6.1 供应商没有按要求</w:t>
      </w:r>
      <w:r>
        <w:rPr>
          <w:rFonts w:hint="eastAsia" w:cs="仿宋_GB2312" w:asciiTheme="minorEastAsia" w:hAnsiTheme="minorEastAsia" w:eastAsiaTheme="minorEastAsia"/>
          <w:color w:val="auto"/>
          <w:kern w:val="15"/>
          <w:sz w:val="24"/>
          <w:szCs w:val="24"/>
          <w:highlight w:val="none"/>
          <w:lang w:val="en-US" w:eastAsia="zh-CN"/>
        </w:rPr>
        <w:t>提供</w:t>
      </w:r>
      <w:r>
        <w:rPr>
          <w:rFonts w:hint="eastAsia" w:eastAsia="宋体" w:cs="宋体" w:asciiTheme="minorEastAsia" w:hAnsiTheme="minorEastAsia"/>
          <w:b w:val="0"/>
          <w:bCs w:val="0"/>
          <w:color w:val="auto"/>
          <w:kern w:val="2"/>
          <w:sz w:val="24"/>
          <w:szCs w:val="24"/>
          <w:highlight w:val="none"/>
          <w:lang w:val="en-US" w:eastAsia="zh-CN" w:bidi="ar-SA"/>
        </w:rPr>
        <w:t>投标保证金</w:t>
      </w:r>
      <w:r>
        <w:rPr>
          <w:rFonts w:hint="eastAsia" w:cs="仿宋_GB2312" w:asciiTheme="minorEastAsia" w:hAnsiTheme="minorEastAsia" w:eastAsiaTheme="minorEastAsia"/>
          <w:color w:val="auto"/>
          <w:kern w:val="15"/>
          <w:sz w:val="24"/>
          <w:szCs w:val="24"/>
          <w:highlight w:val="none"/>
        </w:rPr>
        <w:t>，供应商将不能获得投标资格</w:t>
      </w:r>
      <w:r>
        <w:rPr>
          <w:rFonts w:hint="eastAsia" w:cs="宋体" w:asciiTheme="minorEastAsia" w:hAnsiTheme="minorEastAsia" w:eastAsiaTheme="minorEastAsia"/>
          <w:color w:val="auto"/>
          <w:kern w:val="0"/>
          <w:sz w:val="24"/>
          <w:szCs w:val="24"/>
          <w:highlight w:val="none"/>
        </w:rPr>
        <w:t>。</w:t>
      </w:r>
    </w:p>
    <w:p w14:paraId="7C3F5A34">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3.6.2 供应商的《响应文件》中无资格审查项内容或资格审查项所列内容不符合磋商文件要求的，供应商将丧失投标资格；</w:t>
      </w:r>
    </w:p>
    <w:p w14:paraId="41F57134">
      <w:pPr>
        <w:snapToGrid w:val="0"/>
        <w:spacing w:line="500" w:lineRule="exact"/>
        <w:ind w:firstLine="473" w:firstLineChars="196"/>
        <w:rPr>
          <w:rFonts w:cs="仿宋_GB2312" w:asciiTheme="minorEastAsia" w:hAnsiTheme="minorEastAsia" w:eastAsiaTheme="minorEastAsia"/>
          <w:color w:val="auto"/>
          <w:kern w:val="15"/>
          <w:sz w:val="24"/>
          <w:szCs w:val="24"/>
          <w:highlight w:val="none"/>
        </w:rPr>
      </w:pPr>
      <w:r>
        <w:rPr>
          <w:rFonts w:hint="eastAsia" w:cs="仿宋_GB2312" w:asciiTheme="minorEastAsia" w:hAnsiTheme="minorEastAsia" w:eastAsiaTheme="minorEastAsia"/>
          <w:color w:val="auto"/>
          <w:kern w:val="15"/>
          <w:sz w:val="24"/>
          <w:szCs w:val="24"/>
          <w:highlight w:val="none"/>
        </w:rPr>
        <w:t>3.6.3 供应商的《响应文件》中无符合性审查项内容或符合性审查项所列内容不符合磋商文件要求的，视为未对竞争性磋商文件作实质性响应。</w:t>
      </w:r>
    </w:p>
    <w:p w14:paraId="0330AF19">
      <w:pPr>
        <w:snapToGrid w:val="0"/>
        <w:spacing w:line="500" w:lineRule="exact"/>
        <w:ind w:firstLine="473" w:firstLineChars="196"/>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3.6.</w:t>
      </w:r>
      <w:r>
        <w:rPr>
          <w:rFonts w:cs="宋体" w:asciiTheme="minorEastAsia" w:hAnsiTheme="minorEastAsia" w:eastAsiaTheme="minorEastAsia"/>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 xml:space="preserve">投标人《响应文件》中未按《磋商文件》前3章要求承诺内容提供承诺的，未按指定格式要求编制《响应文件》的，视为未对《磋商文件》作实质性响应。 </w:t>
      </w:r>
    </w:p>
    <w:p w14:paraId="30D9F82D">
      <w:pPr>
        <w:snapToGrid w:val="0"/>
        <w:spacing w:line="500" w:lineRule="exact"/>
        <w:ind w:firstLine="473" w:firstLineChars="196"/>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3.6.</w:t>
      </w:r>
      <w:r>
        <w:rPr>
          <w:rFonts w:cs="宋体" w:asciiTheme="minorEastAsia" w:hAnsiTheme="minorEastAsia" w:eastAsiaTheme="minorEastAsia"/>
          <w:color w:val="auto"/>
          <w:kern w:val="0"/>
          <w:sz w:val="24"/>
          <w:szCs w:val="24"/>
          <w:highlight w:val="none"/>
        </w:rPr>
        <w:t>5</w:t>
      </w:r>
      <w:r>
        <w:rPr>
          <w:rFonts w:hint="eastAsia" w:cs="宋体" w:asciiTheme="minorEastAsia" w:hAnsiTheme="minorEastAsia" w:eastAsiaTheme="minorEastAsia"/>
          <w:color w:val="auto"/>
          <w:kern w:val="0"/>
          <w:sz w:val="24"/>
          <w:szCs w:val="24"/>
          <w:highlight w:val="none"/>
        </w:rPr>
        <w:t xml:space="preserve"> 评标委员会认定投标响应文件异常一致或投标报价呈规律性差异的。</w:t>
      </w:r>
    </w:p>
    <w:p w14:paraId="17A61C4D">
      <w:pPr>
        <w:snapToGrid w:val="0"/>
        <w:spacing w:line="500" w:lineRule="exact"/>
        <w:ind w:firstLine="473" w:firstLineChars="196"/>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3.6.</w:t>
      </w:r>
      <w:r>
        <w:rPr>
          <w:rFonts w:cs="宋体" w:asciiTheme="minorEastAsia" w:hAnsiTheme="minorEastAsia" w:eastAsiaTheme="minorEastAsia"/>
          <w:color w:val="auto"/>
          <w:kern w:val="0"/>
          <w:sz w:val="24"/>
          <w:szCs w:val="24"/>
          <w:highlight w:val="none"/>
        </w:rPr>
        <w:t>6</w:t>
      </w:r>
      <w:r>
        <w:rPr>
          <w:rFonts w:hint="eastAsia" w:cs="宋体" w:asciiTheme="minorEastAsia" w:hAnsiTheme="minorEastAsia" w:eastAsiaTheme="minorEastAsia"/>
          <w:color w:val="auto"/>
          <w:kern w:val="0"/>
          <w:sz w:val="24"/>
          <w:szCs w:val="24"/>
          <w:highlight w:val="none"/>
        </w:rPr>
        <w:t xml:space="preserve"> 评标委员会认定投标人串通投标或弄虚作假或有其他违法行为的。</w:t>
      </w:r>
    </w:p>
    <w:p w14:paraId="159058DD">
      <w:pPr>
        <w:spacing w:line="500" w:lineRule="exact"/>
        <w:ind w:firstLine="484" w:firstLineChars="200"/>
        <w:rPr>
          <w:color w:val="auto"/>
          <w:highlight w:val="none"/>
        </w:rPr>
      </w:pPr>
      <w:r>
        <w:rPr>
          <w:rFonts w:hint="eastAsia" w:cs="宋体" w:asciiTheme="minorEastAsia" w:hAnsiTheme="minorEastAsia" w:eastAsiaTheme="minorEastAsia"/>
          <w:color w:val="auto"/>
          <w:kern w:val="0"/>
          <w:sz w:val="24"/>
          <w:szCs w:val="24"/>
          <w:highlight w:val="none"/>
        </w:rPr>
        <w:t>3.6.</w:t>
      </w:r>
      <w:r>
        <w:rPr>
          <w:rFonts w:cs="宋体"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 xml:space="preserve"> 违反法律法规规章相关规定的。  </w:t>
      </w:r>
    </w:p>
    <w:p w14:paraId="4ED52959">
      <w:pPr>
        <w:rPr>
          <w:color w:val="auto"/>
          <w:highlight w:val="none"/>
        </w:rPr>
      </w:pPr>
      <w:bookmarkStart w:id="10" w:name="_Toc73383428"/>
    </w:p>
    <w:p w14:paraId="209D2CF0">
      <w:pPr>
        <w:rPr>
          <w:color w:val="auto"/>
          <w:highlight w:val="none"/>
        </w:rPr>
      </w:pPr>
    </w:p>
    <w:p w14:paraId="073CAAFF">
      <w:pPr>
        <w:rPr>
          <w:color w:val="auto"/>
          <w:highlight w:val="none"/>
        </w:rPr>
      </w:pPr>
    </w:p>
    <w:p w14:paraId="104E0E7F">
      <w:pPr>
        <w:rPr>
          <w:color w:val="auto"/>
          <w:highlight w:val="none"/>
        </w:rPr>
      </w:pPr>
    </w:p>
    <w:p w14:paraId="03EA80FB">
      <w:pPr>
        <w:rPr>
          <w:color w:val="auto"/>
          <w:highlight w:val="none"/>
        </w:rPr>
      </w:pPr>
    </w:p>
    <w:p w14:paraId="649470DA">
      <w:pPr>
        <w:rPr>
          <w:color w:val="auto"/>
          <w:highlight w:val="none"/>
        </w:rPr>
      </w:pPr>
    </w:p>
    <w:p w14:paraId="5A7BBCB2">
      <w:pPr>
        <w:pStyle w:val="2"/>
        <w:rPr>
          <w:color w:val="auto"/>
          <w:highlight w:val="none"/>
        </w:rPr>
      </w:pPr>
    </w:p>
    <w:p w14:paraId="2ABE29E3">
      <w:pPr>
        <w:rPr>
          <w:color w:val="auto"/>
          <w:highlight w:val="none"/>
        </w:rPr>
      </w:pPr>
    </w:p>
    <w:p w14:paraId="78258FC7">
      <w:pPr>
        <w:pStyle w:val="2"/>
        <w:rPr>
          <w:color w:val="auto"/>
          <w:highlight w:val="none"/>
        </w:rPr>
      </w:pPr>
    </w:p>
    <w:p w14:paraId="6807DE4B">
      <w:pPr>
        <w:rPr>
          <w:color w:val="auto"/>
          <w:highlight w:val="none"/>
        </w:rPr>
      </w:pPr>
    </w:p>
    <w:p w14:paraId="331B21F4">
      <w:pPr>
        <w:pStyle w:val="2"/>
        <w:rPr>
          <w:color w:val="auto"/>
          <w:highlight w:val="none"/>
        </w:rPr>
      </w:pPr>
    </w:p>
    <w:p w14:paraId="322B3B45">
      <w:pPr>
        <w:rPr>
          <w:color w:val="auto"/>
          <w:highlight w:val="none"/>
        </w:rPr>
      </w:pPr>
    </w:p>
    <w:p w14:paraId="5F931165">
      <w:pPr>
        <w:pStyle w:val="2"/>
        <w:rPr>
          <w:color w:val="auto"/>
          <w:highlight w:val="none"/>
        </w:rPr>
      </w:pPr>
    </w:p>
    <w:p w14:paraId="1FB5A8FD">
      <w:pPr>
        <w:rPr>
          <w:color w:val="auto"/>
          <w:highlight w:val="none"/>
        </w:rPr>
      </w:pPr>
    </w:p>
    <w:p w14:paraId="71D5BE4A">
      <w:pPr>
        <w:pStyle w:val="2"/>
      </w:pPr>
    </w:p>
    <w:p w14:paraId="6CC61E7F">
      <w:pPr>
        <w:pStyle w:val="2"/>
        <w:rPr>
          <w:color w:val="auto"/>
          <w:highlight w:val="none"/>
        </w:rPr>
      </w:pPr>
    </w:p>
    <w:p w14:paraId="0BFF9064">
      <w:pPr>
        <w:rPr>
          <w:color w:val="auto"/>
          <w:highlight w:val="none"/>
        </w:rPr>
      </w:pPr>
    </w:p>
    <w:p w14:paraId="73FE0A51">
      <w:pPr>
        <w:pStyle w:val="3"/>
        <w:numPr>
          <w:ilvl w:val="0"/>
          <w:numId w:val="0"/>
        </w:numPr>
        <w:spacing w:before="0" w:after="0" w:line="500" w:lineRule="exact"/>
        <w:jc w:val="center"/>
        <w:rPr>
          <w:rFonts w:asciiTheme="minorEastAsia" w:hAnsiTheme="minorEastAsia" w:eastAsiaTheme="minorEastAsia"/>
          <w:color w:val="auto"/>
          <w:sz w:val="32"/>
          <w:szCs w:val="32"/>
          <w:highlight w:val="none"/>
        </w:rPr>
      </w:pPr>
      <w:r>
        <w:rPr>
          <w:rFonts w:hint="eastAsia" w:asciiTheme="minorEastAsia" w:hAnsiTheme="minorEastAsia" w:eastAsiaTheme="minorEastAsia"/>
          <w:color w:val="auto"/>
          <w:sz w:val="32"/>
          <w:szCs w:val="32"/>
          <w:highlight w:val="none"/>
        </w:rPr>
        <w:t>第四章 评审方法、原则和纪律</w:t>
      </w:r>
      <w:bookmarkEnd w:id="8"/>
      <w:bookmarkEnd w:id="9"/>
      <w:bookmarkEnd w:id="10"/>
    </w:p>
    <w:p w14:paraId="0D646BF2">
      <w:pPr>
        <w:snapToGrid w:val="0"/>
        <w:spacing w:line="500" w:lineRule="exact"/>
        <w:jc w:val="left"/>
        <w:rPr>
          <w:rFonts w:asciiTheme="minorEastAsia" w:hAnsiTheme="minorEastAsia" w:eastAsiaTheme="minorEastAsia"/>
          <w:b/>
          <w:bCs/>
          <w:color w:val="auto"/>
          <w:sz w:val="24"/>
          <w:szCs w:val="24"/>
          <w:highlight w:val="none"/>
        </w:rPr>
      </w:pPr>
      <w:r>
        <w:rPr>
          <w:rFonts w:asciiTheme="minorEastAsia" w:hAnsiTheme="minorEastAsia" w:eastAsiaTheme="minorEastAsia"/>
          <w:b/>
          <w:bCs/>
          <w:color w:val="auto"/>
          <w:sz w:val="24"/>
          <w:szCs w:val="24"/>
          <w:highlight w:val="none"/>
        </w:rPr>
        <w:t xml:space="preserve">4.1 </w:t>
      </w:r>
      <w:r>
        <w:rPr>
          <w:rFonts w:hint="eastAsia" w:asciiTheme="minorEastAsia" w:hAnsiTheme="minorEastAsia" w:eastAsiaTheme="minorEastAsia"/>
          <w:b/>
          <w:bCs/>
          <w:color w:val="auto"/>
          <w:sz w:val="24"/>
          <w:szCs w:val="24"/>
          <w:highlight w:val="none"/>
        </w:rPr>
        <w:t>评审原则：</w:t>
      </w:r>
    </w:p>
    <w:p w14:paraId="147CC919">
      <w:pPr>
        <w:snapToGrid w:val="0"/>
        <w:spacing w:line="500" w:lineRule="exact"/>
        <w:ind w:firstLine="570"/>
        <w:rPr>
          <w:rFonts w:cs="宋体" w:asciiTheme="minorEastAsia" w:hAnsiTheme="minorEastAsia" w:eastAsiaTheme="minorEastAsia"/>
          <w:color w:val="auto"/>
          <w:sz w:val="24"/>
          <w:szCs w:val="24"/>
          <w:highlight w:val="none"/>
        </w:rPr>
      </w:pPr>
      <w:r>
        <w:rPr>
          <w:rFonts w:cs="宋体" w:asciiTheme="minorEastAsia" w:hAnsiTheme="minorEastAsia" w:eastAsiaTheme="minorEastAsia"/>
          <w:color w:val="auto"/>
          <w:sz w:val="24"/>
          <w:szCs w:val="24"/>
          <w:highlight w:val="none"/>
        </w:rPr>
        <w:t>4.1.1</w:t>
      </w:r>
      <w:r>
        <w:rPr>
          <w:rFonts w:hint="eastAsia" w:cs="宋体" w:asciiTheme="minorEastAsia" w:hAnsiTheme="minorEastAsia" w:eastAsiaTheme="minorEastAsia"/>
          <w:color w:val="auto"/>
          <w:sz w:val="24"/>
          <w:szCs w:val="24"/>
          <w:highlight w:val="none"/>
        </w:rPr>
        <w:t>本次竞争性磋商采用的是 100 分制最高分确定中标的综合评分法，由磋商小组在磋商会议上评定成交候选人。</w:t>
      </w:r>
    </w:p>
    <w:p w14:paraId="027D3942">
      <w:pPr>
        <w:snapToGrid w:val="0"/>
        <w:spacing w:line="500" w:lineRule="exact"/>
        <w:ind w:firstLine="570"/>
        <w:rPr>
          <w:rFonts w:cs="Arial"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kern w:val="0"/>
          <w:sz w:val="24"/>
          <w:szCs w:val="24"/>
          <w:highlight w:val="none"/>
        </w:rPr>
        <w:t>4.1.2磋商小组</w:t>
      </w:r>
      <w:r>
        <w:rPr>
          <w:rFonts w:hint="eastAsia" w:cs="宋体" w:asciiTheme="minorEastAsia" w:hAnsiTheme="minorEastAsia" w:eastAsiaTheme="minorEastAsia"/>
          <w:color w:val="auto"/>
          <w:sz w:val="24"/>
          <w:szCs w:val="24"/>
          <w:highlight w:val="none"/>
        </w:rPr>
        <w:t>对供应商的资格</w:t>
      </w:r>
      <w:r>
        <w:rPr>
          <w:rFonts w:hint="eastAsia" w:cs="Arial" w:asciiTheme="minorEastAsia" w:hAnsiTheme="minorEastAsia" w:eastAsiaTheme="minorEastAsia"/>
          <w:color w:val="auto"/>
          <w:spacing w:val="8"/>
          <w:kern w:val="0"/>
          <w:sz w:val="24"/>
          <w:szCs w:val="24"/>
          <w:highlight w:val="none"/>
        </w:rPr>
        <w:t>是否符合进行资格审查，资格审查通过的才能进入下一步评审。</w:t>
      </w:r>
    </w:p>
    <w:p w14:paraId="708670C0">
      <w:pPr>
        <w:snapToGrid w:val="0"/>
        <w:spacing w:line="500" w:lineRule="exact"/>
        <w:ind w:firstLine="570"/>
        <w:rPr>
          <w:rFonts w:cs="宋体" w:asciiTheme="minorEastAsia" w:hAnsiTheme="minorEastAsia" w:eastAsiaTheme="minorEastAsia"/>
          <w:color w:val="auto"/>
          <w:sz w:val="24"/>
          <w:szCs w:val="24"/>
          <w:highlight w:val="none"/>
        </w:rPr>
      </w:pPr>
      <w:r>
        <w:rPr>
          <w:rFonts w:cs="宋体" w:asciiTheme="minorEastAsia" w:hAnsiTheme="minorEastAsia" w:eastAsiaTheme="minorEastAsia"/>
          <w:color w:val="auto"/>
          <w:sz w:val="24"/>
          <w:szCs w:val="24"/>
          <w:highlight w:val="none"/>
        </w:rPr>
        <w:t>4.1.</w:t>
      </w:r>
      <w:r>
        <w:rPr>
          <w:rFonts w:hint="eastAsia" w:cs="宋体" w:asciiTheme="minorEastAsia" w:hAnsiTheme="minorEastAsia" w:eastAsiaTheme="minorEastAsia"/>
          <w:color w:val="auto"/>
          <w:sz w:val="24"/>
          <w:szCs w:val="24"/>
          <w:highlight w:val="none"/>
        </w:rPr>
        <w:t>3对供应商的</w:t>
      </w:r>
      <w:r>
        <w:rPr>
          <w:rFonts w:hint="eastAsia" w:cs="宋体" w:asciiTheme="minorEastAsia" w:hAnsiTheme="minorEastAsia" w:eastAsiaTheme="minorEastAsia"/>
          <w:color w:val="auto"/>
          <w:sz w:val="24"/>
          <w:szCs w:val="24"/>
          <w:highlight w:val="none"/>
          <w:lang w:val="zh-CN"/>
        </w:rPr>
        <w:t>质量</w:t>
      </w:r>
      <w:r>
        <w:rPr>
          <w:rFonts w:hint="eastAsia" w:cs="宋体" w:asciiTheme="minorEastAsia" w:hAnsiTheme="minorEastAsia" w:eastAsiaTheme="minorEastAsia"/>
          <w:color w:val="auto"/>
          <w:sz w:val="24"/>
          <w:szCs w:val="24"/>
          <w:highlight w:val="none"/>
        </w:rPr>
        <w:t>、服务等进行符合性审查，符合性审查不合格的不参与在线报价，对符合性审查合格的供应商进行在线不定轮次的报价，经磋商确定最终采购需求和提交最后报价的供应商后，由磋商小组采用综合评分法对提交最后报价的供应商的响应文件和最后报价进行综合评分。评审时，磋商小组各成员应当独立对每个有效响应的文件进行评价、评分，然后汇总每个供应商每项评分因素的得分。</w:t>
      </w:r>
    </w:p>
    <w:p w14:paraId="7A9C8B0C">
      <w:pPr>
        <w:snapToGrid w:val="0"/>
        <w:spacing w:line="500" w:lineRule="exact"/>
        <w:rPr>
          <w:rFonts w:cs="宋体" w:asciiTheme="minorEastAsia" w:hAnsiTheme="minorEastAsia" w:eastAsiaTheme="minorEastAsia"/>
          <w:color w:val="auto"/>
          <w:sz w:val="24"/>
          <w:szCs w:val="24"/>
          <w:highlight w:val="none"/>
        </w:rPr>
      </w:pPr>
      <w:r>
        <w:rPr>
          <w:rFonts w:cs="宋体" w:asciiTheme="minorEastAsia" w:hAnsiTheme="minorEastAsia" w:eastAsiaTheme="minorEastAsia"/>
          <w:color w:val="auto"/>
          <w:sz w:val="24"/>
          <w:szCs w:val="24"/>
          <w:highlight w:val="none"/>
        </w:rPr>
        <w:t xml:space="preserve">    4.1.</w:t>
      </w:r>
      <w:r>
        <w:rPr>
          <w:rFonts w:hint="eastAsia" w:cs="宋体" w:asciiTheme="minorEastAsia" w:hAnsiTheme="minorEastAsia" w:eastAsiaTheme="minorEastAsia"/>
          <w:color w:val="auto"/>
          <w:sz w:val="24"/>
          <w:szCs w:val="24"/>
          <w:highlight w:val="none"/>
        </w:rPr>
        <w:t>4供应商的最终报价超过最高限价的，不能成为成交候选供应商。</w:t>
      </w:r>
    </w:p>
    <w:p w14:paraId="728A41F8">
      <w:pPr>
        <w:snapToGrid w:val="0"/>
        <w:spacing w:line="500" w:lineRule="exact"/>
        <w:rPr>
          <w:rFonts w:cs="宋体" w:asciiTheme="minorEastAsia" w:hAnsiTheme="minorEastAsia" w:eastAsiaTheme="minorEastAsia"/>
          <w:color w:val="auto"/>
          <w:sz w:val="24"/>
          <w:szCs w:val="24"/>
          <w:highlight w:val="none"/>
        </w:rPr>
      </w:pPr>
      <w:r>
        <w:rPr>
          <w:rFonts w:cs="宋体" w:asciiTheme="minorEastAsia" w:hAnsiTheme="minorEastAsia" w:eastAsiaTheme="minorEastAsia"/>
          <w:b/>
          <w:bCs/>
          <w:color w:val="auto"/>
          <w:sz w:val="24"/>
          <w:szCs w:val="24"/>
          <w:highlight w:val="none"/>
        </w:rPr>
        <w:t>4.2</w:t>
      </w:r>
      <w:r>
        <w:rPr>
          <w:rFonts w:hint="eastAsia" w:cs="宋体" w:asciiTheme="minorEastAsia" w:hAnsiTheme="minorEastAsia" w:eastAsiaTheme="minorEastAsia"/>
          <w:b/>
          <w:bCs/>
          <w:color w:val="auto"/>
          <w:sz w:val="24"/>
          <w:szCs w:val="24"/>
          <w:highlight w:val="none"/>
        </w:rPr>
        <w:t>评审方法：</w:t>
      </w:r>
    </w:p>
    <w:p w14:paraId="14232B7E">
      <w:pPr>
        <w:snapToGrid w:val="0"/>
        <w:spacing w:line="500" w:lineRule="exact"/>
        <w:ind w:firstLine="570"/>
        <w:rPr>
          <w:rFonts w:cs="宋体" w:asciiTheme="minorEastAsia" w:hAnsiTheme="minorEastAsia" w:eastAsiaTheme="minorEastAsia"/>
          <w:color w:val="auto"/>
          <w:sz w:val="24"/>
          <w:szCs w:val="24"/>
          <w:highlight w:val="none"/>
        </w:rPr>
      </w:pPr>
      <w:r>
        <w:rPr>
          <w:rFonts w:cs="宋体" w:asciiTheme="minorEastAsia" w:hAnsiTheme="minorEastAsia" w:eastAsiaTheme="minorEastAsia"/>
          <w:color w:val="auto"/>
          <w:sz w:val="24"/>
          <w:szCs w:val="24"/>
          <w:highlight w:val="none"/>
        </w:rPr>
        <w:t xml:space="preserve">4.2.1 </w:t>
      </w:r>
      <w:r>
        <w:rPr>
          <w:rFonts w:hint="eastAsia" w:cs="宋体" w:asciiTheme="minorEastAsia" w:hAnsiTheme="minorEastAsia" w:eastAsiaTheme="minorEastAsia"/>
          <w:color w:val="auto"/>
          <w:sz w:val="24"/>
          <w:szCs w:val="24"/>
          <w:highlight w:val="none"/>
        </w:rPr>
        <w:t>本次磋商由磋商小组对《响应文件》的有效性、完整性和响应程度进行审查，磋商小组所有成员集中与通过审查的单一供应商分别进行磋商，磋商结束后，磋商小组要求所有实质性响应的供应商在规定时间内提交最后报价，经磋商确定最终采购需求和提交最后报价的供应商后，由磋商小组采用综合评分法对提交最后报价的供应商的响应文件和最后报价进行综合评分，根据综合评分情况，按照评审得分由高到低顺序推荐3名以上成交候选供应商。评审得分相同的，按照最后报价由低到高的顺序推荐。评审得分且最后报价相同的，按照技术指标优劣顺序推荐。</w:t>
      </w:r>
    </w:p>
    <w:p w14:paraId="61833161">
      <w:pPr>
        <w:snapToGrid w:val="0"/>
        <w:spacing w:line="500" w:lineRule="exact"/>
        <w:ind w:firstLine="570"/>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4.2.2综合评分标准</w:t>
      </w:r>
    </w:p>
    <w:p w14:paraId="608EB1F4">
      <w:pPr>
        <w:snapToGrid w:val="0"/>
        <w:spacing w:line="440" w:lineRule="exact"/>
        <w:ind w:firstLine="242" w:firstLineChars="100"/>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（满分100分，其中报价分</w:t>
      </w:r>
      <w:r>
        <w:rPr>
          <w:rFonts w:hint="eastAsia" w:cs="宋体" w:asciiTheme="minorEastAsia" w:hAnsiTheme="minorEastAsia" w:eastAsiaTheme="minorEastAsia"/>
          <w:color w:val="auto"/>
          <w:sz w:val="24"/>
          <w:szCs w:val="24"/>
          <w:highlight w:val="none"/>
          <w:lang w:val="en-US" w:eastAsia="zh-CN"/>
        </w:rPr>
        <w:t>3</w:t>
      </w:r>
      <w:r>
        <w:rPr>
          <w:rFonts w:cs="宋体" w:asciiTheme="minorEastAsia" w:hAnsiTheme="minorEastAsia" w:eastAsiaTheme="minorEastAsia"/>
          <w:color w:val="auto"/>
          <w:sz w:val="24"/>
          <w:szCs w:val="24"/>
          <w:highlight w:val="none"/>
        </w:rPr>
        <w:t>0</w:t>
      </w:r>
      <w:r>
        <w:rPr>
          <w:rFonts w:hint="eastAsia" w:cs="宋体" w:asciiTheme="minorEastAsia" w:hAnsiTheme="minorEastAsia" w:eastAsiaTheme="minorEastAsia"/>
          <w:color w:val="auto"/>
          <w:sz w:val="24"/>
          <w:szCs w:val="24"/>
          <w:highlight w:val="none"/>
        </w:rPr>
        <w:t>分，技术与商务分</w:t>
      </w:r>
      <w:r>
        <w:rPr>
          <w:rFonts w:hint="eastAsia" w:cs="宋体" w:asciiTheme="minorEastAsia" w:hAnsiTheme="minorEastAsia" w:eastAsiaTheme="minorEastAsia"/>
          <w:color w:val="auto"/>
          <w:sz w:val="24"/>
          <w:szCs w:val="24"/>
          <w:highlight w:val="none"/>
          <w:lang w:val="en-US" w:eastAsia="zh-CN"/>
        </w:rPr>
        <w:t>7</w:t>
      </w:r>
      <w:r>
        <w:rPr>
          <w:rFonts w:cs="宋体" w:asciiTheme="minorEastAsia" w:hAnsiTheme="minorEastAsia" w:eastAsiaTheme="minorEastAsia"/>
          <w:color w:val="auto"/>
          <w:sz w:val="24"/>
          <w:szCs w:val="24"/>
          <w:highlight w:val="none"/>
        </w:rPr>
        <w:t>0</w:t>
      </w:r>
      <w:r>
        <w:rPr>
          <w:rFonts w:hint="eastAsia" w:cs="宋体" w:asciiTheme="minorEastAsia" w:hAnsiTheme="minorEastAsia" w:eastAsiaTheme="minorEastAsia"/>
          <w:color w:val="auto"/>
          <w:sz w:val="24"/>
          <w:szCs w:val="24"/>
          <w:highlight w:val="none"/>
        </w:rPr>
        <w:t>分，政策性加分5分）</w:t>
      </w:r>
    </w:p>
    <w:p w14:paraId="0E71124F">
      <w:pPr>
        <w:snapToGrid w:val="0"/>
        <w:spacing w:line="440" w:lineRule="exact"/>
        <w:ind w:firstLine="473" w:firstLineChars="196"/>
        <w:rPr>
          <w:rFonts w:asciiTheme="minorEastAsia" w:hAnsiTheme="minorEastAsia" w:eastAsiaTheme="minorEastAsia"/>
          <w:b/>
          <w:bCs/>
          <w:color w:val="auto"/>
          <w:sz w:val="24"/>
          <w:szCs w:val="24"/>
          <w:highlight w:val="none"/>
        </w:rPr>
      </w:pPr>
      <w:r>
        <w:rPr>
          <w:rFonts w:hint="eastAsia" w:asciiTheme="minorEastAsia" w:hAnsiTheme="minorEastAsia" w:eastAsiaTheme="minorEastAsia"/>
          <w:b/>
          <w:bCs/>
          <w:color w:val="auto"/>
          <w:sz w:val="24"/>
          <w:szCs w:val="24"/>
          <w:highlight w:val="none"/>
        </w:rPr>
        <w:t>1）报价部分：</w:t>
      </w:r>
      <w:r>
        <w:rPr>
          <w:rFonts w:hint="eastAsia" w:asciiTheme="minorEastAsia" w:hAnsiTheme="minorEastAsia" w:eastAsiaTheme="minorEastAsia"/>
          <w:b/>
          <w:bCs/>
          <w:color w:val="auto"/>
          <w:sz w:val="24"/>
          <w:szCs w:val="24"/>
          <w:highlight w:val="none"/>
          <w:lang w:val="en-US" w:eastAsia="zh-CN"/>
        </w:rPr>
        <w:t>3</w:t>
      </w:r>
      <w:r>
        <w:rPr>
          <w:rFonts w:asciiTheme="minorEastAsia" w:hAnsiTheme="minorEastAsia" w:eastAsiaTheme="minorEastAsia"/>
          <w:b/>
          <w:bCs/>
          <w:color w:val="auto"/>
          <w:sz w:val="24"/>
          <w:szCs w:val="24"/>
          <w:highlight w:val="none"/>
        </w:rPr>
        <w:t>0</w:t>
      </w:r>
      <w:r>
        <w:rPr>
          <w:rFonts w:hint="eastAsia" w:asciiTheme="minorEastAsia" w:hAnsiTheme="minorEastAsia" w:eastAsiaTheme="minorEastAsia"/>
          <w:b/>
          <w:bCs/>
          <w:color w:val="auto"/>
          <w:sz w:val="24"/>
          <w:szCs w:val="24"/>
          <w:highlight w:val="none"/>
        </w:rPr>
        <w:t>分</w:t>
      </w:r>
    </w:p>
    <w:tbl>
      <w:tblPr>
        <w:tblStyle w:val="41"/>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736"/>
      </w:tblGrid>
      <w:tr w14:paraId="39BE2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36" w:type="dxa"/>
          </w:tcPr>
          <w:p w14:paraId="5EA19A9B">
            <w:pPr>
              <w:snapToGrid w:val="0"/>
              <w:spacing w:line="440" w:lineRule="exact"/>
              <w:jc w:val="center"/>
              <w:rPr>
                <w:rFonts w:asciiTheme="minorEastAsia" w:hAnsiTheme="minorEastAsia" w:eastAsiaTheme="minorEastAsia"/>
                <w:b/>
                <w:bCs/>
                <w:color w:val="auto"/>
                <w:sz w:val="24"/>
                <w:szCs w:val="24"/>
                <w:highlight w:val="none"/>
              </w:rPr>
            </w:pPr>
            <w:r>
              <w:rPr>
                <w:rFonts w:hint="eastAsia" w:asciiTheme="minorEastAsia" w:hAnsiTheme="minorEastAsia" w:eastAsiaTheme="minorEastAsia"/>
                <w:b/>
                <w:bCs/>
                <w:color w:val="auto"/>
                <w:sz w:val="24"/>
                <w:szCs w:val="24"/>
                <w:highlight w:val="none"/>
              </w:rPr>
              <w:t>投标报价得分=（评标基准价/投标报价)×价格权值×100</w:t>
            </w:r>
          </w:p>
          <w:p w14:paraId="0CC4D735">
            <w:pPr>
              <w:snapToGrid w:val="0"/>
              <w:spacing w:line="440" w:lineRule="exact"/>
              <w:jc w:val="center"/>
              <w:rPr>
                <w:color w:val="auto"/>
                <w:highlight w:val="none"/>
              </w:rPr>
            </w:pPr>
            <w:r>
              <w:rPr>
                <w:rFonts w:hint="eastAsia"/>
                <w:color w:val="auto"/>
                <w:highlight w:val="none"/>
              </w:rPr>
              <w:t>（报价得分四舍五入保留小数两位）</w:t>
            </w:r>
          </w:p>
          <w:p w14:paraId="3B8F08B1">
            <w:pPr>
              <w:snapToGrid w:val="0"/>
              <w:spacing w:line="440" w:lineRule="exac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注：1、评标基准价指满足竞争性磋商文件资格审查和符合性审查项要求且最后在线磋商最低报价，其价格分为满分，投标报价指满足竞争性磋商文件资格审查和符合性审查项要求的各供应商的最后在线磋商报价。</w:t>
            </w:r>
          </w:p>
          <w:p w14:paraId="37668B5E">
            <w:pPr>
              <w:snapToGrid w:val="0"/>
              <w:spacing w:line="440" w:lineRule="exact"/>
              <w:ind w:firstLine="242" w:firstLineChars="100"/>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2、价格权值为 0.</w:t>
            </w:r>
            <w:r>
              <w:rPr>
                <w:rFonts w:hint="eastAsia" w:asciiTheme="minorEastAsia" w:hAnsiTheme="minorEastAsia" w:eastAsiaTheme="minorEastAsia"/>
                <w:color w:val="auto"/>
                <w:sz w:val="24"/>
                <w:szCs w:val="24"/>
                <w:highlight w:val="none"/>
                <w:lang w:val="en-US" w:eastAsia="zh-CN"/>
              </w:rPr>
              <w:t>3</w:t>
            </w:r>
            <w:r>
              <w:rPr>
                <w:rFonts w:hint="eastAsia" w:asciiTheme="minorEastAsia" w:hAnsiTheme="minorEastAsia" w:eastAsiaTheme="minorEastAsia"/>
                <w:color w:val="auto"/>
                <w:sz w:val="24"/>
                <w:szCs w:val="24"/>
                <w:highlight w:val="none"/>
              </w:rPr>
              <w:t>。</w:t>
            </w:r>
          </w:p>
          <w:p w14:paraId="0B471D80">
            <w:pPr>
              <w:snapToGrid w:val="0"/>
              <w:spacing w:line="440" w:lineRule="exact"/>
              <w:ind w:firstLine="242" w:firstLineChars="100"/>
              <w:rPr>
                <w:rFonts w:asciiTheme="minorEastAsia" w:hAnsiTheme="minorEastAsia" w:eastAsiaTheme="minorEastAsia"/>
                <w:b/>
                <w:bCs/>
                <w:color w:val="auto"/>
                <w:sz w:val="24"/>
                <w:szCs w:val="24"/>
                <w:highlight w:val="none"/>
              </w:rPr>
            </w:pPr>
            <w:r>
              <w:rPr>
                <w:rFonts w:hint="eastAsia" w:asciiTheme="minorEastAsia" w:hAnsiTheme="minorEastAsia" w:eastAsiaTheme="minorEastAsia"/>
                <w:color w:val="auto"/>
                <w:sz w:val="24"/>
                <w:szCs w:val="24"/>
                <w:highlight w:val="none"/>
              </w:rPr>
              <w:t>3、本项目专门专门面向中小企业采购，不再享受中小企业价格评审扣除优惠。</w:t>
            </w:r>
          </w:p>
        </w:tc>
      </w:tr>
    </w:tbl>
    <w:p w14:paraId="4EC75C97">
      <w:pPr>
        <w:numPr>
          <w:ilvl w:val="0"/>
          <w:numId w:val="3"/>
        </w:numPr>
        <w:snapToGrid w:val="0"/>
        <w:spacing w:line="500" w:lineRule="exact"/>
        <w:ind w:firstLine="473" w:firstLineChars="196"/>
        <w:rPr>
          <w:rFonts w:hint="eastAsia" w:asciiTheme="minorEastAsia" w:hAnsiTheme="minorEastAsia" w:eastAsiaTheme="minorEastAsia"/>
          <w:b/>
          <w:bCs/>
          <w:color w:val="auto"/>
          <w:sz w:val="24"/>
          <w:szCs w:val="24"/>
          <w:highlight w:val="none"/>
        </w:rPr>
      </w:pPr>
      <w:r>
        <w:rPr>
          <w:rFonts w:hint="eastAsia" w:asciiTheme="minorEastAsia" w:hAnsiTheme="minorEastAsia" w:eastAsiaTheme="minorEastAsia"/>
          <w:b/>
          <w:bCs/>
          <w:color w:val="auto"/>
          <w:sz w:val="24"/>
          <w:szCs w:val="24"/>
          <w:highlight w:val="none"/>
        </w:rPr>
        <w:t>技术与商务分：</w:t>
      </w:r>
      <w:r>
        <w:rPr>
          <w:rFonts w:hint="eastAsia" w:asciiTheme="minorEastAsia" w:hAnsiTheme="minorEastAsia" w:eastAsiaTheme="minorEastAsia"/>
          <w:b/>
          <w:bCs/>
          <w:color w:val="auto"/>
          <w:sz w:val="24"/>
          <w:szCs w:val="24"/>
          <w:highlight w:val="none"/>
          <w:lang w:val="en-US" w:eastAsia="zh-CN"/>
        </w:rPr>
        <w:t>7</w:t>
      </w:r>
      <w:r>
        <w:rPr>
          <w:rFonts w:asciiTheme="minorEastAsia" w:hAnsiTheme="minorEastAsia" w:eastAsiaTheme="minorEastAsia"/>
          <w:b/>
          <w:bCs/>
          <w:color w:val="auto"/>
          <w:sz w:val="24"/>
          <w:szCs w:val="24"/>
          <w:highlight w:val="none"/>
        </w:rPr>
        <w:t>0</w:t>
      </w:r>
      <w:r>
        <w:rPr>
          <w:rFonts w:hint="eastAsia" w:asciiTheme="minorEastAsia" w:hAnsiTheme="minorEastAsia" w:eastAsiaTheme="minorEastAsia"/>
          <w:b/>
          <w:bCs/>
          <w:color w:val="auto"/>
          <w:sz w:val="24"/>
          <w:szCs w:val="24"/>
          <w:highlight w:val="none"/>
        </w:rPr>
        <w:t>分</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8"/>
        <w:gridCol w:w="7677"/>
        <w:gridCol w:w="987"/>
      </w:tblGrid>
      <w:tr w14:paraId="36168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79" w:type="dxa"/>
            <w:gridSpan w:val="3"/>
          </w:tcPr>
          <w:p w14:paraId="33CD7090">
            <w:pPr>
              <w:bidi w:val="0"/>
              <w:jc w:val="center"/>
            </w:pPr>
            <w:r>
              <w:rPr>
                <w:rFonts w:hint="eastAsia"/>
                <w:b/>
                <w:bCs/>
                <w:sz w:val="28"/>
                <w:szCs w:val="28"/>
                <w:lang w:val="en-US" w:eastAsia="zh-CN"/>
              </w:rPr>
              <w:t xml:space="preserve"> </w:t>
            </w:r>
            <w:r>
              <w:rPr>
                <w:b/>
                <w:bCs/>
                <w:sz w:val="28"/>
                <w:szCs w:val="28"/>
              </w:rPr>
              <w:t>商务分（满分 20 分）</w:t>
            </w:r>
          </w:p>
        </w:tc>
      </w:tr>
      <w:tr w14:paraId="244D3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307" w:type="dxa"/>
            <w:vAlign w:val="center"/>
          </w:tcPr>
          <w:p w14:paraId="3394DCF6">
            <w:pPr>
              <w:bidi w:val="0"/>
              <w:jc w:val="center"/>
              <w:rPr>
                <w:b/>
                <w:bCs/>
                <w:lang w:val="en-US" w:eastAsia="en-US"/>
              </w:rPr>
            </w:pPr>
            <w:r>
              <w:rPr>
                <w:b/>
                <w:bCs/>
                <w:lang w:val="en-US" w:eastAsia="en-US"/>
              </w:rPr>
              <w:t>评审项目</w:t>
            </w:r>
          </w:p>
        </w:tc>
        <w:tc>
          <w:tcPr>
            <w:tcW w:w="7780" w:type="dxa"/>
            <w:shd w:val="clear" w:color="auto" w:fill="auto"/>
            <w:vAlign w:val="center"/>
          </w:tcPr>
          <w:p w14:paraId="29F27F78">
            <w:pPr>
              <w:bidi w:val="0"/>
              <w:jc w:val="center"/>
              <w:rPr>
                <w:b/>
                <w:bCs/>
                <w:lang w:val="en-US" w:eastAsia="en-US"/>
              </w:rPr>
            </w:pPr>
            <w:r>
              <w:rPr>
                <w:b/>
                <w:bCs/>
                <w:lang w:val="en-US" w:eastAsia="en-US"/>
              </w:rPr>
              <w:t>评分标准</w:t>
            </w:r>
          </w:p>
        </w:tc>
        <w:tc>
          <w:tcPr>
            <w:tcW w:w="992" w:type="dxa"/>
            <w:shd w:val="clear" w:color="auto" w:fill="auto"/>
            <w:vAlign w:val="center"/>
          </w:tcPr>
          <w:p w14:paraId="58361FFA">
            <w:pPr>
              <w:bidi w:val="0"/>
              <w:jc w:val="center"/>
              <w:rPr>
                <w:b/>
                <w:bCs/>
                <w:lang w:val="en-US" w:eastAsia="en-US"/>
              </w:rPr>
            </w:pPr>
            <w:r>
              <w:rPr>
                <w:b/>
                <w:bCs/>
                <w:lang w:val="en-US" w:eastAsia="en-US"/>
              </w:rPr>
              <w:t>分值</w:t>
            </w:r>
          </w:p>
        </w:tc>
      </w:tr>
      <w:tr w14:paraId="12B85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13DE01BF">
            <w:pPr>
              <w:bidi w:val="0"/>
              <w:jc w:val="center"/>
              <w:rPr>
                <w:rFonts w:hint="eastAsia"/>
                <w:lang w:val="en-US" w:eastAsia="zh-CN"/>
              </w:rPr>
            </w:pPr>
            <w:r>
              <w:rPr>
                <w:rFonts w:hint="eastAsia"/>
                <w:lang w:val="en-US" w:eastAsia="zh-CN"/>
              </w:rPr>
              <w:t>技术负责人</w:t>
            </w:r>
          </w:p>
        </w:tc>
        <w:tc>
          <w:tcPr>
            <w:tcW w:w="7780" w:type="dxa"/>
          </w:tcPr>
          <w:p w14:paraId="09EE7103">
            <w:pPr>
              <w:bidi w:val="0"/>
              <w:rPr>
                <w:rFonts w:hint="eastAsia"/>
                <w:lang w:val="en-US" w:eastAsia="zh-CN"/>
              </w:rPr>
            </w:pPr>
            <w:r>
              <w:rPr>
                <w:rFonts w:hint="eastAsia"/>
                <w:lang w:val="en-US" w:eastAsia="zh-CN"/>
              </w:rPr>
              <w:t>技术负责人：具有工程师及以上职称的得5分。提供职称证，职称证单位名称与投标人单位不一致或未注明单位的，由投标人单位提供劳动合同或2025年1月至投标截止时间期间任意一个月社保交纳凭证，不满足要求不得分。</w:t>
            </w:r>
          </w:p>
        </w:tc>
        <w:tc>
          <w:tcPr>
            <w:tcW w:w="992" w:type="dxa"/>
            <w:vAlign w:val="center"/>
          </w:tcPr>
          <w:p w14:paraId="1EB38036">
            <w:pPr>
              <w:bidi w:val="0"/>
              <w:jc w:val="center"/>
              <w:rPr>
                <w:rFonts w:hint="eastAsia"/>
                <w:lang w:val="en-US" w:eastAsia="zh-CN"/>
              </w:rPr>
            </w:pPr>
            <w:r>
              <w:rPr>
                <w:rFonts w:hint="eastAsia"/>
                <w:lang w:val="en-US" w:eastAsia="zh-CN"/>
              </w:rPr>
              <w:t>5 分</w:t>
            </w:r>
          </w:p>
        </w:tc>
      </w:tr>
      <w:tr w14:paraId="1DD5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6F87DCA3">
            <w:pPr>
              <w:bidi w:val="0"/>
              <w:jc w:val="center"/>
              <w:rPr>
                <w:rFonts w:hint="eastAsia"/>
                <w:lang w:val="en-US" w:eastAsia="zh-CN"/>
              </w:rPr>
            </w:pPr>
            <w:r>
              <w:rPr>
                <w:rFonts w:hint="eastAsia"/>
                <w:lang w:val="en-US" w:eastAsia="zh-CN"/>
              </w:rPr>
              <w:t>其它人员</w:t>
            </w:r>
          </w:p>
        </w:tc>
        <w:tc>
          <w:tcPr>
            <w:tcW w:w="7780" w:type="dxa"/>
          </w:tcPr>
          <w:p w14:paraId="7CA63B63">
            <w:pPr>
              <w:bidi w:val="0"/>
              <w:rPr>
                <w:rFonts w:hint="eastAsia"/>
                <w:lang w:val="en-US" w:eastAsia="zh-CN"/>
              </w:rPr>
            </w:pPr>
            <w:r>
              <w:rPr>
                <w:rFonts w:hint="eastAsia"/>
                <w:lang w:val="en-US" w:eastAsia="zh-CN"/>
              </w:rPr>
              <w:t>拟配备在本项目人员：施工员（1人）、质检（量）员（1人）、安全员（1人）、材料员（1人）、资料员（1人）；安全员提供有效的安全生产考核合格证（C 类）， 施工员、质量员、材料员、资料员提供岗位证（或培训合格证），以上人员证件齐全的得 10 分，缺少一项扣 2 分，扣完为止。</w:t>
            </w:r>
          </w:p>
          <w:p w14:paraId="1BAF8F7A">
            <w:pPr>
              <w:bidi w:val="0"/>
              <w:rPr>
                <w:rFonts w:hint="eastAsia"/>
                <w:lang w:val="en-US" w:eastAsia="zh-CN"/>
              </w:rPr>
            </w:pPr>
            <w:r>
              <w:rPr>
                <w:rFonts w:hint="eastAsia"/>
                <w:lang w:val="en-US" w:eastAsia="zh-CN"/>
              </w:rPr>
              <w:t>如上述安全员安全考核证上的单位与投标人单位不一致的，由 发证单位出具正在变更的证明。岗位证（或培训合格证）单位 与投标人单位不一致或未注明单位的，由投标人单位提供劳动 合同或缴纳养老保险证明材料（养老保险为网页打印的可提供 网页打印复印件）。缴纳养老保险的单位应为投标人单位，缴 纳养老保险的时间为2025年1月至开标时间任意一个月，不 满足要求，对应人员评分项不得分。</w:t>
            </w:r>
          </w:p>
        </w:tc>
        <w:tc>
          <w:tcPr>
            <w:tcW w:w="992" w:type="dxa"/>
            <w:vAlign w:val="center"/>
          </w:tcPr>
          <w:p w14:paraId="011BF6B9">
            <w:pPr>
              <w:bidi w:val="0"/>
              <w:jc w:val="center"/>
              <w:rPr>
                <w:rFonts w:hint="default"/>
                <w:lang w:val="en-US" w:eastAsia="zh-CN"/>
              </w:rPr>
            </w:pPr>
            <w:r>
              <w:rPr>
                <w:rFonts w:hint="eastAsia"/>
                <w:lang w:val="en-US" w:eastAsia="zh-CN"/>
              </w:rPr>
              <w:t>10分</w:t>
            </w:r>
          </w:p>
        </w:tc>
      </w:tr>
      <w:tr w14:paraId="3F7D7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160EB1DE">
            <w:pPr>
              <w:bidi w:val="0"/>
              <w:jc w:val="center"/>
              <w:rPr>
                <w:rFonts w:hint="eastAsia"/>
                <w:lang w:val="en-US" w:eastAsia="zh-CN"/>
              </w:rPr>
            </w:pPr>
            <w:r>
              <w:rPr>
                <w:rFonts w:hint="eastAsia"/>
                <w:lang w:val="en-US" w:eastAsia="zh-CN"/>
              </w:rPr>
              <w:t>类似业绩</w:t>
            </w:r>
          </w:p>
        </w:tc>
        <w:tc>
          <w:tcPr>
            <w:tcW w:w="7780" w:type="dxa"/>
          </w:tcPr>
          <w:p w14:paraId="26297C8A">
            <w:pPr>
              <w:bidi w:val="0"/>
              <w:rPr>
                <w:rFonts w:hint="eastAsia"/>
                <w:lang w:val="en-US" w:eastAsia="zh-CN"/>
              </w:rPr>
            </w:pPr>
            <w:r>
              <w:rPr>
                <w:rFonts w:hint="eastAsia"/>
                <w:lang w:val="en-US" w:eastAsia="zh-CN"/>
              </w:rPr>
              <w:t>投标人每提供一个建筑工程业绩得5分，最高得5分。（提供合同或中标通知书扫描件加盖投标人电子公章）</w:t>
            </w:r>
          </w:p>
        </w:tc>
        <w:tc>
          <w:tcPr>
            <w:tcW w:w="992" w:type="dxa"/>
            <w:vAlign w:val="center"/>
          </w:tcPr>
          <w:p w14:paraId="1972EB30">
            <w:pPr>
              <w:bidi w:val="0"/>
              <w:jc w:val="center"/>
              <w:rPr>
                <w:rFonts w:hint="default"/>
                <w:lang w:val="en-US" w:eastAsia="zh-CN"/>
              </w:rPr>
            </w:pPr>
            <w:r>
              <w:rPr>
                <w:rFonts w:hint="eastAsia"/>
                <w:lang w:val="en-US" w:eastAsia="zh-CN"/>
              </w:rPr>
              <w:t>5分</w:t>
            </w:r>
          </w:p>
        </w:tc>
      </w:tr>
      <w:tr w14:paraId="324DB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79" w:type="dxa"/>
            <w:gridSpan w:val="3"/>
          </w:tcPr>
          <w:p w14:paraId="69BB69E4">
            <w:pPr>
              <w:bidi w:val="0"/>
              <w:jc w:val="center"/>
              <w:rPr>
                <w:vertAlign w:val="baseline"/>
              </w:rPr>
            </w:pPr>
            <w:r>
              <w:rPr>
                <w:rFonts w:hint="eastAsia"/>
                <w:b/>
                <w:bCs/>
                <w:sz w:val="28"/>
                <w:szCs w:val="28"/>
                <w:lang w:val="en-US" w:eastAsia="zh-CN"/>
              </w:rPr>
              <w:t>技术分（满分 50 分）</w:t>
            </w:r>
          </w:p>
        </w:tc>
      </w:tr>
      <w:tr w14:paraId="50420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6A0580C2">
            <w:pPr>
              <w:pStyle w:val="23"/>
              <w:bidi w:val="0"/>
              <w:jc w:val="center"/>
              <w:rPr>
                <w:vertAlign w:val="baseline"/>
              </w:rPr>
            </w:pPr>
            <w:r>
              <w:rPr>
                <w:rFonts w:hint="eastAsia" w:ascii="宋体" w:hAnsi="宋体" w:eastAsia="宋体" w:cs="宋体"/>
                <w:color w:val="auto"/>
                <w:spacing w:val="-1"/>
                <w:kern w:val="2"/>
                <w:sz w:val="24"/>
                <w:szCs w:val="24"/>
                <w:lang w:val="en-US" w:eastAsia="en-US" w:bidi="ar-SA"/>
              </w:rPr>
              <w:t>施工方案与技术措施</w:t>
            </w:r>
          </w:p>
        </w:tc>
        <w:tc>
          <w:tcPr>
            <w:tcW w:w="7780" w:type="dxa"/>
            <w:vAlign w:val="center"/>
          </w:tcPr>
          <w:p w14:paraId="49B91A86">
            <w:pPr>
              <w:pStyle w:val="273"/>
              <w:spacing w:line="219" w:lineRule="auto"/>
              <w:ind w:left="348" w:leftChars="0"/>
              <w:jc w:val="center"/>
              <w:rPr>
                <w:vertAlign w:val="baseline"/>
              </w:rPr>
            </w:pPr>
            <w:r>
              <w:rPr>
                <w:rFonts w:ascii="宋体" w:hAnsi="宋体" w:eastAsia="宋体" w:cs="宋体"/>
                <w:color w:val="auto"/>
                <w:spacing w:val="-1"/>
              </w:rPr>
              <w:t xml:space="preserve">措施安排针对性强的得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vAlign w:val="center"/>
          </w:tcPr>
          <w:p w14:paraId="5869DA19">
            <w:pPr>
              <w:spacing w:before="118" w:line="224" w:lineRule="auto"/>
              <w:ind w:left="235" w:leftChars="0"/>
              <w:jc w:val="center"/>
              <w:rPr>
                <w:vertAlign w:val="baseline"/>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0BFFB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160E6807">
            <w:pPr>
              <w:pStyle w:val="23"/>
              <w:bidi w:val="0"/>
              <w:jc w:val="center"/>
              <w:rPr>
                <w:vertAlign w:val="baseline"/>
              </w:rPr>
            </w:pPr>
            <w:r>
              <w:rPr>
                <w:rFonts w:hint="eastAsia" w:ascii="宋体" w:hAnsi="宋体" w:eastAsia="宋体" w:cs="宋体"/>
                <w:color w:val="auto"/>
                <w:spacing w:val="-1"/>
                <w:kern w:val="2"/>
                <w:sz w:val="24"/>
                <w:szCs w:val="24"/>
                <w:lang w:val="en-US" w:eastAsia="en-US" w:bidi="ar-SA"/>
              </w:rPr>
              <w:t>质量保证措施</w:t>
            </w:r>
          </w:p>
        </w:tc>
        <w:tc>
          <w:tcPr>
            <w:tcW w:w="7780" w:type="dxa"/>
            <w:vAlign w:val="center"/>
          </w:tcPr>
          <w:p w14:paraId="01E70B9C">
            <w:pPr>
              <w:spacing w:before="145" w:line="247" w:lineRule="auto"/>
              <w:ind w:left="116" w:leftChars="0" w:right="64" w:rightChars="0" w:hanging="1" w:firstLineChars="0"/>
              <w:jc w:val="center"/>
              <w:rPr>
                <w:vertAlign w:val="baseline"/>
              </w:rPr>
            </w:pPr>
            <w:r>
              <w:rPr>
                <w:rFonts w:ascii="宋体" w:hAnsi="宋体" w:eastAsia="宋体" w:cs="宋体"/>
                <w:color w:val="auto"/>
                <w:spacing w:val="-1"/>
              </w:rPr>
              <w:t xml:space="preserve">措施安排针对性强的得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vAlign w:val="center"/>
          </w:tcPr>
          <w:p w14:paraId="721CD568">
            <w:pPr>
              <w:spacing w:before="118" w:line="224" w:lineRule="auto"/>
              <w:ind w:left="235" w:leftChars="0"/>
              <w:jc w:val="center"/>
              <w:rPr>
                <w:vertAlign w:val="baseline"/>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1B603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6D94E598">
            <w:pPr>
              <w:pStyle w:val="23"/>
              <w:bidi w:val="0"/>
              <w:jc w:val="center"/>
              <w:rPr>
                <w:vertAlign w:val="baseline"/>
              </w:rPr>
            </w:pPr>
            <w:r>
              <w:rPr>
                <w:rFonts w:hint="eastAsia" w:ascii="宋体" w:hAnsi="宋体" w:eastAsia="宋体" w:cs="宋体"/>
                <w:color w:val="auto"/>
                <w:spacing w:val="-1"/>
                <w:kern w:val="2"/>
                <w:sz w:val="24"/>
                <w:szCs w:val="24"/>
                <w:lang w:val="en-US" w:eastAsia="en-US" w:bidi="ar-SA"/>
              </w:rPr>
              <w:t>施工总进度及保证措施</w:t>
            </w:r>
          </w:p>
        </w:tc>
        <w:tc>
          <w:tcPr>
            <w:tcW w:w="7780" w:type="dxa"/>
            <w:vAlign w:val="center"/>
          </w:tcPr>
          <w:p w14:paraId="1242855C">
            <w:pPr>
              <w:spacing w:line="217" w:lineRule="auto"/>
              <w:ind w:left="115" w:leftChars="0"/>
              <w:jc w:val="center"/>
              <w:rPr>
                <w:vertAlign w:val="baseline"/>
              </w:rPr>
            </w:pPr>
            <w:r>
              <w:rPr>
                <w:rFonts w:ascii="宋体" w:hAnsi="宋体" w:eastAsia="宋体" w:cs="宋体"/>
                <w:color w:val="auto"/>
                <w:spacing w:val="-1"/>
              </w:rPr>
              <w:t xml:space="preserve">措施安排针对性强的得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vAlign w:val="center"/>
          </w:tcPr>
          <w:p w14:paraId="36E36D56">
            <w:pPr>
              <w:spacing w:before="119" w:line="224" w:lineRule="auto"/>
              <w:ind w:left="235" w:leftChars="0"/>
              <w:jc w:val="center"/>
              <w:rPr>
                <w:vertAlign w:val="baseline"/>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3C3C7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shd w:val="clear" w:color="auto" w:fill="auto"/>
            <w:vAlign w:val="center"/>
          </w:tcPr>
          <w:p w14:paraId="628C6981">
            <w:pPr>
              <w:pStyle w:val="23"/>
              <w:bidi w:val="0"/>
              <w:jc w:val="center"/>
              <w:rPr>
                <w:rFonts w:hint="eastAsia" w:ascii="宋体" w:hAnsi="宋体" w:eastAsia="宋体" w:cs="宋体"/>
                <w:b w:val="0"/>
                <w:bCs w:val="0"/>
                <w:kern w:val="0"/>
                <w:sz w:val="24"/>
                <w:szCs w:val="24"/>
                <w:lang w:val="en-US" w:eastAsia="en-US" w:bidi="ar-SA"/>
              </w:rPr>
            </w:pPr>
            <w:r>
              <w:rPr>
                <w:rFonts w:hint="eastAsia" w:ascii="宋体" w:hAnsi="宋体" w:eastAsia="宋体" w:cs="宋体"/>
                <w:b w:val="0"/>
                <w:bCs w:val="0"/>
                <w:sz w:val="24"/>
                <w:szCs w:val="24"/>
              </w:rPr>
              <w:t>施工安</w:t>
            </w:r>
            <w:r>
              <w:rPr>
                <w:rFonts w:hint="eastAsia" w:ascii="宋体" w:hAnsi="宋体" w:eastAsia="宋体" w:cs="宋体"/>
                <w:color w:val="auto"/>
                <w:spacing w:val="-1"/>
                <w:kern w:val="2"/>
                <w:sz w:val="24"/>
                <w:szCs w:val="24"/>
                <w:lang w:val="en-US" w:eastAsia="en-US" w:bidi="ar-SA"/>
              </w:rPr>
              <w:t>全措施</w:t>
            </w:r>
          </w:p>
        </w:tc>
        <w:tc>
          <w:tcPr>
            <w:tcW w:w="7780" w:type="dxa"/>
            <w:shd w:val="clear" w:color="auto" w:fill="auto"/>
            <w:vAlign w:val="center"/>
          </w:tcPr>
          <w:p w14:paraId="37EAC44E">
            <w:pPr>
              <w:spacing w:before="204" w:line="232" w:lineRule="auto"/>
              <w:ind w:left="113" w:leftChars="0" w:right="106" w:rightChars="0"/>
              <w:jc w:val="center"/>
              <w:rPr>
                <w:rFonts w:ascii="宋体" w:hAnsi="宋体" w:eastAsia="宋体" w:cs="宋体"/>
                <w:color w:val="auto"/>
                <w:kern w:val="2"/>
                <w:sz w:val="24"/>
                <w:szCs w:val="24"/>
                <w:lang w:val="en-US" w:eastAsia="en-US" w:bidi="ar-SA"/>
              </w:rPr>
            </w:pPr>
            <w:r>
              <w:rPr>
                <w:rFonts w:ascii="宋体" w:hAnsi="宋体" w:eastAsia="宋体" w:cs="宋体"/>
                <w:color w:val="auto"/>
                <w:spacing w:val="-1"/>
              </w:rPr>
              <w:t xml:space="preserve">措施安排针对性强的得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shd w:val="clear" w:color="auto" w:fill="auto"/>
            <w:vAlign w:val="center"/>
          </w:tcPr>
          <w:p w14:paraId="5F5ABF69">
            <w:pPr>
              <w:spacing w:before="119"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0C39E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shd w:val="clear" w:color="auto" w:fill="auto"/>
            <w:vAlign w:val="center"/>
          </w:tcPr>
          <w:p w14:paraId="353911E2">
            <w:pPr>
              <w:pStyle w:val="273"/>
              <w:spacing w:before="118" w:line="468" w:lineRule="exact"/>
              <w:jc w:val="center"/>
              <w:rPr>
                <w:rFonts w:hint="eastAsia" w:ascii="宋体" w:hAnsi="宋体" w:eastAsia="宋体" w:cs="宋体"/>
                <w:color w:val="auto"/>
                <w:spacing w:val="-1"/>
                <w:kern w:val="2"/>
                <w:sz w:val="24"/>
                <w:szCs w:val="24"/>
                <w:lang w:val="en-US" w:eastAsia="en-US" w:bidi="ar-SA"/>
              </w:rPr>
            </w:pPr>
            <w:r>
              <w:rPr>
                <w:rFonts w:hint="eastAsia" w:ascii="宋体" w:hAnsi="宋体" w:eastAsia="宋体" w:cs="宋体"/>
                <w:color w:val="auto"/>
                <w:spacing w:val="-1"/>
                <w:kern w:val="2"/>
                <w:sz w:val="24"/>
                <w:szCs w:val="24"/>
                <w:lang w:val="en-US" w:eastAsia="en-US" w:bidi="ar-SA"/>
              </w:rPr>
              <w:t>文明施工措施</w:t>
            </w:r>
          </w:p>
        </w:tc>
        <w:tc>
          <w:tcPr>
            <w:tcW w:w="7780" w:type="dxa"/>
            <w:shd w:val="clear" w:color="auto" w:fill="auto"/>
            <w:vAlign w:val="center"/>
          </w:tcPr>
          <w:p w14:paraId="5B3A816F">
            <w:pPr>
              <w:spacing w:before="202" w:line="233" w:lineRule="auto"/>
              <w:ind w:left="113" w:leftChars="0" w:right="106" w:rightChars="0"/>
              <w:jc w:val="center"/>
              <w:rPr>
                <w:rFonts w:ascii="宋体" w:hAnsi="宋体" w:eastAsia="宋体" w:cs="宋体"/>
                <w:color w:val="auto"/>
                <w:kern w:val="2"/>
                <w:sz w:val="24"/>
                <w:szCs w:val="24"/>
                <w:lang w:val="en-US" w:eastAsia="en-US" w:bidi="ar-SA"/>
              </w:rPr>
            </w:pPr>
            <w:r>
              <w:rPr>
                <w:rFonts w:ascii="宋体" w:hAnsi="宋体" w:eastAsia="宋体" w:cs="宋体"/>
                <w:color w:val="auto"/>
                <w:spacing w:val="-1"/>
              </w:rPr>
              <w:t xml:space="preserve">措施安排针对性强的得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shd w:val="clear" w:color="auto" w:fill="auto"/>
            <w:vAlign w:val="center"/>
          </w:tcPr>
          <w:p w14:paraId="4B378C8E">
            <w:pPr>
              <w:spacing w:before="118"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4F822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shd w:val="clear" w:color="auto" w:fill="auto"/>
            <w:vAlign w:val="center"/>
          </w:tcPr>
          <w:p w14:paraId="73D73608">
            <w:pPr>
              <w:pStyle w:val="273"/>
              <w:spacing w:before="116" w:line="468" w:lineRule="exact"/>
              <w:jc w:val="center"/>
              <w:rPr>
                <w:rFonts w:hint="eastAsia" w:ascii="宋体" w:hAnsi="宋体" w:eastAsia="宋体" w:cs="宋体"/>
                <w:color w:val="auto"/>
                <w:spacing w:val="-1"/>
                <w:kern w:val="2"/>
                <w:sz w:val="24"/>
                <w:szCs w:val="24"/>
                <w:lang w:val="en-US" w:eastAsia="en-US" w:bidi="ar-SA"/>
              </w:rPr>
            </w:pPr>
            <w:r>
              <w:rPr>
                <w:rFonts w:hint="eastAsia" w:ascii="宋体" w:hAnsi="宋体" w:eastAsia="宋体" w:cs="宋体"/>
                <w:color w:val="auto"/>
                <w:spacing w:val="-1"/>
                <w:kern w:val="2"/>
                <w:sz w:val="24"/>
                <w:szCs w:val="24"/>
                <w:lang w:val="en-US" w:eastAsia="en-US" w:bidi="ar-SA"/>
              </w:rPr>
              <w:t>施工场地治安保卫管理</w:t>
            </w:r>
          </w:p>
        </w:tc>
        <w:tc>
          <w:tcPr>
            <w:tcW w:w="7780" w:type="dxa"/>
            <w:shd w:val="clear" w:color="auto" w:fill="auto"/>
            <w:vAlign w:val="center"/>
          </w:tcPr>
          <w:p w14:paraId="64B67D65">
            <w:pPr>
              <w:pStyle w:val="273"/>
              <w:spacing w:before="200" w:line="232" w:lineRule="auto"/>
              <w:ind w:left="113" w:leftChars="0" w:right="106" w:rightChars="0" w:firstLine="6" w:firstLineChars="0"/>
              <w:jc w:val="center"/>
              <w:rPr>
                <w:rFonts w:ascii="宋体" w:hAnsi="宋体" w:eastAsia="宋体" w:cs="宋体"/>
                <w:color w:val="auto"/>
                <w:kern w:val="2"/>
                <w:sz w:val="24"/>
                <w:szCs w:val="24"/>
                <w:lang w:val="en-US" w:eastAsia="en-US" w:bidi="ar-SA"/>
              </w:rPr>
            </w:pPr>
            <w:r>
              <w:rPr>
                <w:color w:val="auto"/>
                <w:spacing w:val="-4"/>
              </w:rPr>
              <w:t>管理</w:t>
            </w:r>
            <w:r>
              <w:rPr>
                <w:rFonts w:ascii="宋体" w:hAnsi="宋体" w:eastAsia="宋体" w:cs="宋体"/>
                <w:color w:val="auto"/>
                <w:spacing w:val="-1"/>
              </w:rPr>
              <w:t xml:space="preserve">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shd w:val="clear" w:color="auto" w:fill="auto"/>
            <w:vAlign w:val="center"/>
          </w:tcPr>
          <w:p w14:paraId="6F283677">
            <w:pPr>
              <w:spacing w:before="116"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32200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shd w:val="clear" w:color="auto" w:fill="auto"/>
            <w:vAlign w:val="center"/>
          </w:tcPr>
          <w:p w14:paraId="06EA9017">
            <w:pPr>
              <w:pStyle w:val="273"/>
              <w:spacing w:before="117" w:line="468" w:lineRule="exact"/>
              <w:jc w:val="center"/>
              <w:rPr>
                <w:rFonts w:hint="eastAsia" w:ascii="宋体" w:hAnsi="宋体" w:eastAsia="宋体" w:cs="宋体"/>
                <w:color w:val="auto"/>
                <w:spacing w:val="-1"/>
                <w:kern w:val="2"/>
                <w:sz w:val="24"/>
                <w:szCs w:val="24"/>
                <w:lang w:val="en-US" w:eastAsia="en-US" w:bidi="ar-SA"/>
              </w:rPr>
            </w:pPr>
            <w:r>
              <w:rPr>
                <w:rFonts w:hint="eastAsia" w:ascii="宋体" w:hAnsi="宋体" w:eastAsia="宋体" w:cs="宋体"/>
                <w:color w:val="auto"/>
                <w:spacing w:val="-1"/>
                <w:kern w:val="2"/>
                <w:sz w:val="24"/>
                <w:szCs w:val="24"/>
                <w:lang w:val="en-US" w:eastAsia="en-US" w:bidi="ar-SA"/>
              </w:rPr>
              <w:t>施工环保措施</w:t>
            </w:r>
          </w:p>
        </w:tc>
        <w:tc>
          <w:tcPr>
            <w:tcW w:w="7780" w:type="dxa"/>
            <w:shd w:val="clear" w:color="auto" w:fill="auto"/>
            <w:vAlign w:val="center"/>
          </w:tcPr>
          <w:p w14:paraId="72441E81">
            <w:pPr>
              <w:pStyle w:val="273"/>
              <w:spacing w:before="201" w:line="232" w:lineRule="auto"/>
              <w:ind w:left="113" w:leftChars="0" w:right="106" w:rightChars="0"/>
              <w:jc w:val="center"/>
              <w:rPr>
                <w:rFonts w:ascii="宋体" w:hAnsi="宋体" w:eastAsia="宋体" w:cs="宋体"/>
                <w:color w:val="auto"/>
                <w:kern w:val="2"/>
                <w:sz w:val="24"/>
                <w:szCs w:val="24"/>
                <w:lang w:val="en-US" w:eastAsia="en-US" w:bidi="ar-SA"/>
              </w:rPr>
            </w:pPr>
            <w:r>
              <w:rPr>
                <w:color w:val="auto"/>
                <w:spacing w:val="-4"/>
              </w:rPr>
              <w:t>措施</w:t>
            </w:r>
            <w:r>
              <w:rPr>
                <w:rFonts w:ascii="宋体" w:hAnsi="宋体" w:eastAsia="宋体" w:cs="宋体"/>
                <w:color w:val="auto"/>
                <w:spacing w:val="-1"/>
              </w:rPr>
              <w:t xml:space="preserve">安排针对性强的得 </w:t>
            </w:r>
            <w:r>
              <w:rPr>
                <w:rFonts w:hint="eastAsia" w:cs="宋体"/>
                <w:color w:val="auto"/>
                <w:spacing w:val="-1"/>
                <w:lang w:val="en-US" w:eastAsia="zh-CN"/>
              </w:rPr>
              <w:t>4-5</w:t>
            </w:r>
            <w:r>
              <w:rPr>
                <w:rFonts w:ascii="宋体" w:hAnsi="宋体" w:eastAsia="宋体" w:cs="宋体"/>
                <w:color w:val="auto"/>
                <w:spacing w:val="-1"/>
              </w:rPr>
              <w:t>分，一般的得 2-</w:t>
            </w:r>
            <w:r>
              <w:rPr>
                <w:rFonts w:hint="eastAsia" w:cs="宋体"/>
                <w:color w:val="auto"/>
                <w:spacing w:val="-1"/>
                <w:lang w:val="en-US" w:eastAsia="zh-CN"/>
              </w:rPr>
              <w:t>3</w:t>
            </w:r>
            <w:r>
              <w:rPr>
                <w:rFonts w:ascii="宋体" w:hAnsi="宋体" w:eastAsia="宋体" w:cs="宋体"/>
                <w:color w:val="auto"/>
                <w:spacing w:val="-1"/>
              </w:rPr>
              <w:t>.9 分，不完整的得 0.1- 1.9 分，不提供不得分。</w:t>
            </w:r>
          </w:p>
        </w:tc>
        <w:tc>
          <w:tcPr>
            <w:tcW w:w="992" w:type="dxa"/>
            <w:shd w:val="clear" w:color="auto" w:fill="auto"/>
            <w:vAlign w:val="center"/>
          </w:tcPr>
          <w:p w14:paraId="47DB1230">
            <w:pPr>
              <w:spacing w:before="116"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3BD4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shd w:val="clear" w:color="auto" w:fill="auto"/>
            <w:vAlign w:val="center"/>
          </w:tcPr>
          <w:p w14:paraId="1941C709">
            <w:pPr>
              <w:pStyle w:val="273"/>
              <w:spacing w:before="116" w:line="468" w:lineRule="exact"/>
              <w:jc w:val="center"/>
              <w:rPr>
                <w:rFonts w:hint="eastAsia" w:ascii="宋体" w:hAnsi="宋体" w:eastAsia="宋体" w:cs="宋体"/>
                <w:color w:val="auto"/>
                <w:spacing w:val="-1"/>
                <w:kern w:val="2"/>
                <w:sz w:val="24"/>
                <w:szCs w:val="24"/>
                <w:lang w:val="en-US" w:eastAsia="en-US" w:bidi="ar-SA"/>
              </w:rPr>
            </w:pPr>
            <w:r>
              <w:rPr>
                <w:rFonts w:hint="eastAsia" w:ascii="宋体" w:hAnsi="宋体" w:eastAsia="宋体" w:cs="宋体"/>
                <w:color w:val="auto"/>
                <w:spacing w:val="-1"/>
                <w:kern w:val="2"/>
                <w:sz w:val="24"/>
                <w:szCs w:val="24"/>
                <w:lang w:val="en-US" w:eastAsia="en-US" w:bidi="ar-SA"/>
              </w:rPr>
              <w:t>现场组织管理机构</w:t>
            </w:r>
          </w:p>
        </w:tc>
        <w:tc>
          <w:tcPr>
            <w:tcW w:w="7780" w:type="dxa"/>
            <w:shd w:val="clear" w:color="auto" w:fill="auto"/>
            <w:vAlign w:val="center"/>
          </w:tcPr>
          <w:p w14:paraId="1B557D26">
            <w:pPr>
              <w:pStyle w:val="273"/>
              <w:spacing w:before="254" w:line="229" w:lineRule="auto"/>
              <w:ind w:left="116" w:leftChars="0" w:right="106" w:rightChars="0"/>
              <w:jc w:val="center"/>
              <w:rPr>
                <w:rFonts w:ascii="宋体" w:hAnsi="宋体" w:eastAsia="宋体" w:cs="宋体"/>
                <w:color w:val="auto"/>
                <w:kern w:val="2"/>
                <w:sz w:val="24"/>
                <w:szCs w:val="24"/>
                <w:lang w:val="en-US" w:eastAsia="en-US" w:bidi="ar-SA"/>
              </w:rPr>
            </w:pPr>
            <w:r>
              <w:rPr>
                <w:color w:val="auto"/>
                <w:spacing w:val="-1"/>
              </w:rPr>
              <w:t>现场组织管理机构设置合理机构好的得</w:t>
            </w:r>
            <w:r>
              <w:rPr>
                <w:rFonts w:ascii="宋体" w:hAnsi="宋体" w:eastAsia="宋体" w:cs="宋体"/>
                <w:color w:val="auto"/>
                <w:spacing w:val="-1"/>
              </w:rPr>
              <w:t xml:space="preserve"> </w:t>
            </w:r>
            <w:r>
              <w:rPr>
                <w:rFonts w:hint="eastAsia" w:cs="宋体"/>
                <w:color w:val="auto"/>
                <w:spacing w:val="-1"/>
                <w:lang w:val="en-US" w:eastAsia="zh-CN"/>
              </w:rPr>
              <w:t>4-5</w:t>
            </w:r>
            <w:r>
              <w:rPr>
                <w:color w:val="auto"/>
                <w:spacing w:val="-1"/>
              </w:rPr>
              <w:t>分，一般的得</w:t>
            </w:r>
            <w:r>
              <w:rPr>
                <w:color w:val="auto"/>
                <w:spacing w:val="-51"/>
              </w:rPr>
              <w:t xml:space="preserve"> </w:t>
            </w:r>
            <w:r>
              <w:rPr>
                <w:rFonts w:ascii="宋体" w:hAnsi="宋体" w:eastAsia="宋体" w:cs="宋体"/>
                <w:color w:val="auto"/>
                <w:spacing w:val="-1"/>
              </w:rPr>
              <w:t>2-</w:t>
            </w:r>
            <w:r>
              <w:rPr>
                <w:rFonts w:hint="eastAsia" w:cs="宋体"/>
                <w:color w:val="auto"/>
                <w:spacing w:val="-1"/>
                <w:lang w:val="en-US" w:eastAsia="zh-CN"/>
              </w:rPr>
              <w:t>3</w:t>
            </w:r>
            <w:r>
              <w:rPr>
                <w:rFonts w:ascii="宋体" w:hAnsi="宋体" w:eastAsia="宋体" w:cs="宋体"/>
                <w:color w:val="auto"/>
                <w:spacing w:val="-1"/>
              </w:rPr>
              <w:t xml:space="preserve">.9 </w:t>
            </w:r>
            <w:r>
              <w:rPr>
                <w:color w:val="auto"/>
                <w:spacing w:val="-1"/>
              </w:rPr>
              <w:t>分，不完整的得</w:t>
            </w:r>
            <w:r>
              <w:rPr>
                <w:color w:val="auto"/>
                <w:spacing w:val="-35"/>
              </w:rPr>
              <w:t xml:space="preserve"> </w:t>
            </w:r>
            <w:r>
              <w:rPr>
                <w:rFonts w:ascii="Times New Roman" w:hAnsi="Times New Roman" w:eastAsia="Times New Roman" w:cs="Times New Roman"/>
                <w:color w:val="auto"/>
                <w:spacing w:val="-1"/>
              </w:rPr>
              <w:t>0.1-</w:t>
            </w:r>
            <w:r>
              <w:rPr>
                <w:rFonts w:ascii="Times New Roman" w:hAnsi="Times New Roman" w:eastAsia="Times New Roman" w:cs="Times New Roman"/>
                <w:color w:val="auto"/>
                <w:spacing w:val="-30"/>
              </w:rPr>
              <w:t xml:space="preserve"> </w:t>
            </w:r>
            <w:r>
              <w:rPr>
                <w:rFonts w:ascii="Times New Roman" w:hAnsi="Times New Roman" w:eastAsia="Times New Roman" w:cs="Times New Roman"/>
                <w:color w:val="auto"/>
                <w:spacing w:val="-1"/>
              </w:rPr>
              <w:t xml:space="preserve">1.9 </w:t>
            </w:r>
            <w:r>
              <w:rPr>
                <w:color w:val="auto"/>
                <w:spacing w:val="-1"/>
              </w:rPr>
              <w:t>分，不提供不得分。</w:t>
            </w:r>
          </w:p>
        </w:tc>
        <w:tc>
          <w:tcPr>
            <w:tcW w:w="992" w:type="dxa"/>
            <w:shd w:val="clear" w:color="auto" w:fill="auto"/>
            <w:vAlign w:val="center"/>
          </w:tcPr>
          <w:p w14:paraId="1C55DA4D">
            <w:pPr>
              <w:spacing w:before="116"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56A31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4" w:hRule="atLeast"/>
        </w:trPr>
        <w:tc>
          <w:tcPr>
            <w:tcW w:w="1307" w:type="dxa"/>
            <w:shd w:val="clear" w:color="auto" w:fill="auto"/>
            <w:vAlign w:val="center"/>
          </w:tcPr>
          <w:p w14:paraId="0DA271F9">
            <w:pPr>
              <w:pStyle w:val="273"/>
              <w:spacing w:before="117" w:line="220" w:lineRule="auto"/>
              <w:jc w:val="center"/>
              <w:rPr>
                <w:rFonts w:hint="eastAsia" w:ascii="宋体" w:hAnsi="宋体" w:eastAsia="宋体" w:cs="宋体"/>
                <w:color w:val="auto"/>
                <w:spacing w:val="-1"/>
                <w:kern w:val="2"/>
                <w:sz w:val="24"/>
                <w:szCs w:val="24"/>
                <w:lang w:val="en-US" w:eastAsia="en-US" w:bidi="ar-SA"/>
              </w:rPr>
            </w:pPr>
            <w:r>
              <w:rPr>
                <w:rFonts w:hint="eastAsia" w:ascii="宋体" w:hAnsi="宋体" w:eastAsia="宋体" w:cs="宋体"/>
                <w:color w:val="auto"/>
                <w:spacing w:val="-1"/>
                <w:kern w:val="2"/>
                <w:sz w:val="24"/>
                <w:szCs w:val="24"/>
                <w:lang w:val="en-US" w:eastAsia="en-US" w:bidi="ar-SA"/>
              </w:rPr>
              <w:t>与发包人、监理及设计单位的配合</w:t>
            </w:r>
          </w:p>
        </w:tc>
        <w:tc>
          <w:tcPr>
            <w:tcW w:w="7780" w:type="dxa"/>
            <w:shd w:val="clear" w:color="auto" w:fill="auto"/>
            <w:vAlign w:val="center"/>
          </w:tcPr>
          <w:p w14:paraId="3D926A88">
            <w:pPr>
              <w:pStyle w:val="273"/>
              <w:spacing w:before="78" w:line="228" w:lineRule="auto"/>
              <w:ind w:right="127" w:rightChars="0"/>
              <w:jc w:val="center"/>
              <w:rPr>
                <w:rFonts w:ascii="宋体" w:hAnsi="宋体" w:eastAsia="宋体" w:cs="宋体"/>
                <w:color w:val="auto"/>
                <w:kern w:val="2"/>
                <w:sz w:val="24"/>
                <w:szCs w:val="24"/>
                <w:lang w:val="en-US" w:eastAsia="en-US" w:bidi="ar-SA"/>
              </w:rPr>
            </w:pPr>
            <w:r>
              <w:rPr>
                <w:color w:val="auto"/>
                <w:spacing w:val="1"/>
              </w:rPr>
              <w:t>与发包人、监理、设计单位配合方案</w:t>
            </w:r>
            <w:r>
              <w:rPr>
                <w:color w:val="auto"/>
                <w:spacing w:val="-1"/>
              </w:rPr>
              <w:t>好的得</w:t>
            </w:r>
            <w:r>
              <w:rPr>
                <w:rFonts w:ascii="宋体" w:hAnsi="宋体" w:eastAsia="宋体" w:cs="宋体"/>
                <w:color w:val="auto"/>
                <w:spacing w:val="-1"/>
              </w:rPr>
              <w:t xml:space="preserve"> </w:t>
            </w:r>
            <w:r>
              <w:rPr>
                <w:rFonts w:hint="eastAsia" w:cs="宋体"/>
                <w:color w:val="auto"/>
                <w:spacing w:val="-1"/>
                <w:lang w:val="en-US" w:eastAsia="zh-CN"/>
              </w:rPr>
              <w:t>4-5</w:t>
            </w:r>
            <w:r>
              <w:rPr>
                <w:color w:val="auto"/>
                <w:spacing w:val="-1"/>
              </w:rPr>
              <w:t>分，一般的得</w:t>
            </w:r>
            <w:r>
              <w:rPr>
                <w:color w:val="auto"/>
                <w:spacing w:val="-51"/>
              </w:rPr>
              <w:t xml:space="preserve"> </w:t>
            </w:r>
            <w:r>
              <w:rPr>
                <w:rFonts w:ascii="宋体" w:hAnsi="宋体" w:eastAsia="宋体" w:cs="宋体"/>
                <w:color w:val="auto"/>
                <w:spacing w:val="-1"/>
              </w:rPr>
              <w:t>2-</w:t>
            </w:r>
            <w:r>
              <w:rPr>
                <w:rFonts w:hint="eastAsia" w:cs="宋体"/>
                <w:color w:val="auto"/>
                <w:spacing w:val="-1"/>
                <w:lang w:val="en-US" w:eastAsia="zh-CN"/>
              </w:rPr>
              <w:t>3</w:t>
            </w:r>
            <w:r>
              <w:rPr>
                <w:rFonts w:ascii="宋体" w:hAnsi="宋体" w:eastAsia="宋体" w:cs="宋体"/>
                <w:color w:val="auto"/>
                <w:spacing w:val="-1"/>
              </w:rPr>
              <w:t xml:space="preserve">.9 </w:t>
            </w:r>
            <w:r>
              <w:rPr>
                <w:color w:val="auto"/>
                <w:spacing w:val="-1"/>
              </w:rPr>
              <w:t>分，不完整的得</w:t>
            </w:r>
            <w:r>
              <w:rPr>
                <w:color w:val="auto"/>
                <w:spacing w:val="-35"/>
              </w:rPr>
              <w:t xml:space="preserve"> </w:t>
            </w:r>
            <w:r>
              <w:rPr>
                <w:rFonts w:ascii="Times New Roman" w:hAnsi="Times New Roman" w:eastAsia="Times New Roman" w:cs="Times New Roman"/>
                <w:color w:val="auto"/>
                <w:spacing w:val="-1"/>
              </w:rPr>
              <w:t>0.1-</w:t>
            </w:r>
            <w:r>
              <w:rPr>
                <w:rFonts w:ascii="Times New Roman" w:hAnsi="Times New Roman" w:eastAsia="Times New Roman" w:cs="Times New Roman"/>
                <w:color w:val="auto"/>
                <w:spacing w:val="-30"/>
              </w:rPr>
              <w:t xml:space="preserve"> </w:t>
            </w:r>
            <w:r>
              <w:rPr>
                <w:rFonts w:ascii="Times New Roman" w:hAnsi="Times New Roman" w:eastAsia="Times New Roman" w:cs="Times New Roman"/>
                <w:color w:val="auto"/>
                <w:spacing w:val="-1"/>
              </w:rPr>
              <w:t xml:space="preserve">1.9 </w:t>
            </w:r>
            <w:r>
              <w:rPr>
                <w:color w:val="auto"/>
                <w:spacing w:val="-1"/>
              </w:rPr>
              <w:t>分，不提供不得分。</w:t>
            </w:r>
          </w:p>
        </w:tc>
        <w:tc>
          <w:tcPr>
            <w:tcW w:w="992" w:type="dxa"/>
            <w:shd w:val="clear" w:color="auto" w:fill="auto"/>
            <w:vAlign w:val="center"/>
          </w:tcPr>
          <w:p w14:paraId="3F000351">
            <w:pPr>
              <w:spacing w:before="117"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r w14:paraId="72F94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shd w:val="clear" w:color="auto" w:fill="auto"/>
            <w:vAlign w:val="center"/>
          </w:tcPr>
          <w:p w14:paraId="0F44D98D">
            <w:pPr>
              <w:pStyle w:val="273"/>
              <w:spacing w:before="118" w:line="468" w:lineRule="exact"/>
              <w:jc w:val="center"/>
              <w:rPr>
                <w:rFonts w:hint="eastAsia" w:ascii="宋体" w:hAnsi="宋体" w:eastAsia="宋体" w:cs="宋体"/>
                <w:color w:val="auto"/>
                <w:spacing w:val="-1"/>
                <w:kern w:val="2"/>
                <w:sz w:val="24"/>
                <w:szCs w:val="24"/>
                <w:lang w:val="en-US" w:eastAsia="en-US" w:bidi="ar-SA"/>
              </w:rPr>
            </w:pPr>
            <w:r>
              <w:rPr>
                <w:rFonts w:hint="eastAsia" w:ascii="宋体" w:hAnsi="宋体" w:eastAsia="宋体" w:cs="宋体"/>
                <w:color w:val="auto"/>
                <w:spacing w:val="-1"/>
                <w:kern w:val="2"/>
                <w:sz w:val="24"/>
                <w:szCs w:val="24"/>
                <w:lang w:val="en-US" w:eastAsia="en-US" w:bidi="ar-SA"/>
              </w:rPr>
              <w:t>扬尘专项治理措施</w:t>
            </w:r>
          </w:p>
        </w:tc>
        <w:tc>
          <w:tcPr>
            <w:tcW w:w="7780" w:type="dxa"/>
            <w:shd w:val="clear" w:color="auto" w:fill="auto"/>
            <w:vAlign w:val="top"/>
          </w:tcPr>
          <w:p w14:paraId="67643EC9">
            <w:pPr>
              <w:pStyle w:val="273"/>
              <w:spacing w:before="255" w:line="229" w:lineRule="auto"/>
              <w:ind w:left="117" w:leftChars="0" w:right="106" w:rightChars="0" w:firstLine="2" w:firstLineChars="0"/>
              <w:jc w:val="center"/>
              <w:rPr>
                <w:rFonts w:ascii="宋体" w:hAnsi="宋体" w:eastAsia="宋体" w:cs="宋体"/>
                <w:color w:val="auto"/>
                <w:kern w:val="2"/>
                <w:sz w:val="24"/>
                <w:szCs w:val="24"/>
                <w:lang w:val="en-US" w:eastAsia="en-US" w:bidi="ar-SA"/>
              </w:rPr>
            </w:pPr>
            <w:r>
              <w:rPr>
                <w:color w:val="auto"/>
                <w:spacing w:val="-5"/>
              </w:rPr>
              <w:t>治理措施</w:t>
            </w:r>
            <w:r>
              <w:rPr>
                <w:color w:val="auto"/>
                <w:spacing w:val="-1"/>
              </w:rPr>
              <w:t>好的得</w:t>
            </w:r>
            <w:r>
              <w:rPr>
                <w:rFonts w:ascii="宋体" w:hAnsi="宋体" w:eastAsia="宋体" w:cs="宋体"/>
                <w:color w:val="auto"/>
                <w:spacing w:val="-1"/>
              </w:rPr>
              <w:t xml:space="preserve"> </w:t>
            </w:r>
            <w:r>
              <w:rPr>
                <w:rFonts w:hint="eastAsia" w:cs="宋体"/>
                <w:color w:val="auto"/>
                <w:spacing w:val="-1"/>
                <w:lang w:val="en-US" w:eastAsia="zh-CN"/>
              </w:rPr>
              <w:t>4-5</w:t>
            </w:r>
            <w:r>
              <w:rPr>
                <w:color w:val="auto"/>
                <w:spacing w:val="-1"/>
              </w:rPr>
              <w:t>分，一般的得</w:t>
            </w:r>
            <w:r>
              <w:rPr>
                <w:color w:val="auto"/>
                <w:spacing w:val="-51"/>
              </w:rPr>
              <w:t xml:space="preserve"> </w:t>
            </w:r>
            <w:r>
              <w:rPr>
                <w:rFonts w:ascii="宋体" w:hAnsi="宋体" w:eastAsia="宋体" w:cs="宋体"/>
                <w:color w:val="auto"/>
                <w:spacing w:val="-1"/>
              </w:rPr>
              <w:t>2-</w:t>
            </w:r>
            <w:r>
              <w:rPr>
                <w:rFonts w:hint="eastAsia" w:cs="宋体"/>
                <w:color w:val="auto"/>
                <w:spacing w:val="-1"/>
                <w:lang w:val="en-US" w:eastAsia="zh-CN"/>
              </w:rPr>
              <w:t>3</w:t>
            </w:r>
            <w:r>
              <w:rPr>
                <w:rFonts w:ascii="宋体" w:hAnsi="宋体" w:eastAsia="宋体" w:cs="宋体"/>
                <w:color w:val="auto"/>
                <w:spacing w:val="-1"/>
              </w:rPr>
              <w:t xml:space="preserve">.9 </w:t>
            </w:r>
            <w:r>
              <w:rPr>
                <w:color w:val="auto"/>
                <w:spacing w:val="-1"/>
              </w:rPr>
              <w:t>分，不完整的得</w:t>
            </w:r>
            <w:r>
              <w:rPr>
                <w:color w:val="auto"/>
                <w:spacing w:val="-35"/>
              </w:rPr>
              <w:t xml:space="preserve"> </w:t>
            </w:r>
            <w:r>
              <w:rPr>
                <w:rFonts w:ascii="Times New Roman" w:hAnsi="Times New Roman" w:eastAsia="Times New Roman" w:cs="Times New Roman"/>
                <w:color w:val="auto"/>
                <w:spacing w:val="-1"/>
              </w:rPr>
              <w:t>0.1-</w:t>
            </w:r>
            <w:r>
              <w:rPr>
                <w:rFonts w:ascii="Times New Roman" w:hAnsi="Times New Roman" w:eastAsia="Times New Roman" w:cs="Times New Roman"/>
                <w:color w:val="auto"/>
                <w:spacing w:val="-30"/>
              </w:rPr>
              <w:t xml:space="preserve"> </w:t>
            </w:r>
            <w:r>
              <w:rPr>
                <w:rFonts w:ascii="Times New Roman" w:hAnsi="Times New Roman" w:eastAsia="Times New Roman" w:cs="Times New Roman"/>
                <w:color w:val="auto"/>
                <w:spacing w:val="-1"/>
              </w:rPr>
              <w:t xml:space="preserve">1.9 </w:t>
            </w:r>
            <w:r>
              <w:rPr>
                <w:color w:val="auto"/>
                <w:spacing w:val="-1"/>
              </w:rPr>
              <w:t>分，不提供不得分。</w:t>
            </w:r>
          </w:p>
        </w:tc>
        <w:tc>
          <w:tcPr>
            <w:tcW w:w="992" w:type="dxa"/>
            <w:shd w:val="clear" w:color="auto" w:fill="auto"/>
            <w:vAlign w:val="center"/>
          </w:tcPr>
          <w:p w14:paraId="26FA3E28">
            <w:pPr>
              <w:spacing w:before="117" w:line="224" w:lineRule="auto"/>
              <w:ind w:left="235" w:leftChars="0"/>
              <w:jc w:val="center"/>
              <w:rPr>
                <w:rFonts w:ascii="仿宋" w:hAnsi="仿宋" w:eastAsia="仿宋" w:cs="仿宋"/>
                <w:color w:val="auto"/>
                <w:kern w:val="2"/>
                <w:sz w:val="24"/>
                <w:szCs w:val="24"/>
                <w:lang w:val="en-US" w:eastAsia="zh-CN" w:bidi="ar-SA"/>
              </w:rPr>
            </w:pPr>
            <w:r>
              <w:rPr>
                <w:rFonts w:hint="eastAsia" w:ascii="仿宋" w:hAnsi="仿宋" w:eastAsia="仿宋" w:cs="仿宋"/>
                <w:color w:val="auto"/>
                <w:spacing w:val="-6"/>
                <w:sz w:val="24"/>
                <w:szCs w:val="24"/>
                <w:lang w:val="en-US" w:eastAsia="zh-CN"/>
              </w:rPr>
              <w:t>5</w:t>
            </w:r>
            <w:r>
              <w:rPr>
                <w:rFonts w:ascii="仿宋" w:hAnsi="仿宋" w:eastAsia="仿宋" w:cs="仿宋"/>
                <w:color w:val="auto"/>
                <w:spacing w:val="-6"/>
                <w:sz w:val="24"/>
                <w:szCs w:val="24"/>
              </w:rPr>
              <w:t>分</w:t>
            </w:r>
          </w:p>
        </w:tc>
      </w:tr>
    </w:tbl>
    <w:p w14:paraId="083127A1">
      <w:pPr>
        <w:snapToGrid w:val="0"/>
        <w:spacing w:line="500" w:lineRule="exact"/>
        <w:ind w:firstLine="484" w:firstLineChars="200"/>
        <w:rPr>
          <w:rFonts w:asciiTheme="minorEastAsia" w:hAnsiTheme="minorEastAsia" w:eastAsiaTheme="minorEastAsia"/>
          <w:b/>
          <w:bCs/>
          <w:color w:val="auto"/>
          <w:sz w:val="24"/>
          <w:szCs w:val="24"/>
          <w:highlight w:val="none"/>
        </w:rPr>
      </w:pPr>
      <w:r>
        <w:rPr>
          <w:rFonts w:cs="宋体" w:asciiTheme="minorEastAsia" w:hAnsiTheme="minorEastAsia" w:eastAsiaTheme="minorEastAsia"/>
          <w:color w:val="auto"/>
          <w:sz w:val="24"/>
          <w:szCs w:val="24"/>
          <w:highlight w:val="none"/>
        </w:rPr>
        <w:t>4.2.</w:t>
      </w:r>
      <w:r>
        <w:rPr>
          <w:rFonts w:hint="eastAsia" w:cs="宋体" w:asciiTheme="minorEastAsia" w:hAnsiTheme="minorEastAsia" w:eastAsiaTheme="minorEastAsia"/>
          <w:color w:val="auto"/>
          <w:sz w:val="24"/>
          <w:szCs w:val="24"/>
          <w:highlight w:val="none"/>
        </w:rPr>
        <w:t>3本公司应当自磋商结束之日起</w:t>
      </w:r>
      <w:r>
        <w:rPr>
          <w:rFonts w:cs="宋体" w:asciiTheme="minorEastAsia" w:hAnsiTheme="minorEastAsia" w:eastAsiaTheme="minorEastAsia"/>
          <w:color w:val="auto"/>
          <w:sz w:val="24"/>
          <w:szCs w:val="24"/>
          <w:highlight w:val="none"/>
        </w:rPr>
        <w:t>2</w:t>
      </w:r>
      <w:r>
        <w:rPr>
          <w:rFonts w:hint="eastAsia" w:cs="宋体" w:asciiTheme="minorEastAsia" w:hAnsiTheme="minorEastAsia" w:eastAsiaTheme="minorEastAsia"/>
          <w:color w:val="auto"/>
          <w:sz w:val="24"/>
          <w:szCs w:val="24"/>
          <w:highlight w:val="none"/>
        </w:rPr>
        <w:t>个工作日内将《竞争性磋商评审报告》送交采购人。采购人应当自收到《报告》之日起</w:t>
      </w:r>
      <w:r>
        <w:rPr>
          <w:rFonts w:cs="宋体" w:asciiTheme="minorEastAsia" w:hAnsiTheme="minorEastAsia" w:eastAsiaTheme="minorEastAsia"/>
          <w:color w:val="auto"/>
          <w:sz w:val="24"/>
          <w:szCs w:val="24"/>
          <w:highlight w:val="none"/>
        </w:rPr>
        <w:t>5</w:t>
      </w:r>
      <w:r>
        <w:rPr>
          <w:rFonts w:hint="eastAsia" w:cs="宋体" w:asciiTheme="minorEastAsia" w:hAnsiTheme="minorEastAsia" w:eastAsiaTheme="minorEastAsia"/>
          <w:color w:val="auto"/>
          <w:sz w:val="24"/>
          <w:szCs w:val="24"/>
          <w:highlight w:val="none"/>
        </w:rPr>
        <w:t>个工作日内在《报告》推荐的成交候选供应商中按顺序确定成交供应商。当第</w:t>
      </w:r>
      <w:r>
        <w:rPr>
          <w:rFonts w:cs="宋体" w:asciiTheme="minorEastAsia" w:hAnsiTheme="minorEastAsia" w:eastAsiaTheme="minorEastAsia"/>
          <w:color w:val="auto"/>
          <w:sz w:val="24"/>
          <w:szCs w:val="24"/>
          <w:highlight w:val="none"/>
        </w:rPr>
        <w:t>1</w:t>
      </w:r>
      <w:r>
        <w:rPr>
          <w:rFonts w:hint="eastAsia" w:cs="宋体" w:asciiTheme="minorEastAsia" w:hAnsiTheme="minorEastAsia" w:eastAsiaTheme="minorEastAsia"/>
          <w:color w:val="auto"/>
          <w:sz w:val="24"/>
          <w:szCs w:val="24"/>
          <w:highlight w:val="none"/>
        </w:rPr>
        <w:t>成交候选供应商因自身原因或不可抗力因素不能按期与采购人签订合同时，如果采购人能接受第</w:t>
      </w:r>
      <w:r>
        <w:rPr>
          <w:rFonts w:cs="宋体" w:asciiTheme="minorEastAsia" w:hAnsiTheme="minorEastAsia" w:eastAsiaTheme="minorEastAsia"/>
          <w:color w:val="auto"/>
          <w:sz w:val="24"/>
          <w:szCs w:val="24"/>
          <w:highlight w:val="none"/>
        </w:rPr>
        <w:t>2</w:t>
      </w:r>
      <w:r>
        <w:rPr>
          <w:rFonts w:hint="eastAsia" w:cs="宋体" w:asciiTheme="minorEastAsia" w:hAnsiTheme="minorEastAsia" w:eastAsiaTheme="minorEastAsia"/>
          <w:color w:val="auto"/>
          <w:sz w:val="24"/>
          <w:szCs w:val="24"/>
          <w:highlight w:val="none"/>
        </w:rPr>
        <w:t>成交候选供应商的最终报价并经同级监管部门同意，第</w:t>
      </w:r>
      <w:r>
        <w:rPr>
          <w:rFonts w:cs="宋体" w:asciiTheme="minorEastAsia" w:hAnsiTheme="minorEastAsia" w:eastAsiaTheme="minorEastAsia"/>
          <w:color w:val="auto"/>
          <w:sz w:val="24"/>
          <w:szCs w:val="24"/>
          <w:highlight w:val="none"/>
        </w:rPr>
        <w:t>2</w:t>
      </w:r>
      <w:r>
        <w:rPr>
          <w:rFonts w:hint="eastAsia" w:cs="宋体" w:asciiTheme="minorEastAsia" w:hAnsiTheme="minorEastAsia" w:eastAsiaTheme="minorEastAsia"/>
          <w:color w:val="auto"/>
          <w:sz w:val="24"/>
          <w:szCs w:val="24"/>
          <w:highlight w:val="none"/>
        </w:rPr>
        <w:t>成交候选供应商即为成交供应商，以此类推至第</w:t>
      </w:r>
      <w:r>
        <w:rPr>
          <w:rFonts w:cs="宋体" w:asciiTheme="minorEastAsia" w:hAnsiTheme="minorEastAsia" w:eastAsiaTheme="minorEastAsia"/>
          <w:color w:val="auto"/>
          <w:sz w:val="24"/>
          <w:szCs w:val="24"/>
          <w:highlight w:val="none"/>
        </w:rPr>
        <w:t>3</w:t>
      </w:r>
      <w:r>
        <w:rPr>
          <w:rFonts w:hint="eastAsia" w:cs="宋体" w:asciiTheme="minorEastAsia" w:hAnsiTheme="minorEastAsia" w:eastAsiaTheme="minorEastAsia"/>
          <w:color w:val="auto"/>
          <w:sz w:val="24"/>
          <w:szCs w:val="24"/>
          <w:highlight w:val="none"/>
        </w:rPr>
        <w:t>成交候选供应商。</w:t>
      </w:r>
    </w:p>
    <w:p w14:paraId="3AF82369">
      <w:pPr>
        <w:snapToGrid w:val="0"/>
        <w:spacing w:line="500" w:lineRule="exact"/>
        <w:ind w:firstLine="478" w:firstLineChars="198"/>
        <w:rPr>
          <w:rFonts w:cs="宋体" w:asciiTheme="minorEastAsia" w:hAnsiTheme="minorEastAsia" w:eastAsiaTheme="minorEastAsia"/>
          <w:color w:val="auto"/>
          <w:kern w:val="0"/>
          <w:sz w:val="24"/>
          <w:szCs w:val="24"/>
          <w:highlight w:val="none"/>
        </w:rPr>
      </w:pPr>
      <w:r>
        <w:rPr>
          <w:rFonts w:cs="Arial" w:asciiTheme="minorEastAsia" w:hAnsiTheme="minorEastAsia" w:eastAsiaTheme="minorEastAsia"/>
          <w:color w:val="auto"/>
          <w:sz w:val="24"/>
          <w:szCs w:val="24"/>
          <w:highlight w:val="none"/>
        </w:rPr>
        <w:t>4.2.</w:t>
      </w:r>
      <w:r>
        <w:rPr>
          <w:rFonts w:hint="eastAsia" w:cs="宋体" w:asciiTheme="minorEastAsia" w:hAnsiTheme="minorEastAsia" w:eastAsiaTheme="minorEastAsia"/>
          <w:color w:val="auto"/>
          <w:kern w:val="0"/>
          <w:sz w:val="24"/>
          <w:szCs w:val="24"/>
          <w:highlight w:val="none"/>
        </w:rPr>
        <w:t>4在此次磋商采购中，出现下列情形之一的应中止采购：</w:t>
      </w:r>
    </w:p>
    <w:p w14:paraId="1795A3AC">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⑴因情况变化，不再符合规定的竞争性磋商采购方式适用情形的；</w:t>
      </w:r>
    </w:p>
    <w:p w14:paraId="6D430F33">
      <w:pPr>
        <w:widowControl/>
        <w:adjustRightInd w:val="0"/>
        <w:snapToGrid w:val="0"/>
        <w:spacing w:line="500" w:lineRule="exact"/>
        <w:ind w:firstLine="484" w:firstLineChars="200"/>
        <w:jc w:val="left"/>
        <w:rPr>
          <w:rFonts w:cs="宋体" w:asciiTheme="minorEastAsia" w:hAnsiTheme="minorEastAsia" w:eastAsiaTheme="minorEastAsia"/>
          <w:bCs/>
          <w:color w:val="auto"/>
          <w:kern w:val="0"/>
          <w:sz w:val="24"/>
          <w:szCs w:val="24"/>
          <w:highlight w:val="none"/>
        </w:rPr>
      </w:pPr>
      <w:r>
        <w:rPr>
          <w:rFonts w:hint="eastAsia" w:cs="宋体" w:asciiTheme="minorEastAsia" w:hAnsiTheme="minorEastAsia" w:eastAsiaTheme="minorEastAsia"/>
          <w:bCs/>
          <w:color w:val="auto"/>
          <w:kern w:val="0"/>
          <w:sz w:val="24"/>
          <w:szCs w:val="24"/>
          <w:highlight w:val="none"/>
        </w:rPr>
        <w:t>⑵出现影响采购公正的违法、违规行为的；</w:t>
      </w:r>
    </w:p>
    <w:p w14:paraId="64286488">
      <w:pPr>
        <w:widowControl/>
        <w:adjustRightInd w:val="0"/>
        <w:snapToGrid w:val="0"/>
        <w:spacing w:line="500" w:lineRule="exact"/>
        <w:ind w:firstLine="484" w:firstLineChars="200"/>
        <w:jc w:val="left"/>
        <w:rPr>
          <w:rFonts w:cs="宋体" w:asciiTheme="minorEastAsia" w:hAnsiTheme="minorEastAsia" w:eastAsiaTheme="minorEastAsia"/>
          <w:bCs/>
          <w:color w:val="auto"/>
          <w:kern w:val="0"/>
          <w:sz w:val="24"/>
          <w:szCs w:val="24"/>
          <w:highlight w:val="none"/>
        </w:rPr>
      </w:pPr>
      <w:r>
        <w:rPr>
          <w:rFonts w:hint="eastAsia" w:cs="宋体" w:asciiTheme="minorEastAsia" w:hAnsiTheme="minorEastAsia" w:eastAsiaTheme="minorEastAsia"/>
          <w:bCs/>
          <w:color w:val="auto"/>
          <w:kern w:val="0"/>
          <w:sz w:val="24"/>
          <w:szCs w:val="24"/>
          <w:highlight w:val="none"/>
        </w:rPr>
        <w:t>⑶</w:t>
      </w:r>
      <w:r>
        <w:rPr>
          <w:rFonts w:hint="eastAsia" w:asciiTheme="minorEastAsia" w:hAnsiTheme="minorEastAsia" w:eastAsiaTheme="minorEastAsia"/>
          <w:color w:val="auto"/>
          <w:sz w:val="24"/>
          <w:szCs w:val="24"/>
          <w:highlight w:val="none"/>
        </w:rPr>
        <w:t>符合要求的供应商或报价未超过采购预算的供应商不得低于2家</w:t>
      </w:r>
      <w:r>
        <w:rPr>
          <w:rFonts w:hint="eastAsia" w:cs="宋体" w:asciiTheme="minorEastAsia" w:hAnsiTheme="minorEastAsia" w:eastAsiaTheme="minorEastAsia"/>
          <w:bCs/>
          <w:color w:val="auto"/>
          <w:kern w:val="0"/>
          <w:sz w:val="24"/>
          <w:szCs w:val="24"/>
          <w:highlight w:val="none"/>
        </w:rPr>
        <w:t>；</w:t>
      </w:r>
    </w:p>
    <w:p w14:paraId="182C3247">
      <w:pPr>
        <w:widowControl/>
        <w:adjustRightInd w:val="0"/>
        <w:snapToGrid w:val="0"/>
        <w:spacing w:line="500" w:lineRule="exact"/>
        <w:ind w:firstLine="484" w:firstLineChars="200"/>
        <w:jc w:val="left"/>
        <w:rPr>
          <w:rFonts w:cs="宋体" w:asciiTheme="minorEastAsia" w:hAnsiTheme="minorEastAsia" w:eastAsiaTheme="minorEastAsia"/>
          <w:bCs/>
          <w:color w:val="auto"/>
          <w:kern w:val="0"/>
          <w:sz w:val="24"/>
          <w:szCs w:val="24"/>
          <w:highlight w:val="none"/>
        </w:rPr>
      </w:pPr>
      <w:r>
        <w:rPr>
          <w:rFonts w:hint="eastAsia" w:cs="宋体" w:asciiTheme="minorEastAsia" w:hAnsiTheme="minorEastAsia" w:eastAsiaTheme="minorEastAsia"/>
          <w:bCs/>
          <w:color w:val="auto"/>
          <w:kern w:val="0"/>
          <w:sz w:val="24"/>
          <w:szCs w:val="24"/>
          <w:highlight w:val="none"/>
        </w:rPr>
        <w:t>⑷因重大变故，采购任务取消的。</w:t>
      </w:r>
    </w:p>
    <w:p w14:paraId="3E9F8E51">
      <w:pPr>
        <w:snapToGrid w:val="0"/>
        <w:spacing w:line="500" w:lineRule="exact"/>
        <w:rPr>
          <w:rFonts w:cs="Arial" w:asciiTheme="minorEastAsia" w:hAnsiTheme="minorEastAsia" w:eastAsiaTheme="minorEastAsia"/>
          <w:b/>
          <w:color w:val="auto"/>
          <w:sz w:val="24"/>
          <w:szCs w:val="24"/>
          <w:highlight w:val="none"/>
        </w:rPr>
      </w:pPr>
      <w:r>
        <w:rPr>
          <w:rFonts w:cs="Arial" w:asciiTheme="minorEastAsia" w:hAnsiTheme="minorEastAsia" w:eastAsiaTheme="minorEastAsia"/>
          <w:b/>
          <w:color w:val="auto"/>
          <w:sz w:val="24"/>
          <w:szCs w:val="24"/>
          <w:highlight w:val="none"/>
        </w:rPr>
        <w:t xml:space="preserve">4.3 </w:t>
      </w:r>
      <w:r>
        <w:rPr>
          <w:rFonts w:hint="eastAsia" w:cs="Arial" w:asciiTheme="minorEastAsia" w:hAnsiTheme="minorEastAsia" w:eastAsiaTheme="minorEastAsia"/>
          <w:b/>
          <w:color w:val="auto"/>
          <w:sz w:val="24"/>
          <w:szCs w:val="24"/>
          <w:highlight w:val="none"/>
        </w:rPr>
        <w:t>成交通知：</w:t>
      </w:r>
    </w:p>
    <w:p w14:paraId="052CBEBF">
      <w:pPr>
        <w:autoSpaceDE w:val="0"/>
        <w:autoSpaceDN w:val="0"/>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hint="eastAsia" w:cs="Arial" w:asciiTheme="minorEastAsia" w:hAnsiTheme="minorEastAsia" w:eastAsiaTheme="minorEastAsia"/>
          <w:color w:val="auto"/>
          <w:sz w:val="24"/>
          <w:szCs w:val="24"/>
          <w:highlight w:val="none"/>
        </w:rPr>
        <w:t>确定了成交</w:t>
      </w:r>
      <w:r>
        <w:rPr>
          <w:rFonts w:hint="eastAsia" w:asciiTheme="minorEastAsia" w:hAnsiTheme="minorEastAsia" w:eastAsiaTheme="minorEastAsia"/>
          <w:color w:val="auto"/>
          <w:sz w:val="24"/>
          <w:szCs w:val="24"/>
          <w:highlight w:val="none"/>
        </w:rPr>
        <w:t>供应商</w:t>
      </w:r>
      <w:r>
        <w:rPr>
          <w:rFonts w:hint="eastAsia" w:cs="Arial" w:asciiTheme="minorEastAsia" w:hAnsiTheme="minorEastAsia" w:eastAsiaTheme="minorEastAsia"/>
          <w:color w:val="auto"/>
          <w:sz w:val="24"/>
          <w:szCs w:val="24"/>
          <w:highlight w:val="none"/>
        </w:rPr>
        <w:t>后，并在相关媒体上发布成交公告，同时将以书面形式向其发出《成交通知书》。</w:t>
      </w:r>
      <w:r>
        <w:rPr>
          <w:rFonts w:hint="eastAsia" w:cs="宋体" w:asciiTheme="minorEastAsia" w:hAnsiTheme="minorEastAsia" w:eastAsiaTheme="minorEastAsia"/>
          <w:color w:val="auto"/>
          <w:kern w:val="0"/>
          <w:sz w:val="24"/>
          <w:szCs w:val="24"/>
          <w:highlight w:val="none"/>
        </w:rPr>
        <w:t>《成交通知书》一经发出即具有法律效力，成交</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在成交公告期终了之日起</w:t>
      </w:r>
      <w:r>
        <w:rPr>
          <w:rFonts w:cs="宋体"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个工作日内领取《成交通知书》。未领取《成交通知书》（视为放弃成交结果），除了应当赔偿本公司在组织此次采购活动中产生的直接费用外，还应当视其情节承担相应的经济和法律责任。</w:t>
      </w:r>
    </w:p>
    <w:p w14:paraId="68989C5E">
      <w:pPr>
        <w:snapToGrid w:val="0"/>
        <w:spacing w:line="500" w:lineRule="exact"/>
        <w:rPr>
          <w:rFonts w:cs="宋体" w:asciiTheme="minorEastAsia" w:hAnsiTheme="minorEastAsia" w:eastAsiaTheme="minorEastAsia"/>
          <w:b/>
          <w:color w:val="auto"/>
          <w:kern w:val="0"/>
          <w:sz w:val="24"/>
          <w:szCs w:val="24"/>
          <w:highlight w:val="none"/>
        </w:rPr>
      </w:pPr>
      <w:r>
        <w:rPr>
          <w:rFonts w:cs="宋体" w:asciiTheme="minorEastAsia" w:hAnsiTheme="minorEastAsia" w:eastAsiaTheme="minorEastAsia"/>
          <w:b/>
          <w:color w:val="auto"/>
          <w:kern w:val="0"/>
          <w:sz w:val="24"/>
          <w:szCs w:val="24"/>
          <w:highlight w:val="none"/>
        </w:rPr>
        <w:t xml:space="preserve">4.4 </w:t>
      </w:r>
      <w:r>
        <w:rPr>
          <w:rFonts w:hint="eastAsia" w:cs="宋体" w:asciiTheme="minorEastAsia" w:hAnsiTheme="minorEastAsia" w:eastAsiaTheme="minorEastAsia"/>
          <w:b/>
          <w:color w:val="auto"/>
          <w:kern w:val="0"/>
          <w:sz w:val="24"/>
          <w:szCs w:val="24"/>
          <w:highlight w:val="none"/>
        </w:rPr>
        <w:t>评审纪律</w:t>
      </w:r>
      <w:r>
        <w:rPr>
          <w:rFonts w:cs="宋体" w:asciiTheme="minorEastAsia" w:hAnsiTheme="minorEastAsia" w:eastAsiaTheme="minorEastAsia"/>
          <w:b/>
          <w:color w:val="auto"/>
          <w:kern w:val="0"/>
          <w:sz w:val="24"/>
          <w:szCs w:val="24"/>
          <w:highlight w:val="none"/>
        </w:rPr>
        <w:t>:</w:t>
      </w:r>
    </w:p>
    <w:p w14:paraId="186D87BC">
      <w:pPr>
        <w:snapToGrid w:val="0"/>
        <w:spacing w:line="500" w:lineRule="exact"/>
        <w:ind w:firstLine="484" w:firstLineChars="200"/>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 xml:space="preserve">4.4.1 </w:t>
      </w:r>
      <w:r>
        <w:rPr>
          <w:rFonts w:hint="eastAsia" w:cs="宋体" w:asciiTheme="minorEastAsia" w:hAnsiTheme="minorEastAsia" w:eastAsiaTheme="minorEastAsia"/>
          <w:color w:val="auto"/>
          <w:kern w:val="0"/>
          <w:sz w:val="24"/>
          <w:szCs w:val="24"/>
          <w:highlight w:val="none"/>
        </w:rPr>
        <w:t>评审工作应严格遵守《中华人民共和国政府采购法》及相关法律、法规和规章的规定，坚持公平、公正、公开、择优、保密的原则。</w:t>
      </w:r>
    </w:p>
    <w:p w14:paraId="04177520">
      <w:pPr>
        <w:widowControl/>
        <w:snapToGrid w:val="0"/>
        <w:spacing w:line="500" w:lineRule="exact"/>
        <w:ind w:firstLine="484" w:firstLineChars="200"/>
        <w:rPr>
          <w:rFonts w:cs="Arial"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 xml:space="preserve">4.4.2 </w:t>
      </w:r>
      <w:r>
        <w:rPr>
          <w:rFonts w:hint="eastAsia" w:cs="宋体" w:asciiTheme="minorEastAsia" w:hAnsiTheme="minorEastAsia" w:eastAsiaTheme="minorEastAsia"/>
          <w:color w:val="auto"/>
          <w:kern w:val="0"/>
          <w:sz w:val="24"/>
          <w:szCs w:val="24"/>
          <w:highlight w:val="none"/>
        </w:rPr>
        <w:t>磋商会议由本公司派员主持，评审工作由磋商小组进行。磋商小组由采购单位代表和有关专家组成，其中专家不得少于</w:t>
      </w:r>
      <w:r>
        <w:rPr>
          <w:rFonts w:cs="宋体" w:asciiTheme="minorEastAsia" w:hAnsiTheme="minorEastAsia" w:eastAsiaTheme="minorEastAsia"/>
          <w:color w:val="auto"/>
          <w:kern w:val="0"/>
          <w:sz w:val="24"/>
          <w:szCs w:val="24"/>
          <w:highlight w:val="none"/>
        </w:rPr>
        <w:t>2/3</w:t>
      </w:r>
      <w:r>
        <w:rPr>
          <w:rFonts w:hint="eastAsia" w:cs="宋体" w:asciiTheme="minorEastAsia" w:hAnsiTheme="minorEastAsia" w:eastAsiaTheme="minorEastAsia"/>
          <w:color w:val="auto"/>
          <w:kern w:val="0"/>
          <w:sz w:val="24"/>
          <w:szCs w:val="24"/>
          <w:highlight w:val="none"/>
        </w:rPr>
        <w:t>。专家由采购单位代表在监督部门代表的监督下会前从市专家库中随机抽取。磋商小组</w:t>
      </w:r>
      <w:r>
        <w:rPr>
          <w:rFonts w:hint="eastAsia" w:cs="Arial" w:asciiTheme="minorEastAsia" w:hAnsiTheme="minorEastAsia" w:eastAsiaTheme="minorEastAsia"/>
          <w:color w:val="auto"/>
          <w:kern w:val="0"/>
          <w:sz w:val="24"/>
          <w:szCs w:val="24"/>
          <w:highlight w:val="none"/>
        </w:rPr>
        <w:t>独立履行下列职责：</w:t>
      </w:r>
    </w:p>
    <w:p w14:paraId="3B28D485">
      <w:pPr>
        <w:widowControl/>
        <w:snapToGrid w:val="0"/>
        <w:spacing w:line="500" w:lineRule="exact"/>
        <w:ind w:firstLine="484" w:firstLineChars="200"/>
        <w:rPr>
          <w:rFonts w:cs="Arial" w:asciiTheme="minorEastAsia" w:hAnsiTheme="minorEastAsia" w:eastAsiaTheme="minorEastAsia"/>
          <w:color w:val="auto"/>
          <w:kern w:val="0"/>
          <w:sz w:val="24"/>
          <w:szCs w:val="24"/>
          <w:highlight w:val="none"/>
        </w:rPr>
      </w:pPr>
      <w:r>
        <w:rPr>
          <w:rFonts w:hint="eastAsia" w:cs="Arial" w:asciiTheme="minorEastAsia" w:hAnsiTheme="minorEastAsia" w:eastAsiaTheme="minorEastAsia"/>
          <w:color w:val="auto"/>
          <w:kern w:val="0"/>
          <w:sz w:val="24"/>
          <w:szCs w:val="24"/>
          <w:highlight w:val="none"/>
        </w:rPr>
        <w:t>⑴审查《响应文件》和</w:t>
      </w:r>
      <w:r>
        <w:rPr>
          <w:rFonts w:hint="eastAsia" w:cs="Arial" w:asciiTheme="minorEastAsia" w:hAnsiTheme="minorEastAsia" w:eastAsiaTheme="minorEastAsia"/>
          <w:color w:val="auto"/>
          <w:sz w:val="24"/>
          <w:szCs w:val="24"/>
          <w:highlight w:val="none"/>
        </w:rPr>
        <w:t>磋商承诺</w:t>
      </w:r>
      <w:r>
        <w:rPr>
          <w:rFonts w:hint="eastAsia" w:cs="Arial" w:asciiTheme="minorEastAsia" w:hAnsiTheme="minorEastAsia" w:eastAsiaTheme="minorEastAsia"/>
          <w:color w:val="auto"/>
          <w:kern w:val="0"/>
          <w:sz w:val="24"/>
          <w:szCs w:val="24"/>
          <w:highlight w:val="none"/>
        </w:rPr>
        <w:t>是否符合《磋商文件》要求，并作出评价；</w:t>
      </w:r>
    </w:p>
    <w:p w14:paraId="101B3EBD">
      <w:pPr>
        <w:widowControl/>
        <w:snapToGrid w:val="0"/>
        <w:spacing w:line="500" w:lineRule="exact"/>
        <w:ind w:firstLine="484" w:firstLineChars="200"/>
        <w:rPr>
          <w:rFonts w:cs="Arial" w:asciiTheme="minorEastAsia" w:hAnsiTheme="minorEastAsia" w:eastAsiaTheme="minorEastAsia"/>
          <w:color w:val="auto"/>
          <w:kern w:val="0"/>
          <w:sz w:val="24"/>
          <w:szCs w:val="24"/>
          <w:highlight w:val="none"/>
        </w:rPr>
      </w:pPr>
      <w:r>
        <w:rPr>
          <w:rFonts w:hint="eastAsia" w:cs="Arial" w:asciiTheme="minorEastAsia" w:hAnsiTheme="minorEastAsia" w:eastAsiaTheme="minorEastAsia"/>
          <w:color w:val="auto"/>
          <w:kern w:val="0"/>
          <w:sz w:val="24"/>
          <w:szCs w:val="24"/>
          <w:highlight w:val="none"/>
        </w:rPr>
        <w:t>⑵要求</w:t>
      </w:r>
      <w:r>
        <w:rPr>
          <w:rFonts w:hint="eastAsia" w:asciiTheme="minorEastAsia" w:hAnsiTheme="minorEastAsia" w:eastAsiaTheme="minorEastAsia"/>
          <w:color w:val="auto"/>
          <w:sz w:val="24"/>
          <w:szCs w:val="24"/>
          <w:highlight w:val="none"/>
        </w:rPr>
        <w:t>供应商</w:t>
      </w:r>
      <w:r>
        <w:rPr>
          <w:rFonts w:hint="eastAsia" w:cs="Arial" w:asciiTheme="minorEastAsia" w:hAnsiTheme="minorEastAsia" w:eastAsiaTheme="minorEastAsia"/>
          <w:color w:val="auto"/>
          <w:kern w:val="0"/>
          <w:sz w:val="24"/>
          <w:szCs w:val="24"/>
          <w:highlight w:val="none"/>
        </w:rPr>
        <w:t>对《响应文件》和</w:t>
      </w:r>
      <w:r>
        <w:rPr>
          <w:rFonts w:hint="eastAsia" w:cs="Arial" w:asciiTheme="minorEastAsia" w:hAnsiTheme="minorEastAsia" w:eastAsiaTheme="minorEastAsia"/>
          <w:color w:val="auto"/>
          <w:sz w:val="24"/>
          <w:szCs w:val="24"/>
          <w:highlight w:val="none"/>
        </w:rPr>
        <w:t>磋商承诺的</w:t>
      </w:r>
      <w:r>
        <w:rPr>
          <w:rFonts w:hint="eastAsia" w:cs="Arial" w:asciiTheme="minorEastAsia" w:hAnsiTheme="minorEastAsia" w:eastAsiaTheme="minorEastAsia"/>
          <w:color w:val="auto"/>
          <w:kern w:val="0"/>
          <w:sz w:val="24"/>
          <w:szCs w:val="24"/>
          <w:highlight w:val="none"/>
        </w:rPr>
        <w:t>有关事项作出解释或者澄清；</w:t>
      </w:r>
    </w:p>
    <w:p w14:paraId="64A015C2">
      <w:pPr>
        <w:widowControl/>
        <w:snapToGrid w:val="0"/>
        <w:spacing w:line="500" w:lineRule="exact"/>
        <w:ind w:firstLine="484" w:firstLineChars="200"/>
        <w:rPr>
          <w:rFonts w:cs="Arial" w:asciiTheme="minorEastAsia" w:hAnsiTheme="minorEastAsia" w:eastAsiaTheme="minorEastAsia"/>
          <w:color w:val="auto"/>
          <w:kern w:val="0"/>
          <w:sz w:val="24"/>
          <w:szCs w:val="24"/>
          <w:highlight w:val="none"/>
        </w:rPr>
      </w:pPr>
      <w:r>
        <w:rPr>
          <w:rFonts w:hint="eastAsia" w:cs="Arial" w:asciiTheme="minorEastAsia" w:hAnsiTheme="minorEastAsia" w:eastAsiaTheme="minorEastAsia"/>
          <w:color w:val="auto"/>
          <w:kern w:val="0"/>
          <w:sz w:val="24"/>
          <w:szCs w:val="24"/>
          <w:highlight w:val="none"/>
        </w:rPr>
        <w:t>⑶推荐成交候选</w:t>
      </w:r>
      <w:r>
        <w:rPr>
          <w:rFonts w:hint="eastAsia" w:asciiTheme="minorEastAsia" w:hAnsiTheme="minorEastAsia" w:eastAsiaTheme="minorEastAsia"/>
          <w:color w:val="auto"/>
          <w:sz w:val="24"/>
          <w:szCs w:val="24"/>
          <w:highlight w:val="none"/>
        </w:rPr>
        <w:t>供应商</w:t>
      </w:r>
      <w:r>
        <w:rPr>
          <w:rFonts w:hint="eastAsia" w:cs="Arial" w:asciiTheme="minorEastAsia" w:hAnsiTheme="minorEastAsia" w:eastAsiaTheme="minorEastAsia"/>
          <w:color w:val="auto"/>
          <w:kern w:val="0"/>
          <w:sz w:val="24"/>
          <w:szCs w:val="24"/>
          <w:highlight w:val="none"/>
        </w:rPr>
        <w:t>名单；</w:t>
      </w:r>
    </w:p>
    <w:p w14:paraId="35F4BBE7">
      <w:pPr>
        <w:widowControl/>
        <w:snapToGrid w:val="0"/>
        <w:spacing w:line="500" w:lineRule="exact"/>
        <w:ind w:firstLine="484" w:firstLineChars="200"/>
        <w:rPr>
          <w:rFonts w:cs="Arial" w:asciiTheme="minorEastAsia" w:hAnsiTheme="minorEastAsia" w:eastAsiaTheme="minorEastAsia"/>
          <w:color w:val="auto"/>
          <w:kern w:val="0"/>
          <w:sz w:val="24"/>
          <w:szCs w:val="24"/>
          <w:highlight w:val="none"/>
        </w:rPr>
      </w:pPr>
      <w:r>
        <w:rPr>
          <w:rFonts w:hint="eastAsia" w:cs="Arial" w:asciiTheme="minorEastAsia" w:hAnsiTheme="minorEastAsia" w:eastAsiaTheme="minorEastAsia"/>
          <w:color w:val="auto"/>
          <w:kern w:val="0"/>
          <w:sz w:val="24"/>
          <w:szCs w:val="24"/>
          <w:highlight w:val="none"/>
        </w:rPr>
        <w:t>⑷向采购单位或者有关部门报告非法干预评审工作的行为。</w:t>
      </w:r>
    </w:p>
    <w:p w14:paraId="50ADECE8">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 xml:space="preserve">4.4.3 </w:t>
      </w:r>
      <w:r>
        <w:rPr>
          <w:rFonts w:hint="eastAsia" w:cs="宋体" w:asciiTheme="minorEastAsia" w:hAnsiTheme="minorEastAsia" w:eastAsiaTheme="minorEastAsia"/>
          <w:color w:val="auto"/>
          <w:kern w:val="0"/>
          <w:sz w:val="24"/>
          <w:szCs w:val="24"/>
          <w:highlight w:val="none"/>
        </w:rPr>
        <w:t>磋商小组专家的权利与义务：</w:t>
      </w:r>
    </w:p>
    <w:p w14:paraId="64E9DFAA">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⑴权利：</w:t>
      </w:r>
    </w:p>
    <w:p w14:paraId="46FD0355">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a.</w:t>
      </w:r>
      <w:r>
        <w:rPr>
          <w:rFonts w:hint="eastAsia" w:cs="宋体" w:asciiTheme="minorEastAsia" w:hAnsiTheme="minorEastAsia" w:eastAsiaTheme="minorEastAsia"/>
          <w:color w:val="auto"/>
          <w:kern w:val="0"/>
          <w:sz w:val="24"/>
          <w:szCs w:val="24"/>
          <w:highlight w:val="none"/>
        </w:rPr>
        <w:t>对政府采购制度及相关情况的知情权；</w:t>
      </w:r>
    </w:p>
    <w:p w14:paraId="5A00E523">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b.</w:t>
      </w:r>
      <w:r>
        <w:rPr>
          <w:rFonts w:hint="eastAsia" w:cs="宋体" w:asciiTheme="minorEastAsia" w:hAnsiTheme="minorEastAsia" w:eastAsiaTheme="minorEastAsia"/>
          <w:color w:val="auto"/>
          <w:kern w:val="0"/>
          <w:sz w:val="24"/>
          <w:szCs w:val="24"/>
          <w:highlight w:val="none"/>
        </w:rPr>
        <w:t>对</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所供货物、工程和服务质量的评审权；</w:t>
      </w:r>
    </w:p>
    <w:p w14:paraId="013B579A">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c.</w:t>
      </w:r>
      <w:r>
        <w:rPr>
          <w:rFonts w:hint="eastAsia" w:cs="宋体" w:asciiTheme="minorEastAsia" w:hAnsiTheme="minorEastAsia" w:eastAsiaTheme="minorEastAsia"/>
          <w:color w:val="auto"/>
          <w:kern w:val="0"/>
          <w:sz w:val="24"/>
          <w:szCs w:val="24"/>
          <w:highlight w:val="none"/>
        </w:rPr>
        <w:t>推荐成交候选</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的表决权；</w:t>
      </w:r>
    </w:p>
    <w:p w14:paraId="2ED3007D">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d.</w:t>
      </w:r>
      <w:r>
        <w:rPr>
          <w:rFonts w:hint="eastAsia" w:cs="宋体" w:asciiTheme="minorEastAsia" w:hAnsiTheme="minorEastAsia" w:eastAsiaTheme="minorEastAsia"/>
          <w:color w:val="auto"/>
          <w:kern w:val="0"/>
          <w:sz w:val="24"/>
          <w:szCs w:val="24"/>
          <w:highlight w:val="none"/>
        </w:rPr>
        <w:t>按规定获得相应的评审劳务报酬；</w:t>
      </w:r>
    </w:p>
    <w:p w14:paraId="694070B6">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e.</w:t>
      </w:r>
      <w:r>
        <w:rPr>
          <w:rFonts w:hint="eastAsia" w:cs="宋体" w:asciiTheme="minorEastAsia" w:hAnsiTheme="minorEastAsia" w:eastAsiaTheme="minorEastAsia"/>
          <w:color w:val="auto"/>
          <w:kern w:val="0"/>
          <w:sz w:val="24"/>
          <w:szCs w:val="24"/>
          <w:highlight w:val="none"/>
        </w:rPr>
        <w:t>法律、法规和规章规定的其他权利。</w:t>
      </w:r>
    </w:p>
    <w:p w14:paraId="2F2862FE">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⑵义务：</w:t>
      </w:r>
    </w:p>
    <w:p w14:paraId="1A4347B5">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a.</w:t>
      </w:r>
      <w:r>
        <w:rPr>
          <w:rFonts w:hint="eastAsia" w:cs="宋体" w:asciiTheme="minorEastAsia" w:hAnsiTheme="minorEastAsia" w:eastAsiaTheme="minorEastAsia"/>
          <w:color w:val="auto"/>
          <w:kern w:val="0"/>
          <w:sz w:val="24"/>
          <w:szCs w:val="24"/>
          <w:highlight w:val="none"/>
        </w:rPr>
        <w:t>为政府采购工作提供真实、可靠的评审意见；</w:t>
      </w:r>
    </w:p>
    <w:p w14:paraId="3F5B85E9">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b.</w:t>
      </w:r>
      <w:r>
        <w:rPr>
          <w:rFonts w:hint="eastAsia" w:cs="宋体" w:asciiTheme="minorEastAsia" w:hAnsiTheme="minorEastAsia" w:eastAsiaTheme="minorEastAsia"/>
          <w:color w:val="auto"/>
          <w:kern w:val="0"/>
          <w:sz w:val="24"/>
          <w:szCs w:val="24"/>
          <w:highlight w:val="none"/>
        </w:rPr>
        <w:t>严格遵守政府采购评审工作纪律，不得向外界泄露评审情况（不包括本条第</w:t>
      </w:r>
      <w:r>
        <w:rPr>
          <w:rFonts w:cs="宋体" w:asciiTheme="minorEastAsia" w:hAnsiTheme="minorEastAsia" w:eastAsiaTheme="minorEastAsia"/>
          <w:color w:val="auto"/>
          <w:kern w:val="0"/>
          <w:sz w:val="24"/>
          <w:szCs w:val="24"/>
          <w:highlight w:val="none"/>
        </w:rPr>
        <w:t>d</w:t>
      </w:r>
      <w:r>
        <w:rPr>
          <w:rFonts w:hint="eastAsia" w:cs="宋体" w:asciiTheme="minorEastAsia" w:hAnsiTheme="minorEastAsia" w:eastAsiaTheme="minorEastAsia"/>
          <w:color w:val="auto"/>
          <w:kern w:val="0"/>
          <w:sz w:val="24"/>
          <w:szCs w:val="24"/>
          <w:highlight w:val="none"/>
        </w:rPr>
        <w:t>款内容</w:t>
      </w:r>
      <w:r>
        <w:rPr>
          <w:rFonts w:hint="eastAsia" w:cs="宋体" w:asciiTheme="minorEastAsia" w:hAnsiTheme="minorEastAsia" w:eastAsiaTheme="minorEastAsia"/>
          <w:color w:val="auto"/>
          <w:w w:val="80"/>
          <w:kern w:val="0"/>
          <w:sz w:val="24"/>
          <w:szCs w:val="24"/>
          <w:highlight w:val="none"/>
        </w:rPr>
        <w:t>）</w:t>
      </w:r>
      <w:r>
        <w:rPr>
          <w:rFonts w:hint="eastAsia" w:cs="宋体" w:asciiTheme="minorEastAsia" w:hAnsiTheme="minorEastAsia" w:eastAsiaTheme="minorEastAsia"/>
          <w:color w:val="auto"/>
          <w:kern w:val="0"/>
          <w:sz w:val="24"/>
          <w:szCs w:val="24"/>
          <w:highlight w:val="none"/>
        </w:rPr>
        <w:t>；</w:t>
      </w:r>
    </w:p>
    <w:p w14:paraId="58D3E431">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c.</w:t>
      </w:r>
      <w:r>
        <w:rPr>
          <w:rFonts w:hint="eastAsia" w:cs="宋体" w:asciiTheme="minorEastAsia" w:hAnsiTheme="minorEastAsia" w:eastAsiaTheme="minorEastAsia"/>
          <w:color w:val="auto"/>
          <w:kern w:val="0"/>
          <w:sz w:val="24"/>
          <w:szCs w:val="24"/>
          <w:highlight w:val="none"/>
        </w:rPr>
        <w:t>发现</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在政府采购活动中有不正当竞争或恶意串通等违规行为，应及时向本公司或监督部门报告并加以制止；</w:t>
      </w:r>
    </w:p>
    <w:p w14:paraId="359AF7BF">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d.</w:t>
      </w:r>
      <w:r>
        <w:rPr>
          <w:rFonts w:hint="eastAsia" w:cs="宋体" w:asciiTheme="minorEastAsia" w:hAnsiTheme="minorEastAsia" w:eastAsiaTheme="minorEastAsia"/>
          <w:color w:val="auto"/>
          <w:kern w:val="0"/>
          <w:sz w:val="24"/>
          <w:szCs w:val="24"/>
          <w:highlight w:val="none"/>
        </w:rPr>
        <w:t>解答有关方面对政府采购评审工作的咨询或质疑；</w:t>
      </w:r>
    </w:p>
    <w:p w14:paraId="38D33846">
      <w:pPr>
        <w:widowControl/>
        <w:adjustRightInd w:val="0"/>
        <w:snapToGrid w:val="0"/>
        <w:spacing w:line="500" w:lineRule="exact"/>
        <w:ind w:firstLine="484" w:firstLineChars="200"/>
        <w:jc w:val="left"/>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e.</w:t>
      </w:r>
      <w:r>
        <w:rPr>
          <w:rFonts w:hint="eastAsia" w:cs="宋体" w:asciiTheme="minorEastAsia" w:hAnsiTheme="minorEastAsia" w:eastAsiaTheme="minorEastAsia"/>
          <w:color w:val="auto"/>
          <w:kern w:val="0"/>
          <w:sz w:val="24"/>
          <w:szCs w:val="24"/>
          <w:highlight w:val="none"/>
        </w:rPr>
        <w:t>法律、法规和规章规定的其他义务。</w:t>
      </w:r>
    </w:p>
    <w:p w14:paraId="6490F253">
      <w:pPr>
        <w:snapToGrid w:val="0"/>
        <w:spacing w:line="500" w:lineRule="exact"/>
        <w:ind w:firstLine="484" w:firstLineChars="200"/>
        <w:rPr>
          <w:rFonts w:cs="Arial"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 xml:space="preserve">4.4.4 </w:t>
      </w:r>
      <w:r>
        <w:rPr>
          <w:rFonts w:hint="eastAsia" w:asciiTheme="minorEastAsia" w:hAnsiTheme="minorEastAsia" w:eastAsiaTheme="minorEastAsia"/>
          <w:color w:val="auto"/>
          <w:sz w:val="24"/>
          <w:szCs w:val="24"/>
          <w:highlight w:val="none"/>
        </w:rPr>
        <w:t>磋商小组成员与供应商有法律规定的直接利益关系的，必须实行回避。</w:t>
      </w:r>
      <w:r>
        <w:rPr>
          <w:rFonts w:hint="eastAsia" w:cs="Arial" w:asciiTheme="minorEastAsia" w:hAnsiTheme="minorEastAsia" w:eastAsiaTheme="minorEastAsia"/>
          <w:color w:val="auto"/>
          <w:sz w:val="24"/>
          <w:szCs w:val="24"/>
          <w:highlight w:val="none"/>
        </w:rPr>
        <w:t>采购单位、监督部门和本</w:t>
      </w:r>
      <w:r>
        <w:rPr>
          <w:rFonts w:hint="eastAsia" w:cs="宋体" w:asciiTheme="minorEastAsia" w:hAnsiTheme="minorEastAsia" w:eastAsiaTheme="minorEastAsia"/>
          <w:color w:val="auto"/>
          <w:kern w:val="0"/>
          <w:sz w:val="24"/>
          <w:szCs w:val="24"/>
          <w:highlight w:val="none"/>
        </w:rPr>
        <w:t>公司</w:t>
      </w:r>
      <w:r>
        <w:rPr>
          <w:rFonts w:hint="eastAsia" w:cs="Arial" w:asciiTheme="minorEastAsia" w:hAnsiTheme="minorEastAsia" w:eastAsiaTheme="minorEastAsia"/>
          <w:color w:val="auto"/>
          <w:sz w:val="24"/>
          <w:szCs w:val="24"/>
          <w:highlight w:val="none"/>
        </w:rPr>
        <w:t>的参会人员中与本项目有利害关系的应主动提出回避。凡到</w:t>
      </w:r>
      <w:r>
        <w:rPr>
          <w:rFonts w:hint="eastAsia" w:asciiTheme="minorEastAsia" w:hAnsiTheme="minorEastAsia" w:eastAsiaTheme="minorEastAsia"/>
          <w:color w:val="auto"/>
          <w:sz w:val="24"/>
          <w:szCs w:val="24"/>
          <w:highlight w:val="none"/>
        </w:rPr>
        <w:t>供应商</w:t>
      </w:r>
      <w:r>
        <w:rPr>
          <w:rFonts w:hint="eastAsia" w:cs="Arial" w:asciiTheme="minorEastAsia" w:hAnsiTheme="minorEastAsia" w:eastAsiaTheme="minorEastAsia"/>
          <w:color w:val="auto"/>
          <w:sz w:val="24"/>
          <w:szCs w:val="24"/>
          <w:highlight w:val="none"/>
        </w:rPr>
        <w:t>所在的公司或企业进行过考察的采购单位领导或工作人员，不得作为采购单位的代表出席磋商会议。</w:t>
      </w:r>
    </w:p>
    <w:p w14:paraId="479FA386">
      <w:pPr>
        <w:adjustRightInd w:val="0"/>
        <w:snapToGrid w:val="0"/>
        <w:spacing w:line="500" w:lineRule="exact"/>
        <w:ind w:firstLine="484" w:firstLineChars="200"/>
        <w:rPr>
          <w:rFonts w:asciiTheme="minorEastAsia" w:hAnsiTheme="minorEastAsia" w:eastAsiaTheme="minorEastAsia"/>
          <w:color w:val="auto"/>
          <w:sz w:val="24"/>
          <w:szCs w:val="24"/>
          <w:highlight w:val="none"/>
        </w:rPr>
      </w:pPr>
      <w:r>
        <w:rPr>
          <w:rFonts w:cs="宋体" w:asciiTheme="minorEastAsia" w:hAnsiTheme="minorEastAsia" w:eastAsiaTheme="minorEastAsia"/>
          <w:color w:val="auto"/>
          <w:kern w:val="0"/>
          <w:sz w:val="24"/>
          <w:szCs w:val="24"/>
          <w:highlight w:val="none"/>
        </w:rPr>
        <w:t xml:space="preserve">4.4.5 </w:t>
      </w:r>
      <w:r>
        <w:rPr>
          <w:rFonts w:hint="eastAsia" w:cs="宋体" w:asciiTheme="minorEastAsia" w:hAnsiTheme="minorEastAsia" w:eastAsiaTheme="minorEastAsia"/>
          <w:color w:val="auto"/>
          <w:kern w:val="0"/>
          <w:sz w:val="24"/>
          <w:szCs w:val="24"/>
          <w:highlight w:val="none"/>
        </w:rPr>
        <w:t>磋商小组成员及所有参会人员应严格遵守国家的相关法律、法规和规章，做到公正廉洁、不徇私情，客观、公正地履行职务，遵守职业道德，不得有损害国家和</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的违法违纪行为。</w:t>
      </w:r>
    </w:p>
    <w:p w14:paraId="71756D23">
      <w:pPr>
        <w:widowControl/>
        <w:adjustRightInd w:val="0"/>
        <w:snapToGrid w:val="0"/>
        <w:spacing w:line="500" w:lineRule="exact"/>
        <w:ind w:firstLine="484" w:firstLineChars="200"/>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 xml:space="preserve">4.4.6 </w:t>
      </w:r>
      <w:r>
        <w:rPr>
          <w:rFonts w:hint="eastAsia" w:cs="宋体" w:asciiTheme="minorEastAsia" w:hAnsiTheme="minorEastAsia" w:eastAsiaTheme="minorEastAsia"/>
          <w:color w:val="auto"/>
          <w:kern w:val="0"/>
          <w:sz w:val="24"/>
          <w:szCs w:val="24"/>
          <w:highlight w:val="none"/>
        </w:rPr>
        <w:t>在磋商会议期间，磋商小组和参会人员必须严格遵守评审纪律和保密规定，不得以任何形式将评审情况透露给</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和未参会人员。磋商会议结束后，与评审有关的文件、资料、记录和草稿等应全部交本公司存档，磋商小组和参会人员必须对评审情况、技术与商业秘密等保密。</w:t>
      </w:r>
    </w:p>
    <w:p w14:paraId="7AB1BDB3">
      <w:pPr>
        <w:widowControl/>
        <w:adjustRightInd w:val="0"/>
        <w:snapToGrid w:val="0"/>
        <w:spacing w:line="500" w:lineRule="exact"/>
        <w:ind w:firstLine="484" w:firstLineChars="200"/>
        <w:rPr>
          <w:rFonts w:asciiTheme="minorEastAsia" w:hAnsiTheme="minorEastAsia" w:eastAsiaTheme="minorEastAsia"/>
          <w:color w:val="auto"/>
          <w:kern w:val="15"/>
          <w:sz w:val="24"/>
          <w:szCs w:val="24"/>
          <w:highlight w:val="none"/>
        </w:rPr>
      </w:pPr>
      <w:r>
        <w:rPr>
          <w:rFonts w:cs="宋体" w:asciiTheme="minorEastAsia" w:hAnsiTheme="minorEastAsia" w:eastAsiaTheme="minorEastAsia"/>
          <w:color w:val="auto"/>
          <w:kern w:val="0"/>
          <w:sz w:val="24"/>
          <w:szCs w:val="24"/>
          <w:highlight w:val="none"/>
        </w:rPr>
        <w:t xml:space="preserve">4.4.7 </w:t>
      </w:r>
      <w:r>
        <w:rPr>
          <w:rFonts w:hint="eastAsia" w:cs="宋体" w:asciiTheme="minorEastAsia" w:hAnsiTheme="minorEastAsia" w:eastAsiaTheme="minorEastAsia"/>
          <w:color w:val="auto"/>
          <w:kern w:val="0"/>
          <w:sz w:val="24"/>
          <w:szCs w:val="24"/>
          <w:highlight w:val="none"/>
        </w:rPr>
        <w:t>评审工作在磋商小组内独立进行，磋商小组以外的任何人不得在会场内发表评审意见和诱导性语言，不得影响或左右</w:t>
      </w:r>
      <w:r>
        <w:rPr>
          <w:rFonts w:hint="eastAsia" w:asciiTheme="minorEastAsia" w:hAnsiTheme="minorEastAsia" w:eastAsiaTheme="minorEastAsia"/>
          <w:color w:val="auto"/>
          <w:kern w:val="15"/>
          <w:sz w:val="24"/>
          <w:szCs w:val="24"/>
          <w:highlight w:val="none"/>
        </w:rPr>
        <w:t>磋商小组成员独立的评审和评分。</w:t>
      </w:r>
    </w:p>
    <w:p w14:paraId="6C822232">
      <w:pPr>
        <w:widowControl/>
        <w:adjustRightInd w:val="0"/>
        <w:snapToGrid w:val="0"/>
        <w:spacing w:line="500" w:lineRule="exact"/>
        <w:ind w:firstLine="484" w:firstLineChars="200"/>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4.4.8</w:t>
      </w:r>
      <w:r>
        <w:rPr>
          <w:rFonts w:hint="eastAsia" w:cs="宋体" w:asciiTheme="minorEastAsia" w:hAnsiTheme="minorEastAsia" w:eastAsiaTheme="minorEastAsia"/>
          <w:color w:val="auto"/>
          <w:kern w:val="0"/>
          <w:sz w:val="24"/>
          <w:szCs w:val="24"/>
          <w:highlight w:val="none"/>
        </w:rPr>
        <w:t>评审的标准是《磋商文件》的所有规定和要求，评审的依据是</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上传的《响应文件》和磋商承诺。</w:t>
      </w:r>
      <w:r>
        <w:rPr>
          <w:rFonts w:hint="eastAsia" w:asciiTheme="minorEastAsia" w:hAnsiTheme="minorEastAsia" w:eastAsiaTheme="minorEastAsia"/>
          <w:color w:val="auto"/>
          <w:spacing w:val="8"/>
          <w:kern w:val="0"/>
          <w:sz w:val="24"/>
          <w:szCs w:val="24"/>
          <w:highlight w:val="none"/>
        </w:rPr>
        <w:t>磋商小组成员必须严格按照《磋商文件》的评审方法、评审原则和评分标准独立地对</w:t>
      </w:r>
      <w:r>
        <w:rPr>
          <w:rFonts w:hint="eastAsia" w:asciiTheme="minorEastAsia" w:hAnsiTheme="minorEastAsia" w:eastAsiaTheme="minorEastAsia"/>
          <w:color w:val="auto"/>
          <w:sz w:val="24"/>
          <w:szCs w:val="24"/>
          <w:highlight w:val="none"/>
        </w:rPr>
        <w:t>供应商</w:t>
      </w:r>
      <w:r>
        <w:rPr>
          <w:rFonts w:hint="eastAsia" w:asciiTheme="minorEastAsia" w:hAnsiTheme="minorEastAsia" w:eastAsiaTheme="minorEastAsia"/>
          <w:color w:val="auto"/>
          <w:spacing w:val="8"/>
          <w:kern w:val="0"/>
          <w:sz w:val="24"/>
          <w:szCs w:val="24"/>
          <w:highlight w:val="none"/>
        </w:rPr>
        <w:t>的《响应文件》和磋商承诺等进行评估、综合比较、评价与评分，不得有倾向性、歧视性或随意性。磋商小组成员对自己的评分表独立承担责任。</w:t>
      </w:r>
    </w:p>
    <w:p w14:paraId="3F71A54F">
      <w:pPr>
        <w:adjustRightInd w:val="0"/>
        <w:snapToGrid w:val="0"/>
        <w:spacing w:line="500" w:lineRule="exact"/>
        <w:ind w:firstLine="484" w:firstLineChars="200"/>
        <w:rPr>
          <w:rFonts w:cs="宋体" w:asciiTheme="minorEastAsia" w:hAnsiTheme="minorEastAsia" w:eastAsiaTheme="minorEastAsia"/>
          <w:color w:val="auto"/>
          <w:kern w:val="0"/>
          <w:sz w:val="24"/>
          <w:szCs w:val="24"/>
          <w:highlight w:val="none"/>
        </w:rPr>
      </w:pPr>
      <w:r>
        <w:rPr>
          <w:rFonts w:cs="宋体" w:asciiTheme="minorEastAsia" w:hAnsiTheme="minorEastAsia" w:eastAsiaTheme="minorEastAsia"/>
          <w:color w:val="auto"/>
          <w:kern w:val="0"/>
          <w:sz w:val="24"/>
          <w:szCs w:val="24"/>
          <w:highlight w:val="none"/>
        </w:rPr>
        <w:t>4.4.9</w:t>
      </w:r>
      <w:r>
        <w:rPr>
          <w:rFonts w:hint="eastAsia" w:cs="宋体" w:asciiTheme="minorEastAsia" w:hAnsiTheme="minorEastAsia" w:eastAsiaTheme="minorEastAsia"/>
          <w:color w:val="auto"/>
          <w:kern w:val="0"/>
          <w:sz w:val="24"/>
          <w:szCs w:val="24"/>
          <w:highlight w:val="none"/>
        </w:rPr>
        <w:t>磋商小组有权要求</w:t>
      </w:r>
      <w:r>
        <w:rPr>
          <w:rFonts w:hint="eastAsia" w:asciiTheme="minorEastAsia" w:hAnsiTheme="minorEastAsia" w:eastAsiaTheme="minorEastAsia"/>
          <w:color w:val="auto"/>
          <w:sz w:val="24"/>
          <w:szCs w:val="24"/>
          <w:highlight w:val="none"/>
        </w:rPr>
        <w:t>供应商</w:t>
      </w:r>
      <w:r>
        <w:rPr>
          <w:rFonts w:hint="eastAsia" w:cs="宋体" w:asciiTheme="minorEastAsia" w:hAnsiTheme="minorEastAsia" w:eastAsiaTheme="minorEastAsia"/>
          <w:color w:val="auto"/>
          <w:kern w:val="0"/>
          <w:sz w:val="24"/>
          <w:szCs w:val="24"/>
          <w:highlight w:val="none"/>
        </w:rPr>
        <w:t>对其《响应文件》中不清楚和不明确的地方进行澄清、说明或者纠正。</w:t>
      </w:r>
    </w:p>
    <w:p w14:paraId="271C0891">
      <w:pPr>
        <w:adjustRightInd w:val="0"/>
        <w:snapToGrid w:val="0"/>
        <w:spacing w:line="500" w:lineRule="exact"/>
        <w:ind w:firstLine="484"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4.4.10参加评标会议人员必须对所有的评审事项保密，不得在会后泄露评标情况和响应文件中所涉及的商业秘密，有关文字记录应在评标会议结束后归档保存。</w:t>
      </w:r>
    </w:p>
    <w:p w14:paraId="6F9A2230">
      <w:pPr>
        <w:snapToGrid w:val="0"/>
        <w:spacing w:line="500" w:lineRule="exact"/>
        <w:ind w:firstLine="484" w:firstLineChars="200"/>
        <w:rPr>
          <w:rFonts w:asciiTheme="minorEastAsia" w:hAnsiTheme="minorEastAsia" w:eastAsiaTheme="minorEastAsia"/>
          <w:b/>
          <w:color w:val="auto"/>
          <w:sz w:val="24"/>
          <w:szCs w:val="24"/>
          <w:highlight w:val="none"/>
        </w:rPr>
      </w:pPr>
      <w:r>
        <w:rPr>
          <w:rFonts w:cs="宋体" w:asciiTheme="minorEastAsia" w:hAnsiTheme="minorEastAsia" w:eastAsiaTheme="minorEastAsia"/>
          <w:color w:val="auto"/>
          <w:kern w:val="0"/>
          <w:sz w:val="24"/>
          <w:szCs w:val="24"/>
          <w:highlight w:val="none"/>
        </w:rPr>
        <w:t>4.4.1</w:t>
      </w:r>
      <w:r>
        <w:rPr>
          <w:rFonts w:hint="eastAsia" w:cs="宋体" w:asciiTheme="minorEastAsia" w:hAnsiTheme="minorEastAsia" w:eastAsiaTheme="minorEastAsia"/>
          <w:color w:val="auto"/>
          <w:kern w:val="0"/>
          <w:sz w:val="24"/>
          <w:szCs w:val="24"/>
          <w:highlight w:val="none"/>
        </w:rPr>
        <w:t>1评审工作接受财政、监察、审计等部门的监督。</w:t>
      </w:r>
    </w:p>
    <w:p w14:paraId="542213E6">
      <w:pPr>
        <w:snapToGrid w:val="0"/>
        <w:spacing w:line="500" w:lineRule="exact"/>
        <w:rPr>
          <w:rFonts w:asciiTheme="minorEastAsia" w:hAnsiTheme="minorEastAsia" w:eastAsiaTheme="minorEastAsia"/>
          <w:b/>
          <w:color w:val="auto"/>
          <w:sz w:val="24"/>
          <w:szCs w:val="24"/>
          <w:highlight w:val="none"/>
        </w:rPr>
      </w:pPr>
      <w:r>
        <w:rPr>
          <w:rFonts w:hint="eastAsia" w:asciiTheme="minorEastAsia" w:hAnsiTheme="minorEastAsia" w:eastAsiaTheme="minorEastAsia"/>
          <w:b/>
          <w:color w:val="auto"/>
          <w:sz w:val="24"/>
          <w:szCs w:val="24"/>
          <w:highlight w:val="none"/>
        </w:rPr>
        <w:t>4.5 会场须知</w:t>
      </w:r>
    </w:p>
    <w:p w14:paraId="45002291">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4.5.1 需提供样品及材质小样评审的，自截止接收样品及材质小样之时至样品评审开始前，任何人不得擅自进入样品室（如要求）；</w:t>
      </w:r>
    </w:p>
    <w:p w14:paraId="3BF2758E">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4.5.2 所有参会人员应准时到场就座、签到，服从本公司的调度与安排；</w:t>
      </w:r>
    </w:p>
    <w:p w14:paraId="640A035C">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4.5.3会场内必须保持肃静、有序，不得高声喧哗，不得走动串位，不得随意进出；</w:t>
      </w:r>
    </w:p>
    <w:p w14:paraId="3E609F26">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4.5.4所有参会人员在会场内严禁使用任何通讯工具。进入评标室的评标委员会成员、采购单位代表、监督部门代表和本公司参会人员等手机必须关闭并统一存放；</w:t>
      </w:r>
    </w:p>
    <w:p w14:paraId="4648BC9E">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4.5.5 从会议开始到主持人宣布散会期间，磋商小组、采购单位代表、本公司参会人员的所有活动必须在监督人员的监督下进行；</w:t>
      </w:r>
    </w:p>
    <w:p w14:paraId="7AE04FA8">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4.5.6磋商小组就座后原则上不得相互商量，不得发表对供应商或响应文件的观点和看法；</w:t>
      </w:r>
    </w:p>
    <w:p w14:paraId="0B7B9C2A">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4.5.7磋商小组向供应商提问应简明扼要，澄清问题等环节不得涉及其他供应商的技术、商务内容；</w:t>
      </w:r>
    </w:p>
    <w:p w14:paraId="5C7CA7E6">
      <w:pPr>
        <w:snapToGrid w:val="0"/>
        <w:spacing w:line="500" w:lineRule="exact"/>
        <w:ind w:firstLine="473" w:firstLineChars="196"/>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4.5.8 采购人代表应按规定对磋商小组作出的评审结果签名确认，无正当理由拒绝确认经评审经主持人劝告仍坚持意见的，将被记录在案，报行业主管部门和纪检监察机关进行处理。</w:t>
      </w:r>
    </w:p>
    <w:p w14:paraId="4255C663">
      <w:pPr>
        <w:snapToGrid w:val="0"/>
        <w:spacing w:line="500" w:lineRule="exact"/>
        <w:ind w:firstLine="473" w:firstLineChars="196"/>
        <w:rPr>
          <w:rFonts w:asciiTheme="minorEastAsia" w:hAnsiTheme="minorEastAsia" w:eastAsiaTheme="minorEastAsia"/>
          <w:color w:val="auto"/>
          <w:sz w:val="24"/>
          <w:szCs w:val="24"/>
          <w:highlight w:val="none"/>
        </w:rPr>
      </w:pPr>
    </w:p>
    <w:p w14:paraId="7E0FDD1C">
      <w:pPr>
        <w:widowControl/>
        <w:jc w:val="left"/>
        <w:rPr>
          <w:rFonts w:asciiTheme="minorEastAsia" w:hAnsiTheme="minorEastAsia" w:eastAsiaTheme="minorEastAsia"/>
          <w:b/>
          <w:bCs/>
          <w:color w:val="auto"/>
          <w:kern w:val="44"/>
          <w:sz w:val="32"/>
          <w:szCs w:val="32"/>
          <w:highlight w:val="none"/>
        </w:rPr>
      </w:pPr>
      <w:bookmarkStart w:id="11" w:name="_Toc73383429"/>
      <w:bookmarkStart w:id="12" w:name="_Toc517881182"/>
      <w:bookmarkStart w:id="13" w:name="_Toc517881072"/>
      <w:r>
        <w:rPr>
          <w:rFonts w:asciiTheme="minorEastAsia" w:hAnsiTheme="minorEastAsia" w:eastAsiaTheme="minorEastAsia"/>
          <w:color w:val="auto"/>
          <w:sz w:val="32"/>
          <w:szCs w:val="32"/>
          <w:highlight w:val="none"/>
        </w:rPr>
        <w:br w:type="page"/>
      </w:r>
    </w:p>
    <w:p w14:paraId="72EFD0C3">
      <w:pPr>
        <w:pStyle w:val="3"/>
        <w:spacing w:line="500" w:lineRule="exact"/>
        <w:jc w:val="center"/>
        <w:rPr>
          <w:rFonts w:asciiTheme="minorEastAsia" w:hAnsiTheme="minorEastAsia" w:eastAsiaTheme="minorEastAsia"/>
          <w:color w:val="auto"/>
          <w:sz w:val="30"/>
          <w:szCs w:val="30"/>
          <w:highlight w:val="none"/>
        </w:rPr>
      </w:pPr>
      <w:r>
        <w:rPr>
          <w:rFonts w:hint="eastAsia" w:asciiTheme="minorEastAsia" w:hAnsiTheme="minorEastAsia" w:eastAsiaTheme="minorEastAsia"/>
          <w:color w:val="auto"/>
          <w:sz w:val="32"/>
          <w:szCs w:val="32"/>
          <w:highlight w:val="none"/>
        </w:rPr>
        <w:t>第五章 磋商程序</w:t>
      </w:r>
      <w:bookmarkEnd w:id="11"/>
      <w:bookmarkEnd w:id="12"/>
      <w:bookmarkEnd w:id="13"/>
    </w:p>
    <w:p w14:paraId="30B2FBFF">
      <w:pPr>
        <w:pageBreakBefore w:val="0"/>
        <w:widowControl w:val="0"/>
        <w:kinsoku/>
        <w:wordWrap/>
        <w:overflowPunct/>
        <w:topLinePunct w:val="0"/>
        <w:autoSpaceDE/>
        <w:autoSpaceDN/>
        <w:bidi w:val="0"/>
        <w:adjustRightInd/>
        <w:snapToGrid/>
        <w:spacing w:line="500" w:lineRule="exact"/>
        <w:textAlignment w:val="auto"/>
        <w:rPr>
          <w:rFonts w:cs="Arial" w:asciiTheme="minorEastAsia" w:hAnsiTheme="minorEastAsia"/>
          <w:color w:val="auto"/>
          <w:highlight w:val="none"/>
        </w:rPr>
      </w:pPr>
      <w:r>
        <w:rPr>
          <w:rFonts w:cs="Arial" w:asciiTheme="minorEastAsia" w:hAnsiTheme="minorEastAsia"/>
          <w:b/>
          <w:color w:val="auto"/>
          <w:highlight w:val="none"/>
        </w:rPr>
        <w:t>5.1</w:t>
      </w:r>
      <w:r>
        <w:rPr>
          <w:rFonts w:hint="eastAsia" w:cs="Arial" w:asciiTheme="minorEastAsia" w:hAnsiTheme="minorEastAsia"/>
          <w:color w:val="auto"/>
          <w:highlight w:val="none"/>
        </w:rPr>
        <w:t xml:space="preserve">开标前 </w:t>
      </w:r>
      <w:r>
        <w:rPr>
          <w:rFonts w:cs="Arial" w:asciiTheme="minorEastAsia" w:hAnsiTheme="minorEastAsia"/>
          <w:color w:val="auto"/>
          <w:highlight w:val="none"/>
        </w:rPr>
        <w:t xml:space="preserve">1 </w:t>
      </w:r>
      <w:r>
        <w:rPr>
          <w:rFonts w:hint="eastAsia" w:cs="Arial" w:asciiTheme="minorEastAsia" w:hAnsiTheme="minorEastAsia"/>
          <w:color w:val="auto"/>
          <w:highlight w:val="none"/>
        </w:rPr>
        <w:t>小时从贵州省综合评标专家库抽取专家</w:t>
      </w:r>
      <w:r>
        <w:rPr>
          <w:rFonts w:hint="eastAsia" w:cs="Arial" w:asciiTheme="minorEastAsia" w:hAnsiTheme="minorEastAsia"/>
          <w:color w:val="auto"/>
          <w:highlight w:val="none"/>
          <w:lang w:val="en-US" w:eastAsia="zh-CN"/>
        </w:rPr>
        <w:t>和业主代表</w:t>
      </w:r>
      <w:r>
        <w:rPr>
          <w:rFonts w:hint="eastAsia" w:cs="Arial" w:asciiTheme="minorEastAsia" w:hAnsiTheme="minorEastAsia"/>
          <w:color w:val="auto"/>
          <w:highlight w:val="none"/>
        </w:rPr>
        <w:t>组成磋商小组。</w:t>
      </w:r>
    </w:p>
    <w:p w14:paraId="304C1D35">
      <w:pPr>
        <w:spacing w:line="500" w:lineRule="exact"/>
        <w:rPr>
          <w:rFonts w:cs="Arial" w:asciiTheme="minorEastAsia" w:hAnsiTheme="minorEastAsia"/>
          <w:color w:val="auto"/>
          <w:highlight w:val="none"/>
        </w:rPr>
      </w:pPr>
      <w:r>
        <w:rPr>
          <w:rFonts w:cs="Arial" w:asciiTheme="minorEastAsia" w:hAnsiTheme="minorEastAsia"/>
          <w:b/>
          <w:color w:val="auto"/>
          <w:highlight w:val="none"/>
        </w:rPr>
        <w:t>5.2</w:t>
      </w:r>
      <w:r>
        <w:rPr>
          <w:rFonts w:hint="eastAsia" w:cs="Arial" w:asciiTheme="minorEastAsia" w:hAnsiTheme="minorEastAsia"/>
          <w:color w:val="auto"/>
          <w:highlight w:val="none"/>
        </w:rPr>
        <w:t>采购代理机构按照采购文件规定对响应文件依次进行在线解密。</w:t>
      </w:r>
    </w:p>
    <w:p w14:paraId="7EC842DA">
      <w:pPr>
        <w:spacing w:line="500" w:lineRule="exact"/>
        <w:rPr>
          <w:rFonts w:cs="Arial" w:asciiTheme="minorEastAsia" w:hAnsiTheme="minorEastAsia"/>
          <w:b/>
          <w:color w:val="auto"/>
          <w:highlight w:val="none"/>
        </w:rPr>
      </w:pPr>
      <w:r>
        <w:rPr>
          <w:rFonts w:hint="eastAsia" w:cs="Arial" w:asciiTheme="minorEastAsia" w:hAnsiTheme="minorEastAsia"/>
          <w:b/>
          <w:color w:val="auto"/>
          <w:highlight w:val="none"/>
        </w:rPr>
        <w:t>5.3</w:t>
      </w:r>
      <w:r>
        <w:rPr>
          <w:rFonts w:hint="eastAsia" w:cs="Arial" w:asciiTheme="minorEastAsia" w:hAnsiTheme="minorEastAsia"/>
          <w:color w:val="auto"/>
          <w:highlight w:val="none"/>
        </w:rPr>
        <w:t>磋商小组、监督人员登录系统签到。</w:t>
      </w:r>
    </w:p>
    <w:p w14:paraId="319DA419">
      <w:pPr>
        <w:widowControl/>
        <w:adjustRightInd w:val="0"/>
        <w:spacing w:line="500" w:lineRule="exact"/>
        <w:rPr>
          <w:rFonts w:cs="Arial" w:asciiTheme="minorEastAsia" w:hAnsiTheme="minorEastAsia"/>
          <w:b/>
          <w:color w:val="auto"/>
          <w:highlight w:val="none"/>
        </w:rPr>
      </w:pPr>
      <w:r>
        <w:rPr>
          <w:rFonts w:cs="Arial" w:asciiTheme="minorEastAsia" w:hAnsiTheme="minorEastAsia"/>
          <w:b/>
          <w:color w:val="auto"/>
          <w:highlight w:val="none"/>
        </w:rPr>
        <w:t>5.</w:t>
      </w:r>
      <w:r>
        <w:rPr>
          <w:rFonts w:hint="eastAsia" w:cs="Arial" w:asciiTheme="minorEastAsia" w:hAnsiTheme="minorEastAsia"/>
          <w:b/>
          <w:color w:val="auto"/>
          <w:highlight w:val="none"/>
        </w:rPr>
        <w:t>4熟悉磋商文件：</w:t>
      </w:r>
    </w:p>
    <w:p w14:paraId="40122BF0">
      <w:pPr>
        <w:widowControl/>
        <w:adjustRightInd w:val="0"/>
        <w:spacing w:line="500" w:lineRule="exact"/>
        <w:ind w:firstLine="424" w:firstLineChars="200"/>
        <w:rPr>
          <w:rFonts w:cs="Arial" w:asciiTheme="minorEastAsia" w:hAnsiTheme="minorEastAsia"/>
          <w:color w:val="auto"/>
          <w:highlight w:val="none"/>
        </w:rPr>
      </w:pPr>
      <w:r>
        <w:rPr>
          <w:rFonts w:hint="eastAsia" w:cs="Arial" w:asciiTheme="minorEastAsia" w:hAnsiTheme="minorEastAsia"/>
          <w:color w:val="auto"/>
          <w:highlight w:val="none"/>
        </w:rPr>
        <w:t>磋商小组熟悉磋商文件。</w:t>
      </w:r>
    </w:p>
    <w:p w14:paraId="21674456">
      <w:pPr>
        <w:widowControl/>
        <w:adjustRightInd w:val="0"/>
        <w:spacing w:line="500" w:lineRule="exact"/>
        <w:rPr>
          <w:rFonts w:asciiTheme="minorEastAsia" w:hAnsiTheme="minorEastAsia"/>
          <w:b/>
          <w:color w:val="auto"/>
          <w:kern w:val="15"/>
          <w:highlight w:val="none"/>
        </w:rPr>
      </w:pPr>
      <w:r>
        <w:rPr>
          <w:rFonts w:hint="eastAsia" w:cs="Arial" w:asciiTheme="minorEastAsia" w:hAnsiTheme="minorEastAsia"/>
          <w:b/>
          <w:color w:val="auto"/>
          <w:highlight w:val="none"/>
        </w:rPr>
        <w:t>5.5</w:t>
      </w:r>
      <w:r>
        <w:rPr>
          <w:rFonts w:hint="eastAsia" w:asciiTheme="minorEastAsia" w:hAnsiTheme="minorEastAsia"/>
          <w:b/>
          <w:color w:val="auto"/>
          <w:kern w:val="15"/>
          <w:highlight w:val="none"/>
        </w:rPr>
        <w:t>开启响应文件</w:t>
      </w:r>
    </w:p>
    <w:p w14:paraId="269C72A4">
      <w:pPr>
        <w:widowControl/>
        <w:adjustRightInd w:val="0"/>
        <w:spacing w:line="500" w:lineRule="exact"/>
        <w:ind w:firstLine="424" w:firstLineChars="200"/>
        <w:rPr>
          <w:rFonts w:asciiTheme="minorEastAsia" w:hAnsiTheme="minorEastAsia"/>
          <w:color w:val="auto"/>
          <w:kern w:val="15"/>
          <w:highlight w:val="none"/>
        </w:rPr>
      </w:pPr>
      <w:r>
        <w:rPr>
          <w:rFonts w:hint="eastAsia" w:asciiTheme="minorEastAsia" w:hAnsiTheme="minorEastAsia"/>
          <w:color w:val="auto"/>
          <w:kern w:val="15"/>
          <w:highlight w:val="none"/>
        </w:rPr>
        <w:t>5.5.1 各供应商解密响应文件后，由招标代理机构在毕节市公共资源交易中心系统内解密《响应文件》,开启《响应文件》；</w:t>
      </w:r>
    </w:p>
    <w:p w14:paraId="28F84ACB">
      <w:pPr>
        <w:widowControl/>
        <w:adjustRightInd w:val="0"/>
        <w:spacing w:line="500" w:lineRule="exact"/>
        <w:ind w:firstLine="424" w:firstLineChars="200"/>
        <w:rPr>
          <w:rFonts w:asciiTheme="minorEastAsia" w:hAnsiTheme="minorEastAsia"/>
          <w:color w:val="auto"/>
          <w:kern w:val="15"/>
          <w:highlight w:val="none"/>
        </w:rPr>
      </w:pPr>
      <w:r>
        <w:rPr>
          <w:rFonts w:hint="eastAsia" w:asciiTheme="minorEastAsia" w:hAnsiTheme="minorEastAsia"/>
          <w:color w:val="auto"/>
          <w:kern w:val="15"/>
          <w:highlight w:val="none"/>
        </w:rPr>
        <w:t>5.5.2 磋商小组评《响应文件》。</w:t>
      </w:r>
    </w:p>
    <w:p w14:paraId="5867CA52">
      <w:pPr>
        <w:widowControl/>
        <w:adjustRightInd w:val="0"/>
        <w:spacing w:line="500" w:lineRule="exact"/>
        <w:rPr>
          <w:rFonts w:asciiTheme="minorEastAsia" w:hAnsiTheme="minorEastAsia"/>
          <w:b/>
          <w:color w:val="auto"/>
          <w:kern w:val="15"/>
          <w:highlight w:val="none"/>
        </w:rPr>
      </w:pPr>
      <w:r>
        <w:rPr>
          <w:rFonts w:hint="eastAsia" w:cs="Arial" w:asciiTheme="minorEastAsia" w:hAnsiTheme="minorEastAsia"/>
          <w:b/>
          <w:color w:val="auto"/>
          <w:highlight w:val="none"/>
        </w:rPr>
        <w:t>5.6</w:t>
      </w:r>
      <w:r>
        <w:rPr>
          <w:rFonts w:hint="eastAsia" w:asciiTheme="minorEastAsia" w:hAnsiTheme="minorEastAsia"/>
          <w:b/>
          <w:color w:val="auto"/>
          <w:kern w:val="15"/>
          <w:highlight w:val="none"/>
        </w:rPr>
        <w:t>响应文件资格审查：</w:t>
      </w:r>
      <w:r>
        <w:rPr>
          <w:rFonts w:hint="eastAsia" w:cs="Arial" w:asciiTheme="minorEastAsia" w:hAnsiTheme="minorEastAsia"/>
          <w:color w:val="auto"/>
          <w:highlight w:val="none"/>
        </w:rPr>
        <w:t>磋商小组根据磋商文件的规定审查，以确认供应商是否具备磋商资格，只有具有磋商资格的供应商才能进入下一程序；</w:t>
      </w:r>
    </w:p>
    <w:p w14:paraId="2A561271">
      <w:pPr>
        <w:widowControl/>
        <w:adjustRightInd w:val="0"/>
        <w:spacing w:line="500" w:lineRule="exact"/>
        <w:jc w:val="left"/>
        <w:rPr>
          <w:rFonts w:cs="宋体" w:asciiTheme="minorEastAsia" w:hAnsiTheme="minorEastAsia"/>
          <w:b/>
          <w:color w:val="auto"/>
          <w:kern w:val="0"/>
          <w:highlight w:val="none"/>
        </w:rPr>
      </w:pPr>
      <w:r>
        <w:rPr>
          <w:rFonts w:cs="宋体" w:asciiTheme="minorEastAsia" w:hAnsiTheme="minorEastAsia"/>
          <w:b/>
          <w:color w:val="auto"/>
          <w:kern w:val="0"/>
          <w:highlight w:val="none"/>
        </w:rPr>
        <w:t>5.</w:t>
      </w:r>
      <w:r>
        <w:rPr>
          <w:rFonts w:hint="eastAsia" w:cs="宋体" w:asciiTheme="minorEastAsia" w:hAnsiTheme="minorEastAsia"/>
          <w:b/>
          <w:color w:val="auto"/>
          <w:kern w:val="0"/>
          <w:highlight w:val="none"/>
        </w:rPr>
        <w:t>7磋商：</w:t>
      </w:r>
    </w:p>
    <w:p w14:paraId="3006F0AD">
      <w:pPr>
        <w:adjustRightInd w:val="0"/>
        <w:spacing w:line="500" w:lineRule="exact"/>
        <w:ind w:firstLine="414" w:firstLineChars="196"/>
        <w:rPr>
          <w:rFonts w:asciiTheme="minorEastAsia" w:hAnsiTheme="minorEastAsia"/>
          <w:color w:val="auto"/>
          <w:kern w:val="15"/>
          <w:highlight w:val="none"/>
        </w:rPr>
      </w:pPr>
      <w:r>
        <w:rPr>
          <w:rFonts w:asciiTheme="minorEastAsia" w:hAnsiTheme="minorEastAsia"/>
          <w:color w:val="auto"/>
          <w:kern w:val="15"/>
          <w:highlight w:val="none"/>
        </w:rPr>
        <w:t>5.</w:t>
      </w:r>
      <w:r>
        <w:rPr>
          <w:rFonts w:hint="eastAsia" w:asciiTheme="minorEastAsia" w:hAnsiTheme="minorEastAsia"/>
          <w:color w:val="auto"/>
          <w:kern w:val="15"/>
          <w:highlight w:val="none"/>
        </w:rPr>
        <w:t>7</w:t>
      </w:r>
      <w:r>
        <w:rPr>
          <w:rFonts w:asciiTheme="minorEastAsia" w:hAnsiTheme="minorEastAsia"/>
          <w:color w:val="auto"/>
          <w:kern w:val="15"/>
          <w:highlight w:val="none"/>
        </w:rPr>
        <w:t>.1</w:t>
      </w:r>
      <w:r>
        <w:rPr>
          <w:rFonts w:hint="eastAsia" w:asciiTheme="minorEastAsia" w:hAnsiTheme="minorEastAsia"/>
          <w:color w:val="auto"/>
          <w:kern w:val="15"/>
          <w:highlight w:val="none"/>
        </w:rPr>
        <w:t>依据磋商文件的规定，磋商小组对响应文件的有效性、完整性和响应程度进行审查，审查通过后，</w:t>
      </w:r>
      <w:r>
        <w:rPr>
          <w:rFonts w:hint="eastAsia" w:cs="宋体" w:asciiTheme="minorEastAsia" w:hAnsiTheme="minorEastAsia"/>
          <w:color w:val="auto"/>
          <w:kern w:val="0"/>
          <w:highlight w:val="none"/>
        </w:rPr>
        <w:t>磋商小组与</w:t>
      </w:r>
      <w:r>
        <w:rPr>
          <w:rFonts w:hint="eastAsia" w:asciiTheme="minorEastAsia" w:hAnsiTheme="minorEastAsia"/>
          <w:color w:val="auto"/>
          <w:highlight w:val="none"/>
        </w:rPr>
        <w:t>供应商</w:t>
      </w:r>
      <w:r>
        <w:rPr>
          <w:rFonts w:hint="eastAsia" w:cs="宋体" w:asciiTheme="minorEastAsia" w:hAnsiTheme="minorEastAsia"/>
          <w:color w:val="auto"/>
          <w:kern w:val="0"/>
          <w:highlight w:val="none"/>
        </w:rPr>
        <w:t>进行技术和商务磋商；</w:t>
      </w:r>
    </w:p>
    <w:p w14:paraId="64065968">
      <w:pPr>
        <w:widowControl/>
        <w:adjustRightInd w:val="0"/>
        <w:spacing w:line="500" w:lineRule="exact"/>
        <w:ind w:firstLine="424" w:firstLineChars="200"/>
        <w:jc w:val="left"/>
        <w:rPr>
          <w:rFonts w:cs="Arial" w:asciiTheme="minorEastAsia" w:hAnsiTheme="minorEastAsia"/>
          <w:color w:val="auto"/>
          <w:highlight w:val="none"/>
        </w:rPr>
      </w:pPr>
      <w:r>
        <w:rPr>
          <w:rFonts w:asciiTheme="minorEastAsia" w:hAnsiTheme="minorEastAsia"/>
          <w:color w:val="auto"/>
          <w:kern w:val="15"/>
          <w:highlight w:val="none"/>
        </w:rPr>
        <w:t>5.</w:t>
      </w:r>
      <w:r>
        <w:rPr>
          <w:rFonts w:hint="eastAsia" w:asciiTheme="minorEastAsia" w:hAnsiTheme="minorEastAsia"/>
          <w:color w:val="auto"/>
          <w:kern w:val="15"/>
          <w:highlight w:val="none"/>
        </w:rPr>
        <w:t>7</w:t>
      </w:r>
      <w:r>
        <w:rPr>
          <w:rFonts w:asciiTheme="minorEastAsia" w:hAnsiTheme="minorEastAsia"/>
          <w:color w:val="auto"/>
          <w:kern w:val="15"/>
          <w:highlight w:val="none"/>
        </w:rPr>
        <w:t xml:space="preserve">.2 </w:t>
      </w:r>
      <w:r>
        <w:rPr>
          <w:rFonts w:hint="eastAsia" w:asciiTheme="minorEastAsia" w:hAnsiTheme="minorEastAsia"/>
          <w:color w:val="auto"/>
          <w:kern w:val="15"/>
          <w:highlight w:val="none"/>
        </w:rPr>
        <w:t>对《响应文件》中含义不明确、同类问题表述不一致或者有明显文字和计算错误的内容，磋商小组可要求</w:t>
      </w:r>
      <w:r>
        <w:rPr>
          <w:rFonts w:hint="eastAsia" w:asciiTheme="minorEastAsia" w:hAnsiTheme="minorEastAsia"/>
          <w:color w:val="auto"/>
          <w:highlight w:val="none"/>
        </w:rPr>
        <w:t>供应商</w:t>
      </w:r>
      <w:r>
        <w:rPr>
          <w:rFonts w:hint="eastAsia" w:cs="Arial" w:asciiTheme="minorEastAsia" w:hAnsiTheme="minorEastAsia"/>
          <w:color w:val="auto"/>
          <w:highlight w:val="none"/>
        </w:rPr>
        <w:t>作出澄清、说明或者纠正；对《响应文件》中</w:t>
      </w:r>
      <w:r>
        <w:rPr>
          <w:rFonts w:hint="eastAsia" w:asciiTheme="minorEastAsia" w:hAnsiTheme="minorEastAsia"/>
          <w:color w:val="auto"/>
          <w:kern w:val="15"/>
          <w:highlight w:val="none"/>
        </w:rPr>
        <w:t>不</w:t>
      </w:r>
      <w:r>
        <w:rPr>
          <w:rFonts w:hint="eastAsia" w:cs="宋体" w:asciiTheme="minorEastAsia" w:hAnsiTheme="minorEastAsia"/>
          <w:color w:val="auto"/>
          <w:kern w:val="0"/>
          <w:highlight w:val="none"/>
        </w:rPr>
        <w:t>响应</w:t>
      </w:r>
      <w:r>
        <w:rPr>
          <w:rFonts w:hint="eastAsia" w:asciiTheme="minorEastAsia" w:hAnsiTheme="minorEastAsia"/>
          <w:color w:val="auto"/>
          <w:kern w:val="15"/>
          <w:highlight w:val="none"/>
        </w:rPr>
        <w:t>本《磋商文件》要求的内容，磋商小组应要求</w:t>
      </w:r>
      <w:r>
        <w:rPr>
          <w:rFonts w:hint="eastAsia" w:asciiTheme="minorEastAsia" w:hAnsiTheme="minorEastAsia"/>
          <w:color w:val="auto"/>
          <w:highlight w:val="none"/>
        </w:rPr>
        <w:t>供应商</w:t>
      </w:r>
      <w:r>
        <w:rPr>
          <w:rFonts w:hint="eastAsia" w:asciiTheme="minorEastAsia" w:hAnsiTheme="minorEastAsia"/>
          <w:bCs/>
          <w:color w:val="auto"/>
          <w:highlight w:val="none"/>
        </w:rPr>
        <w:t>在线</w:t>
      </w:r>
      <w:r>
        <w:rPr>
          <w:rFonts w:hint="eastAsia" w:cs="Arial" w:asciiTheme="minorEastAsia" w:hAnsiTheme="minorEastAsia"/>
          <w:color w:val="auto"/>
          <w:highlight w:val="none"/>
        </w:rPr>
        <w:t>作出书面的</w:t>
      </w:r>
      <w:r>
        <w:rPr>
          <w:rFonts w:hint="eastAsia" w:cs="宋体" w:asciiTheme="minorEastAsia" w:hAnsiTheme="minorEastAsia"/>
          <w:color w:val="auto"/>
          <w:kern w:val="0"/>
          <w:highlight w:val="none"/>
        </w:rPr>
        <w:t>补充响应承诺。评审专家组长将《技术与商务条款补充响应承诺书》在线发放给</w:t>
      </w:r>
      <w:r>
        <w:rPr>
          <w:rFonts w:hint="eastAsia" w:asciiTheme="minorEastAsia" w:hAnsiTheme="minorEastAsia"/>
          <w:color w:val="auto"/>
          <w:highlight w:val="none"/>
        </w:rPr>
        <w:t>供应商</w:t>
      </w:r>
      <w:r>
        <w:rPr>
          <w:rFonts w:cs="宋体" w:asciiTheme="minorEastAsia" w:hAnsiTheme="minorEastAsia"/>
          <w:color w:val="auto"/>
          <w:kern w:val="0"/>
          <w:highlight w:val="none"/>
        </w:rPr>
        <w:t xml:space="preserve">, </w:t>
      </w:r>
      <w:r>
        <w:rPr>
          <w:rFonts w:hint="eastAsia" w:asciiTheme="minorEastAsia" w:hAnsiTheme="minorEastAsia"/>
          <w:color w:val="auto"/>
          <w:highlight w:val="none"/>
        </w:rPr>
        <w:t>供应商</w:t>
      </w:r>
      <w:r>
        <w:rPr>
          <w:rFonts w:hint="eastAsia" w:cs="宋体" w:asciiTheme="minorEastAsia" w:hAnsiTheme="minorEastAsia"/>
          <w:color w:val="auto"/>
          <w:kern w:val="0"/>
          <w:highlight w:val="none"/>
        </w:rPr>
        <w:t>将自己的响应承诺意见以及对《响应文件》的</w:t>
      </w:r>
      <w:r>
        <w:rPr>
          <w:rFonts w:hint="eastAsia" w:cs="Arial" w:asciiTheme="minorEastAsia" w:hAnsiTheme="minorEastAsia"/>
          <w:color w:val="auto"/>
          <w:highlight w:val="none"/>
        </w:rPr>
        <w:t>澄清、说明或纠正事项</w:t>
      </w:r>
      <w:r>
        <w:rPr>
          <w:rFonts w:hint="eastAsia" w:cs="宋体" w:asciiTheme="minorEastAsia" w:hAnsiTheme="minorEastAsia"/>
          <w:color w:val="auto"/>
          <w:kern w:val="0"/>
          <w:highlight w:val="none"/>
        </w:rPr>
        <w:t>按规定时间填写完毕后在线提交。</w:t>
      </w:r>
    </w:p>
    <w:p w14:paraId="7695235A">
      <w:pPr>
        <w:widowControl/>
        <w:adjustRightInd w:val="0"/>
        <w:spacing w:line="500" w:lineRule="exact"/>
        <w:jc w:val="left"/>
        <w:rPr>
          <w:rFonts w:cs="宋体" w:asciiTheme="minorEastAsia" w:hAnsiTheme="minorEastAsia"/>
          <w:color w:val="auto"/>
          <w:kern w:val="0"/>
          <w:highlight w:val="none"/>
        </w:rPr>
      </w:pPr>
      <w:r>
        <w:rPr>
          <w:rFonts w:asciiTheme="minorEastAsia" w:hAnsiTheme="minorEastAsia"/>
          <w:b/>
          <w:color w:val="auto"/>
          <w:kern w:val="15"/>
          <w:highlight w:val="none"/>
        </w:rPr>
        <w:t>5.8</w:t>
      </w:r>
      <w:r>
        <w:rPr>
          <w:rFonts w:hint="eastAsia" w:asciiTheme="minorEastAsia" w:hAnsiTheme="minorEastAsia"/>
          <w:b/>
          <w:color w:val="auto"/>
          <w:kern w:val="15"/>
          <w:highlight w:val="none"/>
        </w:rPr>
        <w:t>符合性审查：</w:t>
      </w:r>
      <w:r>
        <w:rPr>
          <w:rFonts w:hint="eastAsia" w:cs="宋体" w:asciiTheme="minorEastAsia" w:hAnsiTheme="minorEastAsia"/>
          <w:color w:val="auto"/>
          <w:kern w:val="0"/>
          <w:highlight w:val="none"/>
        </w:rPr>
        <w:t>磋商小组成员根据供应商的《响应文件》、磋商情况进行符合性审查，以确定供应商提交的《响应文件》是否在技术、商务和报价方面均能满足磋商文件实质性响应要求。</w:t>
      </w:r>
    </w:p>
    <w:p w14:paraId="46EC5877">
      <w:pPr>
        <w:widowControl/>
        <w:adjustRightInd w:val="0"/>
        <w:spacing w:line="500" w:lineRule="exact"/>
        <w:jc w:val="left"/>
        <w:rPr>
          <w:rFonts w:hint="eastAsia" w:cs="宋体" w:asciiTheme="minorEastAsia" w:hAnsiTheme="minorEastAsia"/>
          <w:color w:val="auto"/>
          <w:kern w:val="0"/>
          <w:highlight w:val="none"/>
        </w:rPr>
      </w:pPr>
      <w:r>
        <w:rPr>
          <w:rFonts w:hint="eastAsia" w:asciiTheme="minorEastAsia" w:hAnsiTheme="minorEastAsia"/>
          <w:b/>
          <w:color w:val="auto"/>
          <w:kern w:val="15"/>
          <w:highlight w:val="none"/>
          <w:lang w:val="en-US" w:eastAsia="zh-CN"/>
        </w:rPr>
        <w:t>5.9报价审查：</w:t>
      </w:r>
      <w:r>
        <w:rPr>
          <w:rFonts w:hint="eastAsia" w:cs="宋体" w:asciiTheme="minorEastAsia" w:hAnsiTheme="minorEastAsia"/>
          <w:color w:val="auto"/>
          <w:kern w:val="0"/>
          <w:highlight w:val="none"/>
        </w:rPr>
        <w:t>磋商小组成员根据供应商的《响应文件》、磋商情况进行</w:t>
      </w:r>
      <w:r>
        <w:rPr>
          <w:rFonts w:hint="eastAsia" w:cs="宋体" w:asciiTheme="minorEastAsia" w:hAnsiTheme="minorEastAsia"/>
          <w:color w:val="auto"/>
          <w:kern w:val="0"/>
          <w:highlight w:val="none"/>
          <w:lang w:val="en-US" w:eastAsia="zh-CN"/>
        </w:rPr>
        <w:t>报价</w:t>
      </w:r>
      <w:r>
        <w:rPr>
          <w:rFonts w:hint="eastAsia" w:cs="宋体" w:asciiTheme="minorEastAsia" w:hAnsiTheme="minorEastAsia"/>
          <w:color w:val="auto"/>
          <w:kern w:val="0"/>
          <w:highlight w:val="none"/>
        </w:rPr>
        <w:t>审查，以确定供应商提交的《响应文件》是否在技术、商务和报价方面均能满足磋商文件实质性响应要求。</w:t>
      </w:r>
    </w:p>
    <w:p w14:paraId="03E2B9EC">
      <w:pPr>
        <w:spacing w:line="500" w:lineRule="exact"/>
        <w:rPr>
          <w:rFonts w:cs="宋体" w:asciiTheme="minorEastAsia" w:hAnsiTheme="minorEastAsia"/>
          <w:b/>
          <w:color w:val="auto"/>
          <w:kern w:val="0"/>
          <w:highlight w:val="none"/>
        </w:rPr>
      </w:pPr>
      <w:r>
        <w:rPr>
          <w:rFonts w:hint="eastAsia" w:asciiTheme="minorEastAsia" w:hAnsiTheme="minorEastAsia"/>
          <w:b/>
          <w:bCs/>
          <w:color w:val="auto"/>
          <w:kern w:val="15"/>
          <w:highlight w:val="none"/>
          <w:lang w:val="en-US" w:eastAsia="zh-CN"/>
        </w:rPr>
        <w:t>5.10</w:t>
      </w:r>
      <w:r>
        <w:rPr>
          <w:rFonts w:hint="eastAsia" w:asciiTheme="minorEastAsia" w:hAnsiTheme="minorEastAsia"/>
          <w:b/>
          <w:bCs/>
          <w:color w:val="auto"/>
          <w:kern w:val="15"/>
          <w:highlight w:val="none"/>
        </w:rPr>
        <w:t>价格磋商</w:t>
      </w:r>
      <w:r>
        <w:rPr>
          <w:rFonts w:hint="eastAsia" w:cs="宋体" w:asciiTheme="minorEastAsia" w:hAnsiTheme="minorEastAsia"/>
          <w:b/>
          <w:color w:val="auto"/>
          <w:kern w:val="0"/>
          <w:highlight w:val="none"/>
        </w:rPr>
        <w:t>：</w:t>
      </w:r>
    </w:p>
    <w:p w14:paraId="48D7CBDB">
      <w:pPr>
        <w:spacing w:line="500" w:lineRule="exact"/>
        <w:ind w:firstLine="414" w:firstLineChars="196"/>
        <w:rPr>
          <w:rFonts w:cs="宋体" w:asciiTheme="minorEastAsia" w:hAnsiTheme="minorEastAsia"/>
          <w:color w:val="auto"/>
          <w:kern w:val="0"/>
          <w:highlight w:val="none"/>
        </w:rPr>
      </w:pPr>
      <w:r>
        <w:rPr>
          <w:rFonts w:hint="eastAsia" w:cs="宋体" w:asciiTheme="minorEastAsia" w:hAnsiTheme="minorEastAsia"/>
          <w:color w:val="auto"/>
          <w:kern w:val="0"/>
          <w:highlight w:val="none"/>
        </w:rPr>
        <w:t>根据磋商小组的意见概述谈判中各供应商的报价与市场价格的偏离情况，要求供应商进行报价。评审专家组长将报价表在线发给各供应商，各供应商在线按规定时间填写完毕后在线提交磋商小组评审。磋商小组根据供应商的报价情况确定报价的轮数，供应商在最后一轮填写的报价即为自己参加本次磋商的最后报价，最后报价是供应商响应文件的有效组成部分，以最后报价参与价格评分。</w:t>
      </w:r>
    </w:p>
    <w:p w14:paraId="41335964">
      <w:pPr>
        <w:spacing w:line="500" w:lineRule="exact"/>
        <w:ind w:firstLine="414" w:firstLineChars="196"/>
        <w:rPr>
          <w:rFonts w:cs="宋体" w:asciiTheme="minorEastAsia" w:hAnsiTheme="minorEastAsia"/>
          <w:b/>
          <w:bCs/>
          <w:color w:val="auto"/>
          <w:kern w:val="0"/>
          <w:highlight w:val="none"/>
        </w:rPr>
      </w:pPr>
      <w:r>
        <w:rPr>
          <w:rFonts w:hint="eastAsia" w:cs="宋体" w:asciiTheme="minorEastAsia" w:hAnsiTheme="minorEastAsia"/>
          <w:b/>
          <w:bCs/>
          <w:color w:val="auto"/>
          <w:kern w:val="0"/>
          <w:highlight w:val="none"/>
        </w:rPr>
        <w:t>特别注明：磋商结束后，磋商小组在线对资格审查和符合性审查合格的供应商发出第一轮磋商报价，所有实质性响应的投标供应商须在20分钟内提交磋商报价（需符合毕节市公共资源交易中心的规定，否则磋商报价无效，下同）。磋商小组在线发出第一轮磋商报价后，供应商在20分钟内未报价的，该轮报价以基础报价金额计；磋商小组在线发出第二轮磋商报价后，供应商在20分钟内未报价的，该轮报价以第一轮报价计，以此类推。磋商报价轮数由磋商小组确定</w:t>
      </w:r>
      <w:r>
        <w:rPr>
          <w:rFonts w:hint="eastAsia" w:cs="宋体" w:asciiTheme="minorEastAsia" w:hAnsiTheme="minorEastAsia"/>
          <w:b/>
          <w:bCs/>
          <w:color w:val="auto"/>
          <w:highlight w:val="none"/>
        </w:rPr>
        <w:t>。</w:t>
      </w:r>
    </w:p>
    <w:p w14:paraId="2CA19C3B">
      <w:pPr>
        <w:spacing w:line="500" w:lineRule="exact"/>
        <w:rPr>
          <w:rFonts w:asciiTheme="minorEastAsia" w:hAnsiTheme="minorEastAsia"/>
          <w:b/>
          <w:bCs/>
          <w:color w:val="auto"/>
          <w:kern w:val="15"/>
          <w:highlight w:val="none"/>
        </w:rPr>
      </w:pPr>
      <w:r>
        <w:rPr>
          <w:rFonts w:hint="eastAsia" w:asciiTheme="minorEastAsia" w:hAnsiTheme="minorEastAsia"/>
          <w:b/>
          <w:bCs/>
          <w:color w:val="auto"/>
          <w:kern w:val="15"/>
          <w:highlight w:val="none"/>
        </w:rPr>
        <w:t>5</w:t>
      </w:r>
      <w:r>
        <w:rPr>
          <w:rFonts w:asciiTheme="minorEastAsia" w:hAnsiTheme="minorEastAsia"/>
          <w:b/>
          <w:bCs/>
          <w:color w:val="auto"/>
          <w:kern w:val="15"/>
          <w:highlight w:val="none"/>
        </w:rPr>
        <w:t>.1</w:t>
      </w:r>
      <w:r>
        <w:rPr>
          <w:rFonts w:hint="eastAsia" w:asciiTheme="minorEastAsia" w:hAnsiTheme="minorEastAsia"/>
          <w:b/>
          <w:bCs/>
          <w:color w:val="auto"/>
          <w:kern w:val="15"/>
          <w:highlight w:val="none"/>
          <w:lang w:val="en-US" w:eastAsia="zh-CN"/>
        </w:rPr>
        <w:t>1</w:t>
      </w:r>
      <w:r>
        <w:rPr>
          <w:rFonts w:hint="eastAsia" w:asciiTheme="minorEastAsia" w:hAnsiTheme="minorEastAsia"/>
          <w:b/>
          <w:bCs/>
          <w:color w:val="auto"/>
          <w:kern w:val="15"/>
          <w:highlight w:val="none"/>
        </w:rPr>
        <w:t>商务及技术评审：</w:t>
      </w:r>
      <w:r>
        <w:rPr>
          <w:rFonts w:hint="eastAsia" w:cs="宋体" w:asciiTheme="minorEastAsia" w:hAnsiTheme="minorEastAsia"/>
          <w:color w:val="auto"/>
          <w:highlight w:val="none"/>
        </w:rPr>
        <w:t>评标委员会成员按照本招标文件的评标方法、评标原则和评分标准,对符合要求的投标文件进行商务与技术评估、综合比较与评价，独立评出各投标人的商务与技术分。评分完毕提交汇总统计，得出各投标人的商务与技术分（每位评标委员会成员评分的算术平均值）</w:t>
      </w:r>
    </w:p>
    <w:p w14:paraId="539A0299">
      <w:pPr>
        <w:spacing w:line="336" w:lineRule="auto"/>
        <w:rPr>
          <w:rFonts w:asciiTheme="minorEastAsia" w:hAnsiTheme="minorEastAsia"/>
          <w:b/>
          <w:color w:val="auto"/>
          <w:kern w:val="0"/>
          <w:highlight w:val="none"/>
        </w:rPr>
      </w:pPr>
      <w:r>
        <w:rPr>
          <w:rFonts w:hint="eastAsia" w:asciiTheme="minorEastAsia" w:hAnsiTheme="minorEastAsia"/>
          <w:b/>
          <w:color w:val="auto"/>
          <w:kern w:val="0"/>
          <w:highlight w:val="none"/>
        </w:rPr>
        <w:t>5.1</w:t>
      </w:r>
      <w:r>
        <w:rPr>
          <w:rFonts w:hint="eastAsia" w:asciiTheme="minorEastAsia" w:hAnsiTheme="minorEastAsia"/>
          <w:b/>
          <w:color w:val="auto"/>
          <w:kern w:val="0"/>
          <w:highlight w:val="none"/>
          <w:lang w:val="en-US" w:eastAsia="zh-CN"/>
        </w:rPr>
        <w:t>2</w:t>
      </w:r>
      <w:r>
        <w:rPr>
          <w:rFonts w:hint="eastAsia" w:asciiTheme="minorEastAsia" w:hAnsiTheme="minorEastAsia"/>
          <w:b/>
          <w:color w:val="auto"/>
          <w:kern w:val="0"/>
          <w:highlight w:val="none"/>
        </w:rPr>
        <w:t>政策性加分：</w:t>
      </w:r>
      <w:r>
        <w:rPr>
          <w:rFonts w:hint="eastAsia" w:asciiTheme="minorEastAsia" w:hAnsiTheme="minorEastAsia"/>
          <w:bCs/>
          <w:color w:val="auto"/>
          <w:kern w:val="15"/>
          <w:highlight w:val="none"/>
        </w:rPr>
        <w:t>对符合磋商文件规定政策性评审的投标供应商，磋商小组按政策性评审要求进行评审。</w:t>
      </w:r>
    </w:p>
    <w:p w14:paraId="5AA5697E">
      <w:pPr>
        <w:spacing w:line="500" w:lineRule="exact"/>
        <w:rPr>
          <w:rFonts w:asciiTheme="minorEastAsia" w:hAnsiTheme="minorEastAsia"/>
          <w:b/>
          <w:bCs/>
          <w:color w:val="auto"/>
          <w:kern w:val="15"/>
          <w:highlight w:val="none"/>
        </w:rPr>
      </w:pPr>
      <w:r>
        <w:rPr>
          <w:rFonts w:hint="eastAsia" w:asciiTheme="minorEastAsia" w:hAnsiTheme="minorEastAsia"/>
          <w:b/>
          <w:bCs/>
          <w:color w:val="auto"/>
          <w:kern w:val="15"/>
          <w:highlight w:val="none"/>
        </w:rPr>
        <w:t>5.</w:t>
      </w:r>
      <w:r>
        <w:rPr>
          <w:rFonts w:asciiTheme="minorEastAsia" w:hAnsiTheme="minorEastAsia"/>
          <w:b/>
          <w:bCs/>
          <w:color w:val="auto"/>
          <w:kern w:val="15"/>
          <w:highlight w:val="none"/>
        </w:rPr>
        <w:t>1</w:t>
      </w:r>
      <w:r>
        <w:rPr>
          <w:rFonts w:hint="eastAsia" w:asciiTheme="minorEastAsia" w:hAnsiTheme="minorEastAsia"/>
          <w:b/>
          <w:bCs/>
          <w:color w:val="auto"/>
          <w:kern w:val="15"/>
          <w:highlight w:val="none"/>
          <w:lang w:val="en-US" w:eastAsia="zh-CN"/>
        </w:rPr>
        <w:t>3</w:t>
      </w:r>
      <w:r>
        <w:rPr>
          <w:rFonts w:hint="eastAsia" w:asciiTheme="minorEastAsia" w:hAnsiTheme="minorEastAsia"/>
          <w:b/>
          <w:bCs/>
          <w:color w:val="auto"/>
          <w:kern w:val="15"/>
          <w:highlight w:val="none"/>
        </w:rPr>
        <w:t>综合评分：</w:t>
      </w:r>
      <w:r>
        <w:rPr>
          <w:rFonts w:hint="eastAsia" w:cs="宋体" w:asciiTheme="minorEastAsia" w:hAnsiTheme="minorEastAsia"/>
          <w:color w:val="auto"/>
          <w:highlight w:val="none"/>
        </w:rPr>
        <w:t>计算报价得分，汇总统计各投标人的技术与商务分、报价得分（系统计算）和综合得分，汇总表经评标委员会成员签名确认。</w:t>
      </w:r>
    </w:p>
    <w:p w14:paraId="34B4181A">
      <w:pPr>
        <w:pStyle w:val="18"/>
        <w:spacing w:after="0" w:line="500" w:lineRule="exact"/>
        <w:rPr>
          <w:rFonts w:asciiTheme="minorEastAsia" w:hAnsiTheme="minorEastAsia"/>
          <w:color w:val="auto"/>
          <w:kern w:val="0"/>
          <w:highlight w:val="none"/>
        </w:rPr>
      </w:pPr>
      <w:r>
        <w:rPr>
          <w:rFonts w:asciiTheme="minorEastAsia" w:hAnsiTheme="minorEastAsia"/>
          <w:b/>
          <w:color w:val="auto"/>
          <w:kern w:val="0"/>
          <w:highlight w:val="none"/>
        </w:rPr>
        <w:t>5.1</w:t>
      </w:r>
      <w:r>
        <w:rPr>
          <w:rFonts w:hint="eastAsia" w:asciiTheme="minorEastAsia" w:hAnsiTheme="minorEastAsia"/>
          <w:b/>
          <w:color w:val="auto"/>
          <w:kern w:val="0"/>
          <w:highlight w:val="none"/>
          <w:lang w:val="en-US" w:eastAsia="zh-CN"/>
        </w:rPr>
        <w:t>4</w:t>
      </w:r>
      <w:r>
        <w:rPr>
          <w:rFonts w:hint="eastAsia" w:asciiTheme="minorEastAsia" w:hAnsiTheme="minorEastAsia"/>
          <w:b/>
          <w:color w:val="auto"/>
          <w:kern w:val="0"/>
          <w:highlight w:val="none"/>
        </w:rPr>
        <w:t>推荐成交候选人：</w:t>
      </w:r>
    </w:p>
    <w:p w14:paraId="2400357F">
      <w:pPr>
        <w:spacing w:line="500" w:lineRule="exact"/>
        <w:ind w:firstLine="424" w:firstLineChars="200"/>
        <w:rPr>
          <w:rFonts w:asciiTheme="minorEastAsia" w:hAnsiTheme="minorEastAsia"/>
          <w:bCs/>
          <w:color w:val="auto"/>
          <w:kern w:val="15"/>
          <w:highlight w:val="none"/>
        </w:rPr>
      </w:pPr>
      <w:r>
        <w:rPr>
          <w:rFonts w:hint="eastAsia" w:asciiTheme="minorEastAsia" w:hAnsiTheme="minorEastAsia"/>
          <w:bCs/>
          <w:color w:val="auto"/>
          <w:kern w:val="15"/>
          <w:highlight w:val="none"/>
        </w:rPr>
        <w:t>磋商小组应当根据综合评分情况，按照评审得分由高到低顺序推荐3名成交候选供应商，并编写《竞争性磋商评审报告》。评审报告应当由磋商小组全体人员签字认可。磋商小组成员对评审报告有异议的，磋商小组按照全数通过的原则推荐成交候选供应商，采购程序继续进行，对评审报告有异议的磋商小组成员，应当在报告上签署不同意见并说明理由，由磋商小组书面记录相关情况。磋商小组成员拒绝在报告上签字又不书面说明其不同意见和理由的，视为同意评审报告。</w:t>
      </w:r>
    </w:p>
    <w:p w14:paraId="00A498D1">
      <w:pPr>
        <w:spacing w:line="500" w:lineRule="exact"/>
        <w:rPr>
          <w:rFonts w:cs="Arial" w:asciiTheme="minorEastAsia" w:hAnsiTheme="minorEastAsia"/>
          <w:color w:val="auto"/>
          <w:highlight w:val="none"/>
        </w:rPr>
      </w:pPr>
      <w:r>
        <w:rPr>
          <w:rFonts w:cs="Arial" w:asciiTheme="minorEastAsia" w:hAnsiTheme="minorEastAsia"/>
          <w:b/>
          <w:color w:val="auto"/>
          <w:highlight w:val="none"/>
        </w:rPr>
        <w:t>5.1</w:t>
      </w:r>
      <w:r>
        <w:rPr>
          <w:rFonts w:hint="eastAsia" w:cs="Arial" w:asciiTheme="minorEastAsia" w:hAnsiTheme="minorEastAsia"/>
          <w:b/>
          <w:color w:val="auto"/>
          <w:highlight w:val="none"/>
          <w:lang w:val="en-US" w:eastAsia="zh-CN"/>
        </w:rPr>
        <w:t>5</w:t>
      </w:r>
      <w:r>
        <w:rPr>
          <w:rFonts w:hint="eastAsia" w:cs="Arial" w:asciiTheme="minorEastAsia" w:hAnsiTheme="minorEastAsia"/>
          <w:color w:val="auto"/>
          <w:highlight w:val="none"/>
        </w:rPr>
        <w:t>评审结束。</w:t>
      </w:r>
      <w:r>
        <w:rPr>
          <w:color w:val="auto"/>
          <w:highlight w:val="none"/>
        </w:rPr>
        <w:br w:type="page"/>
      </w:r>
    </w:p>
    <w:p w14:paraId="308F153B">
      <w:pPr>
        <w:pStyle w:val="3"/>
        <w:numPr>
          <w:ilvl w:val="0"/>
          <w:numId w:val="0"/>
        </w:numPr>
        <w:spacing w:line="500" w:lineRule="exact"/>
        <w:jc w:val="center"/>
        <w:rPr>
          <w:rFonts w:asciiTheme="minorEastAsia" w:hAnsiTheme="minorEastAsia" w:eastAsiaTheme="minorEastAsia"/>
          <w:color w:val="auto"/>
          <w:sz w:val="32"/>
          <w:szCs w:val="30"/>
          <w:highlight w:val="none"/>
        </w:rPr>
      </w:pPr>
      <w:bookmarkStart w:id="14" w:name="_Toc517881183"/>
      <w:bookmarkStart w:id="15" w:name="_Toc517881073"/>
      <w:bookmarkStart w:id="16" w:name="_Toc73383430"/>
      <w:r>
        <w:rPr>
          <w:rFonts w:hint="eastAsia" w:asciiTheme="minorEastAsia" w:hAnsiTheme="minorEastAsia" w:eastAsiaTheme="minorEastAsia"/>
          <w:color w:val="auto"/>
          <w:sz w:val="32"/>
          <w:szCs w:val="30"/>
          <w:highlight w:val="none"/>
        </w:rPr>
        <w:t xml:space="preserve">第六章 </w:t>
      </w:r>
      <w:bookmarkEnd w:id="14"/>
      <w:bookmarkEnd w:id="15"/>
      <w:r>
        <w:rPr>
          <w:rFonts w:hint="eastAsia" w:asciiTheme="minorEastAsia" w:hAnsiTheme="minorEastAsia" w:eastAsiaTheme="minorEastAsia"/>
          <w:color w:val="auto"/>
          <w:sz w:val="32"/>
          <w:szCs w:val="30"/>
          <w:highlight w:val="none"/>
        </w:rPr>
        <w:t>合同文本</w:t>
      </w:r>
      <w:bookmarkEnd w:id="16"/>
    </w:p>
    <w:p w14:paraId="222068EA">
      <w:pPr>
        <w:pStyle w:val="4"/>
        <w:jc w:val="center"/>
        <w:rPr>
          <w:color w:val="auto"/>
          <w:highlight w:val="none"/>
        </w:rPr>
      </w:pPr>
      <w:bookmarkStart w:id="17" w:name="_Toc73383431"/>
      <w:r>
        <w:rPr>
          <w:rFonts w:hint="eastAsia"/>
          <w:color w:val="auto"/>
          <w:highlight w:val="none"/>
        </w:rPr>
        <w:t>(仅供参考具体以甲乙双方签订的合同为准）</w:t>
      </w:r>
      <w:bookmarkEnd w:id="17"/>
    </w:p>
    <w:p w14:paraId="490726BC">
      <w:pPr>
        <w:snapToGrid w:val="0"/>
        <w:ind w:left="-60" w:leftChars="-85" w:hanging="120" w:hangingChars="20"/>
        <w:jc w:val="center"/>
        <w:rPr>
          <w:rFonts w:ascii="黑体" w:eastAsia="黑体"/>
          <w:b/>
          <w:bCs/>
          <w:color w:val="auto"/>
          <w:sz w:val="44"/>
          <w:szCs w:val="44"/>
          <w:highlight w:val="none"/>
        </w:rPr>
      </w:pPr>
      <w:r>
        <w:rPr>
          <w:rFonts w:hint="eastAsia"/>
          <w:b/>
          <w:bCs/>
          <w:color w:val="auto"/>
          <w:spacing w:val="80"/>
          <w:sz w:val="44"/>
          <w:szCs w:val="44"/>
          <w:highlight w:val="none"/>
        </w:rPr>
        <w:t>建设工程施工合同</w:t>
      </w:r>
    </w:p>
    <w:p w14:paraId="77D47EE2">
      <w:pPr>
        <w:snapToGrid w:val="0"/>
        <w:jc w:val="center"/>
        <w:rPr>
          <w:rFonts w:ascii="黑体" w:eastAsia="黑体"/>
          <w:b/>
          <w:bCs/>
          <w:color w:val="auto"/>
          <w:sz w:val="24"/>
          <w:szCs w:val="24"/>
          <w:highlight w:val="none"/>
        </w:rPr>
      </w:pPr>
    </w:p>
    <w:p w14:paraId="28B31DA9">
      <w:pPr>
        <w:snapToGrid w:val="0"/>
        <w:jc w:val="center"/>
        <w:rPr>
          <w:rFonts w:ascii="黑体" w:eastAsia="黑体"/>
          <w:b/>
          <w:bCs/>
          <w:color w:val="auto"/>
          <w:sz w:val="24"/>
          <w:szCs w:val="24"/>
          <w:highlight w:val="none"/>
        </w:rPr>
      </w:pPr>
    </w:p>
    <w:p w14:paraId="7370DD6F">
      <w:pPr>
        <w:snapToGrid w:val="0"/>
        <w:jc w:val="center"/>
        <w:rPr>
          <w:rFonts w:ascii="黑体" w:eastAsia="黑体"/>
          <w:b/>
          <w:bCs/>
          <w:color w:val="auto"/>
          <w:sz w:val="24"/>
          <w:szCs w:val="24"/>
          <w:highlight w:val="none"/>
        </w:rPr>
      </w:pPr>
    </w:p>
    <w:p w14:paraId="36A1A176">
      <w:pPr>
        <w:pStyle w:val="28"/>
        <w:pBdr>
          <w:bottom w:val="none" w:color="auto" w:sz="0" w:space="0"/>
        </w:pBdr>
        <w:rPr>
          <w:rFonts w:ascii="Calibri"/>
          <w:color w:val="auto"/>
          <w:highlight w:val="none"/>
        </w:rPr>
      </w:pPr>
    </w:p>
    <w:p w14:paraId="394F08A1">
      <w:pPr>
        <w:pStyle w:val="28"/>
        <w:pBdr>
          <w:bottom w:val="none" w:color="auto" w:sz="0" w:space="0"/>
        </w:pBdr>
        <w:rPr>
          <w:rFonts w:ascii="Calibri"/>
          <w:color w:val="auto"/>
          <w:highlight w:val="none"/>
        </w:rPr>
      </w:pPr>
    </w:p>
    <w:p w14:paraId="4DD5ACD0">
      <w:pPr>
        <w:pStyle w:val="28"/>
        <w:pBdr>
          <w:bottom w:val="none" w:color="auto" w:sz="0" w:space="0"/>
        </w:pBdr>
        <w:rPr>
          <w:rFonts w:ascii="Calibri"/>
          <w:color w:val="auto"/>
          <w:highlight w:val="none"/>
        </w:rPr>
      </w:pPr>
    </w:p>
    <w:p w14:paraId="1D1F661D">
      <w:pPr>
        <w:pStyle w:val="28"/>
        <w:pBdr>
          <w:bottom w:val="none" w:color="auto" w:sz="0" w:space="0"/>
        </w:pBdr>
        <w:rPr>
          <w:rFonts w:ascii="Calibri"/>
          <w:color w:val="auto"/>
          <w:highlight w:val="none"/>
        </w:rPr>
      </w:pPr>
    </w:p>
    <w:p w14:paraId="5EEB2219">
      <w:pPr>
        <w:pStyle w:val="28"/>
        <w:pBdr>
          <w:bottom w:val="none" w:color="auto" w:sz="0" w:space="0"/>
        </w:pBdr>
        <w:rPr>
          <w:rFonts w:ascii="Calibri"/>
          <w:color w:val="auto"/>
          <w:highlight w:val="none"/>
        </w:rPr>
      </w:pPr>
    </w:p>
    <w:p w14:paraId="795F2CC1">
      <w:pPr>
        <w:pStyle w:val="28"/>
        <w:pBdr>
          <w:bottom w:val="none" w:color="auto" w:sz="0" w:space="0"/>
        </w:pBdr>
        <w:rPr>
          <w:rFonts w:ascii="Calibri"/>
          <w:color w:val="auto"/>
          <w:highlight w:val="none"/>
        </w:rPr>
      </w:pPr>
    </w:p>
    <w:p w14:paraId="52AC32FB">
      <w:pPr>
        <w:pStyle w:val="28"/>
        <w:pBdr>
          <w:bottom w:val="none" w:color="auto" w:sz="0" w:space="0"/>
        </w:pBdr>
        <w:rPr>
          <w:rFonts w:ascii="Calibri"/>
          <w:color w:val="auto"/>
          <w:highlight w:val="none"/>
        </w:rPr>
      </w:pPr>
    </w:p>
    <w:p w14:paraId="17C8388F">
      <w:pPr>
        <w:pStyle w:val="28"/>
        <w:pBdr>
          <w:bottom w:val="none" w:color="auto" w:sz="0" w:space="0"/>
        </w:pBdr>
        <w:rPr>
          <w:rFonts w:ascii="Calibri"/>
          <w:color w:val="auto"/>
          <w:highlight w:val="none"/>
        </w:rPr>
      </w:pPr>
    </w:p>
    <w:p w14:paraId="2FB7E371">
      <w:pPr>
        <w:pStyle w:val="28"/>
        <w:pBdr>
          <w:bottom w:val="none" w:color="auto" w:sz="0" w:space="0"/>
        </w:pBdr>
        <w:rPr>
          <w:rFonts w:ascii="Calibri"/>
          <w:color w:val="auto"/>
          <w:highlight w:val="none"/>
        </w:rPr>
      </w:pPr>
    </w:p>
    <w:p w14:paraId="180248F7">
      <w:pPr>
        <w:pStyle w:val="28"/>
        <w:pBdr>
          <w:bottom w:val="none" w:color="auto" w:sz="0" w:space="0"/>
        </w:pBdr>
        <w:rPr>
          <w:rFonts w:ascii="Calibri"/>
          <w:color w:val="auto"/>
          <w:highlight w:val="none"/>
        </w:rPr>
      </w:pPr>
    </w:p>
    <w:p w14:paraId="647BE073">
      <w:pPr>
        <w:pStyle w:val="28"/>
        <w:pBdr>
          <w:bottom w:val="none" w:color="auto" w:sz="0" w:space="0"/>
        </w:pBdr>
        <w:rPr>
          <w:rFonts w:ascii="Calibri"/>
          <w:color w:val="auto"/>
          <w:highlight w:val="none"/>
        </w:rPr>
      </w:pPr>
    </w:p>
    <w:p w14:paraId="00A9DD1B">
      <w:pPr>
        <w:pStyle w:val="28"/>
        <w:pBdr>
          <w:bottom w:val="none" w:color="auto" w:sz="0" w:space="0"/>
        </w:pBdr>
        <w:rPr>
          <w:rFonts w:ascii="Calibri"/>
          <w:color w:val="auto"/>
          <w:highlight w:val="none"/>
        </w:rPr>
      </w:pPr>
    </w:p>
    <w:p w14:paraId="4187CE5F">
      <w:pPr>
        <w:pStyle w:val="28"/>
        <w:pBdr>
          <w:bottom w:val="none" w:color="auto" w:sz="0" w:space="0"/>
        </w:pBdr>
        <w:rPr>
          <w:rFonts w:ascii="Calibri"/>
          <w:color w:val="auto"/>
          <w:highlight w:val="none"/>
        </w:rPr>
      </w:pPr>
    </w:p>
    <w:p w14:paraId="624F50A1">
      <w:pPr>
        <w:pStyle w:val="28"/>
        <w:pBdr>
          <w:bottom w:val="none" w:color="auto" w:sz="0" w:space="0"/>
        </w:pBdr>
        <w:rPr>
          <w:rFonts w:ascii="Calibri"/>
          <w:color w:val="auto"/>
          <w:highlight w:val="none"/>
        </w:rPr>
      </w:pPr>
    </w:p>
    <w:p w14:paraId="6182AED4">
      <w:pPr>
        <w:pStyle w:val="28"/>
        <w:pBdr>
          <w:bottom w:val="none" w:color="auto" w:sz="0" w:space="0"/>
        </w:pBdr>
        <w:rPr>
          <w:rFonts w:ascii="Calibri"/>
          <w:color w:val="auto"/>
          <w:highlight w:val="none"/>
        </w:rPr>
      </w:pPr>
    </w:p>
    <w:p w14:paraId="4991C59C">
      <w:pPr>
        <w:pStyle w:val="28"/>
        <w:pBdr>
          <w:bottom w:val="none" w:color="auto" w:sz="0" w:space="0"/>
        </w:pBdr>
        <w:rPr>
          <w:rFonts w:ascii="Calibri"/>
          <w:color w:val="auto"/>
          <w:highlight w:val="none"/>
        </w:rPr>
      </w:pPr>
    </w:p>
    <w:p w14:paraId="45240C76">
      <w:pPr>
        <w:pStyle w:val="28"/>
        <w:pBdr>
          <w:bottom w:val="none" w:color="auto" w:sz="0" w:space="0"/>
        </w:pBdr>
        <w:rPr>
          <w:rFonts w:ascii="Calibri"/>
          <w:color w:val="auto"/>
          <w:highlight w:val="none"/>
        </w:rPr>
      </w:pPr>
    </w:p>
    <w:p w14:paraId="5A1190EF">
      <w:pPr>
        <w:pStyle w:val="28"/>
        <w:pBdr>
          <w:bottom w:val="none" w:color="auto" w:sz="0" w:space="0"/>
        </w:pBdr>
        <w:rPr>
          <w:rFonts w:ascii="Calibri"/>
          <w:color w:val="auto"/>
          <w:highlight w:val="none"/>
        </w:rPr>
      </w:pPr>
    </w:p>
    <w:p w14:paraId="229677EA">
      <w:pPr>
        <w:pStyle w:val="28"/>
        <w:pBdr>
          <w:bottom w:val="none" w:color="auto" w:sz="0" w:space="0"/>
        </w:pBdr>
        <w:rPr>
          <w:rFonts w:ascii="Calibri"/>
          <w:color w:val="auto"/>
          <w:highlight w:val="none"/>
        </w:rPr>
      </w:pPr>
    </w:p>
    <w:p w14:paraId="2A1D4C31">
      <w:pPr>
        <w:pStyle w:val="28"/>
        <w:pBdr>
          <w:bottom w:val="none" w:color="auto" w:sz="0" w:space="0"/>
        </w:pBdr>
        <w:rPr>
          <w:rFonts w:ascii="Calibri"/>
          <w:color w:val="auto"/>
          <w:highlight w:val="none"/>
        </w:rPr>
      </w:pPr>
    </w:p>
    <w:p w14:paraId="164E2992">
      <w:pPr>
        <w:pStyle w:val="28"/>
        <w:pBdr>
          <w:bottom w:val="none" w:color="auto" w:sz="0" w:space="0"/>
        </w:pBdr>
        <w:rPr>
          <w:rFonts w:ascii="Calibri"/>
          <w:color w:val="auto"/>
          <w:highlight w:val="none"/>
        </w:rPr>
      </w:pPr>
    </w:p>
    <w:p w14:paraId="7778050C">
      <w:pPr>
        <w:pStyle w:val="28"/>
        <w:pBdr>
          <w:bottom w:val="none" w:color="auto" w:sz="0" w:space="0"/>
        </w:pBdr>
        <w:rPr>
          <w:rFonts w:ascii="Calibri"/>
          <w:color w:val="auto"/>
          <w:highlight w:val="none"/>
        </w:rPr>
      </w:pPr>
    </w:p>
    <w:p w14:paraId="49C894B9">
      <w:pPr>
        <w:pStyle w:val="28"/>
        <w:pBdr>
          <w:bottom w:val="none" w:color="auto" w:sz="0" w:space="0"/>
        </w:pBdr>
        <w:rPr>
          <w:rFonts w:ascii="Calibri"/>
          <w:color w:val="auto"/>
          <w:highlight w:val="none"/>
        </w:rPr>
      </w:pPr>
    </w:p>
    <w:p w14:paraId="60D7F4BE">
      <w:pPr>
        <w:snapToGrid w:val="0"/>
        <w:spacing w:line="360" w:lineRule="auto"/>
        <w:ind w:firstLine="968" w:firstLineChars="400"/>
        <w:rPr>
          <w:rFonts w:ascii="仿宋_GB2312" w:hAnsi="仿宋_GB2312" w:eastAsia="仿宋_GB2312" w:cs="仿宋_GB2312"/>
          <w:b/>
          <w:bCs/>
          <w:color w:val="auto"/>
          <w:sz w:val="24"/>
          <w:szCs w:val="24"/>
          <w:highlight w:val="none"/>
          <w:u w:val="single"/>
        </w:rPr>
      </w:pPr>
      <w:r>
        <w:rPr>
          <w:rFonts w:hint="eastAsia" w:ascii="仿宋_GB2312" w:hAnsi="仿宋_GB2312" w:eastAsia="仿宋_GB2312" w:cs="仿宋_GB2312"/>
          <w:b/>
          <w:bCs/>
          <w:color w:val="auto"/>
          <w:sz w:val="24"/>
          <w:szCs w:val="24"/>
          <w:highlight w:val="none"/>
        </w:rPr>
        <w:t>工程名称：</w:t>
      </w:r>
    </w:p>
    <w:p w14:paraId="52756441">
      <w:pPr>
        <w:snapToGrid w:val="0"/>
        <w:spacing w:line="360" w:lineRule="auto"/>
        <w:ind w:firstLine="484" w:firstLineChars="200"/>
        <w:rPr>
          <w:rFonts w:ascii="仿宋_GB2312" w:hAnsi="仿宋_GB2312" w:eastAsia="仿宋_GB2312" w:cs="仿宋_GB2312"/>
          <w:b/>
          <w:bCs/>
          <w:color w:val="auto"/>
          <w:sz w:val="24"/>
          <w:szCs w:val="24"/>
          <w:highlight w:val="none"/>
          <w:u w:val="single"/>
        </w:rPr>
      </w:pPr>
    </w:p>
    <w:p w14:paraId="729FBB21">
      <w:pPr>
        <w:snapToGrid w:val="0"/>
        <w:spacing w:line="360" w:lineRule="auto"/>
        <w:ind w:firstLine="484" w:firstLineChars="200"/>
        <w:rPr>
          <w:rFonts w:ascii="仿宋_GB2312" w:hAnsi="仿宋_GB2312" w:eastAsia="仿宋_GB2312" w:cs="仿宋_GB2312"/>
          <w:b/>
          <w:bCs/>
          <w:color w:val="auto"/>
          <w:sz w:val="24"/>
          <w:szCs w:val="24"/>
          <w:highlight w:val="none"/>
          <w:u w:val="single"/>
        </w:rPr>
      </w:pPr>
    </w:p>
    <w:p w14:paraId="1C67B937">
      <w:pPr>
        <w:snapToGrid w:val="0"/>
        <w:spacing w:line="360" w:lineRule="auto"/>
        <w:ind w:firstLine="968" w:firstLineChars="400"/>
        <w:rPr>
          <w:rFonts w:ascii="仿宋_GB2312" w:hAnsi="仿宋_GB2312" w:eastAsia="仿宋_GB2312" w:cs="仿宋_GB2312"/>
          <w:b/>
          <w:bCs/>
          <w:color w:val="auto"/>
          <w:sz w:val="24"/>
          <w:szCs w:val="24"/>
          <w:highlight w:val="none"/>
          <w:u w:val="single"/>
        </w:rPr>
      </w:pPr>
      <w:r>
        <w:rPr>
          <w:rFonts w:hint="eastAsia" w:ascii="仿宋_GB2312" w:hAnsi="仿宋_GB2312" w:eastAsia="仿宋_GB2312" w:cs="仿宋_GB2312"/>
          <w:b/>
          <w:bCs/>
          <w:color w:val="auto"/>
          <w:sz w:val="24"/>
          <w:szCs w:val="24"/>
          <w:highlight w:val="none"/>
        </w:rPr>
        <w:t>发包人（全称）：</w:t>
      </w:r>
    </w:p>
    <w:p w14:paraId="6481463B">
      <w:pPr>
        <w:snapToGrid w:val="0"/>
        <w:spacing w:line="360" w:lineRule="auto"/>
        <w:rPr>
          <w:rFonts w:ascii="仿宋_GB2312" w:hAnsi="仿宋_GB2312" w:eastAsia="仿宋_GB2312" w:cs="仿宋_GB2312"/>
          <w:b/>
          <w:bCs/>
          <w:color w:val="auto"/>
          <w:sz w:val="24"/>
          <w:szCs w:val="24"/>
          <w:highlight w:val="none"/>
          <w:u w:val="single"/>
        </w:rPr>
      </w:pPr>
    </w:p>
    <w:p w14:paraId="7FCCE523">
      <w:pPr>
        <w:snapToGrid w:val="0"/>
        <w:spacing w:line="360" w:lineRule="auto"/>
        <w:ind w:firstLine="968" w:firstLineChars="400"/>
        <w:rPr>
          <w:rFonts w:ascii="仿宋_GB2312" w:hAnsi="仿宋_GB2312" w:eastAsia="仿宋_GB2312" w:cs="仿宋_GB2312"/>
          <w:b/>
          <w:bCs/>
          <w:color w:val="auto"/>
          <w:sz w:val="24"/>
          <w:szCs w:val="24"/>
          <w:highlight w:val="none"/>
          <w:u w:val="single"/>
        </w:rPr>
      </w:pPr>
      <w:r>
        <w:rPr>
          <w:rFonts w:hint="eastAsia" w:ascii="仿宋_GB2312" w:hAnsi="仿宋_GB2312" w:eastAsia="仿宋_GB2312" w:cs="仿宋_GB2312"/>
          <w:b/>
          <w:bCs/>
          <w:color w:val="auto"/>
          <w:sz w:val="24"/>
          <w:szCs w:val="24"/>
          <w:highlight w:val="none"/>
        </w:rPr>
        <w:t>承包人（全称）：</w:t>
      </w:r>
    </w:p>
    <w:p w14:paraId="14EE22CB">
      <w:pPr>
        <w:snapToGrid w:val="0"/>
        <w:jc w:val="center"/>
        <w:rPr>
          <w:rFonts w:ascii="仿宋_GB2312" w:hAnsi="仿宋_GB2312" w:eastAsia="仿宋_GB2312" w:cs="仿宋_GB2312"/>
          <w:b/>
          <w:bCs/>
          <w:color w:val="auto"/>
          <w:sz w:val="24"/>
          <w:szCs w:val="24"/>
          <w:highlight w:val="none"/>
          <w:u w:val="single"/>
        </w:rPr>
      </w:pPr>
    </w:p>
    <w:p w14:paraId="360152C1">
      <w:pPr>
        <w:snapToGrid w:val="0"/>
        <w:jc w:val="center"/>
        <w:rPr>
          <w:rFonts w:ascii="仿宋_GB2312" w:hAnsi="仿宋_GB2312" w:eastAsia="仿宋_GB2312" w:cs="仿宋_GB2312"/>
          <w:b/>
          <w:bCs/>
          <w:color w:val="auto"/>
          <w:sz w:val="24"/>
          <w:szCs w:val="24"/>
          <w:highlight w:val="none"/>
          <w:u w:val="single"/>
        </w:rPr>
      </w:pPr>
    </w:p>
    <w:p w14:paraId="196F33AC">
      <w:pPr>
        <w:snapToGrid w:val="0"/>
        <w:spacing w:line="100" w:lineRule="exact"/>
        <w:rPr>
          <w:rFonts w:ascii="黑体" w:eastAsia="黑体"/>
          <w:b/>
          <w:bCs/>
          <w:color w:val="auto"/>
          <w:sz w:val="24"/>
          <w:szCs w:val="24"/>
          <w:highlight w:val="none"/>
        </w:rPr>
      </w:pPr>
    </w:p>
    <w:p w14:paraId="58D78FA9">
      <w:pPr>
        <w:snapToGrid w:val="0"/>
        <w:spacing w:line="240" w:lineRule="atLeast"/>
        <w:ind w:firstLine="2534" w:firstLineChars="700"/>
        <w:rPr>
          <w:b/>
          <w:bCs/>
          <w:color w:val="auto"/>
          <w:spacing w:val="20"/>
          <w:sz w:val="32"/>
          <w:szCs w:val="32"/>
          <w:highlight w:val="none"/>
        </w:rPr>
      </w:pPr>
      <w:r>
        <w:rPr>
          <w:b/>
          <w:bCs/>
          <w:color w:val="auto"/>
          <w:spacing w:val="20"/>
          <w:sz w:val="32"/>
          <w:szCs w:val="32"/>
          <w:highlight w:val="none"/>
        </w:rPr>
        <mc:AlternateContent>
          <mc:Choice Requires="wps">
            <w:drawing>
              <wp:anchor distT="0" distB="0" distL="114300" distR="114300" simplePos="0" relativeHeight="251660288" behindDoc="0" locked="0" layoutInCell="1" allowOverlap="1">
                <wp:simplePos x="0" y="0"/>
                <wp:positionH relativeFrom="column">
                  <wp:posOffset>4219575</wp:posOffset>
                </wp:positionH>
                <wp:positionV relativeFrom="paragraph">
                  <wp:posOffset>196215</wp:posOffset>
                </wp:positionV>
                <wp:extent cx="800100" cy="717550"/>
                <wp:effectExtent l="0" t="0" r="0" b="0"/>
                <wp:wrapNone/>
                <wp:docPr id="4" name="Text Box 2"/>
                <wp:cNvGraphicFramePr/>
                <a:graphic xmlns:a="http://schemas.openxmlformats.org/drawingml/2006/main">
                  <a:graphicData uri="http://schemas.microsoft.com/office/word/2010/wordprocessingShape">
                    <wps:wsp>
                      <wps:cNvSpPr txBox="1">
                        <a:spLocks noChangeArrowheads="1"/>
                      </wps:cNvSpPr>
                      <wps:spPr bwMode="auto">
                        <a:xfrm>
                          <a:off x="0" y="0"/>
                          <a:ext cx="800100" cy="717550"/>
                        </a:xfrm>
                        <a:prstGeom prst="rect">
                          <a:avLst/>
                        </a:prstGeom>
                        <a:solidFill>
                          <a:srgbClr val="FFFFFF"/>
                        </a:solidFill>
                        <a:ln>
                          <a:noFill/>
                        </a:ln>
                      </wps:spPr>
                      <wps:txbx>
                        <w:txbxContent>
                          <w:p w14:paraId="31681721">
                            <w:r>
                              <w:rPr>
                                <w:rFonts w:hint="eastAsia"/>
                                <w:b/>
                                <w:bCs/>
                                <w:sz w:val="36"/>
                              </w:rPr>
                              <w:t>制定</w:t>
                            </w:r>
                          </w:p>
                        </w:txbxContent>
                      </wps:txbx>
                      <wps:bodyPr rot="0" vert="horz" wrap="square" lIns="91439" tIns="45720" rIns="91439" bIns="45720" anchor="t" anchorCtr="0" upright="1">
                        <a:noAutofit/>
                      </wps:bodyPr>
                    </wps:wsp>
                  </a:graphicData>
                </a:graphic>
              </wp:anchor>
            </w:drawing>
          </mc:Choice>
          <mc:Fallback>
            <w:pict>
              <v:shape id="Text Box 2" o:spid="_x0000_s1026" o:spt="202" type="#_x0000_t202" style="position:absolute;left:0pt;margin-left:332.25pt;margin-top:15.45pt;height:56.5pt;width:63pt;z-index:251660288;mso-width-relative:page;mso-height-relative:page;" fillcolor="#FFFFFF" filled="t" stroked="f" coordsize="21600,21600" o:gfxdata="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TzwT9cAAAAKAQAA&#10;DwAAAAAAAAABACAAAAAiAAAAZHJzL2Rvd25yZXYueG1sUEsBAhQAFAAAAAgAh07iQCtToTgaAgAA&#10;PAQAAA4AAAAAAAAAAQAgAAAAJgEAAGRycy9lMm9Eb2MueG1sUEsFBgAAAAAGAAYAWQEAALIFAAAA&#10;AA==&#10;">
                <v:fill on="t" focussize="0,0"/>
                <v:stroke on="f"/>
                <v:imagedata o:title=""/>
                <o:lock v:ext="edit" aspectratio="f"/>
                <v:textbox inset="7.19992125984252pt,1.27mm,7.19992125984252pt,1.27mm">
                  <w:txbxContent>
                    <w:p w14:paraId="31681721">
                      <w:r>
                        <w:rPr>
                          <w:rFonts w:hint="eastAsia"/>
                          <w:b/>
                          <w:bCs/>
                          <w:sz w:val="36"/>
                        </w:rPr>
                        <w:t>制定</w:t>
                      </w:r>
                    </w:p>
                  </w:txbxContent>
                </v:textbox>
              </v:shape>
            </w:pict>
          </mc:Fallback>
        </mc:AlternateContent>
      </w:r>
      <w:r>
        <w:rPr>
          <w:rFonts w:hint="eastAsia"/>
          <w:b/>
          <w:bCs/>
          <w:color w:val="auto"/>
          <w:spacing w:val="20"/>
          <w:sz w:val="32"/>
          <w:szCs w:val="32"/>
          <w:highlight w:val="none"/>
        </w:rPr>
        <w:t>住房和城乡建设部</w:t>
      </w:r>
    </w:p>
    <w:p w14:paraId="4352BC1E">
      <w:pPr>
        <w:snapToGrid w:val="0"/>
        <w:spacing w:line="240" w:lineRule="atLeast"/>
        <w:ind w:firstLine="2090" w:firstLineChars="500"/>
        <w:rPr>
          <w:b/>
          <w:bCs/>
          <w:color w:val="auto"/>
          <w:spacing w:val="48"/>
          <w:sz w:val="32"/>
          <w:szCs w:val="32"/>
          <w:highlight w:val="none"/>
        </w:rPr>
      </w:pPr>
    </w:p>
    <w:p w14:paraId="38CDF525">
      <w:pPr>
        <w:snapToGrid w:val="0"/>
        <w:spacing w:line="240" w:lineRule="atLeast"/>
        <w:ind w:firstLine="2090" w:firstLineChars="500"/>
        <w:rPr>
          <w:b/>
          <w:bCs/>
          <w:color w:val="auto"/>
          <w:spacing w:val="48"/>
          <w:sz w:val="32"/>
          <w:szCs w:val="32"/>
          <w:highlight w:val="none"/>
        </w:rPr>
      </w:pPr>
      <w:r>
        <w:rPr>
          <w:rFonts w:hint="eastAsia"/>
          <w:b/>
          <w:bCs/>
          <w:color w:val="auto"/>
          <w:spacing w:val="48"/>
          <w:sz w:val="32"/>
          <w:szCs w:val="32"/>
          <w:highlight w:val="none"/>
        </w:rPr>
        <w:t>家工商行政管理总局</w:t>
      </w:r>
    </w:p>
    <w:p w14:paraId="28F5A540">
      <w:pPr>
        <w:rPr>
          <w:color w:val="auto"/>
          <w:highlight w:val="none"/>
        </w:rPr>
      </w:pPr>
    </w:p>
    <w:p w14:paraId="29DFD338">
      <w:pPr>
        <w:snapToGrid w:val="0"/>
        <w:spacing w:after="468" w:afterLines="150" w:line="500" w:lineRule="exact"/>
        <w:rPr>
          <w:rFonts w:ascii="黑体" w:eastAsia="黑体"/>
          <w:b/>
          <w:color w:val="auto"/>
          <w:spacing w:val="20"/>
          <w:sz w:val="32"/>
          <w:szCs w:val="32"/>
          <w:highlight w:val="none"/>
        </w:rPr>
      </w:pPr>
    </w:p>
    <w:p w14:paraId="2EA5C5B8">
      <w:pPr>
        <w:snapToGrid w:val="0"/>
        <w:spacing w:after="468" w:afterLines="150" w:line="500" w:lineRule="exact"/>
        <w:jc w:val="center"/>
        <w:rPr>
          <w:rFonts w:eastAsia="黑体"/>
          <w:b/>
          <w:color w:val="auto"/>
          <w:sz w:val="32"/>
          <w:szCs w:val="32"/>
          <w:highlight w:val="none"/>
        </w:rPr>
      </w:pPr>
      <w:r>
        <w:rPr>
          <w:rFonts w:hint="eastAsia" w:ascii="黑体" w:eastAsia="黑体"/>
          <w:b/>
          <w:color w:val="auto"/>
          <w:spacing w:val="20"/>
          <w:sz w:val="32"/>
          <w:szCs w:val="32"/>
          <w:highlight w:val="none"/>
        </w:rPr>
        <w:t xml:space="preserve">第一部分 </w:t>
      </w:r>
      <w:r>
        <w:rPr>
          <w:rFonts w:hint="eastAsia" w:eastAsia="黑体"/>
          <w:b/>
          <w:color w:val="auto"/>
          <w:sz w:val="32"/>
          <w:szCs w:val="32"/>
          <w:highlight w:val="none"/>
        </w:rPr>
        <w:t>协议书</w:t>
      </w:r>
    </w:p>
    <w:p w14:paraId="35AED979">
      <w:pPr>
        <w:snapToGrid w:val="0"/>
        <w:spacing w:line="360" w:lineRule="auto"/>
        <w:rPr>
          <w:rFonts w:hAnsi="宋体" w:cs="宋体"/>
          <w:color w:val="auto"/>
          <w:sz w:val="24"/>
          <w:szCs w:val="24"/>
          <w:highlight w:val="none"/>
          <w:u w:val="single"/>
        </w:rPr>
      </w:pPr>
      <w:r>
        <w:rPr>
          <w:rFonts w:hint="eastAsia" w:hAnsi="宋体" w:cs="宋体"/>
          <w:b/>
          <w:bCs/>
          <w:color w:val="auto"/>
          <w:sz w:val="24"/>
          <w:szCs w:val="24"/>
          <w:highlight w:val="none"/>
        </w:rPr>
        <w:t>发包人（全称）：</w:t>
      </w:r>
    </w:p>
    <w:p w14:paraId="04D8639E">
      <w:pPr>
        <w:snapToGrid w:val="0"/>
        <w:spacing w:line="360" w:lineRule="auto"/>
        <w:rPr>
          <w:rFonts w:hAnsi="宋体" w:cs="宋体"/>
          <w:b/>
          <w:bCs/>
          <w:color w:val="auto"/>
          <w:sz w:val="24"/>
          <w:szCs w:val="24"/>
          <w:highlight w:val="none"/>
          <w:u w:val="single"/>
        </w:rPr>
      </w:pPr>
      <w:r>
        <w:rPr>
          <w:rFonts w:hint="eastAsia" w:hAnsi="宋体" w:cs="宋体"/>
          <w:b/>
          <w:bCs/>
          <w:color w:val="auto"/>
          <w:sz w:val="24"/>
          <w:szCs w:val="24"/>
          <w:highlight w:val="none"/>
        </w:rPr>
        <w:t>承包人（全称）：</w:t>
      </w:r>
    </w:p>
    <w:p w14:paraId="3F578315">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根据《中华人民共和国民法典》、《中华人民共和国建筑法》及有关法律规定，遵循平等、自愿、公平和诚实信用的原则，双方就施工及有关事项协商一致，共同达成如下协议：</w:t>
      </w:r>
    </w:p>
    <w:p w14:paraId="4291AB8B">
      <w:pPr>
        <w:snapToGrid w:val="0"/>
        <w:spacing w:line="360" w:lineRule="auto"/>
        <w:rPr>
          <w:rFonts w:hAnsi="宋体" w:cs="宋体"/>
          <w:b/>
          <w:color w:val="auto"/>
          <w:sz w:val="24"/>
          <w:szCs w:val="24"/>
          <w:highlight w:val="none"/>
        </w:rPr>
      </w:pPr>
      <w:r>
        <w:rPr>
          <w:rFonts w:hint="eastAsia" w:hAnsi="宋体" w:cs="宋体"/>
          <w:bCs/>
          <w:color w:val="auto"/>
          <w:sz w:val="24"/>
          <w:szCs w:val="24"/>
          <w:highlight w:val="none"/>
        </w:rPr>
        <w:t>一、工程概况</w:t>
      </w:r>
    </w:p>
    <w:p w14:paraId="203A8AB1">
      <w:pPr>
        <w:pStyle w:val="19"/>
        <w:numPr>
          <w:ilvl w:val="0"/>
          <w:numId w:val="4"/>
        </w:numPr>
        <w:snapToGrid w:val="0"/>
        <w:spacing w:line="360" w:lineRule="auto"/>
        <w:ind w:left="0" w:firstLine="577"/>
        <w:rPr>
          <w:rFonts w:ascii="宋体" w:hAnsi="宋体" w:cs="宋体"/>
          <w:bCs/>
          <w:color w:val="auto"/>
          <w:highlight w:val="none"/>
        </w:rPr>
      </w:pPr>
      <w:r>
        <w:rPr>
          <w:rFonts w:hint="eastAsia" w:ascii="宋体" w:hAnsi="宋体" w:cs="宋体"/>
          <w:color w:val="auto"/>
          <w:highlight w:val="none"/>
        </w:rPr>
        <w:t>工程名称：</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rPr>
        <w:t>。</w:t>
      </w:r>
    </w:p>
    <w:p w14:paraId="42AD505E">
      <w:pPr>
        <w:pStyle w:val="19"/>
        <w:snapToGrid w:val="0"/>
        <w:spacing w:line="360" w:lineRule="auto"/>
        <w:ind w:left="577"/>
        <w:rPr>
          <w:rFonts w:ascii="宋体" w:hAnsi="宋体" w:cs="宋体"/>
          <w:bCs/>
          <w:color w:val="auto"/>
          <w:highlight w:val="none"/>
        </w:rPr>
      </w:pPr>
      <w:r>
        <w:rPr>
          <w:rFonts w:hint="eastAsia" w:ascii="宋体" w:hAnsi="宋体" w:cs="宋体"/>
          <w:color w:val="auto"/>
          <w:highlight w:val="none"/>
        </w:rPr>
        <w:t>2.工程地点：</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bCs/>
          <w:color w:val="auto"/>
          <w:highlight w:val="none"/>
        </w:rPr>
        <w:t>。</w:t>
      </w:r>
    </w:p>
    <w:p w14:paraId="546FA125">
      <w:pPr>
        <w:pStyle w:val="19"/>
        <w:snapToGrid w:val="0"/>
        <w:spacing w:line="360" w:lineRule="auto"/>
        <w:ind w:left="577"/>
        <w:rPr>
          <w:rFonts w:ascii="宋体" w:hAnsi="宋体" w:cs="宋体"/>
          <w:bCs/>
          <w:color w:val="auto"/>
          <w:highlight w:val="none"/>
        </w:rPr>
      </w:pPr>
      <w:r>
        <w:rPr>
          <w:rFonts w:hint="eastAsia" w:hAnsi="宋体" w:cs="宋体"/>
          <w:color w:val="auto"/>
          <w:highlight w:val="none"/>
        </w:rPr>
        <w:t>3.建设规模及内容：。</w:t>
      </w:r>
    </w:p>
    <w:p w14:paraId="436EB4AA">
      <w:pPr>
        <w:snapToGrid w:val="0"/>
        <w:spacing w:line="360" w:lineRule="auto"/>
        <w:rPr>
          <w:rFonts w:hAnsi="宋体" w:cs="宋体"/>
          <w:bCs/>
          <w:color w:val="auto"/>
          <w:sz w:val="24"/>
          <w:szCs w:val="24"/>
          <w:highlight w:val="none"/>
          <w:u w:val="single"/>
        </w:rPr>
      </w:pPr>
      <w:r>
        <w:rPr>
          <w:rFonts w:hint="eastAsia" w:hAnsi="宋体" w:cs="宋体"/>
          <w:bCs/>
          <w:color w:val="auto"/>
          <w:sz w:val="24"/>
          <w:szCs w:val="24"/>
          <w:highlight w:val="none"/>
        </w:rPr>
        <w:t>二、工程承包范围</w:t>
      </w:r>
    </w:p>
    <w:p w14:paraId="4E672649">
      <w:pPr>
        <w:snapToGrid w:val="0"/>
        <w:spacing w:line="360" w:lineRule="auto"/>
        <w:ind w:firstLine="484" w:firstLineChars="200"/>
        <w:rPr>
          <w:rFonts w:hAnsi="宋体" w:cs="宋体"/>
          <w:color w:val="auto"/>
          <w:sz w:val="24"/>
          <w:szCs w:val="24"/>
          <w:highlight w:val="none"/>
          <w:u w:val="single"/>
        </w:rPr>
      </w:pPr>
      <w:r>
        <w:rPr>
          <w:rFonts w:hint="eastAsia" w:hAnsi="宋体" w:cs="宋体"/>
          <w:color w:val="auto"/>
          <w:sz w:val="24"/>
          <w:szCs w:val="24"/>
          <w:highlight w:val="none"/>
        </w:rPr>
        <w:t>主要内容：</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hAnsi="宋体" w:cs="宋体"/>
          <w:b/>
          <w:color w:val="auto"/>
          <w:sz w:val="24"/>
          <w:szCs w:val="24"/>
          <w:highlight w:val="none"/>
        </w:rPr>
        <w:t>。</w:t>
      </w:r>
    </w:p>
    <w:p w14:paraId="51BCC8AE">
      <w:pPr>
        <w:snapToGrid w:val="0"/>
        <w:spacing w:line="360" w:lineRule="auto"/>
        <w:rPr>
          <w:rFonts w:hAnsi="宋体" w:cs="宋体"/>
          <w:color w:val="auto"/>
          <w:sz w:val="24"/>
          <w:szCs w:val="24"/>
          <w:highlight w:val="none"/>
        </w:rPr>
      </w:pPr>
      <w:r>
        <w:rPr>
          <w:rFonts w:hint="eastAsia" w:hAnsi="宋体" w:cs="宋体"/>
          <w:bCs/>
          <w:color w:val="auto"/>
          <w:sz w:val="24"/>
          <w:szCs w:val="24"/>
          <w:highlight w:val="none"/>
        </w:rPr>
        <w:t>三、合同工期</w:t>
      </w:r>
    </w:p>
    <w:p w14:paraId="637233C3">
      <w:pPr>
        <w:snapToGrid w:val="0"/>
        <w:spacing w:line="360" w:lineRule="auto"/>
        <w:ind w:firstLine="459"/>
        <w:rPr>
          <w:rFonts w:hAnsi="宋体" w:cs="宋体"/>
          <w:b/>
          <w:color w:val="auto"/>
          <w:sz w:val="24"/>
          <w:szCs w:val="24"/>
          <w:highlight w:val="none"/>
        </w:rPr>
      </w:pPr>
      <w:r>
        <w:rPr>
          <w:rFonts w:hint="eastAsia" w:hAnsi="宋体" w:cs="宋体"/>
          <w:color w:val="auto"/>
          <w:sz w:val="24"/>
          <w:szCs w:val="24"/>
          <w:highlight w:val="none"/>
        </w:rPr>
        <w:t>合同工期</w:t>
      </w:r>
      <w:r>
        <w:rPr>
          <w:rFonts w:hint="eastAsia" w:hAnsi="宋体" w:cs="宋体"/>
          <w:color w:val="auto"/>
          <w:sz w:val="24"/>
          <w:szCs w:val="24"/>
          <w:highlight w:val="none"/>
          <w:u w:val="single"/>
        </w:rPr>
        <w:t xml:space="preserve"> </w:t>
      </w:r>
      <w:r>
        <w:rPr>
          <w:rFonts w:hAnsi="宋体" w:cs="宋体"/>
          <w:color w:val="auto"/>
          <w:sz w:val="24"/>
          <w:szCs w:val="24"/>
          <w:highlight w:val="none"/>
          <w:u w:val="single"/>
        </w:rPr>
        <w:t xml:space="preserve">    </w:t>
      </w:r>
      <w:r>
        <w:rPr>
          <w:rFonts w:hint="eastAsia" w:hAnsi="宋体" w:cs="宋体"/>
          <w:color w:val="auto"/>
          <w:sz w:val="24"/>
          <w:szCs w:val="24"/>
          <w:highlight w:val="none"/>
        </w:rPr>
        <w:t>日历天数天</w:t>
      </w:r>
      <w:r>
        <w:rPr>
          <w:rFonts w:hint="eastAsia" w:hAnsi="宋体" w:cs="宋体"/>
          <w:b/>
          <w:color w:val="auto"/>
          <w:sz w:val="24"/>
          <w:szCs w:val="24"/>
          <w:highlight w:val="none"/>
        </w:rPr>
        <w:t>。</w:t>
      </w:r>
      <w:r>
        <w:rPr>
          <w:rFonts w:hint="eastAsia" w:hAnsi="宋体" w:cs="宋体"/>
          <w:color w:val="auto"/>
          <w:sz w:val="24"/>
          <w:szCs w:val="24"/>
          <w:highlight w:val="none"/>
        </w:rPr>
        <w:t>工期总日历天数与根据前述计划开竣工日期计算的工期天数不一致的，以工期总日历天数为准。</w:t>
      </w:r>
    </w:p>
    <w:p w14:paraId="03299E10">
      <w:pPr>
        <w:snapToGrid w:val="0"/>
        <w:spacing w:line="360" w:lineRule="auto"/>
        <w:rPr>
          <w:rFonts w:hAnsi="宋体" w:cs="宋体"/>
          <w:color w:val="auto"/>
          <w:sz w:val="24"/>
          <w:szCs w:val="24"/>
          <w:highlight w:val="none"/>
        </w:rPr>
      </w:pPr>
      <w:r>
        <w:rPr>
          <w:rFonts w:hint="eastAsia" w:hAnsi="宋体" w:cs="宋体"/>
          <w:bCs/>
          <w:color w:val="auto"/>
          <w:sz w:val="24"/>
          <w:szCs w:val="24"/>
          <w:highlight w:val="none"/>
        </w:rPr>
        <w:t>四、质量标准</w:t>
      </w:r>
    </w:p>
    <w:p w14:paraId="0D9C7E8C">
      <w:pPr>
        <w:snapToGrid w:val="0"/>
        <w:spacing w:line="360" w:lineRule="auto"/>
        <w:rPr>
          <w:rFonts w:hAnsi="宋体" w:cs="宋体"/>
          <w:color w:val="auto"/>
          <w:sz w:val="24"/>
          <w:szCs w:val="24"/>
          <w:highlight w:val="none"/>
        </w:rPr>
      </w:pPr>
      <w:r>
        <w:rPr>
          <w:rFonts w:hint="eastAsia" w:hAnsi="宋体" w:cs="宋体"/>
          <w:color w:val="auto"/>
          <w:sz w:val="24"/>
          <w:szCs w:val="24"/>
          <w:highlight w:val="none"/>
        </w:rPr>
        <w:t>工程质量标准：符合国家现行有关施工质量验收规范标准。</w:t>
      </w:r>
    </w:p>
    <w:p w14:paraId="6D987435">
      <w:pPr>
        <w:snapToGrid w:val="0"/>
        <w:spacing w:line="360" w:lineRule="auto"/>
        <w:rPr>
          <w:rFonts w:hAnsi="宋体" w:cs="宋体"/>
          <w:bCs/>
          <w:color w:val="auto"/>
          <w:sz w:val="24"/>
          <w:szCs w:val="24"/>
          <w:highlight w:val="none"/>
        </w:rPr>
      </w:pPr>
      <w:r>
        <w:rPr>
          <w:rFonts w:hint="eastAsia" w:hAnsi="宋体" w:cs="宋体"/>
          <w:bCs/>
          <w:color w:val="auto"/>
          <w:sz w:val="24"/>
          <w:szCs w:val="24"/>
          <w:highlight w:val="none"/>
        </w:rPr>
        <w:t>五、合同价款</w:t>
      </w:r>
    </w:p>
    <w:p w14:paraId="5FCB4EF5">
      <w:pPr>
        <w:snapToGrid w:val="0"/>
        <w:spacing w:line="360" w:lineRule="auto"/>
        <w:rPr>
          <w:rFonts w:hAnsi="宋体" w:cs="宋体"/>
          <w:color w:val="auto"/>
          <w:sz w:val="24"/>
          <w:szCs w:val="24"/>
          <w:highlight w:val="none"/>
        </w:rPr>
      </w:pPr>
      <w:r>
        <w:rPr>
          <w:rFonts w:hint="eastAsia" w:hAnsi="宋体" w:cs="宋体"/>
          <w:color w:val="auto"/>
          <w:sz w:val="24"/>
          <w:szCs w:val="24"/>
          <w:highlight w:val="none"/>
        </w:rPr>
        <w:t>1、签约合同价为：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hAnsi="宋体" w:cs="宋体"/>
          <w:color w:val="auto"/>
          <w:sz w:val="24"/>
          <w:szCs w:val="24"/>
          <w:highlight w:val="none"/>
        </w:rPr>
        <w:t>。</w:t>
      </w:r>
    </w:p>
    <w:p w14:paraId="3A584AE5">
      <w:pPr>
        <w:snapToGrid w:val="0"/>
        <w:spacing w:line="360" w:lineRule="auto"/>
        <w:rPr>
          <w:rFonts w:hAnsi="宋体" w:cs="宋体"/>
          <w:color w:val="auto"/>
          <w:sz w:val="24"/>
          <w:szCs w:val="24"/>
          <w:highlight w:val="none"/>
          <w:u w:val="single"/>
        </w:rPr>
      </w:pPr>
      <w:r>
        <w:rPr>
          <w:rFonts w:hint="eastAsia" w:hAnsi="宋体" w:cs="宋体"/>
          <w:color w:val="auto"/>
          <w:sz w:val="24"/>
          <w:szCs w:val="24"/>
          <w:highlight w:val="none"/>
        </w:rPr>
        <w:t>2．结算价款的依据：</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hAnsi="宋体" w:cs="宋体"/>
          <w:color w:val="auto"/>
          <w:sz w:val="24"/>
          <w:szCs w:val="24"/>
          <w:highlight w:val="none"/>
          <w:u w:val="single"/>
        </w:rPr>
        <w:t>。</w:t>
      </w:r>
    </w:p>
    <w:p w14:paraId="59F56C59">
      <w:pPr>
        <w:snapToGrid w:val="0"/>
        <w:spacing w:line="360" w:lineRule="auto"/>
        <w:rPr>
          <w:rFonts w:hAnsi="宋体" w:cs="宋体"/>
          <w:color w:val="auto"/>
          <w:sz w:val="24"/>
          <w:szCs w:val="24"/>
          <w:highlight w:val="none"/>
        </w:rPr>
      </w:pPr>
      <w:r>
        <w:rPr>
          <w:rFonts w:hint="eastAsia" w:hAnsi="宋体" w:cs="宋体"/>
          <w:color w:val="auto"/>
          <w:sz w:val="24"/>
          <w:szCs w:val="24"/>
          <w:highlight w:val="none"/>
        </w:rPr>
        <w:t>3、工程预付款</w:t>
      </w:r>
    </w:p>
    <w:p w14:paraId="42E9631D">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双方约定：本合同工程预付款为：进场后预付0启动资金。</w:t>
      </w:r>
    </w:p>
    <w:p w14:paraId="56926057">
      <w:pPr>
        <w:snapToGrid w:val="0"/>
        <w:spacing w:line="360" w:lineRule="auto"/>
        <w:rPr>
          <w:rFonts w:hAnsi="宋体" w:cs="宋体"/>
          <w:color w:val="auto"/>
          <w:sz w:val="24"/>
          <w:szCs w:val="24"/>
          <w:highlight w:val="none"/>
        </w:rPr>
      </w:pPr>
      <w:r>
        <w:rPr>
          <w:rFonts w:hint="eastAsia" w:hAnsi="宋体" w:cs="宋体"/>
          <w:color w:val="auto"/>
          <w:sz w:val="24"/>
          <w:szCs w:val="24"/>
          <w:highlight w:val="none"/>
        </w:rPr>
        <w:t>4、工程款（进度款）支付：</w:t>
      </w:r>
    </w:p>
    <w:p w14:paraId="1DCD3042">
      <w:pPr>
        <w:snapToGrid w:val="0"/>
        <w:spacing w:line="360" w:lineRule="auto"/>
        <w:rPr>
          <w:rFonts w:hAnsi="宋体" w:cs="宋体"/>
          <w:color w:val="auto"/>
          <w:sz w:val="24"/>
          <w:szCs w:val="24"/>
          <w:highlight w:val="none"/>
        </w:rPr>
      </w:pPr>
      <w:r>
        <w:rPr>
          <w:rFonts w:hint="eastAsia" w:hAnsi="宋体" w:cs="宋体"/>
          <w:color w:val="auto"/>
          <w:sz w:val="24"/>
          <w:szCs w:val="24"/>
          <w:highlight w:val="none"/>
        </w:rPr>
        <w:t>5、工程款（结算款）支付：</w:t>
      </w:r>
    </w:p>
    <w:p w14:paraId="0ED93FCA">
      <w:pPr>
        <w:snapToGrid w:val="0"/>
        <w:spacing w:line="360" w:lineRule="auto"/>
        <w:ind w:firstLine="484" w:firstLineChars="200"/>
        <w:rPr>
          <w:rFonts w:hAnsi="宋体" w:cs="宋体"/>
          <w:bCs/>
          <w:color w:val="auto"/>
          <w:sz w:val="24"/>
          <w:szCs w:val="24"/>
          <w:highlight w:val="none"/>
        </w:rPr>
      </w:pPr>
      <w:r>
        <w:rPr>
          <w:rFonts w:hint="eastAsia" w:hAnsi="宋体" w:cs="宋体"/>
          <w:bCs/>
          <w:color w:val="auto"/>
          <w:sz w:val="24"/>
          <w:szCs w:val="24"/>
          <w:highlight w:val="none"/>
        </w:rPr>
        <w:t>本协议书与下列文件一起构成合同文件：</w:t>
      </w:r>
    </w:p>
    <w:p w14:paraId="607C3512">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（1）本合同协议书√</w:t>
      </w:r>
    </w:p>
    <w:p w14:paraId="00B010F8">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（2）本合同专用条款√</w:t>
      </w:r>
    </w:p>
    <w:p w14:paraId="10CCAD2A">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（3）本合同通用条款√</w:t>
      </w:r>
    </w:p>
    <w:p w14:paraId="5915360D">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（4）标准、规范及有关技术文件√</w:t>
      </w:r>
    </w:p>
    <w:p w14:paraId="25526945">
      <w:pPr>
        <w:snapToGrid w:val="0"/>
        <w:spacing w:line="360" w:lineRule="auto"/>
        <w:rPr>
          <w:rFonts w:hAnsi="宋体" w:cs="宋体"/>
          <w:b/>
          <w:color w:val="auto"/>
          <w:sz w:val="24"/>
          <w:szCs w:val="24"/>
          <w:highlight w:val="none"/>
        </w:rPr>
      </w:pPr>
      <w:r>
        <w:rPr>
          <w:rFonts w:hint="eastAsia" w:hAnsi="宋体" w:cs="宋体"/>
          <w:bCs/>
          <w:color w:val="auto"/>
          <w:sz w:val="24"/>
          <w:szCs w:val="24"/>
          <w:highlight w:val="none"/>
        </w:rPr>
        <w:t>六、词语含义</w:t>
      </w:r>
    </w:p>
    <w:p w14:paraId="2D13B8AE">
      <w:pPr>
        <w:snapToGrid w:val="0"/>
        <w:spacing w:line="360" w:lineRule="auto"/>
        <w:ind w:firstLine="484" w:firstLineChars="200"/>
        <w:rPr>
          <w:rFonts w:hAnsi="宋体" w:cs="宋体"/>
          <w:bCs/>
          <w:color w:val="auto"/>
          <w:sz w:val="24"/>
          <w:szCs w:val="24"/>
          <w:highlight w:val="none"/>
        </w:rPr>
      </w:pPr>
      <w:r>
        <w:rPr>
          <w:rFonts w:hint="eastAsia" w:hAnsi="宋体" w:cs="宋体"/>
          <w:color w:val="auto"/>
          <w:sz w:val="24"/>
          <w:szCs w:val="24"/>
          <w:highlight w:val="none"/>
        </w:rPr>
        <w:t>本协议书中词语含义与第二部分通用合同条款中赋予的含义相同。</w:t>
      </w:r>
    </w:p>
    <w:p w14:paraId="18BC655F">
      <w:pPr>
        <w:snapToGrid w:val="0"/>
        <w:spacing w:line="360" w:lineRule="auto"/>
        <w:rPr>
          <w:rFonts w:hAnsi="宋体" w:cs="宋体"/>
          <w:bCs/>
          <w:color w:val="auto"/>
          <w:sz w:val="24"/>
          <w:szCs w:val="24"/>
          <w:highlight w:val="none"/>
        </w:rPr>
      </w:pPr>
      <w:r>
        <w:rPr>
          <w:rFonts w:hint="eastAsia" w:hAnsi="宋体" w:cs="宋体"/>
          <w:bCs/>
          <w:color w:val="auto"/>
          <w:sz w:val="24"/>
          <w:szCs w:val="24"/>
          <w:highlight w:val="none"/>
        </w:rPr>
        <w:t>七、承诺</w:t>
      </w:r>
    </w:p>
    <w:p w14:paraId="767BF102">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1.发包人承诺按照法律规定履行项目审批手续、筹集工程建设资金并按照合同约定的期限和方式支付合同价款。</w:t>
      </w:r>
    </w:p>
    <w:p w14:paraId="61C8D73C">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2.承包人承诺按照法律规定及合同约定组织完成工程施工，确保工程质量和安全，不进行转包及违法分包。</w:t>
      </w:r>
    </w:p>
    <w:p w14:paraId="11D961BB">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3.发包人和承包人通过招投标形式签订合同的，双方理解并承诺不再就同一工程另行签订与合同实质性内容相背离的协议。</w:t>
      </w:r>
      <w:bookmarkStart w:id="18" w:name="_Toc351203491"/>
    </w:p>
    <w:p w14:paraId="1A3AAE92">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4承包人不可购买不合格的成品或半成品，如承包人购买的半成品木料或钢材等，几何尺寸不符合设计要求，发包人有权指定购买点或生产厂家，如果市场上的半成品木料等几何尺寸均偏小，而且均按理论尺寸卖，结算时应按理论尺寸计算。</w:t>
      </w:r>
    </w:p>
    <w:p w14:paraId="04401708">
      <w:pPr>
        <w:snapToGrid w:val="0"/>
        <w:spacing w:line="360" w:lineRule="auto"/>
        <w:rPr>
          <w:rFonts w:hAnsi="宋体" w:cs="宋体"/>
          <w:bCs/>
          <w:color w:val="auto"/>
          <w:sz w:val="24"/>
          <w:szCs w:val="24"/>
          <w:highlight w:val="none"/>
        </w:rPr>
      </w:pPr>
      <w:r>
        <w:rPr>
          <w:rFonts w:hint="eastAsia" w:hAnsi="宋体" w:cs="宋体"/>
          <w:bCs/>
          <w:color w:val="auto"/>
          <w:sz w:val="24"/>
          <w:szCs w:val="24"/>
          <w:highlight w:val="none"/>
        </w:rPr>
        <w:t>八、补充协议</w:t>
      </w:r>
      <w:bookmarkEnd w:id="18"/>
    </w:p>
    <w:p w14:paraId="0A269461">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合同未尽事宜，合同当事人另行签订补充协议，补充协议是合同的组成部分。</w:t>
      </w:r>
    </w:p>
    <w:p w14:paraId="563F6F28">
      <w:pPr>
        <w:snapToGrid w:val="0"/>
        <w:spacing w:line="360" w:lineRule="auto"/>
        <w:rPr>
          <w:rFonts w:hAnsi="宋体" w:cs="宋体"/>
          <w:bCs/>
          <w:color w:val="auto"/>
          <w:sz w:val="24"/>
          <w:szCs w:val="24"/>
          <w:highlight w:val="none"/>
        </w:rPr>
      </w:pPr>
      <w:r>
        <w:rPr>
          <w:rFonts w:hint="eastAsia" w:hAnsi="宋体" w:cs="宋体"/>
          <w:bCs/>
          <w:color w:val="auto"/>
          <w:sz w:val="24"/>
          <w:szCs w:val="24"/>
          <w:highlight w:val="none"/>
        </w:rPr>
        <w:t>九、合同生效及其他</w:t>
      </w:r>
    </w:p>
    <w:p w14:paraId="6CEF8423">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合同订立时间：年月日</w:t>
      </w:r>
    </w:p>
    <w:p w14:paraId="096538E2">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合同订立地点：       。</w:t>
      </w:r>
    </w:p>
    <w:p w14:paraId="05B71C29">
      <w:pPr>
        <w:snapToGrid w:val="0"/>
        <w:spacing w:line="360" w:lineRule="auto"/>
        <w:ind w:firstLine="484" w:firstLineChars="200"/>
        <w:rPr>
          <w:rFonts w:hAnsi="宋体" w:cs="宋体"/>
          <w:color w:val="auto"/>
          <w:sz w:val="24"/>
          <w:szCs w:val="24"/>
          <w:highlight w:val="none"/>
        </w:rPr>
      </w:pPr>
      <w:r>
        <w:rPr>
          <w:rFonts w:hint="eastAsia" w:hAnsi="宋体" w:cs="宋体"/>
          <w:color w:val="auto"/>
          <w:sz w:val="24"/>
          <w:szCs w:val="24"/>
          <w:highlight w:val="none"/>
        </w:rPr>
        <w:t>本合同双方约定：双方签字、盖章后生效，本协议一式份，甲方份，乙方份，均具有同等法律效力。</w:t>
      </w:r>
    </w:p>
    <w:p w14:paraId="5469EE06">
      <w:pPr>
        <w:snapToGrid w:val="0"/>
        <w:spacing w:line="520" w:lineRule="exact"/>
        <w:ind w:firstLine="484" w:firstLineChars="200"/>
        <w:rPr>
          <w:rFonts w:hAnsi="宋体" w:cs="宋体"/>
          <w:color w:val="auto"/>
          <w:sz w:val="24"/>
          <w:szCs w:val="24"/>
          <w:highlight w:val="none"/>
        </w:rPr>
      </w:pPr>
      <w:r>
        <w:rPr>
          <w:rFonts w:hint="eastAsia" w:hAnsi="宋体" w:cs="宋体"/>
          <w:color w:val="auto"/>
          <w:sz w:val="24"/>
          <w:szCs w:val="24"/>
          <w:highlight w:val="none"/>
        </w:rPr>
        <w:t>发包人：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hAnsi="宋体" w:cs="宋体"/>
          <w:color w:val="auto"/>
          <w:sz w:val="24"/>
          <w:szCs w:val="24"/>
          <w:highlight w:val="none"/>
        </w:rPr>
        <w:t>（公章）承包人：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hAnsi="宋体" w:cs="宋体"/>
          <w:color w:val="auto"/>
          <w:sz w:val="24"/>
          <w:szCs w:val="24"/>
          <w:highlight w:val="none"/>
        </w:rPr>
        <w:t>（公章）</w:t>
      </w:r>
    </w:p>
    <w:p w14:paraId="4E73E623">
      <w:pPr>
        <w:snapToGrid w:val="0"/>
        <w:spacing w:line="520" w:lineRule="exact"/>
        <w:ind w:firstLine="484" w:firstLineChars="200"/>
        <w:rPr>
          <w:rFonts w:hAnsi="宋体" w:cs="宋体"/>
          <w:color w:val="auto"/>
          <w:sz w:val="24"/>
          <w:szCs w:val="24"/>
          <w:highlight w:val="none"/>
        </w:rPr>
      </w:pPr>
      <w:r>
        <w:rPr>
          <w:rFonts w:hint="eastAsia" w:hAnsi="宋体" w:cs="宋体"/>
          <w:color w:val="auto"/>
          <w:sz w:val="24"/>
          <w:szCs w:val="24"/>
          <w:highlight w:val="none"/>
        </w:rPr>
        <w:t>法定代表人：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（签字或盖章）</w:t>
      </w:r>
      <w:r>
        <w:rPr>
          <w:rFonts w:ascii="宋体" w:hAnsi="宋体" w:cs="宋体"/>
          <w:color w:val="auto"/>
          <w:highlight w:val="none"/>
          <w:u w:val="single"/>
        </w:rPr>
        <w:t xml:space="preserve"> </w:t>
      </w:r>
      <w:r>
        <w:rPr>
          <w:rFonts w:hint="eastAsia" w:hAnsi="宋体" w:cs="宋体"/>
          <w:color w:val="auto"/>
          <w:sz w:val="24"/>
          <w:szCs w:val="24"/>
          <w:highlight w:val="none"/>
        </w:rPr>
        <w:t>法定代表人：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（签字或盖章）</w:t>
      </w:r>
    </w:p>
    <w:p w14:paraId="1E59E58F">
      <w:pPr>
        <w:snapToGrid w:val="0"/>
        <w:spacing w:line="520" w:lineRule="exact"/>
        <w:ind w:firstLine="484" w:firstLineChars="200"/>
        <w:rPr>
          <w:rFonts w:hAnsi="宋体" w:cs="宋体"/>
          <w:color w:val="auto"/>
          <w:sz w:val="24"/>
          <w:szCs w:val="24"/>
          <w:highlight w:val="none"/>
        </w:rPr>
      </w:pPr>
      <w:r>
        <w:rPr>
          <w:rFonts w:hint="eastAsia" w:hAnsi="宋体" w:cs="宋体"/>
          <w:color w:val="auto"/>
          <w:sz w:val="24"/>
          <w:szCs w:val="24"/>
          <w:highlight w:val="none"/>
        </w:rPr>
        <w:t>（或）委托代理人：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（签字或盖章）</w:t>
      </w:r>
      <w:r>
        <w:rPr>
          <w:rFonts w:hint="eastAsia" w:hAnsi="宋体" w:cs="宋体"/>
          <w:color w:val="auto"/>
          <w:sz w:val="24"/>
          <w:szCs w:val="24"/>
          <w:highlight w:val="none"/>
        </w:rPr>
        <w:t>（或）委托代理人：</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（签字或盖章）</w:t>
      </w:r>
    </w:p>
    <w:p w14:paraId="1F10B145">
      <w:pPr>
        <w:snapToGrid w:val="0"/>
        <w:spacing w:line="520" w:lineRule="exact"/>
        <w:ind w:firstLine="484" w:firstLineChars="200"/>
        <w:rPr>
          <w:rFonts w:hAnsi="宋体" w:cs="宋体"/>
          <w:color w:val="auto"/>
          <w:sz w:val="24"/>
          <w:szCs w:val="24"/>
          <w:highlight w:val="none"/>
        </w:rPr>
      </w:pPr>
      <w:r>
        <w:rPr>
          <w:rFonts w:hint="eastAsia" w:hAnsi="宋体" w:cs="宋体"/>
          <w:color w:val="auto"/>
          <w:sz w:val="24"/>
          <w:szCs w:val="24"/>
          <w:highlight w:val="none"/>
        </w:rPr>
        <w:t>电话：</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hAnsi="宋体" w:cs="宋体"/>
          <w:color w:val="auto"/>
          <w:sz w:val="24"/>
          <w:szCs w:val="24"/>
          <w:highlight w:val="none"/>
        </w:rPr>
        <w:t>电话：</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p>
    <w:p w14:paraId="70958DE7">
      <w:pPr>
        <w:snapToGrid w:val="0"/>
        <w:spacing w:line="520" w:lineRule="exact"/>
        <w:ind w:firstLine="484" w:firstLineChars="200"/>
        <w:rPr>
          <w:rFonts w:hAnsi="宋体" w:cs="宋体"/>
          <w:color w:val="auto"/>
          <w:sz w:val="24"/>
          <w:szCs w:val="24"/>
          <w:highlight w:val="none"/>
        </w:rPr>
      </w:pPr>
      <w:r>
        <w:rPr>
          <w:rFonts w:hint="eastAsia" w:hAnsi="宋体" w:cs="宋体"/>
          <w:color w:val="auto"/>
          <w:sz w:val="24"/>
          <w:szCs w:val="24"/>
          <w:highlight w:val="none"/>
        </w:rPr>
        <w:t xml:space="preserve">开户银行： </w:t>
      </w:r>
      <w:r>
        <w:rPr>
          <w:rFonts w:ascii="宋体" w:hAnsi="宋体" w:cs="宋体"/>
          <w:color w:val="auto"/>
          <w:highlight w:val="none"/>
          <w:u w:val="single"/>
        </w:rPr>
        <w:t xml:space="preserve">                                </w:t>
      </w:r>
      <w:r>
        <w:rPr>
          <w:rFonts w:hAnsi="宋体" w:cs="宋体"/>
          <w:color w:val="auto"/>
          <w:sz w:val="24"/>
          <w:szCs w:val="24"/>
          <w:highlight w:val="none"/>
        </w:rPr>
        <w:t xml:space="preserve">  </w:t>
      </w:r>
      <w:r>
        <w:rPr>
          <w:rFonts w:hint="eastAsia" w:hAnsi="宋体" w:cs="宋体"/>
          <w:color w:val="auto"/>
          <w:sz w:val="24"/>
          <w:szCs w:val="24"/>
          <w:highlight w:val="none"/>
        </w:rPr>
        <w:t>开户银行：</w:t>
      </w:r>
      <w:r>
        <w:rPr>
          <w:rFonts w:ascii="宋体" w:hAnsi="宋体" w:cs="宋体"/>
          <w:color w:val="auto"/>
          <w:highlight w:val="none"/>
          <w:u w:val="single"/>
        </w:rPr>
        <w:t xml:space="preserve">                                </w:t>
      </w:r>
    </w:p>
    <w:p w14:paraId="79DF8595">
      <w:pPr>
        <w:snapToGrid w:val="0"/>
        <w:spacing w:line="520" w:lineRule="exact"/>
        <w:ind w:firstLine="484" w:firstLineChars="200"/>
        <w:rPr>
          <w:rFonts w:hAnsi="宋体" w:cs="宋体"/>
          <w:bCs/>
          <w:color w:val="auto"/>
          <w:spacing w:val="20"/>
          <w:sz w:val="24"/>
          <w:szCs w:val="24"/>
          <w:highlight w:val="none"/>
        </w:rPr>
      </w:pPr>
      <w:r>
        <w:rPr>
          <w:rFonts w:hint="eastAsia" w:hAnsi="宋体" w:cs="宋体"/>
          <w:color w:val="auto"/>
          <w:sz w:val="24"/>
          <w:szCs w:val="24"/>
          <w:highlight w:val="none"/>
        </w:rPr>
        <w:t>账号：</w:t>
      </w:r>
      <w:r>
        <w:rPr>
          <w:rFonts w:ascii="宋体" w:hAnsi="宋体" w:cs="宋体"/>
          <w:color w:val="auto"/>
          <w:highlight w:val="none"/>
          <w:u w:val="single"/>
        </w:rPr>
        <w:t xml:space="preserve">                                </w:t>
      </w:r>
      <w:r>
        <w:rPr>
          <w:rFonts w:hAnsi="宋体" w:cs="宋体"/>
          <w:color w:val="auto"/>
          <w:sz w:val="24"/>
          <w:szCs w:val="24"/>
          <w:highlight w:val="none"/>
        </w:rPr>
        <w:t xml:space="preserve">       </w:t>
      </w:r>
      <w:r>
        <w:rPr>
          <w:rFonts w:hint="eastAsia" w:hAnsi="宋体" w:cs="宋体"/>
          <w:color w:val="auto"/>
          <w:sz w:val="24"/>
          <w:szCs w:val="24"/>
          <w:highlight w:val="none"/>
        </w:rPr>
        <w:t>账号：</w:t>
      </w:r>
      <w:r>
        <w:rPr>
          <w:rFonts w:ascii="宋体" w:hAnsi="宋体" w:cs="宋体"/>
          <w:color w:val="auto"/>
          <w:highlight w:val="none"/>
          <w:u w:val="single"/>
        </w:rPr>
        <w:t xml:space="preserve">                                </w:t>
      </w:r>
    </w:p>
    <w:p w14:paraId="0E686887">
      <w:pPr>
        <w:pStyle w:val="3"/>
        <w:numPr>
          <w:ilvl w:val="0"/>
          <w:numId w:val="0"/>
        </w:numPr>
        <w:spacing w:line="500" w:lineRule="exact"/>
        <w:jc w:val="center"/>
        <w:rPr>
          <w:rFonts w:asciiTheme="minorEastAsia" w:hAnsiTheme="minorEastAsia" w:eastAsiaTheme="minorEastAsia"/>
          <w:color w:val="auto"/>
          <w:sz w:val="30"/>
          <w:szCs w:val="30"/>
          <w:highlight w:val="none"/>
        </w:rPr>
      </w:pPr>
      <w:bookmarkStart w:id="19" w:name="_Toc73383432"/>
      <w:bookmarkStart w:id="20" w:name="_Toc517881184"/>
      <w:bookmarkStart w:id="21" w:name="_Toc499722982"/>
      <w:bookmarkStart w:id="22" w:name="_Toc517881074"/>
      <w:r>
        <w:rPr>
          <w:rFonts w:asciiTheme="minorEastAsia" w:hAnsiTheme="minorEastAsia" w:eastAsiaTheme="minorEastAsia"/>
          <w:color w:val="auto"/>
          <w:sz w:val="32"/>
          <w:szCs w:val="30"/>
          <w:highlight w:val="none"/>
        </w:rPr>
        <w:t>第</w:t>
      </w:r>
      <w:r>
        <w:rPr>
          <w:rFonts w:hint="eastAsia" w:asciiTheme="minorEastAsia" w:hAnsiTheme="minorEastAsia" w:eastAsiaTheme="minorEastAsia"/>
          <w:color w:val="auto"/>
          <w:sz w:val="32"/>
          <w:szCs w:val="30"/>
          <w:highlight w:val="none"/>
        </w:rPr>
        <w:t>七</w:t>
      </w:r>
      <w:r>
        <w:rPr>
          <w:rFonts w:asciiTheme="minorEastAsia" w:hAnsiTheme="minorEastAsia" w:eastAsiaTheme="minorEastAsia"/>
          <w:color w:val="auto"/>
          <w:sz w:val="32"/>
          <w:szCs w:val="30"/>
          <w:highlight w:val="none"/>
        </w:rPr>
        <w:t>章</w:t>
      </w:r>
      <w:r>
        <w:rPr>
          <w:rFonts w:hint="eastAsia" w:asciiTheme="minorEastAsia" w:hAnsiTheme="minorEastAsia" w:eastAsiaTheme="minorEastAsia"/>
          <w:color w:val="auto"/>
          <w:sz w:val="32"/>
          <w:szCs w:val="30"/>
          <w:highlight w:val="none"/>
        </w:rPr>
        <w:t xml:space="preserve"> 需要落实的政府采购政策</w:t>
      </w:r>
      <w:bookmarkEnd w:id="19"/>
      <w:bookmarkEnd w:id="20"/>
      <w:bookmarkEnd w:id="21"/>
      <w:bookmarkEnd w:id="22"/>
    </w:p>
    <w:p w14:paraId="5377219D">
      <w:pPr>
        <w:pStyle w:val="54"/>
        <w:rPr>
          <w:b/>
          <w:bCs/>
          <w:color w:val="auto"/>
          <w:highlight w:val="none"/>
        </w:rPr>
      </w:pPr>
      <w:r>
        <w:rPr>
          <w:rFonts w:hint="eastAsia" w:cs="宋体" w:asciiTheme="minorEastAsia" w:hAnsiTheme="minorEastAsia" w:eastAsiaTheme="minorEastAsia"/>
          <w:b/>
          <w:color w:val="auto"/>
          <w:sz w:val="28"/>
          <w:szCs w:val="28"/>
          <w:highlight w:val="none"/>
        </w:rPr>
        <w:t xml:space="preserve">  </w:t>
      </w:r>
      <w:r>
        <w:rPr>
          <w:rFonts w:hint="eastAsia" w:cs="宋体" w:asciiTheme="minorEastAsia" w:hAnsiTheme="minorEastAsia" w:eastAsiaTheme="minorEastAsia"/>
          <w:b/>
          <w:color w:val="auto"/>
          <w:szCs w:val="24"/>
          <w:highlight w:val="none"/>
        </w:rPr>
        <w:t xml:space="preserve">  </w:t>
      </w:r>
      <w:r>
        <w:rPr>
          <w:color w:val="auto"/>
          <w:highlight w:val="none"/>
        </w:rPr>
        <w:t>7</w:t>
      </w:r>
      <w:r>
        <w:rPr>
          <w:rFonts w:hint="eastAsia"/>
          <w:color w:val="auto"/>
          <w:highlight w:val="none"/>
        </w:rPr>
        <w:t>.1</w:t>
      </w:r>
      <w:r>
        <w:rPr>
          <w:rFonts w:hint="eastAsia"/>
          <w:strike w:val="0"/>
          <w:dstrike/>
          <w:color w:val="auto"/>
          <w:sz w:val="24"/>
          <w:highlight w:val="none"/>
        </w:rPr>
        <w:t>根据财政部、工业和信息化部关于印发《政府采购促进中小企业发展管理办法》的通知 财库〔2020〕46号文件及财政部印发通知 进一步加大政府采购支持中小企业力度财库〔2022〕19号文件规定，对符合本办法规定的小微企业，货物服务采购项目给予小微企业的价格10%—20%扣除优惠，工程项目为3%--5%的扣除优惠。大中型企业与小微企业组成联合体或者大中型企业向小微企业分包的，评审优惠4%—6%。项目采购如为货物服务采购项目的，对符合政策规定的小微企业报价给予10%的扣除；为工程项目的，报价给予4%扣除；为大中型企业与小微企业组成联合体或者大中型企业向小微企业分包的，报价给予4%扣除；</w:t>
      </w:r>
      <w:r>
        <w:rPr>
          <w:rFonts w:hint="eastAsia"/>
          <w:b/>
          <w:bCs/>
          <w:color w:val="auto"/>
          <w:highlight w:val="none"/>
        </w:rPr>
        <w:t>本次项目专门面向中小企业采购，价格不再进行扣除。</w:t>
      </w:r>
    </w:p>
    <w:p w14:paraId="56E54797">
      <w:pPr>
        <w:pStyle w:val="54"/>
        <w:ind w:firstLine="484" w:firstLineChars="200"/>
        <w:rPr>
          <w:b/>
          <w:color w:val="auto"/>
          <w:highlight w:val="none"/>
        </w:rPr>
      </w:pPr>
      <w:r>
        <w:rPr>
          <w:color w:val="auto"/>
          <w:highlight w:val="none"/>
        </w:rPr>
        <w:t>7</w:t>
      </w:r>
      <w:r>
        <w:rPr>
          <w:rFonts w:hint="eastAsia"/>
          <w:color w:val="auto"/>
          <w:highlight w:val="none"/>
        </w:rPr>
        <w:t>.2根据【黔财采〔2014〕15号】文件规定，对原产地在少数民族自治区和享受少数民族自治待遇的省份的投标主产品（不含附带产品），享受政策性加分，在经专家综合评审后的总得分基础上，加上3分。①少数民族自治区是：内蒙古自治区、新疆维吾尔自治区、宁夏回族自治区、广西壮族自治区、西藏自治区；②享受少数民族自治待遇的省份是:青海、云南、贵州；投标主产品不得低于本次采购预算的50%，否则不得加分，产品50％以上以供应商自身提供的证明材料进行确认。</w:t>
      </w:r>
    </w:p>
    <w:p w14:paraId="4CC465E5">
      <w:pPr>
        <w:pStyle w:val="54"/>
        <w:ind w:firstLine="484" w:firstLineChars="200"/>
        <w:rPr>
          <w:b/>
          <w:color w:val="auto"/>
          <w:highlight w:val="none"/>
        </w:rPr>
      </w:pPr>
      <w:r>
        <w:rPr>
          <w:color w:val="auto"/>
          <w:highlight w:val="none"/>
        </w:rPr>
        <w:t>7</w:t>
      </w:r>
      <w:r>
        <w:rPr>
          <w:rFonts w:hint="eastAsia"/>
          <w:color w:val="auto"/>
          <w:highlight w:val="none"/>
        </w:rPr>
        <w:t>.3根据【财库〔2014〕68号】文件规定,在政府采购活动中，监狱企业视同小型、微型企业，享受预留份额、评审中价格扣除等政府采购促进中小企业发展的政府采购政策。向监狱企业采购的金额，计入面向中小企业采购的统计数据。</w:t>
      </w:r>
    </w:p>
    <w:p w14:paraId="4B11C4D3">
      <w:pPr>
        <w:pStyle w:val="54"/>
        <w:rPr>
          <w:b/>
          <w:color w:val="auto"/>
          <w:highlight w:val="none"/>
        </w:rPr>
      </w:pPr>
      <w:r>
        <w:rPr>
          <w:rFonts w:hint="eastAsia"/>
          <w:color w:val="auto"/>
          <w:highlight w:val="none"/>
        </w:rPr>
        <w:t>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参加政府采购活动时，应当提供由省级以上监狱管理局、戒毒管理局（含新疆生产建设兵团）出具的属于监狱企业的证明文件。</w:t>
      </w:r>
    </w:p>
    <w:p w14:paraId="06BE1A7C">
      <w:pPr>
        <w:pStyle w:val="54"/>
        <w:ind w:firstLine="484" w:firstLineChars="200"/>
        <w:rPr>
          <w:b/>
          <w:color w:val="auto"/>
          <w:highlight w:val="none"/>
        </w:rPr>
      </w:pPr>
      <w:r>
        <w:rPr>
          <w:color w:val="auto"/>
          <w:highlight w:val="none"/>
        </w:rPr>
        <w:t>7</w:t>
      </w:r>
      <w:r>
        <w:rPr>
          <w:rFonts w:hint="eastAsia"/>
          <w:color w:val="auto"/>
          <w:highlight w:val="none"/>
        </w:rPr>
        <w:t>.4根据【财库〔2017〕141号】文件规定，对残疾人福利性单位产品参与投标享受相应优惠，应当同时满足以下条件：</w:t>
      </w:r>
    </w:p>
    <w:p w14:paraId="5F58C667">
      <w:pPr>
        <w:pStyle w:val="54"/>
        <w:ind w:firstLine="484" w:firstLineChars="200"/>
        <w:rPr>
          <w:b/>
          <w:color w:val="auto"/>
          <w:highlight w:val="none"/>
        </w:rPr>
      </w:pPr>
      <w:r>
        <w:rPr>
          <w:rFonts w:hint="eastAsia"/>
          <w:color w:val="auto"/>
          <w:highlight w:val="none"/>
        </w:rPr>
        <w:t>①安置的残疾人占本单位在职职工人数的比例不低于25%（含25%），并且安置的残疾人人数不少于10人（含10人）；</w:t>
      </w:r>
    </w:p>
    <w:p w14:paraId="18412F68">
      <w:pPr>
        <w:pStyle w:val="54"/>
        <w:ind w:firstLine="484" w:firstLineChars="200"/>
        <w:rPr>
          <w:b/>
          <w:color w:val="auto"/>
          <w:highlight w:val="none"/>
        </w:rPr>
      </w:pPr>
      <w:r>
        <w:rPr>
          <w:rFonts w:hint="eastAsia"/>
          <w:color w:val="auto"/>
          <w:highlight w:val="none"/>
        </w:rPr>
        <w:t>②依法与安置的每位残疾人签订了一年以上（含一年）的劳动合同或服务协议；</w:t>
      </w:r>
    </w:p>
    <w:p w14:paraId="26782FDB">
      <w:pPr>
        <w:pStyle w:val="54"/>
        <w:ind w:firstLine="484" w:firstLineChars="200"/>
        <w:rPr>
          <w:b/>
          <w:color w:val="auto"/>
          <w:highlight w:val="none"/>
        </w:rPr>
      </w:pPr>
      <w:r>
        <w:rPr>
          <w:rFonts w:hint="eastAsia"/>
          <w:color w:val="auto"/>
          <w:highlight w:val="none"/>
        </w:rPr>
        <w:t>③为安置的每位残疾人按月足额缴纳了基本养老保险、基本医疗保险、失业保险、工伤保险和生育保险等社会保险费；</w:t>
      </w:r>
    </w:p>
    <w:p w14:paraId="460A11FB">
      <w:pPr>
        <w:pStyle w:val="54"/>
        <w:ind w:firstLine="484" w:firstLineChars="200"/>
        <w:rPr>
          <w:b/>
          <w:color w:val="auto"/>
          <w:highlight w:val="none"/>
        </w:rPr>
      </w:pPr>
      <w:r>
        <w:rPr>
          <w:rFonts w:hint="eastAsia"/>
          <w:color w:val="auto"/>
          <w:highlight w:val="none"/>
        </w:rPr>
        <w:t>④通过银行等金融机构向安置的每位残疾人，按月支付了不低于单位所在区县适用的经省级人民政府批准的月最低工资标准的工资；</w:t>
      </w:r>
    </w:p>
    <w:p w14:paraId="25DF846F">
      <w:pPr>
        <w:pStyle w:val="54"/>
        <w:ind w:firstLine="484" w:firstLineChars="200"/>
        <w:rPr>
          <w:b/>
          <w:color w:val="auto"/>
          <w:highlight w:val="none"/>
        </w:rPr>
      </w:pPr>
      <w:r>
        <w:rPr>
          <w:rFonts w:hint="eastAsia"/>
          <w:color w:val="auto"/>
          <w:highlight w:val="none"/>
        </w:rPr>
        <w:t>⑤提供本单位制造的货物、承担的工程或者服务（以下简称产品），或者提供其他残疾人福利性单位制造的货物（不包括使用非残疾人福利性单位注册商标的货物）。</w:t>
      </w:r>
    </w:p>
    <w:p w14:paraId="035AFB75">
      <w:pPr>
        <w:pStyle w:val="54"/>
        <w:ind w:firstLine="726" w:firstLineChars="300"/>
        <w:rPr>
          <w:b/>
          <w:color w:val="auto"/>
          <w:highlight w:val="none"/>
        </w:rPr>
      </w:pPr>
      <w:r>
        <w:rPr>
          <w:rFonts w:hint="eastAsia"/>
          <w:color w:val="auto"/>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25EF670B">
      <w:pPr>
        <w:pStyle w:val="54"/>
        <w:rPr>
          <w:b/>
          <w:color w:val="auto"/>
          <w:highlight w:val="none"/>
        </w:rPr>
      </w:pPr>
      <w:r>
        <w:rPr>
          <w:rFonts w:hint="eastAsia"/>
          <w:color w:val="auto"/>
          <w:highlight w:val="none"/>
        </w:rPr>
        <w:t xml:space="preserve">    符合条件的残疾人福利性单位在参加政府采购活动时，应当提供《残疾人福利性单位声明函》，并对声明的真实性负责。任何单位或者个人在政府采购活动中均不得要求残疾人福利性单位提供其他证明声明函内容的材料。</w:t>
      </w:r>
    </w:p>
    <w:p w14:paraId="0034BBAF">
      <w:pPr>
        <w:pStyle w:val="54"/>
        <w:rPr>
          <w:b/>
          <w:color w:val="auto"/>
          <w:highlight w:val="none"/>
        </w:rPr>
      </w:pPr>
      <w:r>
        <w:rPr>
          <w:rFonts w:hint="eastAsia"/>
          <w:color w:val="auto"/>
          <w:highlight w:val="none"/>
        </w:rPr>
        <w:t xml:space="preserve">     供应商提供的《残疾人福利性单位声明函》与事实不符的，依照《政府采购法》第七十七条第一款的规定追究法律责任。</w:t>
      </w:r>
    </w:p>
    <w:p w14:paraId="34C96B73">
      <w:pPr>
        <w:pStyle w:val="54"/>
        <w:rPr>
          <w:b/>
          <w:color w:val="auto"/>
          <w:highlight w:val="none"/>
        </w:rPr>
      </w:pPr>
      <w:r>
        <w:rPr>
          <w:rFonts w:hint="eastAsia"/>
          <w:color w:val="auto"/>
          <w:highlight w:val="none"/>
        </w:rPr>
        <w:t xml:space="preserve">     在政府采购活动中，残疾人福利性单位视同小型、微型企业，享受预留份额、评审中价格扣除等促进中小企业发展的政府采购政策。向残疾人福利性单位采购的金额，计入面向中小企业采购的统计数据。残疾人福利性单位属于小型、微型企业的，不重复享受政策。</w:t>
      </w:r>
    </w:p>
    <w:p w14:paraId="53322FDC">
      <w:pPr>
        <w:pStyle w:val="54"/>
        <w:ind w:firstLine="484" w:firstLineChars="200"/>
        <w:rPr>
          <w:b/>
          <w:color w:val="auto"/>
          <w:highlight w:val="none"/>
        </w:rPr>
      </w:pPr>
      <w:r>
        <w:rPr>
          <w:color w:val="auto"/>
          <w:highlight w:val="none"/>
        </w:rPr>
        <w:t>7</w:t>
      </w:r>
      <w:r>
        <w:rPr>
          <w:rFonts w:hint="eastAsia"/>
          <w:color w:val="auto"/>
          <w:highlight w:val="none"/>
        </w:rPr>
        <w:t>.5根据财库〔20</w:t>
      </w:r>
      <w:r>
        <w:rPr>
          <w:color w:val="auto"/>
          <w:highlight w:val="none"/>
        </w:rPr>
        <w:t>19</w:t>
      </w:r>
      <w:r>
        <w:rPr>
          <w:rFonts w:hint="eastAsia"/>
          <w:color w:val="auto"/>
          <w:highlight w:val="none"/>
        </w:rPr>
        <w:t>〕9号 财政部关于调整优化节能产品、环境标志产品政府采购执行机制的通知和财库〔20</w:t>
      </w:r>
      <w:r>
        <w:rPr>
          <w:color w:val="auto"/>
          <w:highlight w:val="none"/>
        </w:rPr>
        <w:t>19</w:t>
      </w:r>
      <w:r>
        <w:rPr>
          <w:rFonts w:hint="eastAsia"/>
          <w:color w:val="auto"/>
          <w:highlight w:val="none"/>
        </w:rPr>
        <w:t>〕19号关于印发节能产品政府采购品目清单的通知，优先购买节能产品政府采购品目清单内的产品。</w:t>
      </w:r>
    </w:p>
    <w:p w14:paraId="444DCCE9">
      <w:pPr>
        <w:widowControl/>
        <w:jc w:val="left"/>
        <w:rPr>
          <w:rFonts w:ascii="Arial" w:hAnsi="Arial" w:eastAsia="黑体"/>
          <w:color w:val="auto"/>
          <w:sz w:val="32"/>
          <w:szCs w:val="32"/>
          <w:highlight w:val="none"/>
        </w:rPr>
      </w:pPr>
      <w:r>
        <w:rPr>
          <w:b/>
          <w:bCs/>
          <w:color w:val="auto"/>
          <w:highlight w:val="none"/>
        </w:rPr>
        <w:br w:type="page"/>
      </w:r>
    </w:p>
    <w:p w14:paraId="5AC92775">
      <w:pPr>
        <w:pStyle w:val="4"/>
        <w:jc w:val="center"/>
        <w:rPr>
          <w:b w:val="0"/>
          <w:bCs w:val="0"/>
          <w:color w:val="auto"/>
          <w:highlight w:val="none"/>
        </w:rPr>
      </w:pPr>
      <w:r>
        <w:rPr>
          <w:rFonts w:hint="eastAsia"/>
          <w:b w:val="0"/>
          <w:bCs w:val="0"/>
          <w:color w:val="auto"/>
          <w:highlight w:val="none"/>
        </w:rPr>
        <w:t>关于印发中小企业划型标准规定的通知</w:t>
      </w:r>
    </w:p>
    <w:p w14:paraId="33B26631">
      <w:pPr>
        <w:pStyle w:val="4"/>
        <w:jc w:val="center"/>
        <w:rPr>
          <w:b w:val="0"/>
          <w:bCs w:val="0"/>
          <w:color w:val="auto"/>
          <w:highlight w:val="none"/>
        </w:rPr>
      </w:pPr>
      <w:r>
        <w:rPr>
          <w:rFonts w:hint="eastAsia"/>
          <w:b w:val="0"/>
          <w:bCs w:val="0"/>
          <w:color w:val="auto"/>
          <w:highlight w:val="none"/>
        </w:rPr>
        <w:t>（工信部联企业【2011】300 号）</w:t>
      </w:r>
    </w:p>
    <w:p w14:paraId="6C309A78">
      <w:pPr>
        <w:spacing w:line="360" w:lineRule="auto"/>
        <w:rPr>
          <w:color w:val="auto"/>
          <w:highlight w:val="none"/>
        </w:rPr>
      </w:pPr>
      <w:r>
        <w:rPr>
          <w:rFonts w:hint="eastAsia"/>
          <w:color w:val="auto"/>
          <w:highlight w:val="none"/>
        </w:rPr>
        <w:t>一、根据《中华人民共和国中小企业促进法》和《国务院关于进一步促进中小企业发展的若干意见》(国发〔2009〕36 号)，制定本规定。</w:t>
      </w:r>
    </w:p>
    <w:p w14:paraId="367BB7DF">
      <w:pPr>
        <w:spacing w:line="360" w:lineRule="auto"/>
        <w:rPr>
          <w:color w:val="auto"/>
          <w:highlight w:val="none"/>
        </w:rPr>
      </w:pPr>
      <w:r>
        <w:rPr>
          <w:rFonts w:hint="eastAsia"/>
          <w:color w:val="auto"/>
          <w:highlight w:val="none"/>
        </w:rPr>
        <w:t>二、中小企业划分为中型、小型、微型三种类型，具体标准根据企业从业人员、营业收入、资产总额等指标，结合行业特点制定。</w:t>
      </w:r>
    </w:p>
    <w:p w14:paraId="05252F08">
      <w:pPr>
        <w:spacing w:line="360" w:lineRule="auto"/>
        <w:rPr>
          <w:color w:val="auto"/>
          <w:highlight w:val="none"/>
        </w:rPr>
      </w:pPr>
      <w:r>
        <w:rPr>
          <w:rFonts w:hint="eastAsia"/>
          <w:color w:val="auto"/>
          <w:highlight w:val="none"/>
        </w:rPr>
        <w:t>三、本规定适用的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p>
    <w:p w14:paraId="295283F9">
      <w:pPr>
        <w:spacing w:line="360" w:lineRule="auto"/>
        <w:rPr>
          <w:color w:val="auto"/>
          <w:highlight w:val="none"/>
        </w:rPr>
      </w:pPr>
      <w:r>
        <w:rPr>
          <w:rFonts w:hint="eastAsia"/>
          <w:color w:val="auto"/>
          <w:highlight w:val="none"/>
        </w:rPr>
        <w:t>四、各行业划型标准为：</w:t>
      </w:r>
    </w:p>
    <w:p w14:paraId="6944A813">
      <w:pPr>
        <w:spacing w:line="360" w:lineRule="auto"/>
        <w:rPr>
          <w:color w:val="auto"/>
          <w:highlight w:val="none"/>
        </w:rPr>
      </w:pPr>
      <w:r>
        <w:rPr>
          <w:rFonts w:hint="eastAsia"/>
          <w:color w:val="auto"/>
          <w:highlight w:val="none"/>
        </w:rPr>
        <w:t>（一）农、林、牧、渔业。营业收入 20000 万元以下的为中小微型企业。其中， 营业收入 500 万元及以上的为中型企业，营业收入 50 万元及以上的为小型企业，营业收入50 万元以下的为微型企业。</w:t>
      </w:r>
    </w:p>
    <w:p w14:paraId="3BEA8E54">
      <w:pPr>
        <w:spacing w:line="360" w:lineRule="auto"/>
        <w:rPr>
          <w:color w:val="auto"/>
          <w:highlight w:val="none"/>
        </w:rPr>
      </w:pPr>
      <w:r>
        <w:rPr>
          <w:rFonts w:hint="eastAsia"/>
          <w:color w:val="auto"/>
          <w:highlight w:val="none"/>
        </w:rPr>
        <w:t>（二）工业。从业人员 1000 人以下或营业收入 40000 万元以下的为中小微型企业。其中，从业人员 300 人及以上，且营业收入 2000 万元及以上的为中型企业；从业人员20 人及以上，且营业收入 300 万元及以上的为小型企业；从业人员 20 人以下或营业收入 300 万元以下的为微型企业。</w:t>
      </w:r>
    </w:p>
    <w:p w14:paraId="4CEE6F12">
      <w:pPr>
        <w:spacing w:line="360" w:lineRule="auto"/>
        <w:rPr>
          <w:color w:val="auto"/>
          <w:highlight w:val="none"/>
        </w:rPr>
      </w:pPr>
      <w:r>
        <w:rPr>
          <w:rFonts w:hint="eastAsia"/>
          <w:color w:val="auto"/>
          <w:highlight w:val="none"/>
        </w:rPr>
        <w:t>（三）建筑业。营业收入 80000 万元以下或资产总额 80000 万元以下的为中小微型企业。其中，营业收入 6000 万元及以上，且资产总额 5000 万元及以上的为中型企业；营业收入 300 万元及以上，且资产总额 300 万元及以上的为小型企业；营业收入 300 万元以下或资产总额 300 万元以下的为微型企业。</w:t>
      </w:r>
    </w:p>
    <w:p w14:paraId="7156497E">
      <w:pPr>
        <w:spacing w:line="360" w:lineRule="auto"/>
        <w:rPr>
          <w:color w:val="auto"/>
          <w:highlight w:val="none"/>
        </w:rPr>
      </w:pPr>
      <w:r>
        <w:rPr>
          <w:rFonts w:hint="eastAsia"/>
          <w:color w:val="auto"/>
          <w:highlight w:val="none"/>
        </w:rPr>
        <w:t>（四）批发业。从业人员 200 人以下或营业收入 40000 万元以下的为中小微型企业。其中，从业人员 20 人及以上，且营业收入 5000 万元及以上的为中型企业；从业人员 5人及以上，且营业收入 1000 万元及以上的为小型企业；从业人员 5 人以下或营业收入1000 万元以下的为微型企业。</w:t>
      </w:r>
    </w:p>
    <w:p w14:paraId="3834B245">
      <w:pPr>
        <w:spacing w:line="360" w:lineRule="auto"/>
        <w:rPr>
          <w:color w:val="auto"/>
          <w:highlight w:val="none"/>
        </w:rPr>
      </w:pPr>
      <w:r>
        <w:rPr>
          <w:rFonts w:hint="eastAsia"/>
          <w:color w:val="auto"/>
          <w:highlight w:val="none"/>
        </w:rPr>
        <w:t>（五）零售业。从业人员 300 人以下或营业收入 20000 万元以下的为中小微型企 业。其中，从业人员 50 人及以上，且营业收入 500 万元及以上的为中型企业；从业人员 10人及以上，且营业收入 100 万元及以上的为小型企业；从业人员 10 人以下或营业收入100 万元以下的为微型企业。</w:t>
      </w:r>
    </w:p>
    <w:p w14:paraId="4B2AC483">
      <w:pPr>
        <w:spacing w:line="360" w:lineRule="auto"/>
        <w:rPr>
          <w:color w:val="auto"/>
          <w:highlight w:val="none"/>
        </w:rPr>
      </w:pPr>
      <w:r>
        <w:rPr>
          <w:rFonts w:hint="eastAsia"/>
          <w:color w:val="auto"/>
          <w:highlight w:val="none"/>
        </w:rPr>
        <w:t>（六）交通运输业。从业人员 1000 人以下或营业收入 30000 万元以下的为中小微型企业。其中，从业人员 300 人及以上，且营业收入 3000 万元及以上的为中型企业； 从业人员 20 人及以上，且营业收入 200 万元及以上的为小型企业；从业人员 20 人以下或营业收入 200 万元以下的为微型企业。</w:t>
      </w:r>
    </w:p>
    <w:p w14:paraId="0EDFF6D2">
      <w:pPr>
        <w:spacing w:line="360" w:lineRule="auto"/>
        <w:rPr>
          <w:color w:val="auto"/>
          <w:highlight w:val="none"/>
        </w:rPr>
      </w:pPr>
      <w:r>
        <w:rPr>
          <w:rFonts w:hint="eastAsia"/>
          <w:color w:val="auto"/>
          <w:highlight w:val="none"/>
        </w:rPr>
        <w:t>（七）仓储业。从业人员 200 人以下或营业收入 30000 万元以下的为中小微型企 业。其中，从业人员 100 人及以上，且营业收入 1000 万元及以上的为中型企业；从业人员20 人及以上，且营业收入 100 万元及以上的为小型企业；从业人员 20 人以下或营业收入 100 万元以下的为微型企业。</w:t>
      </w:r>
    </w:p>
    <w:p w14:paraId="2C78407B">
      <w:pPr>
        <w:spacing w:line="360" w:lineRule="auto"/>
        <w:rPr>
          <w:color w:val="auto"/>
          <w:highlight w:val="none"/>
        </w:rPr>
      </w:pPr>
      <w:r>
        <w:rPr>
          <w:rFonts w:hint="eastAsia"/>
          <w:color w:val="auto"/>
          <w:highlight w:val="none"/>
        </w:rPr>
        <w:t>（八）邮政业。从业人员 1000 人以下或营业收入 30000 万元以下的为中小微型企业。其中，从业人员 300 人及以上，且营业收入 2000 万元及以上的为中型企业；从业人员20 人及以上，且营业收入 100 万元及以上的为小型企业；从业人员 20 人以下或营业收入 100 万元以下的为微型企业。</w:t>
      </w:r>
    </w:p>
    <w:p w14:paraId="333A623A">
      <w:pPr>
        <w:spacing w:line="360" w:lineRule="auto"/>
        <w:rPr>
          <w:color w:val="auto"/>
          <w:highlight w:val="none"/>
        </w:rPr>
      </w:pPr>
      <w:r>
        <w:rPr>
          <w:rFonts w:hint="eastAsia"/>
          <w:color w:val="auto"/>
          <w:highlight w:val="none"/>
        </w:rPr>
        <w:t>（九）住宿业。从业人员 300 人以下或营业收入 10000 万元以下的为中小微型企 业。其中，从业人员 100 人及以上，且营业收入 2000 万元及以上的为中型企业；从业人员10 人及以上，且营业收入 100 万元及以上的为小型企业；从业人员 10 人以下或营业收入 100 万元以下的为微型企业。</w:t>
      </w:r>
    </w:p>
    <w:p w14:paraId="3E3CCF89">
      <w:pPr>
        <w:spacing w:line="360" w:lineRule="auto"/>
        <w:rPr>
          <w:color w:val="auto"/>
          <w:highlight w:val="none"/>
        </w:rPr>
      </w:pPr>
      <w:r>
        <w:rPr>
          <w:rFonts w:hint="eastAsia"/>
          <w:color w:val="auto"/>
          <w:highlight w:val="none"/>
        </w:rPr>
        <w:t>（十）餐饮业。从业人员 300 人以下或营业收入 10000 万元以下的为中小微型企 业。其中，从业人员 100 人及以上，且营业收入 2000 万元及以上的为中型企业；从业人员10 人及以上，且营业收入 100 万元及以上的为小型企业；从业人员 10 人以下或营业收入 100 万元以下的为微型企业。</w:t>
      </w:r>
    </w:p>
    <w:p w14:paraId="3A637D2E">
      <w:pPr>
        <w:spacing w:line="360" w:lineRule="auto"/>
        <w:rPr>
          <w:color w:val="auto"/>
          <w:highlight w:val="none"/>
        </w:rPr>
      </w:pPr>
      <w:r>
        <w:rPr>
          <w:rFonts w:hint="eastAsia"/>
          <w:color w:val="auto"/>
          <w:highlight w:val="none"/>
        </w:rPr>
        <w:t>（十一）信息传输业。从业人员 2000 人以下或营业收入 100000 万元以下的为中小微型企业。其中，从业人员 100 人及以上，且营业收入 1000 万元及以上的为中型企业；从业人员 10 人及以上，且营业收入 100 万元及以上的为小型企业；从业人员 10 人以下或营业收入 100 万元以下的为微型企业。</w:t>
      </w:r>
    </w:p>
    <w:p w14:paraId="2597EA25">
      <w:pPr>
        <w:spacing w:line="360" w:lineRule="auto"/>
        <w:rPr>
          <w:color w:val="auto"/>
          <w:highlight w:val="none"/>
        </w:rPr>
      </w:pPr>
      <w:r>
        <w:rPr>
          <w:rFonts w:hint="eastAsia"/>
          <w:color w:val="auto"/>
          <w:highlight w:val="none"/>
        </w:rPr>
        <w:t>（十二）软件和信息技术服务业。从业人员 300 人以下或营业收入 10000 万元以下的为中小微型企业。其中，从业人员 100 人及以上，且营业收入 1000 万元及以上的为中型企业；从业人员 10 人及以上，且营业收入 50 万元及以上的为小型企业；从业 人员10 人以下或营业收入 50 万元以下的为微型企业。</w:t>
      </w:r>
    </w:p>
    <w:p w14:paraId="387AFA72">
      <w:pPr>
        <w:spacing w:line="360" w:lineRule="auto"/>
        <w:rPr>
          <w:color w:val="auto"/>
          <w:highlight w:val="none"/>
        </w:rPr>
      </w:pPr>
      <w:r>
        <w:rPr>
          <w:rFonts w:hint="eastAsia"/>
          <w:color w:val="auto"/>
          <w:highlight w:val="none"/>
        </w:rPr>
        <w:t>（十三）房地产开发经营。营业收入 200000 万元以下或资产总额 10000 万元以下的为中小微型企业。其中，营业收入 1000 万元及以上，且资产总额 5000 万元及以上 的为中型企业；营业收入 100 万元及以上，且资产总额 2000 万元及以上的为小型企 业；营业收入 100 万元以下或资产总额 2000 万元以下的为微型企业。</w:t>
      </w:r>
    </w:p>
    <w:p w14:paraId="4D58BD11">
      <w:pPr>
        <w:spacing w:line="360" w:lineRule="auto"/>
        <w:rPr>
          <w:color w:val="auto"/>
          <w:highlight w:val="none"/>
        </w:rPr>
      </w:pPr>
      <w:r>
        <w:rPr>
          <w:rFonts w:hint="eastAsia"/>
          <w:color w:val="auto"/>
          <w:highlight w:val="none"/>
        </w:rPr>
        <w:t>（十四）物业管理。从业人员 1000 人以下或营业收入 5000 万元以下的为中小微 型企业。其中，从业人员 300 人及以上，且营业收入 1000 万元及以上的为中型企业； 从业人员 100 人及以上，且营业收入 500 万元及以上的为小型企业；从业人员 100 人以下或营业收入 500 万元以下的为微型企业。</w:t>
      </w:r>
    </w:p>
    <w:p w14:paraId="19F0FBBA">
      <w:pPr>
        <w:spacing w:line="360" w:lineRule="auto"/>
        <w:rPr>
          <w:color w:val="auto"/>
          <w:highlight w:val="none"/>
        </w:rPr>
      </w:pPr>
      <w:r>
        <w:rPr>
          <w:rFonts w:hint="eastAsia"/>
          <w:color w:val="auto"/>
          <w:highlight w:val="none"/>
        </w:rPr>
        <w:t>（十五）租赁和商务服务业。从业人员 300 人以下或资产总额 120000 万元以下的为中小微型企业。其中，从业人员 100 人及以上，且资产总额 8000 万元及以上的为中型企业；从业人员 10 人及以上，且资产总额 100 万元及以上的为小型企业；从业人员 10 人以下或资产总额 100 万元以下的为微型企业。</w:t>
      </w:r>
    </w:p>
    <w:p w14:paraId="29242224">
      <w:pPr>
        <w:spacing w:line="360" w:lineRule="auto"/>
        <w:rPr>
          <w:color w:val="auto"/>
          <w:highlight w:val="none"/>
        </w:rPr>
      </w:pPr>
      <w:r>
        <w:rPr>
          <w:rFonts w:hint="eastAsia"/>
          <w:color w:val="auto"/>
          <w:highlight w:val="none"/>
        </w:rPr>
        <w:t>（十六）其他未列明行业。从业人员 300 人以下的为中小微型企业。其中，从业人员 100 人及以上的为中型企业；从业人员 10 人及以上的为小型企业；从业人员 10 人以下的为微型企业。</w:t>
      </w:r>
    </w:p>
    <w:p w14:paraId="3A1DA75B">
      <w:pPr>
        <w:spacing w:line="360" w:lineRule="auto"/>
        <w:rPr>
          <w:color w:val="auto"/>
          <w:highlight w:val="none"/>
        </w:rPr>
      </w:pPr>
      <w:r>
        <w:rPr>
          <w:rFonts w:hint="eastAsia"/>
          <w:color w:val="auto"/>
          <w:highlight w:val="none"/>
        </w:rPr>
        <w:t>五、企业类型的划分以统计部门的统计数据为依据。</w:t>
      </w:r>
    </w:p>
    <w:p w14:paraId="2115B395">
      <w:pPr>
        <w:spacing w:line="360" w:lineRule="auto"/>
        <w:rPr>
          <w:color w:val="auto"/>
          <w:highlight w:val="none"/>
        </w:rPr>
      </w:pPr>
      <w:r>
        <w:rPr>
          <w:rFonts w:hint="eastAsia"/>
          <w:color w:val="auto"/>
          <w:highlight w:val="none"/>
        </w:rPr>
        <w:t>六、本规定适用于在中华人民共和国境内依法设立的各类所有制和各种组织形式的企业。个体工商户和本规定以外的行业，参照本规定进行划型。</w:t>
      </w:r>
    </w:p>
    <w:p w14:paraId="4F5721F0">
      <w:pPr>
        <w:spacing w:line="360" w:lineRule="auto"/>
        <w:rPr>
          <w:color w:val="auto"/>
          <w:highlight w:val="none"/>
        </w:rPr>
      </w:pPr>
      <w:r>
        <w:rPr>
          <w:rFonts w:hint="eastAsia"/>
          <w:color w:val="auto"/>
          <w:highlight w:val="none"/>
        </w:rPr>
        <w:t>七、本规定的中型企业标准上限即为大型企业标准的下限，国家统计部门据此制定大中小微型企业的统计分类。国务院有关部门据此进行相关数据分析，不得制定与本规定不一致的企业划型标准。</w:t>
      </w:r>
    </w:p>
    <w:p w14:paraId="1DB0C285">
      <w:pPr>
        <w:spacing w:line="360" w:lineRule="auto"/>
        <w:rPr>
          <w:color w:val="auto"/>
          <w:highlight w:val="none"/>
        </w:rPr>
      </w:pPr>
      <w:r>
        <w:rPr>
          <w:rFonts w:hint="eastAsia"/>
          <w:color w:val="auto"/>
          <w:highlight w:val="none"/>
        </w:rPr>
        <w:t>八、本规定由工业和信息化部、国家统计局会同有关部门根据《国民经济行业分类》修订情况和企业发展变化情况适时修订。</w:t>
      </w:r>
    </w:p>
    <w:p w14:paraId="2A0DE55D">
      <w:pPr>
        <w:spacing w:line="360" w:lineRule="auto"/>
        <w:rPr>
          <w:color w:val="auto"/>
          <w:highlight w:val="none"/>
        </w:rPr>
      </w:pPr>
      <w:r>
        <w:rPr>
          <w:rFonts w:hint="eastAsia"/>
          <w:color w:val="auto"/>
          <w:highlight w:val="none"/>
        </w:rPr>
        <w:t>九、本规定由工业和信息化部、国家统计局会同有关部门负责解释。</w:t>
      </w:r>
    </w:p>
    <w:p w14:paraId="1696A6E3">
      <w:pPr>
        <w:spacing w:line="360" w:lineRule="auto"/>
        <w:rPr>
          <w:color w:val="auto"/>
          <w:highlight w:val="none"/>
        </w:rPr>
      </w:pPr>
      <w:r>
        <w:rPr>
          <w:rFonts w:hint="eastAsia"/>
          <w:color w:val="auto"/>
          <w:highlight w:val="none"/>
        </w:rPr>
        <w:t>十、本规定自发布之日起执行，原国家经贸委、原国家计委、财政部和国家统计局2003 年颁布的《中小企业标准暂行规定》同时废止。</w:t>
      </w:r>
    </w:p>
    <w:p w14:paraId="1A7A39A1">
      <w:pPr>
        <w:pStyle w:val="3"/>
        <w:jc w:val="center"/>
        <w:rPr>
          <w:rFonts w:cs="宋体"/>
          <w:color w:val="auto"/>
          <w:sz w:val="32"/>
          <w:szCs w:val="32"/>
          <w:highlight w:val="none"/>
        </w:rPr>
      </w:pPr>
      <w:r>
        <w:rPr>
          <w:rFonts w:cs="宋体"/>
          <w:color w:val="auto"/>
          <w:sz w:val="28"/>
          <w:szCs w:val="28"/>
          <w:highlight w:val="none"/>
        </w:rPr>
        <w:br w:type="page"/>
      </w:r>
      <w:bookmarkStart w:id="23" w:name="_Toc517881075"/>
      <w:bookmarkStart w:id="24" w:name="_Toc73383433"/>
      <w:bookmarkStart w:id="25" w:name="_Toc517881185"/>
      <w:r>
        <w:rPr>
          <w:rFonts w:hint="eastAsia"/>
          <w:color w:val="auto"/>
          <w:sz w:val="32"/>
          <w:szCs w:val="32"/>
          <w:highlight w:val="none"/>
        </w:rPr>
        <w:t>第八章附件</w:t>
      </w:r>
      <w:bookmarkEnd w:id="23"/>
      <w:bookmarkEnd w:id="24"/>
      <w:bookmarkEnd w:id="25"/>
    </w:p>
    <w:p w14:paraId="25854DDD">
      <w:pPr>
        <w:pStyle w:val="4"/>
        <w:spacing w:before="0" w:after="0" w:line="500" w:lineRule="exact"/>
        <w:rPr>
          <w:rFonts w:asciiTheme="minorEastAsia" w:hAnsiTheme="minorEastAsia" w:eastAsiaTheme="minorEastAsia"/>
          <w:b w:val="0"/>
          <w:color w:val="auto"/>
          <w:sz w:val="28"/>
          <w:szCs w:val="28"/>
          <w:highlight w:val="none"/>
        </w:rPr>
      </w:pPr>
      <w:bookmarkStart w:id="26" w:name="_Toc532292395"/>
      <w:bookmarkStart w:id="27" w:name="_Toc73383434"/>
      <w:bookmarkStart w:id="28" w:name="_Toc340220906"/>
      <w:bookmarkStart w:id="29" w:name="_Toc517881186"/>
      <w:bookmarkStart w:id="30" w:name="_Toc517881076"/>
      <w:r>
        <w:rPr>
          <w:rFonts w:hint="eastAsia" w:asciiTheme="minorEastAsia" w:hAnsiTheme="minorEastAsia" w:eastAsiaTheme="minorEastAsia"/>
          <w:b w:val="0"/>
          <w:color w:val="auto"/>
          <w:sz w:val="28"/>
          <w:szCs w:val="28"/>
          <w:highlight w:val="none"/>
        </w:rPr>
        <w:t>附件</w:t>
      </w:r>
      <w:r>
        <w:rPr>
          <w:rFonts w:asciiTheme="minorEastAsia" w:hAnsiTheme="minorEastAsia" w:eastAsiaTheme="minorEastAsia"/>
          <w:b w:val="0"/>
          <w:color w:val="auto"/>
          <w:sz w:val="28"/>
          <w:szCs w:val="28"/>
          <w:highlight w:val="none"/>
        </w:rPr>
        <w:t>1</w:t>
      </w:r>
      <w:r>
        <w:rPr>
          <w:rFonts w:hint="eastAsia" w:asciiTheme="minorEastAsia" w:hAnsiTheme="minorEastAsia" w:eastAsiaTheme="minorEastAsia"/>
          <w:b w:val="0"/>
          <w:color w:val="auto"/>
          <w:sz w:val="28"/>
          <w:szCs w:val="28"/>
          <w:highlight w:val="none"/>
        </w:rPr>
        <w:t>：基础报价书（指定格式）</w:t>
      </w:r>
      <w:r>
        <w:rPr>
          <w:rFonts w:asciiTheme="minorEastAsia" w:hAnsiTheme="minorEastAsia" w:eastAsiaTheme="minorEastAsia"/>
          <w:b w:val="0"/>
          <w:color w:val="auto"/>
          <w:sz w:val="28"/>
          <w:szCs w:val="28"/>
          <w:highlight w:val="none"/>
        </w:rPr>
        <w:t>:</w:t>
      </w:r>
      <w:bookmarkEnd w:id="26"/>
      <w:bookmarkEnd w:id="27"/>
      <w:bookmarkEnd w:id="28"/>
      <w:bookmarkEnd w:id="29"/>
      <w:bookmarkEnd w:id="30"/>
    </w:p>
    <w:p w14:paraId="25F9803C">
      <w:pPr>
        <w:spacing w:line="500" w:lineRule="exact"/>
        <w:jc w:val="center"/>
        <w:rPr>
          <w:rFonts w:cs="宋体" w:asciiTheme="minorEastAsia" w:hAnsiTheme="minorEastAsia" w:eastAsiaTheme="minorEastAsia"/>
          <w:b/>
          <w:color w:val="auto"/>
          <w:sz w:val="28"/>
          <w:szCs w:val="28"/>
          <w:highlight w:val="none"/>
        </w:rPr>
      </w:pPr>
    </w:p>
    <w:p w14:paraId="1B8F1205">
      <w:pPr>
        <w:spacing w:line="500" w:lineRule="exact"/>
        <w:jc w:val="center"/>
        <w:rPr>
          <w:rFonts w:cs="宋体" w:asciiTheme="minorEastAsia" w:hAnsiTheme="minorEastAsia" w:eastAsiaTheme="minorEastAsia"/>
          <w:b/>
          <w:color w:val="auto"/>
          <w:sz w:val="28"/>
          <w:szCs w:val="28"/>
          <w:highlight w:val="none"/>
        </w:rPr>
      </w:pPr>
      <w:r>
        <w:rPr>
          <w:rFonts w:hint="eastAsia" w:cs="宋体" w:asciiTheme="minorEastAsia" w:hAnsiTheme="minorEastAsia" w:eastAsiaTheme="minorEastAsia"/>
          <w:b/>
          <w:color w:val="auto"/>
          <w:sz w:val="28"/>
          <w:szCs w:val="28"/>
          <w:highlight w:val="none"/>
        </w:rPr>
        <w:t>基础报价书</w:t>
      </w:r>
    </w:p>
    <w:p w14:paraId="314EEDE6">
      <w:pPr>
        <w:spacing w:line="500" w:lineRule="exact"/>
        <w:jc w:val="center"/>
        <w:rPr>
          <w:rFonts w:cs="宋体" w:asciiTheme="minorEastAsia" w:hAnsiTheme="minorEastAsia" w:eastAsiaTheme="minorEastAsia"/>
          <w:color w:val="auto"/>
          <w:sz w:val="28"/>
          <w:szCs w:val="28"/>
          <w:highlight w:val="none"/>
        </w:rPr>
      </w:pPr>
    </w:p>
    <w:p w14:paraId="58F48F35">
      <w:pPr>
        <w:spacing w:line="500" w:lineRule="exact"/>
        <w:rPr>
          <w:rFonts w:hint="eastAsia" w:cs="仿宋_GB2312" w:asciiTheme="minorEastAsia" w:hAnsiTheme="minorEastAsia" w:eastAsiaTheme="minorEastAsia"/>
          <w:bCs/>
          <w:color w:val="auto"/>
          <w:sz w:val="24"/>
          <w:szCs w:val="24"/>
          <w:highlight w:val="none"/>
          <w:lang w:eastAsia="zh-CN"/>
        </w:rPr>
      </w:pPr>
      <w:r>
        <w:rPr>
          <w:rFonts w:hint="eastAsia" w:cs="仿宋_GB2312" w:asciiTheme="minorEastAsia" w:hAnsiTheme="minorEastAsia" w:eastAsiaTheme="minorEastAsia"/>
          <w:bCs/>
          <w:color w:val="auto"/>
          <w:sz w:val="24"/>
          <w:szCs w:val="24"/>
          <w:highlight w:val="none"/>
        </w:rPr>
        <w:t>致：</w:t>
      </w:r>
      <w:r>
        <w:rPr>
          <w:rFonts w:hint="eastAsia" w:cs="仿宋_GB2312" w:asciiTheme="minorEastAsia" w:hAnsiTheme="minorEastAsia" w:eastAsiaTheme="minorEastAsia"/>
          <w:bCs/>
          <w:color w:val="auto"/>
          <w:sz w:val="24"/>
          <w:szCs w:val="24"/>
          <w:highlight w:val="none"/>
          <w:lang w:eastAsia="zh-CN"/>
        </w:rPr>
        <w:t>毕节市七星关区杨家湾镇中心校</w:t>
      </w:r>
    </w:p>
    <w:p w14:paraId="2799CE73">
      <w:pPr>
        <w:spacing w:line="500" w:lineRule="exact"/>
        <w:ind w:firstLine="484" w:firstLineChars="200"/>
        <w:rPr>
          <w:rFonts w:cs="仿宋_GB2312" w:asciiTheme="minorEastAsia" w:hAnsiTheme="minorEastAsia" w:eastAsiaTheme="minorEastAsia"/>
          <w:bCs/>
          <w:color w:val="auto"/>
          <w:sz w:val="24"/>
          <w:szCs w:val="24"/>
          <w:highlight w:val="none"/>
        </w:rPr>
      </w:pPr>
      <w:r>
        <w:rPr>
          <w:rFonts w:hint="eastAsia" w:cs="仿宋_GB2312" w:asciiTheme="minorEastAsia" w:hAnsiTheme="minorEastAsia" w:eastAsiaTheme="minorEastAsia"/>
          <w:bCs/>
          <w:color w:val="auto"/>
          <w:sz w:val="24"/>
          <w:szCs w:val="24"/>
          <w:highlight w:val="none"/>
        </w:rPr>
        <w:t>我方已收到贵单位制发的</w:t>
      </w:r>
      <w:r>
        <w:rPr>
          <w:rFonts w:hint="eastAsia" w:asciiTheme="minorEastAsia" w:hAnsiTheme="minorEastAsia" w:eastAsiaTheme="minorEastAsia"/>
          <w:b/>
          <w:color w:val="auto"/>
          <w:kern w:val="0"/>
          <w:sz w:val="24"/>
          <w:szCs w:val="24"/>
          <w:highlight w:val="none"/>
          <w:u w:val="single"/>
          <w:lang w:val="en-US" w:eastAsia="zh-CN"/>
        </w:rPr>
        <w:t xml:space="preserve">       </w:t>
      </w:r>
      <w:r>
        <w:rPr>
          <w:rFonts w:hint="eastAsia" w:cs="仿宋_GB2312" w:asciiTheme="minorEastAsia" w:hAnsiTheme="minorEastAsia" w:eastAsiaTheme="minorEastAsia"/>
          <w:bCs/>
          <w:color w:val="auto"/>
          <w:sz w:val="24"/>
          <w:szCs w:val="24"/>
          <w:highlight w:val="none"/>
        </w:rPr>
        <w:t>（项目名称</w:t>
      </w:r>
      <w:r>
        <w:rPr>
          <w:rFonts w:hint="eastAsia" w:cs="仿宋_GB2312" w:asciiTheme="minorEastAsia" w:hAnsiTheme="minorEastAsia" w:eastAsiaTheme="minorEastAsia"/>
          <w:bCs/>
          <w:color w:val="auto"/>
          <w:sz w:val="24"/>
          <w:szCs w:val="24"/>
          <w:highlight w:val="none"/>
          <w:lang w:eastAsia="zh-CN"/>
        </w:rPr>
        <w:t>、</w:t>
      </w:r>
      <w:r>
        <w:rPr>
          <w:rFonts w:hint="eastAsia" w:cs="仿宋_GB2312" w:asciiTheme="minorEastAsia" w:hAnsiTheme="minorEastAsia" w:eastAsiaTheme="minorEastAsia"/>
          <w:bCs/>
          <w:color w:val="auto"/>
          <w:sz w:val="24"/>
          <w:szCs w:val="24"/>
          <w:highlight w:val="none"/>
          <w:lang w:val="en-US" w:eastAsia="zh-CN"/>
        </w:rPr>
        <w:t>项目编号</w:t>
      </w:r>
      <w:r>
        <w:rPr>
          <w:rFonts w:hint="eastAsia" w:cs="仿宋_GB2312" w:asciiTheme="minorEastAsia" w:hAnsiTheme="minorEastAsia" w:eastAsiaTheme="minorEastAsia"/>
          <w:bCs/>
          <w:color w:val="auto"/>
          <w:sz w:val="24"/>
          <w:szCs w:val="24"/>
          <w:highlight w:val="none"/>
        </w:rPr>
        <w:t>）《磋商文件》，遵照《中华人民共和国政府采购法》和相关法律、法规和规章的规定以及《磋商文件》的要求作如下承诺：</w:t>
      </w:r>
    </w:p>
    <w:p w14:paraId="7632667B">
      <w:pPr>
        <w:spacing w:line="500" w:lineRule="exact"/>
        <w:ind w:firstLine="484" w:firstLineChars="200"/>
        <w:rPr>
          <w:rFonts w:cs="仿宋_GB2312" w:asciiTheme="minorEastAsia" w:hAnsiTheme="minorEastAsia" w:eastAsiaTheme="minorEastAsia"/>
          <w:bCs/>
          <w:color w:val="auto"/>
          <w:sz w:val="24"/>
          <w:szCs w:val="24"/>
          <w:highlight w:val="none"/>
        </w:rPr>
      </w:pPr>
      <w:r>
        <w:rPr>
          <w:rFonts w:cs="仿宋_GB2312" w:asciiTheme="minorEastAsia" w:hAnsiTheme="minorEastAsia" w:eastAsiaTheme="minorEastAsia"/>
          <w:bCs/>
          <w:color w:val="auto"/>
          <w:sz w:val="24"/>
          <w:szCs w:val="24"/>
          <w:highlight w:val="none"/>
        </w:rPr>
        <w:t>1.</w:t>
      </w:r>
      <w:r>
        <w:rPr>
          <w:rFonts w:hint="eastAsia" w:cs="仿宋_GB2312" w:asciiTheme="minorEastAsia" w:hAnsiTheme="minorEastAsia" w:eastAsiaTheme="minorEastAsia"/>
          <w:bCs/>
          <w:color w:val="auto"/>
          <w:sz w:val="24"/>
          <w:szCs w:val="24"/>
          <w:highlight w:val="none"/>
        </w:rPr>
        <w:t>提交电子《响应文件》1份。</w:t>
      </w:r>
    </w:p>
    <w:p w14:paraId="309E4945">
      <w:pPr>
        <w:spacing w:line="500" w:lineRule="exact"/>
        <w:ind w:firstLine="484" w:firstLineChars="200"/>
        <w:rPr>
          <w:rFonts w:cs="仿宋_GB2312" w:asciiTheme="minorEastAsia" w:hAnsiTheme="minorEastAsia" w:eastAsiaTheme="minorEastAsia"/>
          <w:bCs/>
          <w:color w:val="auto"/>
          <w:sz w:val="24"/>
          <w:szCs w:val="24"/>
          <w:highlight w:val="none"/>
        </w:rPr>
      </w:pPr>
      <w:r>
        <w:rPr>
          <w:rFonts w:cs="仿宋_GB2312" w:asciiTheme="minorEastAsia" w:hAnsiTheme="minorEastAsia" w:eastAsiaTheme="minorEastAsia"/>
          <w:bCs/>
          <w:color w:val="auto"/>
          <w:sz w:val="24"/>
          <w:szCs w:val="24"/>
          <w:highlight w:val="none"/>
        </w:rPr>
        <w:t>2.</w:t>
      </w:r>
      <w:r>
        <w:rPr>
          <w:rFonts w:hint="eastAsia" w:cs="仿宋_GB2312" w:asciiTheme="minorEastAsia" w:hAnsiTheme="minorEastAsia" w:eastAsiaTheme="minorEastAsia"/>
          <w:bCs/>
          <w:color w:val="auto"/>
          <w:sz w:val="24"/>
          <w:szCs w:val="24"/>
          <w:highlight w:val="none"/>
        </w:rPr>
        <w:t>我方愿意以小写（人民币）：</w:t>
      </w:r>
      <w:r>
        <w:rPr>
          <w:rFonts w:hint="eastAsia" w:cs="仿宋_GB2312" w:asciiTheme="minorEastAsia" w:hAnsiTheme="minorEastAsia" w:eastAsiaTheme="minorEastAsia"/>
          <w:bCs/>
          <w:color w:val="auto"/>
          <w:sz w:val="24"/>
          <w:szCs w:val="24"/>
          <w:highlight w:val="none"/>
          <w:u w:val="single"/>
        </w:rPr>
        <w:t xml:space="preserve"> </w:t>
      </w:r>
      <w:r>
        <w:rPr>
          <w:rFonts w:cs="仿宋_GB2312" w:asciiTheme="minorEastAsia" w:hAnsiTheme="minorEastAsia" w:eastAsiaTheme="minorEastAsia"/>
          <w:bCs/>
          <w:color w:val="auto"/>
          <w:sz w:val="24"/>
          <w:szCs w:val="24"/>
          <w:highlight w:val="none"/>
          <w:u w:val="single"/>
        </w:rPr>
        <w:t xml:space="preserve">          </w:t>
      </w:r>
      <w:r>
        <w:rPr>
          <w:rFonts w:hint="eastAsia" w:cs="仿宋_GB2312" w:asciiTheme="minorEastAsia" w:hAnsiTheme="minorEastAsia" w:eastAsiaTheme="minorEastAsia"/>
          <w:bCs/>
          <w:color w:val="auto"/>
          <w:sz w:val="24"/>
          <w:szCs w:val="24"/>
          <w:highlight w:val="none"/>
        </w:rPr>
        <w:t>元的基础报价参加磋商</w:t>
      </w:r>
      <w:r>
        <w:rPr>
          <w:rFonts w:cs="仿宋_GB2312" w:asciiTheme="minorEastAsia" w:hAnsiTheme="minorEastAsia" w:eastAsiaTheme="minorEastAsia"/>
          <w:bCs/>
          <w:color w:val="auto"/>
          <w:sz w:val="24"/>
          <w:szCs w:val="24"/>
          <w:highlight w:val="none"/>
        </w:rPr>
        <w:t xml:space="preserve">, </w:t>
      </w:r>
      <w:r>
        <w:rPr>
          <w:rFonts w:hint="eastAsia" w:cs="仿宋_GB2312" w:asciiTheme="minorEastAsia" w:hAnsiTheme="minorEastAsia" w:eastAsiaTheme="minorEastAsia"/>
          <w:bCs/>
          <w:color w:val="auto"/>
          <w:sz w:val="24"/>
          <w:szCs w:val="24"/>
          <w:highlight w:val="none"/>
        </w:rPr>
        <w:t>并在磋商会上在线报出最后报价以向采购方提供全部施工服务，且完全满足《磋商文件》对标的物的施工质量、服务内容等方面的要求。如果我方成交，愿意按《磋商文件》的规定向贵单位交纳招标代理服务费。</w:t>
      </w:r>
    </w:p>
    <w:p w14:paraId="35F53731">
      <w:pPr>
        <w:spacing w:line="500" w:lineRule="exact"/>
        <w:ind w:firstLine="484" w:firstLineChars="200"/>
        <w:rPr>
          <w:rFonts w:cs="仿宋_GB2312" w:asciiTheme="minorEastAsia" w:hAnsiTheme="minorEastAsia" w:eastAsiaTheme="minorEastAsia"/>
          <w:bCs/>
          <w:color w:val="auto"/>
          <w:sz w:val="24"/>
          <w:szCs w:val="24"/>
          <w:highlight w:val="none"/>
        </w:rPr>
      </w:pPr>
      <w:r>
        <w:rPr>
          <w:rFonts w:hint="eastAsia" w:cs="仿宋_GB2312" w:asciiTheme="minorEastAsia" w:hAnsiTheme="minorEastAsia" w:eastAsiaTheme="minorEastAsia"/>
          <w:bCs/>
          <w:color w:val="auto"/>
          <w:sz w:val="24"/>
          <w:szCs w:val="24"/>
          <w:highlight w:val="none"/>
          <w:lang w:val="en-US" w:eastAsia="zh-CN"/>
        </w:rPr>
        <w:t>3</w:t>
      </w:r>
      <w:r>
        <w:rPr>
          <w:rFonts w:cs="仿宋_GB2312" w:asciiTheme="minorEastAsia" w:hAnsiTheme="minorEastAsia" w:eastAsiaTheme="minorEastAsia"/>
          <w:bCs/>
          <w:color w:val="auto"/>
          <w:sz w:val="24"/>
          <w:szCs w:val="24"/>
          <w:highlight w:val="none"/>
        </w:rPr>
        <w:t>.</w:t>
      </w:r>
      <w:r>
        <w:rPr>
          <w:rFonts w:hint="eastAsia" w:cs="仿宋_GB2312" w:asciiTheme="minorEastAsia" w:hAnsiTheme="minorEastAsia" w:eastAsiaTheme="minorEastAsia"/>
          <w:bCs/>
          <w:color w:val="auto"/>
          <w:sz w:val="24"/>
          <w:szCs w:val="24"/>
          <w:highlight w:val="none"/>
        </w:rPr>
        <w:t>如果我方成交，我方将在《磋商文件》规定的限期内与采购单位签订合同并履行相应的责任和义务。如我方因自身原因不能履行合同的，贵方将不予退还我方的履约保证金，我方将承担相应的经济和法律责任。</w:t>
      </w:r>
    </w:p>
    <w:p w14:paraId="3C43895C">
      <w:pPr>
        <w:spacing w:line="500" w:lineRule="exact"/>
        <w:ind w:firstLine="484" w:firstLineChars="200"/>
        <w:jc w:val="left"/>
        <w:rPr>
          <w:rFonts w:cs="仿宋_GB2312" w:asciiTheme="minorEastAsia" w:hAnsiTheme="minorEastAsia" w:eastAsiaTheme="minorEastAsia"/>
          <w:bCs/>
          <w:color w:val="auto"/>
          <w:sz w:val="24"/>
          <w:szCs w:val="24"/>
          <w:highlight w:val="none"/>
        </w:rPr>
      </w:pPr>
      <w:r>
        <w:rPr>
          <w:rFonts w:hint="eastAsia" w:cs="仿宋_GB2312" w:asciiTheme="minorEastAsia" w:hAnsiTheme="minorEastAsia" w:eastAsiaTheme="minorEastAsia"/>
          <w:bCs/>
          <w:color w:val="auto"/>
          <w:sz w:val="24"/>
          <w:szCs w:val="24"/>
          <w:highlight w:val="none"/>
          <w:lang w:val="en-US" w:eastAsia="zh-CN"/>
        </w:rPr>
        <w:t>4</w:t>
      </w:r>
      <w:r>
        <w:rPr>
          <w:rFonts w:cs="仿宋_GB2312" w:asciiTheme="minorEastAsia" w:hAnsiTheme="minorEastAsia" w:eastAsiaTheme="minorEastAsia"/>
          <w:bCs/>
          <w:color w:val="auto"/>
          <w:sz w:val="24"/>
          <w:szCs w:val="24"/>
          <w:highlight w:val="none"/>
        </w:rPr>
        <w:t>.</w:t>
      </w:r>
      <w:r>
        <w:rPr>
          <w:rFonts w:hint="eastAsia" w:cs="仿宋_GB2312" w:asciiTheme="minorEastAsia" w:hAnsiTheme="minorEastAsia" w:eastAsiaTheme="minorEastAsia"/>
          <w:bCs/>
          <w:color w:val="auto"/>
          <w:sz w:val="24"/>
          <w:szCs w:val="24"/>
          <w:highlight w:val="none"/>
        </w:rPr>
        <w:t>我方已详细阅读了全部《磋商文件》（包括修改文件、参考资料和有关附件），我方认为《磋商文件》所有的条款是合理、公平、公正的，我们完全理解并同意放弃对这方面有不明及误解的权利。</w:t>
      </w:r>
    </w:p>
    <w:p w14:paraId="77DAD057">
      <w:pPr>
        <w:spacing w:line="500" w:lineRule="exact"/>
        <w:ind w:firstLine="484" w:firstLineChars="200"/>
        <w:jc w:val="left"/>
        <w:rPr>
          <w:color w:val="auto"/>
          <w:highlight w:val="none"/>
        </w:rPr>
      </w:pPr>
      <w:r>
        <w:rPr>
          <w:rFonts w:hint="default" w:asciiTheme="minorEastAsia" w:hAnsiTheme="minorEastAsia" w:eastAsiaTheme="minorEastAsia"/>
          <w:color w:val="auto"/>
          <w:sz w:val="24"/>
          <w:szCs w:val="24"/>
          <w:highlight w:val="none"/>
          <w:lang w:val="en-US"/>
        </w:rPr>
        <mc:AlternateContent>
          <mc:Choice Requires="wps">
            <w:drawing>
              <wp:anchor distT="0" distB="0" distL="114300" distR="114300" simplePos="0" relativeHeight="251659264" behindDoc="0" locked="0" layoutInCell="1" allowOverlap="1">
                <wp:simplePos x="0" y="0"/>
                <wp:positionH relativeFrom="column">
                  <wp:posOffset>4686300</wp:posOffset>
                </wp:positionH>
                <wp:positionV relativeFrom="paragraph">
                  <wp:posOffset>286385</wp:posOffset>
                </wp:positionV>
                <wp:extent cx="635" cy="635"/>
                <wp:effectExtent l="0" t="0" r="18415" b="18415"/>
                <wp:wrapNone/>
                <wp:docPr id="3" name="Line 6"/>
                <wp:cNvGraphicFramePr/>
                <a:graphic xmlns:a="http://schemas.openxmlformats.org/drawingml/2006/main">
                  <a:graphicData uri="http://schemas.microsoft.com/office/word/2010/wordprocessingShape">
                    <wps:wsp>
                      <wps:cNvCnPr/>
                      <wps:spPr>
                        <a:xfrm>
                          <a:off x="0" y="0"/>
                          <a:ext cx="635"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6" o:spid="_x0000_s1026" o:spt="20" style="position:absolute;left:0pt;margin-left:369pt;margin-top:22.55pt;height:0.05pt;width:0.05pt;z-index:251659264;mso-width-relative:page;mso-height-relative:page;" filled="f" stroked="t" coordsize="21600,21600" o:gfxdata="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3WIA3WAAAACQEAAA8AAAAAAAAAAQAgAAAAIgAAAGRy&#10;cy9kb3ducmV2LnhtbFBLAQIUABQAAAAIAIdO4kDsxuUkzgEAAMsDAAAOAAAAAAAAAAEAIAAAACUB&#10;AABkcnMvZTJvRG9jLnhtbFBLBQYAAAAABgAGAFkBAABlBQAAAAA=&#10;">
                <v:fill on="f" focussize="0,0"/>
                <v:stroke color="#000000" joinstyle="round"/>
                <v:imagedata o:title=""/>
                <o:lock v:ext="edit" aspectratio="f"/>
              </v:line>
            </w:pict>
          </mc:Fallback>
        </mc:AlternateContent>
      </w:r>
      <w:r>
        <w:rPr>
          <w:rFonts w:hint="eastAsia" w:asciiTheme="minorEastAsia" w:hAnsiTheme="minorEastAsia" w:eastAsiaTheme="minorEastAsia"/>
          <w:color w:val="auto"/>
          <w:sz w:val="24"/>
          <w:szCs w:val="24"/>
          <w:highlight w:val="none"/>
          <w:lang w:val="en-US" w:eastAsia="zh-CN"/>
        </w:rPr>
        <w:t>5</w:t>
      </w:r>
      <w:r>
        <w:rPr>
          <w:rFonts w:cs="仿宋_GB2312" w:asciiTheme="minorEastAsia" w:hAnsiTheme="minorEastAsia" w:eastAsiaTheme="minorEastAsia"/>
          <w:bCs/>
          <w:color w:val="auto"/>
          <w:sz w:val="24"/>
          <w:szCs w:val="24"/>
          <w:highlight w:val="none"/>
        </w:rPr>
        <w:t>.</w:t>
      </w:r>
      <w:r>
        <w:rPr>
          <w:rFonts w:hint="eastAsia" w:cs="仿宋_GB2312" w:asciiTheme="minorEastAsia" w:hAnsiTheme="minorEastAsia" w:eastAsiaTheme="minorEastAsia"/>
          <w:bCs/>
          <w:color w:val="auto"/>
          <w:sz w:val="24"/>
          <w:szCs w:val="24"/>
          <w:highlight w:val="none"/>
        </w:rPr>
        <w:t>我方的最后报价从填报之日至合同终止期间有效，如果我方在合同终止前撤回最后报价将承担违约责任。</w:t>
      </w:r>
    </w:p>
    <w:p w14:paraId="3DAF142E">
      <w:pPr>
        <w:spacing w:line="500" w:lineRule="exact"/>
        <w:ind w:firstLine="3377" w:firstLineChars="1396"/>
        <w:jc w:val="right"/>
        <w:rPr>
          <w:rFonts w:cs="仿宋_GB2312" w:asciiTheme="minorEastAsia" w:hAnsiTheme="minorEastAsia" w:eastAsiaTheme="minorEastAsia"/>
          <w:bCs/>
          <w:color w:val="auto"/>
          <w:sz w:val="24"/>
          <w:szCs w:val="24"/>
          <w:highlight w:val="none"/>
        </w:rPr>
      </w:pPr>
      <w:r>
        <w:rPr>
          <w:rFonts w:hint="eastAsia" w:cs="仿宋_GB2312" w:asciiTheme="minorEastAsia" w:hAnsiTheme="minorEastAsia" w:eastAsiaTheme="minorEastAsia"/>
          <w:bCs/>
          <w:color w:val="auto"/>
          <w:sz w:val="24"/>
          <w:szCs w:val="24"/>
          <w:highlight w:val="none"/>
        </w:rPr>
        <w:t>供应商全称：            （电子签章）</w:t>
      </w:r>
    </w:p>
    <w:p w14:paraId="5453A6F3">
      <w:pPr>
        <w:spacing w:line="500" w:lineRule="exact"/>
        <w:ind w:firstLine="3377" w:firstLineChars="1396"/>
        <w:jc w:val="center"/>
        <w:rPr>
          <w:rFonts w:cs="仿宋_GB2312" w:asciiTheme="minorEastAsia" w:hAnsiTheme="minorEastAsia" w:eastAsiaTheme="minorEastAsia"/>
          <w:bCs/>
          <w:color w:val="auto"/>
          <w:sz w:val="24"/>
          <w:szCs w:val="24"/>
          <w:highlight w:val="none"/>
        </w:rPr>
      </w:pPr>
      <w:r>
        <w:rPr>
          <w:rFonts w:hint="eastAsia" w:cs="仿宋_GB2312" w:asciiTheme="minorEastAsia" w:hAnsiTheme="minorEastAsia" w:eastAsiaTheme="minorEastAsia"/>
          <w:bCs/>
          <w:color w:val="auto"/>
          <w:sz w:val="24"/>
          <w:szCs w:val="24"/>
          <w:highlight w:val="none"/>
        </w:rPr>
        <w:t xml:space="preserve">               法人代表人：            （电子签章）</w:t>
      </w:r>
    </w:p>
    <w:p w14:paraId="073B7575">
      <w:pPr>
        <w:spacing w:line="500" w:lineRule="exact"/>
        <w:ind w:firstLine="4418" w:firstLineChars="1826"/>
        <w:jc w:val="right"/>
        <w:rPr>
          <w:rFonts w:cs="仿宋_GB2312" w:asciiTheme="minorEastAsia" w:hAnsiTheme="minorEastAsia" w:eastAsiaTheme="minorEastAsia"/>
          <w:bCs/>
          <w:color w:val="auto"/>
          <w:sz w:val="24"/>
          <w:szCs w:val="24"/>
          <w:highlight w:val="none"/>
        </w:rPr>
      </w:pPr>
      <w:r>
        <w:rPr>
          <w:rFonts w:hint="eastAsia" w:cs="仿宋_GB2312" w:asciiTheme="minorEastAsia" w:hAnsiTheme="minorEastAsia" w:eastAsiaTheme="minorEastAsia"/>
          <w:bCs/>
          <w:color w:val="auto"/>
          <w:sz w:val="24"/>
          <w:szCs w:val="24"/>
          <w:highlight w:val="none"/>
        </w:rPr>
        <w:t>年   月   日</w:t>
      </w:r>
    </w:p>
    <w:p w14:paraId="386C0C74">
      <w:pPr>
        <w:autoSpaceDE w:val="0"/>
        <w:autoSpaceDN w:val="0"/>
        <w:adjustRightInd w:val="0"/>
        <w:jc w:val="left"/>
        <w:rPr>
          <w:rFonts w:ascii="宋体" w:hAnsi="宋体" w:cs="TimesNewRomanPS-BoldMT"/>
          <w:b/>
          <w:bCs/>
          <w:color w:val="auto"/>
          <w:kern w:val="0"/>
          <w:sz w:val="28"/>
          <w:szCs w:val="28"/>
          <w:highlight w:val="none"/>
        </w:rPr>
      </w:pPr>
      <w:r>
        <w:rPr>
          <w:rFonts w:asciiTheme="minorEastAsia" w:hAnsiTheme="minorEastAsia" w:eastAsiaTheme="minorEastAsia"/>
          <w:color w:val="auto"/>
          <w:sz w:val="24"/>
          <w:szCs w:val="24"/>
          <w:highlight w:val="none"/>
        </w:rPr>
        <w:br w:type="page"/>
      </w:r>
      <w:bookmarkStart w:id="31" w:name="_Toc532292403"/>
      <w:bookmarkStart w:id="32" w:name="_Toc517881192"/>
      <w:bookmarkStart w:id="33" w:name="_Toc517881082"/>
      <w:r>
        <w:rPr>
          <w:rFonts w:hint="eastAsia" w:ascii="宋体" w:hAnsi="宋体" w:cs="宋体"/>
          <w:b/>
          <w:color w:val="auto"/>
          <w:kern w:val="0"/>
          <w:sz w:val="28"/>
          <w:szCs w:val="28"/>
          <w:highlight w:val="none"/>
        </w:rPr>
        <w:t>附件</w:t>
      </w:r>
      <w:r>
        <w:rPr>
          <w:rFonts w:ascii="宋体" w:hAnsi="宋体" w:cs="TimesNewRomanPS-BoldMT"/>
          <w:b/>
          <w:bCs/>
          <w:color w:val="auto"/>
          <w:kern w:val="0"/>
          <w:sz w:val="28"/>
          <w:szCs w:val="28"/>
          <w:highlight w:val="none"/>
        </w:rPr>
        <w:t>2</w:t>
      </w:r>
      <w:r>
        <w:rPr>
          <w:rFonts w:hint="eastAsia" w:ascii="宋体" w:hAnsi="宋体" w:cs="宋体"/>
          <w:b/>
          <w:color w:val="auto"/>
          <w:kern w:val="0"/>
          <w:sz w:val="28"/>
          <w:szCs w:val="28"/>
          <w:highlight w:val="none"/>
        </w:rPr>
        <w:t>（参考格式）</w:t>
      </w:r>
      <w:r>
        <w:rPr>
          <w:rFonts w:ascii="宋体" w:hAnsi="宋体" w:cs="TimesNewRomanPS-BoldMT"/>
          <w:b/>
          <w:bCs/>
          <w:color w:val="auto"/>
          <w:kern w:val="0"/>
          <w:sz w:val="28"/>
          <w:szCs w:val="28"/>
          <w:highlight w:val="none"/>
        </w:rPr>
        <w:t>:</w:t>
      </w:r>
    </w:p>
    <w:p w14:paraId="4B090B43">
      <w:pPr>
        <w:spacing w:line="600" w:lineRule="exact"/>
        <w:jc w:val="center"/>
        <w:rPr>
          <w:rFonts w:hAnsi="宋体"/>
          <w:b/>
          <w:color w:val="auto"/>
          <w:sz w:val="36"/>
          <w:szCs w:val="36"/>
          <w:highlight w:val="none"/>
        </w:rPr>
      </w:pPr>
      <w:r>
        <w:rPr>
          <w:rFonts w:hint="eastAsia" w:hAnsi="宋体"/>
          <w:b/>
          <w:color w:val="auto"/>
          <w:sz w:val="36"/>
          <w:szCs w:val="36"/>
          <w:highlight w:val="none"/>
        </w:rPr>
        <w:t>授权委托书</w:t>
      </w:r>
    </w:p>
    <w:p w14:paraId="0D7104BC">
      <w:pPr>
        <w:spacing w:line="440" w:lineRule="exact"/>
        <w:ind w:firstLine="363" w:firstLineChars="150"/>
        <w:rPr>
          <w:rFonts w:hint="eastAsia" w:hAnsi="宋体" w:eastAsia="宋体"/>
          <w:color w:val="auto"/>
          <w:sz w:val="24"/>
          <w:szCs w:val="24"/>
          <w:highlight w:val="none"/>
          <w:lang w:eastAsia="zh-CN"/>
        </w:rPr>
      </w:pPr>
      <w:r>
        <w:rPr>
          <w:rFonts w:hint="eastAsia" w:hAnsi="宋体"/>
          <w:color w:val="auto"/>
          <w:sz w:val="24"/>
          <w:szCs w:val="24"/>
          <w:highlight w:val="none"/>
        </w:rPr>
        <w:t>致：</w:t>
      </w:r>
      <w:r>
        <w:rPr>
          <w:rFonts w:hint="eastAsia" w:hAnsi="宋体"/>
          <w:color w:val="auto"/>
          <w:sz w:val="24"/>
          <w:szCs w:val="24"/>
          <w:highlight w:val="none"/>
          <w:lang w:eastAsia="zh-CN"/>
        </w:rPr>
        <w:t>贵州金秋工程项目管理有限公司</w:t>
      </w:r>
    </w:p>
    <w:p w14:paraId="58BC5466">
      <w:pPr>
        <w:spacing w:line="360" w:lineRule="auto"/>
        <w:ind w:firstLine="484" w:firstLineChars="200"/>
        <w:rPr>
          <w:rFonts w:hAnsi="宋体" w:cs="楷体_GB2312"/>
          <w:color w:val="auto"/>
          <w:sz w:val="24"/>
          <w:szCs w:val="24"/>
          <w:highlight w:val="none"/>
        </w:rPr>
      </w:pPr>
      <w:r>
        <w:rPr>
          <w:rFonts w:hint="eastAsia" w:hAnsi="宋体" w:cs="楷体_GB2312"/>
          <w:color w:val="auto"/>
          <w:sz w:val="24"/>
          <w:szCs w:val="24"/>
          <w:highlight w:val="none"/>
        </w:rPr>
        <w:t>兹委派我单位</w:t>
      </w:r>
      <w:r>
        <w:rPr>
          <w:rFonts w:hint="eastAsia" w:hAnsi="宋体" w:cs="楷体_GB2312"/>
          <w:color w:val="auto"/>
          <w:sz w:val="24"/>
          <w:szCs w:val="24"/>
          <w:highlight w:val="none"/>
          <w:u w:val="single"/>
        </w:rPr>
        <w:t xml:space="preserve"> </w:t>
      </w:r>
      <w:r>
        <w:rPr>
          <w:rFonts w:hAnsi="宋体" w:cs="楷体_GB2312"/>
          <w:color w:val="auto"/>
          <w:sz w:val="24"/>
          <w:szCs w:val="24"/>
          <w:highlight w:val="none"/>
          <w:u w:val="single"/>
        </w:rPr>
        <w:t xml:space="preserve">     </w:t>
      </w:r>
      <w:r>
        <w:rPr>
          <w:rFonts w:hAnsi="宋体" w:cs="楷体_GB2312"/>
          <w:color w:val="auto"/>
          <w:sz w:val="24"/>
          <w:szCs w:val="24"/>
          <w:highlight w:val="none"/>
        </w:rPr>
        <w:t xml:space="preserve"> </w:t>
      </w:r>
      <w:r>
        <w:rPr>
          <w:rFonts w:hint="eastAsia" w:hAnsi="宋体" w:cs="楷体_GB2312"/>
          <w:color w:val="auto"/>
          <w:sz w:val="24"/>
          <w:szCs w:val="24"/>
          <w:highlight w:val="none"/>
        </w:rPr>
        <w:t>(被委托人姓名)参加贵方组织的</w:t>
      </w:r>
      <w:r>
        <w:rPr>
          <w:rFonts w:hint="eastAsia" w:asciiTheme="minorEastAsia" w:hAnsiTheme="minorEastAsia" w:eastAsiaTheme="minorEastAsia"/>
          <w:b/>
          <w:color w:val="auto"/>
          <w:kern w:val="0"/>
          <w:sz w:val="24"/>
          <w:szCs w:val="24"/>
          <w:highlight w:val="none"/>
          <w:u w:val="single"/>
          <w:lang w:eastAsia="zh-CN"/>
        </w:rPr>
        <w:t>七星关区杨家湾镇中心校维修改造项目</w:t>
      </w:r>
      <w:r>
        <w:rPr>
          <w:rFonts w:hint="eastAsia" w:hAnsi="宋体" w:cs="楷体_GB2312"/>
          <w:color w:val="auto"/>
          <w:sz w:val="24"/>
          <w:szCs w:val="24"/>
          <w:highlight w:val="none"/>
        </w:rPr>
        <w:t>(项目名称)竞争性磋商活动，全权代表我单位处理本次磋商的有关事务，本授权书于本单位盖章和法定代表人签字或盖章之日生效</w:t>
      </w:r>
      <w:r>
        <w:rPr>
          <w:rFonts w:hint="eastAsia" w:hAnsi="宋体"/>
          <w:color w:val="auto"/>
          <w:sz w:val="24"/>
          <w:szCs w:val="24"/>
          <w:highlight w:val="none"/>
        </w:rPr>
        <w:t>。</w:t>
      </w:r>
    </w:p>
    <w:p w14:paraId="00337A14">
      <w:pPr>
        <w:spacing w:line="360" w:lineRule="auto"/>
        <w:ind w:firstLine="484" w:firstLineChars="200"/>
        <w:rPr>
          <w:rFonts w:hAnsi="宋体"/>
          <w:color w:val="auto"/>
          <w:sz w:val="24"/>
          <w:szCs w:val="24"/>
          <w:highlight w:val="none"/>
        </w:rPr>
      </w:pPr>
      <w:r>
        <w:rPr>
          <w:rFonts w:hint="eastAsia" w:hAnsi="宋体"/>
          <w:color w:val="auto"/>
          <w:sz w:val="24"/>
          <w:szCs w:val="24"/>
          <w:highlight w:val="none"/>
        </w:rPr>
        <w:t>附：法定代表人身份证及被委托人身份证</w:t>
      </w:r>
    </w:p>
    <w:p w14:paraId="188803AB">
      <w:pPr>
        <w:rPr>
          <w:color w:val="auto"/>
          <w:highlight w:val="none"/>
        </w:rPr>
      </w:pPr>
    </w:p>
    <w:p w14:paraId="01F3DBBA">
      <w:pPr>
        <w:spacing w:line="360" w:lineRule="auto"/>
        <w:ind w:firstLine="544" w:firstLineChars="225"/>
        <w:rPr>
          <w:rFonts w:hAnsi="宋体"/>
          <w:color w:val="auto"/>
          <w:sz w:val="24"/>
          <w:szCs w:val="24"/>
          <w:highlight w:val="none"/>
        </w:rPr>
      </w:pPr>
    </w:p>
    <w:p w14:paraId="5CE859C3">
      <w:pPr>
        <w:spacing w:line="360" w:lineRule="auto"/>
        <w:ind w:firstLine="4174" w:firstLineChars="1725"/>
        <w:rPr>
          <w:rFonts w:hAnsi="宋体"/>
          <w:color w:val="auto"/>
          <w:sz w:val="24"/>
          <w:szCs w:val="24"/>
          <w:highlight w:val="none"/>
        </w:rPr>
      </w:pPr>
    </w:p>
    <w:p w14:paraId="0EC64EDC">
      <w:pPr>
        <w:spacing w:line="360" w:lineRule="auto"/>
        <w:ind w:firstLine="4174" w:firstLineChars="1725"/>
        <w:rPr>
          <w:rFonts w:hAnsi="宋体"/>
          <w:color w:val="auto"/>
          <w:sz w:val="24"/>
          <w:szCs w:val="24"/>
          <w:highlight w:val="none"/>
        </w:rPr>
      </w:pPr>
    </w:p>
    <w:p w14:paraId="23205854">
      <w:pPr>
        <w:spacing w:line="360" w:lineRule="auto"/>
        <w:ind w:firstLine="4174" w:firstLineChars="1725"/>
        <w:rPr>
          <w:rFonts w:hAnsi="宋体"/>
          <w:color w:val="auto"/>
          <w:sz w:val="24"/>
          <w:szCs w:val="24"/>
          <w:highlight w:val="none"/>
        </w:rPr>
      </w:pPr>
    </w:p>
    <w:p w14:paraId="7B309C59">
      <w:pPr>
        <w:spacing w:line="360" w:lineRule="auto"/>
        <w:ind w:firstLine="4174" w:firstLineChars="1725"/>
        <w:rPr>
          <w:rFonts w:hAnsi="宋体"/>
          <w:color w:val="auto"/>
          <w:sz w:val="24"/>
          <w:szCs w:val="24"/>
          <w:highlight w:val="none"/>
        </w:rPr>
      </w:pPr>
    </w:p>
    <w:p w14:paraId="14A42745">
      <w:pPr>
        <w:spacing w:line="360" w:lineRule="auto"/>
        <w:ind w:firstLine="4174" w:firstLineChars="1725"/>
        <w:rPr>
          <w:rFonts w:hAnsi="宋体"/>
          <w:color w:val="auto"/>
          <w:sz w:val="24"/>
          <w:szCs w:val="24"/>
          <w:highlight w:val="none"/>
        </w:rPr>
      </w:pPr>
    </w:p>
    <w:p w14:paraId="57783DA0">
      <w:pPr>
        <w:pStyle w:val="2"/>
        <w:rPr>
          <w:rFonts w:hAnsi="宋体"/>
          <w:color w:val="auto"/>
          <w:sz w:val="24"/>
          <w:szCs w:val="24"/>
          <w:highlight w:val="none"/>
        </w:rPr>
      </w:pPr>
    </w:p>
    <w:p w14:paraId="2ED6C0A9">
      <w:pPr>
        <w:rPr>
          <w:rFonts w:hAnsi="宋体"/>
          <w:color w:val="auto"/>
          <w:sz w:val="24"/>
          <w:szCs w:val="24"/>
          <w:highlight w:val="none"/>
        </w:rPr>
      </w:pPr>
    </w:p>
    <w:p w14:paraId="0F145A15">
      <w:pPr>
        <w:pStyle w:val="2"/>
        <w:rPr>
          <w:color w:val="auto"/>
          <w:highlight w:val="none"/>
        </w:rPr>
      </w:pPr>
    </w:p>
    <w:p w14:paraId="1CE85176">
      <w:pPr>
        <w:spacing w:line="360" w:lineRule="auto"/>
        <w:ind w:firstLine="4174" w:firstLineChars="1725"/>
        <w:rPr>
          <w:rFonts w:hAnsi="宋体"/>
          <w:color w:val="auto"/>
          <w:sz w:val="24"/>
          <w:szCs w:val="24"/>
          <w:highlight w:val="none"/>
        </w:rPr>
      </w:pPr>
    </w:p>
    <w:p w14:paraId="174B8018">
      <w:pPr>
        <w:spacing w:line="360" w:lineRule="auto"/>
        <w:ind w:firstLine="4174" w:firstLineChars="1725"/>
        <w:rPr>
          <w:rFonts w:hAnsi="宋体"/>
          <w:color w:val="auto"/>
          <w:sz w:val="24"/>
          <w:szCs w:val="24"/>
          <w:highlight w:val="none"/>
        </w:rPr>
      </w:pPr>
    </w:p>
    <w:p w14:paraId="1FC9395E">
      <w:pPr>
        <w:spacing w:line="360" w:lineRule="auto"/>
        <w:ind w:firstLine="4174" w:firstLineChars="1725"/>
        <w:jc w:val="right"/>
        <w:rPr>
          <w:rFonts w:hAnsi="宋体"/>
          <w:b/>
          <w:color w:val="auto"/>
          <w:sz w:val="24"/>
          <w:szCs w:val="24"/>
          <w:highlight w:val="none"/>
          <w:u w:val="single"/>
        </w:rPr>
      </w:pPr>
      <w:r>
        <w:rPr>
          <w:rFonts w:hint="eastAsia" w:hAnsi="宋体"/>
          <w:color w:val="auto"/>
          <w:sz w:val="24"/>
          <w:szCs w:val="24"/>
          <w:highlight w:val="none"/>
        </w:rPr>
        <w:t>法定代表人：   （</w:t>
      </w:r>
      <w:r>
        <w:rPr>
          <w:rFonts w:hint="eastAsia" w:hAnsi="宋体"/>
          <w:bCs/>
          <w:color w:val="auto"/>
          <w:sz w:val="24"/>
          <w:szCs w:val="24"/>
          <w:highlight w:val="none"/>
        </w:rPr>
        <w:t>电子签章</w:t>
      </w:r>
      <w:r>
        <w:rPr>
          <w:rFonts w:hint="eastAsia" w:hAnsi="宋体"/>
          <w:color w:val="auto"/>
          <w:sz w:val="24"/>
          <w:szCs w:val="24"/>
          <w:highlight w:val="none"/>
        </w:rPr>
        <w:t>）</w:t>
      </w:r>
    </w:p>
    <w:p w14:paraId="73008242">
      <w:pPr>
        <w:spacing w:line="360" w:lineRule="auto"/>
        <w:ind w:firstLine="4658" w:firstLineChars="1925"/>
        <w:jc w:val="right"/>
        <w:rPr>
          <w:rFonts w:hAnsi="宋体"/>
          <w:color w:val="auto"/>
          <w:sz w:val="24"/>
          <w:szCs w:val="24"/>
          <w:highlight w:val="none"/>
        </w:rPr>
      </w:pPr>
      <w:r>
        <w:rPr>
          <w:rFonts w:hint="eastAsia" w:hAnsi="宋体"/>
          <w:color w:val="auto"/>
          <w:sz w:val="24"/>
          <w:szCs w:val="24"/>
          <w:highlight w:val="none"/>
        </w:rPr>
        <w:t>供应商全称：   （</w:t>
      </w:r>
      <w:r>
        <w:rPr>
          <w:rFonts w:hint="eastAsia" w:hAnsi="宋体"/>
          <w:bCs/>
          <w:color w:val="auto"/>
          <w:sz w:val="24"/>
          <w:szCs w:val="24"/>
          <w:highlight w:val="none"/>
        </w:rPr>
        <w:t>电子签章</w:t>
      </w:r>
      <w:r>
        <w:rPr>
          <w:rFonts w:hint="eastAsia" w:hAnsi="宋体"/>
          <w:color w:val="auto"/>
          <w:sz w:val="24"/>
          <w:szCs w:val="24"/>
          <w:highlight w:val="none"/>
        </w:rPr>
        <w:t>）</w:t>
      </w:r>
    </w:p>
    <w:p w14:paraId="6C7A39E2">
      <w:pPr>
        <w:spacing w:line="360" w:lineRule="auto"/>
        <w:ind w:firstLine="5142" w:firstLineChars="2125"/>
        <w:jc w:val="right"/>
        <w:rPr>
          <w:rFonts w:hAnsi="宋体"/>
          <w:color w:val="auto"/>
          <w:sz w:val="24"/>
          <w:szCs w:val="24"/>
          <w:highlight w:val="none"/>
        </w:rPr>
      </w:pPr>
      <w:r>
        <w:rPr>
          <w:rFonts w:hint="eastAsia" w:hAnsi="宋体"/>
          <w:color w:val="auto"/>
          <w:sz w:val="24"/>
          <w:szCs w:val="24"/>
          <w:highlight w:val="none"/>
        </w:rPr>
        <w:t>年   月   日</w:t>
      </w:r>
    </w:p>
    <w:p w14:paraId="404B6BC5">
      <w:pPr>
        <w:autoSpaceDE w:val="0"/>
        <w:autoSpaceDN w:val="0"/>
        <w:adjustRightInd w:val="0"/>
        <w:jc w:val="right"/>
        <w:rPr>
          <w:rFonts w:ascii="宋体" w:hAnsi="宋体" w:cs="宋体"/>
          <w:b/>
          <w:color w:val="auto"/>
          <w:kern w:val="0"/>
          <w:sz w:val="28"/>
          <w:szCs w:val="28"/>
          <w:highlight w:val="none"/>
        </w:rPr>
      </w:pPr>
    </w:p>
    <w:p w14:paraId="7B450B3D">
      <w:pPr>
        <w:pStyle w:val="2"/>
      </w:pPr>
    </w:p>
    <w:p w14:paraId="34D03337">
      <w:pPr>
        <w:autoSpaceDE w:val="0"/>
        <w:autoSpaceDN w:val="0"/>
        <w:adjustRightInd w:val="0"/>
        <w:jc w:val="left"/>
        <w:rPr>
          <w:rFonts w:ascii="宋体" w:hAnsi="宋体" w:cs="宋体"/>
          <w:b/>
          <w:color w:val="auto"/>
          <w:kern w:val="0"/>
          <w:sz w:val="28"/>
          <w:szCs w:val="28"/>
          <w:highlight w:val="none"/>
        </w:rPr>
      </w:pPr>
    </w:p>
    <w:p w14:paraId="52FF9E2F">
      <w:pPr>
        <w:autoSpaceDE w:val="0"/>
        <w:autoSpaceDN w:val="0"/>
        <w:adjustRightInd w:val="0"/>
        <w:jc w:val="left"/>
        <w:rPr>
          <w:rFonts w:ascii="宋体" w:hAnsi="宋体" w:cs="宋体"/>
          <w:b/>
          <w:color w:val="auto"/>
          <w:kern w:val="0"/>
          <w:sz w:val="28"/>
          <w:szCs w:val="28"/>
          <w:highlight w:val="none"/>
        </w:rPr>
      </w:pPr>
    </w:p>
    <w:p w14:paraId="233875B4">
      <w:pPr>
        <w:autoSpaceDE w:val="0"/>
        <w:autoSpaceDN w:val="0"/>
        <w:adjustRightInd w:val="0"/>
        <w:jc w:val="left"/>
        <w:rPr>
          <w:rFonts w:ascii="宋体" w:hAnsi="宋体" w:cs="TimesNewRomanPS-BoldMT"/>
          <w:b/>
          <w:bCs/>
          <w:color w:val="auto"/>
          <w:kern w:val="0"/>
          <w:sz w:val="28"/>
          <w:szCs w:val="28"/>
          <w:highlight w:val="none"/>
        </w:rPr>
      </w:pPr>
      <w:r>
        <w:rPr>
          <w:rFonts w:hint="eastAsia" w:ascii="宋体" w:hAnsi="宋体" w:cs="宋体"/>
          <w:b/>
          <w:color w:val="auto"/>
          <w:kern w:val="0"/>
          <w:sz w:val="28"/>
          <w:szCs w:val="28"/>
          <w:highlight w:val="none"/>
        </w:rPr>
        <w:t>附件</w:t>
      </w:r>
      <w:r>
        <w:rPr>
          <w:rFonts w:hint="eastAsia" w:ascii="宋体" w:hAnsi="宋体" w:cs="TimesNewRomanPS-BoldMT"/>
          <w:b/>
          <w:bCs/>
          <w:color w:val="auto"/>
          <w:kern w:val="0"/>
          <w:sz w:val="28"/>
          <w:szCs w:val="28"/>
          <w:highlight w:val="none"/>
        </w:rPr>
        <w:t>3</w:t>
      </w:r>
      <w:r>
        <w:rPr>
          <w:rFonts w:hint="eastAsia" w:ascii="宋体" w:hAnsi="宋体" w:cs="宋体"/>
          <w:b/>
          <w:color w:val="auto"/>
          <w:kern w:val="0"/>
          <w:sz w:val="28"/>
          <w:szCs w:val="28"/>
          <w:highlight w:val="none"/>
        </w:rPr>
        <w:t>（参考格式）</w:t>
      </w:r>
      <w:r>
        <w:rPr>
          <w:rFonts w:ascii="宋体" w:hAnsi="宋体" w:cs="TimesNewRomanPS-BoldMT"/>
          <w:b/>
          <w:bCs/>
          <w:color w:val="auto"/>
          <w:kern w:val="0"/>
          <w:sz w:val="28"/>
          <w:szCs w:val="28"/>
          <w:highlight w:val="none"/>
        </w:rPr>
        <w:t>:</w:t>
      </w:r>
    </w:p>
    <w:p w14:paraId="5B9648C5">
      <w:pPr>
        <w:spacing w:line="600" w:lineRule="exact"/>
        <w:jc w:val="center"/>
        <w:rPr>
          <w:rFonts w:hAnsi="宋体"/>
          <w:b/>
          <w:color w:val="auto"/>
          <w:sz w:val="36"/>
          <w:szCs w:val="36"/>
          <w:highlight w:val="none"/>
        </w:rPr>
      </w:pPr>
      <w:r>
        <w:rPr>
          <w:rFonts w:hint="eastAsia" w:hAnsi="宋体"/>
          <w:b/>
          <w:color w:val="auto"/>
          <w:sz w:val="36"/>
          <w:szCs w:val="36"/>
          <w:highlight w:val="none"/>
        </w:rPr>
        <w:t>法定代表人身份证明</w:t>
      </w:r>
    </w:p>
    <w:p w14:paraId="3C08CDDD">
      <w:pPr>
        <w:autoSpaceDE w:val="0"/>
        <w:autoSpaceDN w:val="0"/>
        <w:adjustRightInd w:val="0"/>
        <w:spacing w:line="600" w:lineRule="auto"/>
        <w:jc w:val="left"/>
        <w:rPr>
          <w:rFonts w:hint="eastAsia" w:ascii="宋体" w:hAnsi="宋体" w:eastAsia="宋体" w:cs="宋体"/>
          <w:color w:val="auto"/>
          <w:kern w:val="0"/>
          <w:sz w:val="24"/>
          <w:szCs w:val="24"/>
          <w:highlight w:val="none"/>
          <w:u w:val="single"/>
          <w:lang w:eastAsia="zh-CN"/>
        </w:rPr>
      </w:pPr>
      <w:r>
        <w:rPr>
          <w:rFonts w:hint="eastAsia" w:ascii="宋体" w:hAnsi="宋体" w:cs="宋体"/>
          <w:color w:val="auto"/>
          <w:kern w:val="0"/>
          <w:sz w:val="24"/>
          <w:szCs w:val="24"/>
          <w:highlight w:val="none"/>
        </w:rPr>
        <w:t>致：</w:t>
      </w:r>
      <w:r>
        <w:rPr>
          <w:rFonts w:hint="eastAsia" w:ascii="宋体" w:hAnsi="宋体" w:cs="宋体"/>
          <w:color w:val="auto"/>
          <w:kern w:val="0"/>
          <w:sz w:val="24"/>
          <w:szCs w:val="24"/>
          <w:highlight w:val="none"/>
          <w:u w:val="single"/>
          <w:lang w:eastAsia="zh-CN"/>
        </w:rPr>
        <w:t>贵州金秋工程项目管理有限公司</w:t>
      </w:r>
    </w:p>
    <w:p w14:paraId="5F9F3E71">
      <w:pPr>
        <w:autoSpaceDE w:val="0"/>
        <w:autoSpaceDN w:val="0"/>
        <w:adjustRightInd w:val="0"/>
        <w:spacing w:line="600" w:lineRule="auto"/>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 xml:space="preserve">    供应商名称：</w:t>
      </w:r>
      <w:r>
        <w:rPr>
          <w:rFonts w:hint="eastAsia" w:ascii="宋体" w:hAnsi="宋体" w:cs="宋体"/>
          <w:color w:val="auto"/>
          <w:kern w:val="0"/>
          <w:sz w:val="24"/>
          <w:szCs w:val="24"/>
          <w:highlight w:val="none"/>
          <w:u w:val="single"/>
        </w:rPr>
        <w:t xml:space="preserve">    </w:t>
      </w:r>
      <w:r>
        <w:rPr>
          <w:rFonts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rPr>
        <w:t>姓名：</w:t>
      </w:r>
      <w:r>
        <w:rPr>
          <w:rFonts w:hint="eastAsia"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rPr>
        <w:t>性别：</w:t>
      </w:r>
      <w:r>
        <w:rPr>
          <w:rFonts w:hint="eastAsia"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rPr>
        <w:t>年龄：</w:t>
      </w:r>
      <w:r>
        <w:rPr>
          <w:rFonts w:hint="eastAsia"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rPr>
        <w:t xml:space="preserve"> 职务：</w:t>
      </w:r>
      <w:r>
        <w:rPr>
          <w:rFonts w:hint="eastAsia"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rPr>
        <w:t>系</w:t>
      </w:r>
      <w:r>
        <w:rPr>
          <w:rFonts w:hint="eastAsia" w:ascii="宋体" w:hAnsi="宋体" w:cs="宋体"/>
          <w:color w:val="auto"/>
          <w:kern w:val="0"/>
          <w:sz w:val="24"/>
          <w:szCs w:val="24"/>
          <w:highlight w:val="none"/>
          <w:u w:val="single"/>
        </w:rPr>
        <w:t xml:space="preserve">    （投标人名称）</w:t>
      </w:r>
      <w:r>
        <w:rPr>
          <w:rFonts w:hint="eastAsia" w:ascii="宋体" w:hAnsi="宋体" w:cs="宋体"/>
          <w:color w:val="auto"/>
          <w:kern w:val="0"/>
          <w:sz w:val="24"/>
          <w:szCs w:val="24"/>
          <w:highlight w:val="none"/>
        </w:rPr>
        <w:t xml:space="preserve">的法定代表人。 </w:t>
      </w:r>
      <w:r>
        <w:rPr>
          <w:rFonts w:ascii="宋体" w:hAnsi="宋体" w:cs="宋体"/>
          <w:color w:val="auto"/>
          <w:kern w:val="0"/>
          <w:sz w:val="24"/>
          <w:szCs w:val="24"/>
          <w:highlight w:val="none"/>
        </w:rPr>
        <w:t xml:space="preserve"> </w:t>
      </w:r>
    </w:p>
    <w:p w14:paraId="37E78F10">
      <w:pPr>
        <w:autoSpaceDE w:val="0"/>
        <w:autoSpaceDN w:val="0"/>
        <w:adjustRightInd w:val="0"/>
        <w:spacing w:line="600" w:lineRule="auto"/>
        <w:ind w:firstLine="645"/>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特此证明</w:t>
      </w:r>
    </w:p>
    <w:p w14:paraId="4D2A1514">
      <w:pPr>
        <w:autoSpaceDE w:val="0"/>
        <w:autoSpaceDN w:val="0"/>
        <w:adjustRightInd w:val="0"/>
        <w:spacing w:line="600" w:lineRule="auto"/>
        <w:ind w:firstLine="645"/>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附法定代表人身份证正、反面扫描件</w:t>
      </w:r>
    </w:p>
    <w:p w14:paraId="497DAE47">
      <w:pPr>
        <w:autoSpaceDE w:val="0"/>
        <w:autoSpaceDN w:val="0"/>
        <w:adjustRightInd w:val="0"/>
        <w:spacing w:line="600" w:lineRule="auto"/>
        <w:ind w:firstLine="645"/>
        <w:jc w:val="left"/>
        <w:rPr>
          <w:rFonts w:ascii="宋体" w:hAnsi="宋体" w:cs="宋体"/>
          <w:color w:val="auto"/>
          <w:kern w:val="0"/>
          <w:sz w:val="24"/>
          <w:szCs w:val="24"/>
          <w:highlight w:val="none"/>
        </w:rPr>
      </w:pPr>
    </w:p>
    <w:p w14:paraId="7FF2B2AD">
      <w:pPr>
        <w:autoSpaceDE w:val="0"/>
        <w:autoSpaceDN w:val="0"/>
        <w:adjustRightInd w:val="0"/>
        <w:spacing w:line="600" w:lineRule="auto"/>
        <w:ind w:firstLine="645"/>
        <w:jc w:val="left"/>
        <w:rPr>
          <w:rFonts w:ascii="宋体" w:hAnsi="宋体" w:cs="宋体"/>
          <w:color w:val="auto"/>
          <w:kern w:val="0"/>
          <w:sz w:val="24"/>
          <w:szCs w:val="24"/>
          <w:highlight w:val="none"/>
        </w:rPr>
      </w:pPr>
    </w:p>
    <w:p w14:paraId="28410AA0">
      <w:pPr>
        <w:autoSpaceDE w:val="0"/>
        <w:autoSpaceDN w:val="0"/>
        <w:adjustRightInd w:val="0"/>
        <w:spacing w:line="600" w:lineRule="auto"/>
        <w:ind w:firstLine="645"/>
        <w:jc w:val="left"/>
        <w:rPr>
          <w:rFonts w:ascii="宋体" w:hAnsi="宋体" w:cs="宋体"/>
          <w:color w:val="auto"/>
          <w:kern w:val="0"/>
          <w:sz w:val="24"/>
          <w:szCs w:val="24"/>
          <w:highlight w:val="none"/>
        </w:rPr>
      </w:pPr>
    </w:p>
    <w:p w14:paraId="675CBB34">
      <w:pPr>
        <w:autoSpaceDE w:val="0"/>
        <w:autoSpaceDN w:val="0"/>
        <w:adjustRightInd w:val="0"/>
        <w:spacing w:line="600" w:lineRule="auto"/>
        <w:ind w:firstLine="645"/>
        <w:jc w:val="left"/>
        <w:rPr>
          <w:rFonts w:ascii="宋体" w:hAnsi="宋体" w:cs="宋体"/>
          <w:color w:val="auto"/>
          <w:kern w:val="0"/>
          <w:sz w:val="24"/>
          <w:szCs w:val="24"/>
          <w:highlight w:val="none"/>
        </w:rPr>
      </w:pPr>
    </w:p>
    <w:p w14:paraId="05B40BF4">
      <w:pPr>
        <w:autoSpaceDE w:val="0"/>
        <w:autoSpaceDN w:val="0"/>
        <w:adjustRightInd w:val="0"/>
        <w:spacing w:line="600" w:lineRule="auto"/>
        <w:ind w:firstLine="645"/>
        <w:jc w:val="left"/>
        <w:rPr>
          <w:rFonts w:ascii="宋体" w:hAnsi="宋体" w:cs="宋体"/>
          <w:color w:val="auto"/>
          <w:kern w:val="0"/>
          <w:sz w:val="24"/>
          <w:szCs w:val="24"/>
          <w:highlight w:val="none"/>
        </w:rPr>
      </w:pPr>
    </w:p>
    <w:p w14:paraId="54531BA7">
      <w:pPr>
        <w:autoSpaceDE w:val="0"/>
        <w:autoSpaceDN w:val="0"/>
        <w:adjustRightInd w:val="0"/>
        <w:spacing w:line="600" w:lineRule="auto"/>
        <w:ind w:firstLine="645"/>
        <w:jc w:val="left"/>
        <w:rPr>
          <w:rFonts w:ascii="宋体" w:hAnsi="宋体" w:cs="宋体"/>
          <w:color w:val="auto"/>
          <w:kern w:val="0"/>
          <w:sz w:val="24"/>
          <w:szCs w:val="24"/>
          <w:highlight w:val="none"/>
        </w:rPr>
      </w:pPr>
    </w:p>
    <w:p w14:paraId="6E19E7A5">
      <w:pPr>
        <w:autoSpaceDE w:val="0"/>
        <w:autoSpaceDN w:val="0"/>
        <w:adjustRightInd w:val="0"/>
        <w:spacing w:line="600" w:lineRule="auto"/>
        <w:ind w:firstLine="645"/>
        <w:jc w:val="left"/>
        <w:rPr>
          <w:rFonts w:ascii="宋体" w:hAnsi="宋体" w:cs="宋体"/>
          <w:color w:val="auto"/>
          <w:kern w:val="0"/>
          <w:sz w:val="24"/>
          <w:szCs w:val="24"/>
          <w:highlight w:val="none"/>
        </w:rPr>
      </w:pPr>
    </w:p>
    <w:p w14:paraId="620FDF4E">
      <w:pPr>
        <w:autoSpaceDE w:val="0"/>
        <w:autoSpaceDN w:val="0"/>
        <w:adjustRightInd w:val="0"/>
        <w:spacing w:line="600" w:lineRule="auto"/>
        <w:ind w:left="4240" w:leftChars="2000"/>
        <w:jc w:val="right"/>
        <w:rPr>
          <w:rFonts w:ascii="宋体" w:cs="宋体"/>
          <w:color w:val="auto"/>
          <w:kern w:val="0"/>
          <w:sz w:val="24"/>
          <w:szCs w:val="24"/>
          <w:highlight w:val="none"/>
        </w:rPr>
      </w:pPr>
      <w:r>
        <w:rPr>
          <w:rFonts w:hint="eastAsia" w:ascii="宋体" w:cs="宋体"/>
          <w:color w:val="auto"/>
          <w:kern w:val="0"/>
          <w:sz w:val="24"/>
          <w:szCs w:val="24"/>
          <w:highlight w:val="none"/>
        </w:rPr>
        <w:t>法定代表人：       （电子签章）</w:t>
      </w:r>
    </w:p>
    <w:p w14:paraId="07E866D8">
      <w:pPr>
        <w:autoSpaceDE w:val="0"/>
        <w:autoSpaceDN w:val="0"/>
        <w:adjustRightInd w:val="0"/>
        <w:spacing w:line="600" w:lineRule="auto"/>
        <w:ind w:firstLine="3630" w:firstLineChars="1500"/>
        <w:jc w:val="right"/>
        <w:rPr>
          <w:rFonts w:ascii="宋体" w:cs="宋体"/>
          <w:color w:val="auto"/>
          <w:kern w:val="0"/>
          <w:sz w:val="24"/>
          <w:szCs w:val="24"/>
          <w:highlight w:val="none"/>
        </w:rPr>
      </w:pPr>
      <w:r>
        <w:rPr>
          <w:rFonts w:hint="eastAsia" w:ascii="宋体" w:cs="宋体"/>
          <w:color w:val="auto"/>
          <w:kern w:val="0"/>
          <w:sz w:val="24"/>
          <w:szCs w:val="24"/>
          <w:highlight w:val="none"/>
        </w:rPr>
        <w:t>供应商全称：      （电子签章）</w:t>
      </w:r>
    </w:p>
    <w:p w14:paraId="44F138B6">
      <w:pPr>
        <w:autoSpaceDE w:val="0"/>
        <w:autoSpaceDN w:val="0"/>
        <w:adjustRightInd w:val="0"/>
        <w:spacing w:line="600" w:lineRule="auto"/>
        <w:ind w:left="4240" w:leftChars="2000" w:firstLine="968" w:firstLineChars="400"/>
        <w:jc w:val="right"/>
        <w:rPr>
          <w:rFonts w:hint="eastAsia" w:ascii="宋体" w:hAnsi="宋体" w:cs="宋体"/>
          <w:color w:val="auto"/>
          <w:kern w:val="0"/>
          <w:sz w:val="24"/>
          <w:szCs w:val="24"/>
          <w:highlight w:val="none"/>
        </w:rPr>
      </w:pPr>
      <w:r>
        <w:rPr>
          <w:rFonts w:hint="eastAsia" w:ascii="宋体" w:hAnsi="宋体" w:cs="宋体"/>
          <w:color w:val="auto"/>
          <w:kern w:val="0"/>
          <w:sz w:val="24"/>
          <w:szCs w:val="24"/>
          <w:highlight w:val="none"/>
        </w:rPr>
        <w:t>年    月   日</w:t>
      </w:r>
      <w:bookmarkEnd w:id="31"/>
      <w:bookmarkEnd w:id="32"/>
      <w:bookmarkEnd w:id="33"/>
    </w:p>
    <w:p w14:paraId="408B0B43">
      <w:pPr>
        <w:rPr>
          <w:rFonts w:hint="eastAsia"/>
        </w:rPr>
      </w:pPr>
    </w:p>
    <w:p w14:paraId="61EE6D50">
      <w:pPr>
        <w:spacing w:line="360" w:lineRule="auto"/>
        <w:rPr>
          <w:rFonts w:hint="eastAsia" w:hAnsi="宋体" w:eastAsia="宋体" w:cs="宋体"/>
          <w:color w:val="auto"/>
          <w:sz w:val="24"/>
          <w:szCs w:val="24"/>
          <w:highlight w:val="none"/>
          <w:lang w:eastAsia="zh-CN"/>
        </w:rPr>
      </w:pPr>
      <w:r>
        <w:rPr>
          <w:rFonts w:hint="eastAsia" w:ascii="宋体" w:hAnsi="宋体" w:cs="宋体"/>
          <w:b/>
          <w:color w:val="auto"/>
          <w:kern w:val="0"/>
          <w:sz w:val="28"/>
          <w:szCs w:val="28"/>
          <w:highlight w:val="none"/>
        </w:rPr>
        <w:t>附件</w:t>
      </w:r>
      <w:r>
        <w:rPr>
          <w:rFonts w:hint="eastAsia" w:ascii="宋体" w:hAnsi="宋体" w:cs="TimesNewRomanPS-BoldMT"/>
          <w:b/>
          <w:bCs/>
          <w:color w:val="auto"/>
          <w:kern w:val="0"/>
          <w:sz w:val="28"/>
          <w:szCs w:val="28"/>
          <w:highlight w:val="none"/>
        </w:rPr>
        <w:t>4</w:t>
      </w:r>
      <w:r>
        <w:rPr>
          <w:rFonts w:ascii="宋体" w:hAnsi="宋体" w:cs="TimesNewRomanPS-BoldMT"/>
          <w:b/>
          <w:bCs/>
          <w:color w:val="auto"/>
          <w:kern w:val="0"/>
          <w:sz w:val="28"/>
          <w:szCs w:val="28"/>
          <w:highlight w:val="none"/>
        </w:rPr>
        <w:t>:</w:t>
      </w:r>
      <w:r>
        <w:rPr>
          <w:rFonts w:hint="eastAsia" w:ascii="宋体" w:hAnsi="宋体" w:cs="TimesNewRomanPS-BoldMT"/>
          <w:b/>
          <w:bCs/>
          <w:color w:val="auto"/>
          <w:kern w:val="0"/>
          <w:sz w:val="28"/>
          <w:szCs w:val="28"/>
          <w:highlight w:val="none"/>
        </w:rPr>
        <w:t>采购工程量清单</w:t>
      </w:r>
    </w:p>
    <w:p w14:paraId="494701CD">
      <w:pPr>
        <w:spacing w:line="360" w:lineRule="auto"/>
        <w:rPr>
          <w:rFonts w:hint="eastAsia"/>
          <w:lang w:eastAsia="zh-CN"/>
        </w:rPr>
      </w:pP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43" name="图片 43" descr="扫描全能王 2025-07-23 16.2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扫描全能王 2025-07-23 16.26_05"/>
                    <pic:cNvPicPr>
                      <a:picLocks noChangeAspect="1"/>
                    </pic:cNvPicPr>
                  </pic:nvPicPr>
                  <pic:blipFill>
                    <a:blip r:embed="rId6"/>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42" name="图片 42" descr="扫描全能王 2025-07-23 16.26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扫描全能王 2025-07-23 16.26_06"/>
                    <pic:cNvPicPr>
                      <a:picLocks noChangeAspect="1"/>
                    </pic:cNvPicPr>
                  </pic:nvPicPr>
                  <pic:blipFill>
                    <a:blip r:embed="rId7"/>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41" name="图片 41" descr="扫描全能王 2025-07-23 16.26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扫描全能王 2025-07-23 16.26_07"/>
                    <pic:cNvPicPr>
                      <a:picLocks noChangeAspect="1"/>
                    </pic:cNvPicPr>
                  </pic:nvPicPr>
                  <pic:blipFill>
                    <a:blip r:embed="rId8"/>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40" name="图片 40" descr="扫描全能王 2025-07-23 16.26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扫描全能王 2025-07-23 16.26_08"/>
                    <pic:cNvPicPr>
                      <a:picLocks noChangeAspect="1"/>
                    </pic:cNvPicPr>
                  </pic:nvPicPr>
                  <pic:blipFill>
                    <a:blip r:embed="rId9"/>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9" name="图片 39" descr="扫描全能王 2025-07-23 16.26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扫描全能王 2025-07-23 16.26_10"/>
                    <pic:cNvPicPr>
                      <a:picLocks noChangeAspect="1"/>
                    </pic:cNvPicPr>
                  </pic:nvPicPr>
                  <pic:blipFill>
                    <a:blip r:embed="rId10"/>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8" name="图片 38" descr="扫描全能王 2025-07-23 16.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扫描全能王 2025-07-23 16.26_11"/>
                    <pic:cNvPicPr>
                      <a:picLocks noChangeAspect="1"/>
                    </pic:cNvPicPr>
                  </pic:nvPicPr>
                  <pic:blipFill>
                    <a:blip r:embed="rId11"/>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7" name="图片 37" descr="扫描全能王 2025-07-23 16.26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扫描全能王 2025-07-23 16.26_12"/>
                    <pic:cNvPicPr>
                      <a:picLocks noChangeAspect="1"/>
                    </pic:cNvPicPr>
                  </pic:nvPicPr>
                  <pic:blipFill>
                    <a:blip r:embed="rId12"/>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6" name="图片 36" descr="扫描全能王 2025-07-23 16.26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扫描全能王 2025-07-23 16.26_13"/>
                    <pic:cNvPicPr>
                      <a:picLocks noChangeAspect="1"/>
                    </pic:cNvPicPr>
                  </pic:nvPicPr>
                  <pic:blipFill>
                    <a:blip r:embed="rId13"/>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5" name="图片 35" descr="扫描全能王 2025-07-23 16.26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扫描全能王 2025-07-23 16.26_14"/>
                    <pic:cNvPicPr>
                      <a:picLocks noChangeAspect="1"/>
                    </pic:cNvPicPr>
                  </pic:nvPicPr>
                  <pic:blipFill>
                    <a:blip r:embed="rId14"/>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2" name="图片 32" descr="扫描全能王 2025-07-23 16.26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扫描全能王 2025-07-23 16.26_15"/>
                    <pic:cNvPicPr>
                      <a:picLocks noChangeAspect="1"/>
                    </pic:cNvPicPr>
                  </pic:nvPicPr>
                  <pic:blipFill>
                    <a:blip r:embed="rId15"/>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1" name="图片 31" descr="扫描全能王 2025-07-23 16.26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扫描全能王 2025-07-23 16.26_16"/>
                    <pic:cNvPicPr>
                      <a:picLocks noChangeAspect="1"/>
                    </pic:cNvPicPr>
                  </pic:nvPicPr>
                  <pic:blipFill>
                    <a:blip r:embed="rId16"/>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30" name="图片 30" descr="扫描全能王 2025-07-23 16.26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扫描全能王 2025-07-23 16.26_17"/>
                    <pic:cNvPicPr>
                      <a:picLocks noChangeAspect="1"/>
                    </pic:cNvPicPr>
                  </pic:nvPicPr>
                  <pic:blipFill>
                    <a:blip r:embed="rId17"/>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9" name="图片 29" descr="扫描全能王 2025-07-23 16.26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扫描全能王 2025-07-23 16.26_19"/>
                    <pic:cNvPicPr>
                      <a:picLocks noChangeAspect="1"/>
                    </pic:cNvPicPr>
                  </pic:nvPicPr>
                  <pic:blipFill>
                    <a:blip r:embed="rId18"/>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8" name="图片 28" descr="扫描全能王 2025-07-23 16.26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扫描全能王 2025-07-23 16.26_20"/>
                    <pic:cNvPicPr>
                      <a:picLocks noChangeAspect="1"/>
                    </pic:cNvPicPr>
                  </pic:nvPicPr>
                  <pic:blipFill>
                    <a:blip r:embed="rId19"/>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7" name="图片 27" descr="扫描全能王 2025-07-23 16.26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扫描全能王 2025-07-23 16.26_21"/>
                    <pic:cNvPicPr>
                      <a:picLocks noChangeAspect="1"/>
                    </pic:cNvPicPr>
                  </pic:nvPicPr>
                  <pic:blipFill>
                    <a:blip r:embed="rId20"/>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6" name="图片 26" descr="扫描全能王 2025-07-23 16.26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扫描全能王 2025-07-23 16.26_22"/>
                    <pic:cNvPicPr>
                      <a:picLocks noChangeAspect="1"/>
                    </pic:cNvPicPr>
                  </pic:nvPicPr>
                  <pic:blipFill>
                    <a:blip r:embed="rId21"/>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5" name="图片 25" descr="扫描全能王 2025-07-23 16.26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扫描全能王 2025-07-23 16.26_24"/>
                    <pic:cNvPicPr>
                      <a:picLocks noChangeAspect="1"/>
                    </pic:cNvPicPr>
                  </pic:nvPicPr>
                  <pic:blipFill>
                    <a:blip r:embed="rId22"/>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4" name="图片 24" descr="扫描全能王 2025-07-23 16.26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扫描全能王 2025-07-23 16.26_25"/>
                    <pic:cNvPicPr>
                      <a:picLocks noChangeAspect="1"/>
                    </pic:cNvPicPr>
                  </pic:nvPicPr>
                  <pic:blipFill>
                    <a:blip r:embed="rId23"/>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3" name="图片 23" descr="扫描全能王 2025-07-23 16.26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扫描全能王 2025-07-23 16.26_26"/>
                    <pic:cNvPicPr>
                      <a:picLocks noChangeAspect="1"/>
                    </pic:cNvPicPr>
                  </pic:nvPicPr>
                  <pic:blipFill>
                    <a:blip r:embed="rId24"/>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2" name="图片 22" descr="扫描全能王 2025-07-23 16.26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扫描全能王 2025-07-23 16.26_27"/>
                    <pic:cNvPicPr>
                      <a:picLocks noChangeAspect="1"/>
                    </pic:cNvPicPr>
                  </pic:nvPicPr>
                  <pic:blipFill>
                    <a:blip r:embed="rId25"/>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1" name="图片 21" descr="扫描全能王 2025-07-23 16.26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扫描全能王 2025-07-23 16.26_28"/>
                    <pic:cNvPicPr>
                      <a:picLocks noChangeAspect="1"/>
                    </pic:cNvPicPr>
                  </pic:nvPicPr>
                  <pic:blipFill>
                    <a:blip r:embed="rId26"/>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6182360" cy="8747760"/>
            <wp:effectExtent l="0" t="0" r="2540" b="2540"/>
            <wp:docPr id="20" name="图片 20" descr="扫描全能王 2025-07-23 16.26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扫描全能王 2025-07-23 16.26_29"/>
                    <pic:cNvPicPr>
                      <a:picLocks noChangeAspect="1"/>
                    </pic:cNvPicPr>
                  </pic:nvPicPr>
                  <pic:blipFill>
                    <a:blip r:embed="rId27"/>
                    <a:stretch>
                      <a:fillRect/>
                    </a:stretch>
                  </pic:blipFill>
                  <pic:spPr>
                    <a:xfrm>
                      <a:off x="0" y="0"/>
                      <a:ext cx="6182360" cy="874776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521065" cy="6021705"/>
            <wp:effectExtent l="0" t="0" r="10795" b="635"/>
            <wp:docPr id="19" name="图片 19" descr="扫描全能王 2025-07-23 16.26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扫描全能王 2025-07-23 16.26_30"/>
                    <pic:cNvPicPr>
                      <a:picLocks noChangeAspect="1"/>
                    </pic:cNvPicPr>
                  </pic:nvPicPr>
                  <pic:blipFill>
                    <a:blip r:embed="rId28"/>
                    <a:stretch>
                      <a:fillRect/>
                    </a:stretch>
                  </pic:blipFill>
                  <pic:spPr>
                    <a:xfrm rot="16200000">
                      <a:off x="0" y="0"/>
                      <a:ext cx="8521065" cy="6021705"/>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684260" cy="6137275"/>
            <wp:effectExtent l="0" t="0" r="9525" b="2540"/>
            <wp:docPr id="18" name="图片 18" descr="扫描全能王 2025-07-23 16.26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扫描全能王 2025-07-23 16.26_32"/>
                    <pic:cNvPicPr>
                      <a:picLocks noChangeAspect="1"/>
                    </pic:cNvPicPr>
                  </pic:nvPicPr>
                  <pic:blipFill>
                    <a:blip r:embed="rId29"/>
                    <a:stretch>
                      <a:fillRect/>
                    </a:stretch>
                  </pic:blipFill>
                  <pic:spPr>
                    <a:xfrm rot="16200000">
                      <a:off x="0" y="0"/>
                      <a:ext cx="8684260" cy="6137275"/>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340090" cy="5894070"/>
            <wp:effectExtent l="0" t="0" r="11430" b="3810"/>
            <wp:docPr id="17" name="图片 17" descr="扫描全能王 2025-07-23 16.26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扫描全能王 2025-07-23 16.26_33"/>
                    <pic:cNvPicPr>
                      <a:picLocks noChangeAspect="1"/>
                    </pic:cNvPicPr>
                  </pic:nvPicPr>
                  <pic:blipFill>
                    <a:blip r:embed="rId30"/>
                    <a:stretch>
                      <a:fillRect/>
                    </a:stretch>
                  </pic:blipFill>
                  <pic:spPr>
                    <a:xfrm rot="16200000">
                      <a:off x="0" y="0"/>
                      <a:ext cx="8340090" cy="589407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466455" cy="5982970"/>
            <wp:effectExtent l="0" t="0" r="11430" b="4445"/>
            <wp:docPr id="16" name="图片 16" descr="扫描全能王 2025-07-23 16.26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扫描全能王 2025-07-23 16.26_34"/>
                    <pic:cNvPicPr>
                      <a:picLocks noChangeAspect="1"/>
                    </pic:cNvPicPr>
                  </pic:nvPicPr>
                  <pic:blipFill>
                    <a:blip r:embed="rId31"/>
                    <a:stretch>
                      <a:fillRect/>
                    </a:stretch>
                  </pic:blipFill>
                  <pic:spPr>
                    <a:xfrm rot="16200000">
                      <a:off x="0" y="0"/>
                      <a:ext cx="8466455" cy="598297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140700" cy="5753100"/>
            <wp:effectExtent l="0" t="0" r="0" b="0"/>
            <wp:docPr id="15" name="图片 15" descr="扫描全能王 2025-07-23 16.26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扫描全能王 2025-07-23 16.26_35"/>
                    <pic:cNvPicPr>
                      <a:picLocks noChangeAspect="1"/>
                    </pic:cNvPicPr>
                  </pic:nvPicPr>
                  <pic:blipFill>
                    <a:blip r:embed="rId32"/>
                    <a:stretch>
                      <a:fillRect/>
                    </a:stretch>
                  </pic:blipFill>
                  <pic:spPr>
                    <a:xfrm rot="16200000">
                      <a:off x="0" y="0"/>
                      <a:ext cx="8140700" cy="575310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185785" cy="5784850"/>
            <wp:effectExtent l="0" t="0" r="6350" b="5715"/>
            <wp:docPr id="14" name="图片 14" descr="扫描全能王 2025-07-23 16.26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扫描全能王 2025-07-23 16.26_37"/>
                    <pic:cNvPicPr>
                      <a:picLocks noChangeAspect="1"/>
                    </pic:cNvPicPr>
                  </pic:nvPicPr>
                  <pic:blipFill>
                    <a:blip r:embed="rId33"/>
                    <a:stretch>
                      <a:fillRect/>
                    </a:stretch>
                  </pic:blipFill>
                  <pic:spPr>
                    <a:xfrm rot="16200000">
                      <a:off x="0" y="0"/>
                      <a:ext cx="8185785" cy="578485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312150" cy="5874385"/>
            <wp:effectExtent l="0" t="0" r="5715" b="6350"/>
            <wp:docPr id="13" name="图片 13" descr="扫描全能王 2025-07-23 16.26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扫描全能王 2025-07-23 16.26_38"/>
                    <pic:cNvPicPr>
                      <a:picLocks noChangeAspect="1"/>
                    </pic:cNvPicPr>
                  </pic:nvPicPr>
                  <pic:blipFill>
                    <a:blip r:embed="rId34"/>
                    <a:stretch>
                      <a:fillRect/>
                    </a:stretch>
                  </pic:blipFill>
                  <pic:spPr>
                    <a:xfrm rot="16200000">
                      <a:off x="0" y="0"/>
                      <a:ext cx="8312150" cy="5874385"/>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367395" cy="5913120"/>
            <wp:effectExtent l="0" t="0" r="5080" b="1905"/>
            <wp:docPr id="12" name="图片 12" descr="扫描全能王 2025-07-23 16.26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扫描全能王 2025-07-23 16.26_39"/>
                    <pic:cNvPicPr>
                      <a:picLocks noChangeAspect="1"/>
                    </pic:cNvPicPr>
                  </pic:nvPicPr>
                  <pic:blipFill>
                    <a:blip r:embed="rId35"/>
                    <a:stretch>
                      <a:fillRect/>
                    </a:stretch>
                  </pic:blipFill>
                  <pic:spPr>
                    <a:xfrm rot="16200000">
                      <a:off x="0" y="0"/>
                      <a:ext cx="8367395" cy="591312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493760" cy="6002655"/>
            <wp:effectExtent l="0" t="0" r="4445" b="2540"/>
            <wp:docPr id="11" name="图片 11" descr="扫描全能王 2025-07-23 16.26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全能王 2025-07-23 16.26_40"/>
                    <pic:cNvPicPr>
                      <a:picLocks noChangeAspect="1"/>
                    </pic:cNvPicPr>
                  </pic:nvPicPr>
                  <pic:blipFill>
                    <a:blip r:embed="rId36"/>
                    <a:stretch>
                      <a:fillRect/>
                    </a:stretch>
                  </pic:blipFill>
                  <pic:spPr>
                    <a:xfrm rot="16200000">
                      <a:off x="0" y="0"/>
                      <a:ext cx="8493760" cy="6002655"/>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358505" cy="5906770"/>
            <wp:effectExtent l="0" t="0" r="11430" b="10795"/>
            <wp:docPr id="10" name="图片 10" descr="扫描全能王 2025-07-23 16.26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全能王 2025-07-23 16.26_41"/>
                    <pic:cNvPicPr>
                      <a:picLocks noChangeAspect="1"/>
                    </pic:cNvPicPr>
                  </pic:nvPicPr>
                  <pic:blipFill>
                    <a:blip r:embed="rId37"/>
                    <a:stretch>
                      <a:fillRect/>
                    </a:stretch>
                  </pic:blipFill>
                  <pic:spPr>
                    <a:xfrm rot="16200000">
                      <a:off x="0" y="0"/>
                      <a:ext cx="8358505" cy="590677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422005" cy="5951855"/>
            <wp:effectExtent l="0" t="0" r="4445" b="10795"/>
            <wp:docPr id="9" name="图片 9" descr="扫描全能王 2025-07-23 16.26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扫描全能王 2025-07-23 16.26_43"/>
                    <pic:cNvPicPr>
                      <a:picLocks noChangeAspect="1"/>
                    </pic:cNvPicPr>
                  </pic:nvPicPr>
                  <pic:blipFill>
                    <a:blip r:embed="rId38"/>
                    <a:stretch>
                      <a:fillRect/>
                    </a:stretch>
                  </pic:blipFill>
                  <pic:spPr>
                    <a:xfrm rot="16200000">
                      <a:off x="0" y="0"/>
                      <a:ext cx="8422005" cy="5951855"/>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385175" cy="5925820"/>
            <wp:effectExtent l="0" t="0" r="5080" b="9525"/>
            <wp:docPr id="8" name="图片 8" descr="扫描全能王 2025-07-23 16.26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扫描全能王 2025-07-23 16.26_44"/>
                    <pic:cNvPicPr>
                      <a:picLocks noChangeAspect="1"/>
                    </pic:cNvPicPr>
                  </pic:nvPicPr>
                  <pic:blipFill>
                    <a:blip r:embed="rId39"/>
                    <a:stretch>
                      <a:fillRect/>
                    </a:stretch>
                  </pic:blipFill>
                  <pic:spPr>
                    <a:xfrm rot="16200000">
                      <a:off x="0" y="0"/>
                      <a:ext cx="8385175" cy="592582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275955" cy="5848350"/>
            <wp:effectExtent l="0" t="0" r="6350" b="4445"/>
            <wp:docPr id="7" name="图片 7" descr="扫描全能王 2025-07-23 16.26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扫描全能王 2025-07-23 16.26_45"/>
                    <pic:cNvPicPr>
                      <a:picLocks noChangeAspect="1"/>
                    </pic:cNvPicPr>
                  </pic:nvPicPr>
                  <pic:blipFill>
                    <a:blip r:embed="rId40"/>
                    <a:stretch>
                      <a:fillRect/>
                    </a:stretch>
                  </pic:blipFill>
                  <pic:spPr>
                    <a:xfrm rot="16200000">
                      <a:off x="0" y="0"/>
                      <a:ext cx="8275955" cy="584835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466455" cy="5982970"/>
            <wp:effectExtent l="0" t="0" r="11430" b="4445"/>
            <wp:docPr id="6" name="图片 6" descr="扫描全能王 2025-07-23 16.26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扫描全能王 2025-07-23 16.26_47"/>
                    <pic:cNvPicPr>
                      <a:picLocks noChangeAspect="1"/>
                    </pic:cNvPicPr>
                  </pic:nvPicPr>
                  <pic:blipFill>
                    <a:blip r:embed="rId41"/>
                    <a:stretch>
                      <a:fillRect/>
                    </a:stretch>
                  </pic:blipFill>
                  <pic:spPr>
                    <a:xfrm rot="16200000">
                      <a:off x="0" y="0"/>
                      <a:ext cx="8466455" cy="598297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159115" cy="5765800"/>
            <wp:effectExtent l="0" t="0" r="0" b="6985"/>
            <wp:docPr id="2" name="图片 2" descr="扫描全能王 2025-07-23 16.26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扫描全能王 2025-07-23 16.26_48"/>
                    <pic:cNvPicPr>
                      <a:picLocks noChangeAspect="1"/>
                    </pic:cNvPicPr>
                  </pic:nvPicPr>
                  <pic:blipFill>
                    <a:blip r:embed="rId42"/>
                    <a:stretch>
                      <a:fillRect/>
                    </a:stretch>
                  </pic:blipFill>
                  <pic:spPr>
                    <a:xfrm rot="16200000">
                      <a:off x="0" y="0"/>
                      <a:ext cx="8159115" cy="5765800"/>
                    </a:xfrm>
                    <a:prstGeom prst="rect">
                      <a:avLst/>
                    </a:prstGeom>
                  </pic:spPr>
                </pic:pic>
              </a:graphicData>
            </a:graphic>
          </wp:inline>
        </w:drawing>
      </w:r>
      <w:r>
        <w:rPr>
          <w:rFonts w:hint="eastAsia" w:hAnsi="宋体" w:eastAsia="宋体" w:cs="宋体"/>
          <w:color w:val="auto"/>
          <w:sz w:val="24"/>
          <w:szCs w:val="24"/>
          <w:highlight w:val="none"/>
          <w:lang w:eastAsia="zh-CN"/>
        </w:rPr>
        <w:drawing>
          <wp:inline distT="0" distB="0" distL="114300" distR="114300">
            <wp:extent cx="8040370" cy="5681980"/>
            <wp:effectExtent l="0" t="0" r="7620" b="11430"/>
            <wp:docPr id="1" name="图片 1" descr="扫描全能王 2025-07-23 16.26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扫描全能王 2025-07-23 16.26_49"/>
                    <pic:cNvPicPr>
                      <a:picLocks noChangeAspect="1"/>
                    </pic:cNvPicPr>
                  </pic:nvPicPr>
                  <pic:blipFill>
                    <a:blip r:embed="rId43"/>
                    <a:stretch>
                      <a:fillRect/>
                    </a:stretch>
                  </pic:blipFill>
                  <pic:spPr>
                    <a:xfrm rot="16200000">
                      <a:off x="0" y="0"/>
                      <a:ext cx="8040370" cy="5681980"/>
                    </a:xfrm>
                    <a:prstGeom prst="rect">
                      <a:avLst/>
                    </a:prstGeom>
                  </pic:spPr>
                </pic:pic>
              </a:graphicData>
            </a:graphic>
          </wp:inline>
        </w:drawing>
      </w:r>
    </w:p>
    <w:p w14:paraId="7F3086D2">
      <w:pPr>
        <w:spacing w:line="360" w:lineRule="auto"/>
        <w:rPr>
          <w:rFonts w:hint="eastAsia" w:hAnsi="宋体" w:cs="宋体"/>
          <w:color w:val="auto"/>
          <w:sz w:val="24"/>
          <w:szCs w:val="24"/>
          <w:highlight w:val="none"/>
        </w:rPr>
      </w:pPr>
    </w:p>
    <w:p w14:paraId="6E0D37DA">
      <w:pPr>
        <w:spacing w:line="360" w:lineRule="auto"/>
        <w:rPr>
          <w:rFonts w:hint="eastAsia" w:hAnsi="宋体" w:cs="宋体"/>
          <w:color w:val="auto"/>
          <w:sz w:val="24"/>
          <w:szCs w:val="24"/>
          <w:highlight w:val="none"/>
        </w:rPr>
      </w:pPr>
    </w:p>
    <w:p w14:paraId="40EC1F1F">
      <w:pPr>
        <w:spacing w:line="360" w:lineRule="auto"/>
        <w:rPr>
          <w:rFonts w:hAnsi="宋体" w:cs="宋体"/>
          <w:color w:val="auto"/>
          <w:sz w:val="24"/>
          <w:szCs w:val="24"/>
          <w:highlight w:val="none"/>
        </w:rPr>
      </w:pPr>
      <w:r>
        <w:rPr>
          <w:rFonts w:hint="eastAsia" w:hAnsi="宋体" w:cs="宋体"/>
          <w:color w:val="auto"/>
          <w:sz w:val="24"/>
          <w:szCs w:val="24"/>
          <w:highlight w:val="none"/>
        </w:rPr>
        <w:t>工程量清单说明：</w:t>
      </w:r>
    </w:p>
    <w:p w14:paraId="5F7E7952">
      <w:pPr>
        <w:spacing w:line="360" w:lineRule="auto"/>
        <w:rPr>
          <w:rFonts w:hint="eastAsia" w:hAnsi="宋体" w:cs="宋体"/>
          <w:color w:val="auto"/>
          <w:sz w:val="24"/>
          <w:szCs w:val="24"/>
          <w:highlight w:val="none"/>
        </w:rPr>
      </w:pPr>
      <w:r>
        <w:rPr>
          <w:rFonts w:hint="eastAsia" w:hAnsi="宋体" w:cs="宋体"/>
          <w:color w:val="auto"/>
          <w:sz w:val="24"/>
          <w:szCs w:val="24"/>
          <w:highlight w:val="none"/>
        </w:rPr>
        <w:t xml:space="preserve">  </w:t>
      </w:r>
    </w:p>
    <w:p w14:paraId="3BC0F7C5">
      <w:pPr>
        <w:spacing w:line="360" w:lineRule="auto"/>
        <w:rPr>
          <w:rFonts w:hAnsi="宋体" w:cs="宋体"/>
          <w:b/>
          <w:color w:val="auto"/>
          <w:sz w:val="24"/>
          <w:szCs w:val="24"/>
          <w:highlight w:val="none"/>
        </w:rPr>
      </w:pPr>
      <w:r>
        <w:rPr>
          <w:rFonts w:hint="eastAsia" w:hAnsi="宋体" w:cs="宋体"/>
          <w:color w:val="auto"/>
          <w:sz w:val="24"/>
          <w:szCs w:val="24"/>
          <w:highlight w:val="none"/>
        </w:rPr>
        <w:t xml:space="preserve">  1.已标价工程量清单表格样式不作强制要求，已标价工程量清单封面、扉页及内容无需造价人员签字或盖章均有效。</w:t>
      </w:r>
    </w:p>
    <w:p w14:paraId="79EB18E6">
      <w:pPr>
        <w:spacing w:before="156" w:beforeLines="50" w:after="312" w:afterLines="100" w:line="360" w:lineRule="auto"/>
        <w:rPr>
          <w:rFonts w:hint="default" w:eastAsia="宋体"/>
          <w:color w:val="auto"/>
          <w:highlight w:val="none"/>
          <w:lang w:val="en-US" w:eastAsia="zh-CN"/>
        </w:rPr>
      </w:pPr>
    </w:p>
    <w:p w14:paraId="070289D4">
      <w:pPr>
        <w:spacing w:before="156" w:beforeLines="50" w:after="312" w:afterLines="100" w:line="360" w:lineRule="auto"/>
        <w:rPr>
          <w:color w:val="auto"/>
          <w:highlight w:val="none"/>
        </w:rPr>
      </w:pPr>
    </w:p>
    <w:p w14:paraId="69F7C314">
      <w:pPr>
        <w:spacing w:before="156" w:beforeLines="50" w:after="312" w:afterLines="100" w:line="360" w:lineRule="auto"/>
        <w:rPr>
          <w:color w:val="auto"/>
          <w:highlight w:val="none"/>
        </w:rPr>
      </w:pPr>
    </w:p>
    <w:p w14:paraId="2F8C20DF">
      <w:pPr>
        <w:pStyle w:val="2"/>
        <w:rPr>
          <w:color w:val="auto"/>
          <w:highlight w:val="none"/>
        </w:rPr>
      </w:pPr>
    </w:p>
    <w:p w14:paraId="3D440EB2">
      <w:pPr>
        <w:rPr>
          <w:color w:val="auto"/>
          <w:highlight w:val="none"/>
        </w:rPr>
      </w:pPr>
    </w:p>
    <w:p w14:paraId="1E8AC6A3">
      <w:pPr>
        <w:pStyle w:val="2"/>
        <w:rPr>
          <w:color w:val="auto"/>
          <w:highlight w:val="none"/>
        </w:rPr>
      </w:pPr>
    </w:p>
    <w:p w14:paraId="19726E74">
      <w:pPr>
        <w:rPr>
          <w:color w:val="auto"/>
          <w:highlight w:val="none"/>
        </w:rPr>
      </w:pPr>
    </w:p>
    <w:p w14:paraId="2F02F9D3">
      <w:pPr>
        <w:pStyle w:val="2"/>
        <w:rPr>
          <w:color w:val="auto"/>
          <w:highlight w:val="none"/>
        </w:rPr>
      </w:pPr>
    </w:p>
    <w:p w14:paraId="302BF184">
      <w:pPr>
        <w:rPr>
          <w:color w:val="auto"/>
          <w:highlight w:val="none"/>
        </w:rPr>
      </w:pPr>
    </w:p>
    <w:p w14:paraId="1E32ACB8">
      <w:pPr>
        <w:pStyle w:val="2"/>
        <w:rPr>
          <w:color w:val="auto"/>
          <w:highlight w:val="none"/>
        </w:rPr>
      </w:pPr>
    </w:p>
    <w:p w14:paraId="038E0641">
      <w:pPr>
        <w:rPr>
          <w:color w:val="auto"/>
          <w:highlight w:val="none"/>
        </w:rPr>
      </w:pPr>
    </w:p>
    <w:p w14:paraId="0AB9D88F">
      <w:pPr>
        <w:pStyle w:val="2"/>
        <w:rPr>
          <w:color w:val="auto"/>
          <w:highlight w:val="none"/>
        </w:rPr>
      </w:pPr>
    </w:p>
    <w:p w14:paraId="53944804"/>
    <w:p w14:paraId="0D86C433">
      <w:pPr>
        <w:spacing w:before="156" w:beforeLines="50" w:after="312" w:afterLines="100" w:line="360" w:lineRule="auto"/>
        <w:rPr>
          <w:color w:val="auto"/>
          <w:highlight w:val="none"/>
        </w:rPr>
      </w:pPr>
    </w:p>
    <w:p w14:paraId="4FC55ECA">
      <w:pPr>
        <w:spacing w:before="156" w:beforeLines="50" w:after="312" w:afterLines="100" w:line="360" w:lineRule="auto"/>
        <w:rPr>
          <w:color w:val="auto"/>
          <w:highlight w:val="none"/>
        </w:rPr>
      </w:pPr>
    </w:p>
    <w:p w14:paraId="0147B0A9">
      <w:pPr>
        <w:spacing w:before="156" w:beforeLines="50" w:after="312" w:afterLines="100" w:line="360" w:lineRule="auto"/>
        <w:rPr>
          <w:color w:val="auto"/>
          <w:highlight w:val="none"/>
        </w:rPr>
      </w:pPr>
    </w:p>
    <w:p w14:paraId="2AE4056A">
      <w:pPr>
        <w:spacing w:before="156" w:beforeLines="50" w:after="312" w:afterLines="100" w:line="360" w:lineRule="auto"/>
        <w:rPr>
          <w:rFonts w:ascii="宋体" w:hAnsi="宋体" w:cs="宋体"/>
          <w:b/>
          <w:color w:val="auto"/>
          <w:highlight w:val="none"/>
        </w:rPr>
      </w:pPr>
      <w:r>
        <w:rPr>
          <w:rFonts w:hint="eastAsia" w:ascii="宋体" w:hAnsi="宋体" w:cs="宋体"/>
          <w:b/>
          <w:color w:val="auto"/>
          <w:highlight w:val="none"/>
        </w:rPr>
        <w:t>附件5：适用于政府采购工程建设项目</w:t>
      </w:r>
    </w:p>
    <w:p w14:paraId="7DCA73B4">
      <w:pPr>
        <w:widowControl/>
        <w:spacing w:line="360" w:lineRule="auto"/>
        <w:jc w:val="center"/>
        <w:rPr>
          <w:rFonts w:ascii="宋体" w:hAnsi="宋体" w:cs="宋体"/>
          <w:color w:val="auto"/>
          <w:highlight w:val="none"/>
        </w:rPr>
      </w:pPr>
      <w:r>
        <w:rPr>
          <w:rFonts w:hint="eastAsia" w:ascii="宋体" w:hAnsi="宋体" w:cs="宋体"/>
          <w:b/>
          <w:color w:val="auto"/>
          <w:highlight w:val="none"/>
        </w:rPr>
        <w:t>中小企业声明函（工程）</w:t>
      </w:r>
    </w:p>
    <w:p w14:paraId="100E5BE4">
      <w:pPr>
        <w:widowControl/>
        <w:spacing w:line="360" w:lineRule="auto"/>
        <w:ind w:firstLine="424" w:firstLineChars="200"/>
        <w:rPr>
          <w:rFonts w:ascii="宋体" w:hAnsi="宋体" w:cs="宋体"/>
          <w:color w:val="auto"/>
          <w:highlight w:val="none"/>
          <w:u w:val="single"/>
        </w:rPr>
      </w:pPr>
      <w:r>
        <w:rPr>
          <w:rFonts w:hint="eastAsia" w:ascii="宋体" w:hAnsi="宋体" w:cs="宋体"/>
          <w:color w:val="auto"/>
          <w:highlight w:val="none"/>
        </w:rPr>
        <w:t>本公司（联合体）郑重声明，根据《政府采购促进中小企业发展管理办法》（财库﹝2020﹞46 号）的规定，本公司（联合体）参加</w:t>
      </w:r>
      <w:r>
        <w:rPr>
          <w:rFonts w:hint="eastAsia" w:ascii="宋体" w:hAnsi="宋体" w:cs="宋体"/>
          <w:color w:val="auto"/>
          <w:highlight w:val="none"/>
          <w:u w:val="single"/>
        </w:rPr>
        <w:t xml:space="preserve">      （单位名称）</w:t>
      </w:r>
      <w:r>
        <w:rPr>
          <w:rFonts w:hint="eastAsia" w:ascii="宋体" w:hAnsi="宋体" w:cs="宋体"/>
          <w:color w:val="auto"/>
          <w:highlight w:val="none"/>
        </w:rPr>
        <w:t>的</w:t>
      </w:r>
      <w:r>
        <w:rPr>
          <w:rFonts w:hint="eastAsia" w:ascii="宋体" w:hAnsi="宋体" w:cs="宋体"/>
          <w:color w:val="auto"/>
          <w:highlight w:val="none"/>
          <w:u w:val="single"/>
        </w:rPr>
        <w:t xml:space="preserve"> </w:t>
      </w:r>
    </w:p>
    <w:p w14:paraId="5B2BA758">
      <w:pPr>
        <w:widowControl/>
        <w:spacing w:line="360" w:lineRule="auto"/>
        <w:rPr>
          <w:rFonts w:ascii="宋体" w:hAnsi="宋体" w:cs="宋体"/>
          <w:color w:val="auto"/>
          <w:highlight w:val="none"/>
        </w:rPr>
      </w:pPr>
      <w:r>
        <w:rPr>
          <w:rFonts w:hint="eastAsia" w:ascii="宋体" w:hAnsi="宋体" w:cs="宋体"/>
          <w:color w:val="auto"/>
          <w:highlight w:val="none"/>
          <w:u w:val="single"/>
        </w:rPr>
        <w:t xml:space="preserve">        （项目名称）</w:t>
      </w:r>
      <w:r>
        <w:rPr>
          <w:rFonts w:hint="eastAsia" w:ascii="宋体" w:hAnsi="宋体" w:cs="宋体"/>
          <w:color w:val="auto"/>
          <w:highlight w:val="none"/>
        </w:rPr>
        <w:t>采购活动，工程的施工单位全部为符合政策要求的中小企业（或者：服务全部由符合政策要求的中小企业承接）。相关企业（含联合体中的中小企业、签订分包意向协议的中小企业）的具体情况如下：</w:t>
      </w:r>
    </w:p>
    <w:p w14:paraId="2CD3E12E">
      <w:pPr>
        <w:widowControl/>
        <w:spacing w:line="360" w:lineRule="auto"/>
        <w:ind w:firstLine="636" w:firstLineChars="300"/>
        <w:rPr>
          <w:rFonts w:ascii="宋体" w:hAnsi="宋体" w:cs="宋体"/>
          <w:color w:val="auto"/>
          <w:highlight w:val="none"/>
          <w:u w:val="single"/>
        </w:rPr>
      </w:pPr>
      <w:r>
        <w:rPr>
          <w:rFonts w:hint="eastAsia" w:ascii="宋体" w:hAnsi="宋体" w:cs="宋体"/>
          <w:color w:val="auto"/>
          <w:highlight w:val="none"/>
        </w:rPr>
        <w:t xml:space="preserve">1. </w:t>
      </w:r>
      <w:r>
        <w:rPr>
          <w:rFonts w:hint="eastAsia" w:ascii="宋体" w:hAnsi="宋体" w:cs="宋体"/>
          <w:color w:val="auto"/>
          <w:highlight w:val="none"/>
          <w:u w:val="single"/>
        </w:rPr>
        <w:t xml:space="preserve">      （标的名称）</w:t>
      </w:r>
      <w:r>
        <w:rPr>
          <w:rFonts w:hint="eastAsia" w:ascii="宋体" w:hAnsi="宋体" w:cs="宋体"/>
          <w:color w:val="auto"/>
          <w:highlight w:val="none"/>
        </w:rPr>
        <w:t>，属于</w:t>
      </w:r>
      <w:r>
        <w:rPr>
          <w:rFonts w:hint="eastAsia" w:ascii="宋体" w:hAnsi="宋体" w:cs="宋体"/>
          <w:color w:val="auto"/>
          <w:highlight w:val="none"/>
          <w:u w:val="single"/>
        </w:rPr>
        <w:t xml:space="preserve">      （采购文件中明确的所属行业）</w:t>
      </w:r>
      <w:r>
        <w:rPr>
          <w:rFonts w:hint="eastAsia" w:ascii="宋体" w:hAnsi="宋体" w:cs="宋体"/>
          <w:color w:val="auto"/>
          <w:highlight w:val="none"/>
        </w:rPr>
        <w:t>；承建（承接）企业为</w:t>
      </w:r>
      <w:r>
        <w:rPr>
          <w:rFonts w:hint="eastAsia" w:ascii="宋体" w:hAnsi="宋体" w:cs="宋体"/>
          <w:color w:val="auto"/>
          <w:highlight w:val="none"/>
          <w:u w:val="single"/>
        </w:rPr>
        <w:t xml:space="preserve">      （企业名称）</w:t>
      </w:r>
      <w:r>
        <w:rPr>
          <w:rFonts w:hint="eastAsia" w:ascii="宋体" w:hAnsi="宋体" w:cs="宋体"/>
          <w:color w:val="auto"/>
          <w:highlight w:val="none"/>
        </w:rPr>
        <w:t>，从业人员</w:t>
      </w:r>
      <w:r>
        <w:rPr>
          <w:rFonts w:hint="eastAsia" w:ascii="宋体" w:hAnsi="宋体" w:cs="宋体"/>
          <w:color w:val="auto"/>
          <w:highlight w:val="none"/>
          <w:u w:val="single"/>
        </w:rPr>
        <w:t xml:space="preserve">      </w:t>
      </w:r>
      <w:r>
        <w:rPr>
          <w:rFonts w:hint="eastAsia" w:ascii="宋体" w:hAnsi="宋体" w:cs="宋体"/>
          <w:color w:val="auto"/>
          <w:highlight w:val="none"/>
        </w:rPr>
        <w:t>人，营业收入为</w:t>
      </w:r>
      <w:r>
        <w:rPr>
          <w:rFonts w:hint="eastAsia" w:ascii="宋体" w:hAnsi="宋体" w:cs="宋体"/>
          <w:color w:val="auto"/>
          <w:highlight w:val="none"/>
          <w:u w:val="single"/>
        </w:rPr>
        <w:t xml:space="preserve">      </w:t>
      </w:r>
      <w:r>
        <w:rPr>
          <w:rFonts w:hint="eastAsia" w:ascii="宋体" w:hAnsi="宋体" w:cs="宋体"/>
          <w:color w:val="auto"/>
          <w:highlight w:val="none"/>
        </w:rPr>
        <w:t>万元，资产总额为</w:t>
      </w:r>
      <w:r>
        <w:rPr>
          <w:rFonts w:hint="eastAsia" w:ascii="宋体" w:hAnsi="宋体" w:cs="宋体"/>
          <w:color w:val="auto"/>
          <w:highlight w:val="none"/>
          <w:u w:val="single"/>
        </w:rPr>
        <w:t xml:space="preserve">      </w:t>
      </w:r>
      <w:r>
        <w:rPr>
          <w:rFonts w:hint="eastAsia" w:ascii="宋体" w:hAnsi="宋体" w:cs="宋体"/>
          <w:color w:val="auto"/>
          <w:highlight w:val="none"/>
        </w:rPr>
        <w:t>万元</w:t>
      </w:r>
      <w:r>
        <w:rPr>
          <w:rFonts w:hint="eastAsia" w:ascii="宋体" w:hAnsi="宋体" w:cs="宋体"/>
          <w:color w:val="auto"/>
          <w:highlight w:val="none"/>
          <w:vertAlign w:val="superscript"/>
        </w:rPr>
        <w:t>1</w:t>
      </w:r>
      <w:r>
        <w:rPr>
          <w:rFonts w:hint="eastAsia" w:ascii="宋体" w:hAnsi="宋体" w:cs="宋体"/>
          <w:color w:val="auto"/>
          <w:highlight w:val="none"/>
        </w:rPr>
        <w:t>，属于</w:t>
      </w:r>
      <w:r>
        <w:rPr>
          <w:rFonts w:hint="eastAsia" w:ascii="宋体" w:hAnsi="宋体" w:cs="宋体"/>
          <w:color w:val="auto"/>
          <w:highlight w:val="none"/>
          <w:u w:val="single"/>
        </w:rPr>
        <w:t xml:space="preserve">      （中型企业、小型企业、微型企业）</w:t>
      </w:r>
      <w:r>
        <w:rPr>
          <w:rFonts w:hint="eastAsia" w:ascii="宋体" w:hAnsi="宋体" w:cs="宋体"/>
          <w:color w:val="auto"/>
          <w:highlight w:val="none"/>
        </w:rPr>
        <w:t>；</w:t>
      </w:r>
    </w:p>
    <w:p w14:paraId="51B6918A">
      <w:pPr>
        <w:widowControl/>
        <w:spacing w:line="360" w:lineRule="auto"/>
        <w:ind w:firstLine="424" w:firstLineChars="200"/>
        <w:rPr>
          <w:rFonts w:ascii="宋体" w:hAnsi="宋体" w:cs="宋体"/>
          <w:color w:val="auto"/>
          <w:highlight w:val="none"/>
        </w:rPr>
      </w:pPr>
      <w:r>
        <w:rPr>
          <w:rFonts w:hint="eastAsia" w:ascii="宋体" w:hAnsi="宋体" w:cs="宋体"/>
          <w:color w:val="auto"/>
          <w:highlight w:val="none"/>
        </w:rPr>
        <w:t xml:space="preserve">2. </w:t>
      </w:r>
      <w:r>
        <w:rPr>
          <w:rFonts w:hint="eastAsia" w:ascii="宋体" w:hAnsi="宋体" w:cs="宋体"/>
          <w:color w:val="auto"/>
          <w:highlight w:val="none"/>
          <w:u w:val="single"/>
        </w:rPr>
        <w:t xml:space="preserve">      （标的名称）</w:t>
      </w:r>
      <w:r>
        <w:rPr>
          <w:rFonts w:hint="eastAsia" w:ascii="宋体" w:hAnsi="宋体" w:cs="宋体"/>
          <w:color w:val="auto"/>
          <w:highlight w:val="none"/>
        </w:rPr>
        <w:t>，属于</w:t>
      </w:r>
      <w:r>
        <w:rPr>
          <w:rFonts w:hint="eastAsia" w:ascii="宋体" w:hAnsi="宋体" w:cs="宋体"/>
          <w:color w:val="auto"/>
          <w:highlight w:val="none"/>
          <w:u w:val="single"/>
        </w:rPr>
        <w:t xml:space="preserve">      （采购文件中明确的所属行业）</w:t>
      </w:r>
      <w:r>
        <w:rPr>
          <w:rFonts w:hint="eastAsia" w:ascii="宋体" w:hAnsi="宋体" w:cs="宋体"/>
          <w:color w:val="auto"/>
          <w:highlight w:val="none"/>
        </w:rPr>
        <w:t>；承建（承接）企业为</w:t>
      </w:r>
      <w:r>
        <w:rPr>
          <w:rFonts w:hint="eastAsia" w:ascii="宋体" w:hAnsi="宋体" w:cs="宋体"/>
          <w:color w:val="auto"/>
          <w:highlight w:val="none"/>
          <w:u w:val="single"/>
        </w:rPr>
        <w:t xml:space="preserve">      （企业名称）</w:t>
      </w:r>
      <w:r>
        <w:rPr>
          <w:rFonts w:hint="eastAsia" w:ascii="宋体" w:hAnsi="宋体" w:cs="宋体"/>
          <w:color w:val="auto"/>
          <w:highlight w:val="none"/>
        </w:rPr>
        <w:t>，从业人员</w:t>
      </w:r>
      <w:r>
        <w:rPr>
          <w:rFonts w:hint="eastAsia" w:ascii="宋体" w:hAnsi="宋体" w:cs="宋体"/>
          <w:color w:val="auto"/>
          <w:highlight w:val="none"/>
          <w:u w:val="single"/>
        </w:rPr>
        <w:t xml:space="preserve">      </w:t>
      </w:r>
      <w:r>
        <w:rPr>
          <w:rFonts w:hint="eastAsia" w:ascii="宋体" w:hAnsi="宋体" w:cs="宋体"/>
          <w:color w:val="auto"/>
          <w:highlight w:val="none"/>
        </w:rPr>
        <w:t>人，营业收入为</w:t>
      </w:r>
      <w:r>
        <w:rPr>
          <w:rFonts w:hint="eastAsia" w:ascii="宋体" w:hAnsi="宋体" w:cs="宋体"/>
          <w:color w:val="auto"/>
          <w:highlight w:val="none"/>
          <w:u w:val="single"/>
        </w:rPr>
        <w:t xml:space="preserve">      </w:t>
      </w:r>
      <w:r>
        <w:rPr>
          <w:rFonts w:hint="eastAsia" w:ascii="宋体" w:hAnsi="宋体" w:cs="宋体"/>
          <w:color w:val="auto"/>
          <w:highlight w:val="none"/>
        </w:rPr>
        <w:t>万元，资产总额为</w:t>
      </w:r>
      <w:r>
        <w:rPr>
          <w:rFonts w:hint="eastAsia" w:ascii="宋体" w:hAnsi="宋体" w:cs="宋体"/>
          <w:color w:val="auto"/>
          <w:highlight w:val="none"/>
          <w:u w:val="single"/>
        </w:rPr>
        <w:t xml:space="preserve">      </w:t>
      </w:r>
      <w:r>
        <w:rPr>
          <w:rFonts w:hint="eastAsia" w:ascii="宋体" w:hAnsi="宋体" w:cs="宋体"/>
          <w:color w:val="auto"/>
          <w:highlight w:val="none"/>
        </w:rPr>
        <w:t>万元，属于</w:t>
      </w:r>
      <w:r>
        <w:rPr>
          <w:rFonts w:hint="eastAsia" w:ascii="宋体" w:hAnsi="宋体" w:cs="宋体"/>
          <w:color w:val="auto"/>
          <w:highlight w:val="none"/>
          <w:u w:val="single"/>
        </w:rPr>
        <w:t xml:space="preserve">      （中型企业、小型企业、微型企业）</w:t>
      </w:r>
      <w:r>
        <w:rPr>
          <w:rFonts w:hint="eastAsia" w:ascii="宋体" w:hAnsi="宋体" w:cs="宋体"/>
          <w:color w:val="auto"/>
          <w:highlight w:val="none"/>
        </w:rPr>
        <w:t>；</w:t>
      </w:r>
    </w:p>
    <w:p w14:paraId="5973F5D9">
      <w:pPr>
        <w:widowControl/>
        <w:spacing w:line="360" w:lineRule="auto"/>
        <w:rPr>
          <w:rFonts w:ascii="宋体" w:hAnsi="宋体" w:cs="宋体"/>
          <w:color w:val="auto"/>
          <w:highlight w:val="none"/>
        </w:rPr>
      </w:pPr>
      <w:r>
        <w:rPr>
          <w:rFonts w:hint="eastAsia" w:ascii="宋体" w:hAnsi="宋体" w:cs="宋体"/>
          <w:color w:val="auto"/>
          <w:highlight w:val="none"/>
        </w:rPr>
        <w:t>……</w:t>
      </w:r>
    </w:p>
    <w:p w14:paraId="6A8718C1">
      <w:pPr>
        <w:widowControl/>
        <w:spacing w:line="360" w:lineRule="auto"/>
        <w:ind w:firstLine="424" w:firstLineChars="200"/>
        <w:rPr>
          <w:rFonts w:ascii="宋体" w:hAnsi="宋体" w:cs="宋体"/>
          <w:color w:val="auto"/>
          <w:highlight w:val="none"/>
        </w:rPr>
      </w:pPr>
      <w:r>
        <w:rPr>
          <w:rFonts w:hint="eastAsia" w:ascii="宋体" w:hAnsi="宋体" w:cs="宋体"/>
          <w:color w:val="auto"/>
          <w:highlight w:val="none"/>
        </w:rPr>
        <w:t>以上企业，不属于大企业的分支机构，不存在控股股东为大企业的情形，也不存在与大企业的负责人为同一人的情形。</w:t>
      </w:r>
    </w:p>
    <w:p w14:paraId="6B04232B">
      <w:pPr>
        <w:widowControl/>
        <w:spacing w:line="360" w:lineRule="auto"/>
        <w:ind w:firstLine="424" w:firstLineChars="200"/>
        <w:rPr>
          <w:rFonts w:ascii="宋体" w:hAnsi="宋体" w:cs="宋体"/>
          <w:color w:val="auto"/>
          <w:highlight w:val="none"/>
        </w:rPr>
      </w:pPr>
      <w:r>
        <w:rPr>
          <w:rFonts w:hint="eastAsia" w:ascii="宋体" w:hAnsi="宋体" w:cs="宋体"/>
          <w:color w:val="auto"/>
          <w:highlight w:val="none"/>
        </w:rPr>
        <w:t>本企业对上述声明内容的真实性负责。如有虚假，将依法承担相应责任。</w:t>
      </w:r>
    </w:p>
    <w:p w14:paraId="0AD1E99D">
      <w:pPr>
        <w:pBdr>
          <w:top w:val="none" w:color="auto" w:sz="0" w:space="1"/>
          <w:left w:val="none" w:color="auto" w:sz="0" w:space="4"/>
          <w:bottom w:val="none" w:color="auto" w:sz="0" w:space="1"/>
          <w:right w:val="none" w:color="auto" w:sz="0" w:space="4"/>
        </w:pBdr>
        <w:spacing w:line="360" w:lineRule="auto"/>
        <w:ind w:firstLine="424" w:firstLineChars="200"/>
        <w:rPr>
          <w:rFonts w:ascii="宋体" w:hAnsi="宋体" w:cs="宋体"/>
          <w:color w:val="auto"/>
          <w:highlight w:val="none"/>
          <w:u w:val="single"/>
        </w:rPr>
      </w:pPr>
      <w:r>
        <w:rPr>
          <w:rFonts w:hint="eastAsia" w:ascii="宋体" w:hAnsi="宋体" w:cs="宋体"/>
          <w:color w:val="auto"/>
          <w:highlight w:val="none"/>
        </w:rPr>
        <w:t>企业名称(电子公章)：</w:t>
      </w:r>
    </w:p>
    <w:p w14:paraId="354174B9">
      <w:pPr>
        <w:pBdr>
          <w:top w:val="none" w:color="auto" w:sz="0" w:space="1"/>
          <w:left w:val="none" w:color="auto" w:sz="0" w:space="4"/>
          <w:bottom w:val="none" w:color="auto" w:sz="0" w:space="1"/>
          <w:right w:val="none" w:color="auto" w:sz="0" w:space="4"/>
        </w:pBdr>
        <w:spacing w:line="360" w:lineRule="auto"/>
        <w:ind w:firstLine="424" w:firstLineChars="200"/>
        <w:rPr>
          <w:rFonts w:ascii="宋体" w:hAnsi="宋体" w:cs="宋体"/>
          <w:color w:val="auto"/>
          <w:highlight w:val="none"/>
        </w:rPr>
      </w:pPr>
      <w:r>
        <w:rPr>
          <w:rFonts w:hint="eastAsia" w:ascii="宋体" w:hAnsi="宋体" w:cs="宋体"/>
          <w:color w:val="auto"/>
          <w:highlight w:val="none"/>
        </w:rPr>
        <w:t>日期：</w:t>
      </w:r>
    </w:p>
    <w:p w14:paraId="2E0B3EFD">
      <w:pPr>
        <w:widowControl/>
        <w:rPr>
          <w:rFonts w:ascii="宋体" w:hAnsi="宋体" w:cs="宋体"/>
          <w:color w:val="auto"/>
          <w:highlight w:val="none"/>
        </w:rPr>
      </w:pPr>
      <w:r>
        <w:rPr>
          <w:rFonts w:hint="eastAsia" w:ascii="宋体" w:hAnsi="宋体" w:cs="宋体"/>
          <w:color w:val="auto"/>
          <w:highlight w:val="none"/>
        </w:rPr>
        <w:t>注：1、符合政策的单位，声明函须盖电子公章；</w:t>
      </w:r>
    </w:p>
    <w:p w14:paraId="19393B1E">
      <w:pPr>
        <w:widowControl/>
        <w:ind w:firstLine="424" w:firstLineChars="20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vertAlign w:val="superscript"/>
        </w:rPr>
        <w:t>1</w:t>
      </w:r>
      <w:r>
        <w:rPr>
          <w:rFonts w:hint="eastAsia" w:ascii="宋体" w:hAnsi="宋体" w:cs="宋体"/>
          <w:color w:val="auto"/>
          <w:highlight w:val="none"/>
        </w:rPr>
        <w:t>从业人员、营业收入、资产总额填报上一年度数据，无上一年度数据的新成立企业可不填报。</w:t>
      </w:r>
    </w:p>
    <w:p w14:paraId="35B15625">
      <w:pPr>
        <w:widowControl/>
        <w:ind w:firstLine="424" w:firstLineChars="200"/>
        <w:rPr>
          <w:rFonts w:ascii="宋体" w:hAnsi="宋体" w:cs="宋体"/>
          <w:color w:val="auto"/>
          <w:highlight w:val="none"/>
        </w:rPr>
      </w:pPr>
      <w:r>
        <w:rPr>
          <w:rFonts w:hint="eastAsia" w:ascii="宋体" w:hAnsi="宋体" w:cs="宋体"/>
          <w:color w:val="auto"/>
          <w:highlight w:val="none"/>
        </w:rPr>
        <w:t>3、供应商提供声明内容不实的，属于弄虚作假骗取中标，依照《中华人民共和国</w:t>
      </w:r>
      <w:r>
        <w:rPr>
          <w:rFonts w:hint="eastAsia" w:ascii="宋体" w:hAnsi="宋体" w:cs="宋体"/>
          <w:color w:val="auto"/>
          <w:highlight w:val="none"/>
          <w:lang w:eastAsia="zh-CN"/>
        </w:rPr>
        <w:t>政府采购法</w:t>
      </w:r>
      <w:r>
        <w:rPr>
          <w:rFonts w:hint="eastAsia" w:ascii="宋体" w:hAnsi="宋体" w:cs="宋体"/>
          <w:color w:val="auto"/>
          <w:highlight w:val="none"/>
        </w:rPr>
        <w:t>》等国家有关规定追究相应责任。</w:t>
      </w:r>
    </w:p>
    <w:p w14:paraId="699AF941">
      <w:pPr>
        <w:widowControl/>
        <w:jc w:val="left"/>
        <w:rPr>
          <w:rFonts w:ascii="宋体" w:hAnsi="宋体" w:cs="宋体"/>
          <w:b/>
          <w:color w:val="auto"/>
          <w:highlight w:val="none"/>
        </w:rPr>
      </w:pPr>
      <w:r>
        <w:rPr>
          <w:rFonts w:ascii="宋体" w:hAnsi="宋体" w:cs="宋体"/>
          <w:b/>
          <w:color w:val="auto"/>
          <w:highlight w:val="none"/>
        </w:rPr>
        <w:br w:type="page"/>
      </w:r>
    </w:p>
    <w:p w14:paraId="6AE050F1">
      <w:pPr>
        <w:spacing w:before="156" w:beforeLines="50" w:after="312" w:afterLines="100" w:line="360" w:lineRule="auto"/>
        <w:rPr>
          <w:rFonts w:ascii="宋体" w:hAnsi="宋体" w:cs="宋体"/>
          <w:b/>
          <w:color w:val="auto"/>
          <w:highlight w:val="none"/>
        </w:rPr>
      </w:pPr>
      <w:r>
        <w:rPr>
          <w:rFonts w:hint="eastAsia" w:ascii="宋体" w:hAnsi="宋体" w:cs="宋体"/>
          <w:b/>
          <w:color w:val="auto"/>
          <w:highlight w:val="none"/>
        </w:rPr>
        <w:t>附件5.1：</w:t>
      </w:r>
      <w:r>
        <w:rPr>
          <w:rFonts w:hint="eastAsia" w:ascii="宋体" w:hAnsi="宋体" w:cs="宋体"/>
          <w:b/>
          <w:bCs/>
          <w:color w:val="auto"/>
          <w:highlight w:val="none"/>
        </w:rPr>
        <w:t>指定格式</w:t>
      </w:r>
    </w:p>
    <w:p w14:paraId="0D3C8588">
      <w:pPr>
        <w:spacing w:line="360" w:lineRule="auto"/>
        <w:jc w:val="center"/>
        <w:rPr>
          <w:rFonts w:ascii="宋体" w:hAnsi="宋体" w:cs="宋体"/>
          <w:b/>
          <w:color w:val="auto"/>
          <w:highlight w:val="none"/>
        </w:rPr>
      </w:pPr>
      <w:r>
        <w:rPr>
          <w:rFonts w:hint="eastAsia" w:ascii="宋体" w:hAnsi="宋体" w:cs="宋体"/>
          <w:b/>
          <w:color w:val="auto"/>
          <w:highlight w:val="none"/>
        </w:rPr>
        <w:t>残疾人福利性单位声明函</w:t>
      </w:r>
    </w:p>
    <w:p w14:paraId="0C8F970A">
      <w:pPr>
        <w:spacing w:line="360" w:lineRule="auto"/>
        <w:ind w:firstLine="448" w:firstLineChars="200"/>
        <w:rPr>
          <w:rFonts w:ascii="宋体" w:hAnsi="宋体" w:cs="宋体"/>
          <w:color w:val="auto"/>
          <w:highlight w:val="none"/>
          <w:u w:val="single"/>
        </w:rPr>
      </w:pPr>
      <w:r>
        <w:rPr>
          <w:rFonts w:hint="eastAsia" w:ascii="宋体" w:hAnsi="宋体" w:cs="宋体"/>
          <w:color w:val="auto"/>
          <w:spacing w:val="6"/>
          <w:highlight w:val="none"/>
        </w:rPr>
        <w:t>本单位郑重声明，根据《财政部、民政部、中国残疾人联合会关于促进残疾人就业政府采购政策的通知》(财库</w:t>
      </w:r>
      <w:r>
        <w:rPr>
          <w:rFonts w:hint="eastAsia" w:ascii="宋体" w:hAnsi="宋体" w:cs="宋体"/>
          <w:color w:val="auto"/>
          <w:highlight w:val="none"/>
        </w:rPr>
        <w:t>〔2017〕141</w:t>
      </w:r>
      <w:r>
        <w:rPr>
          <w:rFonts w:hint="eastAsia" w:ascii="宋体" w:hAnsi="宋体" w:cs="宋体"/>
          <w:color w:val="auto"/>
          <w:spacing w:val="6"/>
          <w:highlight w:val="none"/>
        </w:rPr>
        <w:t>号)的规定，本单位为符合条件的残疾人福利性单位，且本单位参加</w:t>
      </w:r>
      <w:r>
        <w:rPr>
          <w:rFonts w:hint="eastAsia" w:ascii="宋体" w:hAnsi="宋体" w:cs="宋体"/>
          <w:color w:val="auto"/>
          <w:highlight w:val="none"/>
          <w:u w:val="single"/>
        </w:rPr>
        <w:t xml:space="preserve">         </w:t>
      </w:r>
      <w:r>
        <w:rPr>
          <w:rFonts w:hint="eastAsia" w:ascii="宋体" w:hAnsi="宋体" w:cs="宋体"/>
          <w:color w:val="auto"/>
          <w:spacing w:val="6"/>
          <w:highlight w:val="none"/>
        </w:rPr>
        <w:t>（采购人名称）的</w:t>
      </w:r>
    </w:p>
    <w:p w14:paraId="4B0B2BDF">
      <w:pPr>
        <w:spacing w:line="360" w:lineRule="auto"/>
        <w:rPr>
          <w:rFonts w:ascii="宋体" w:hAnsi="宋体" w:cs="宋体"/>
          <w:color w:val="auto"/>
          <w:spacing w:val="6"/>
          <w:highlight w:val="none"/>
        </w:rPr>
      </w:pPr>
      <w:r>
        <w:rPr>
          <w:rFonts w:hint="eastAsia" w:ascii="宋体" w:hAnsi="宋体" w:cs="宋体"/>
          <w:color w:val="auto"/>
          <w:highlight w:val="none"/>
          <w:u w:val="single"/>
        </w:rPr>
        <w:t xml:space="preserve">          </w:t>
      </w:r>
      <w:r>
        <w:rPr>
          <w:rFonts w:hint="eastAsia" w:ascii="宋体" w:hAnsi="宋体" w:cs="宋体"/>
          <w:color w:val="auto"/>
          <w:spacing w:val="6"/>
          <w:highlight w:val="none"/>
        </w:rPr>
        <w:t>（项目名称）采购活动提供本单位制造的货物(由本单位承担工程/提供服务)，或者提供其他残疾人福利性单位制造的货物(不包括使用非残疾人福利性单位注册商标的货物)。</w:t>
      </w:r>
    </w:p>
    <w:p w14:paraId="2209F014">
      <w:pPr>
        <w:spacing w:line="360" w:lineRule="auto"/>
        <w:ind w:firstLine="448" w:firstLineChars="200"/>
        <w:rPr>
          <w:rFonts w:ascii="宋体" w:hAnsi="宋体" w:cs="宋体"/>
          <w:color w:val="auto"/>
          <w:spacing w:val="6"/>
          <w:highlight w:val="none"/>
        </w:rPr>
      </w:pPr>
      <w:r>
        <w:rPr>
          <w:rFonts w:hint="eastAsia" w:ascii="宋体" w:hAnsi="宋体" w:cs="宋体"/>
          <w:color w:val="auto"/>
          <w:spacing w:val="6"/>
          <w:highlight w:val="none"/>
        </w:rPr>
        <w:t>本单位对上述声明的真实性负责。如有虚假，将依法承担相应责任。</w:t>
      </w:r>
    </w:p>
    <w:p w14:paraId="4914177D">
      <w:pPr>
        <w:spacing w:line="360" w:lineRule="auto"/>
        <w:ind w:firstLine="448" w:firstLineChars="200"/>
        <w:rPr>
          <w:rFonts w:ascii="宋体" w:hAnsi="宋体" w:cs="宋体"/>
          <w:color w:val="auto"/>
          <w:spacing w:val="6"/>
          <w:highlight w:val="none"/>
        </w:rPr>
      </w:pPr>
    </w:p>
    <w:p w14:paraId="18FBA88E">
      <w:pPr>
        <w:pBdr>
          <w:top w:val="none" w:color="auto" w:sz="0" w:space="1"/>
          <w:left w:val="none" w:color="auto" w:sz="0" w:space="4"/>
          <w:bottom w:val="none" w:color="auto" w:sz="0" w:space="1"/>
          <w:right w:val="none" w:color="auto" w:sz="0" w:space="4"/>
        </w:pBdr>
        <w:spacing w:line="360" w:lineRule="auto"/>
        <w:rPr>
          <w:rFonts w:ascii="宋体" w:hAnsi="宋体" w:cs="宋体"/>
          <w:color w:val="auto"/>
          <w:spacing w:val="6"/>
          <w:highlight w:val="none"/>
        </w:rPr>
      </w:pPr>
    </w:p>
    <w:p w14:paraId="5770A0A8">
      <w:pPr>
        <w:pBdr>
          <w:top w:val="none" w:color="auto" w:sz="0" w:space="1"/>
          <w:left w:val="none" w:color="auto" w:sz="0" w:space="4"/>
          <w:bottom w:val="none" w:color="auto" w:sz="0" w:space="1"/>
          <w:right w:val="none" w:color="auto" w:sz="0" w:space="4"/>
        </w:pBdr>
        <w:spacing w:line="360" w:lineRule="auto"/>
        <w:ind w:firstLine="1792" w:firstLineChars="800"/>
        <w:rPr>
          <w:rFonts w:ascii="宋体" w:hAnsi="宋体" w:cs="宋体"/>
          <w:color w:val="auto"/>
          <w:spacing w:val="6"/>
          <w:highlight w:val="none"/>
        </w:rPr>
      </w:pPr>
      <w:r>
        <w:rPr>
          <w:rFonts w:hint="eastAsia" w:ascii="宋体" w:hAnsi="宋体" w:cs="宋体"/>
          <w:color w:val="auto"/>
          <w:spacing w:val="6"/>
          <w:highlight w:val="none"/>
        </w:rPr>
        <w:t>单位名称(电子公章)：</w:t>
      </w:r>
    </w:p>
    <w:p w14:paraId="290ACDEC">
      <w:pPr>
        <w:pBdr>
          <w:top w:val="none" w:color="auto" w:sz="0" w:space="1"/>
          <w:left w:val="none" w:color="auto" w:sz="0" w:space="4"/>
          <w:bottom w:val="none" w:color="auto" w:sz="0" w:space="1"/>
          <w:right w:val="none" w:color="auto" w:sz="0" w:space="4"/>
        </w:pBdr>
        <w:spacing w:line="360" w:lineRule="auto"/>
        <w:ind w:firstLine="2688" w:firstLineChars="1200"/>
        <w:rPr>
          <w:rFonts w:ascii="宋体" w:hAnsi="宋体" w:cs="宋体"/>
          <w:color w:val="auto"/>
          <w:highlight w:val="none"/>
        </w:rPr>
      </w:pPr>
      <w:r>
        <w:rPr>
          <w:rFonts w:hint="eastAsia" w:ascii="宋体" w:hAnsi="宋体" w:cs="宋体"/>
          <w:color w:val="auto"/>
          <w:spacing w:val="6"/>
          <w:highlight w:val="none"/>
        </w:rPr>
        <w:t>日期：</w:t>
      </w:r>
    </w:p>
    <w:p w14:paraId="60146B97">
      <w:pPr>
        <w:pStyle w:val="2"/>
        <w:rPr>
          <w:color w:val="auto"/>
          <w:highlight w:val="none"/>
        </w:rPr>
      </w:pPr>
    </w:p>
    <w:p w14:paraId="72B984D1">
      <w:pPr>
        <w:rPr>
          <w:color w:val="auto"/>
          <w:highlight w:val="none"/>
        </w:rPr>
      </w:pPr>
    </w:p>
    <w:p w14:paraId="6771603F">
      <w:pPr>
        <w:pStyle w:val="2"/>
        <w:rPr>
          <w:color w:val="auto"/>
          <w:highlight w:val="none"/>
        </w:rPr>
      </w:pPr>
    </w:p>
    <w:p w14:paraId="3B2728CD">
      <w:pPr>
        <w:rPr>
          <w:color w:val="auto"/>
          <w:highlight w:val="none"/>
        </w:rPr>
      </w:pPr>
    </w:p>
    <w:p w14:paraId="0CC70C4F">
      <w:pPr>
        <w:pStyle w:val="2"/>
        <w:rPr>
          <w:color w:val="auto"/>
          <w:highlight w:val="none"/>
        </w:rPr>
      </w:pPr>
    </w:p>
    <w:p w14:paraId="2D9CE1D3">
      <w:pPr>
        <w:rPr>
          <w:color w:val="auto"/>
          <w:highlight w:val="none"/>
        </w:rPr>
      </w:pPr>
    </w:p>
    <w:p w14:paraId="58F72858">
      <w:pPr>
        <w:pStyle w:val="2"/>
        <w:rPr>
          <w:color w:val="auto"/>
          <w:highlight w:val="none"/>
        </w:rPr>
      </w:pPr>
    </w:p>
    <w:p w14:paraId="3459325C">
      <w:pPr>
        <w:rPr>
          <w:color w:val="auto"/>
          <w:highlight w:val="none"/>
        </w:rPr>
      </w:pPr>
    </w:p>
    <w:p w14:paraId="3AA95B66">
      <w:pPr>
        <w:pStyle w:val="2"/>
        <w:rPr>
          <w:color w:val="auto"/>
          <w:highlight w:val="none"/>
        </w:rPr>
      </w:pPr>
    </w:p>
    <w:p w14:paraId="2B6F9AAE">
      <w:pPr>
        <w:rPr>
          <w:color w:val="auto"/>
          <w:highlight w:val="none"/>
        </w:rPr>
      </w:pPr>
    </w:p>
    <w:p w14:paraId="239A7697">
      <w:pPr>
        <w:pStyle w:val="2"/>
        <w:rPr>
          <w:rFonts w:hint="eastAsia"/>
          <w:color w:val="auto"/>
          <w:highlight w:val="none"/>
          <w:lang w:val="en-US" w:eastAsia="zh-CN"/>
        </w:rPr>
      </w:pPr>
      <w:r>
        <w:rPr>
          <w:rFonts w:hint="eastAsia"/>
          <w:color w:val="auto"/>
          <w:highlight w:val="none"/>
          <w:lang w:val="en-US" w:eastAsia="zh-CN"/>
        </w:rPr>
        <w:t>附件6：保证金承诺函</w:t>
      </w:r>
    </w:p>
    <w:p w14:paraId="46B6EC3F">
      <w:pPr>
        <w:rPr>
          <w:rFonts w:hint="default"/>
          <w:color w:val="auto"/>
          <w:highlight w:val="none"/>
          <w:lang w:val="en-US" w:eastAsia="zh-CN"/>
        </w:rPr>
      </w:pPr>
    </w:p>
    <w:p w14:paraId="0B0E5734">
      <w:pPr>
        <w:rPr>
          <w:color w:val="auto"/>
          <w:highlight w:val="none"/>
        </w:rPr>
      </w:pPr>
    </w:p>
    <w:p w14:paraId="47F398AF">
      <w:pPr>
        <w:pStyle w:val="2"/>
        <w:rPr>
          <w:color w:val="auto"/>
          <w:highlight w:val="none"/>
        </w:rPr>
      </w:pPr>
    </w:p>
    <w:p w14:paraId="76247E44">
      <w:pPr>
        <w:widowControl/>
        <w:shd w:val="clear" w:color="auto" w:fill="FFFFFF"/>
        <w:spacing w:line="480" w:lineRule="auto"/>
        <w:jc w:val="center"/>
        <w:rPr>
          <w:rFonts w:hint="eastAsia" w:ascii="微软雅黑" w:hAnsi="微软雅黑" w:eastAsia="微软雅黑" w:cs="宋体"/>
          <w:color w:val="auto"/>
          <w:spacing w:val="10"/>
          <w:sz w:val="30"/>
          <w:szCs w:val="30"/>
          <w:highlight w:val="none"/>
        </w:rPr>
      </w:pPr>
      <w:r>
        <w:rPr>
          <w:rFonts w:hint="eastAsia" w:ascii="微软雅黑" w:hAnsi="微软雅黑" w:eastAsia="微软雅黑" w:cs="宋体"/>
          <w:color w:val="auto"/>
          <w:spacing w:val="10"/>
          <w:sz w:val="30"/>
          <w:szCs w:val="30"/>
          <w:highlight w:val="none"/>
        </w:rPr>
        <w:t>投标保证金承诺函</w:t>
      </w:r>
    </w:p>
    <w:p w14:paraId="428DD023">
      <w:pPr>
        <w:widowControl/>
        <w:shd w:val="clear" w:color="auto" w:fill="FFFFFF"/>
        <w:spacing w:line="480" w:lineRule="auto"/>
        <w:jc w:val="center"/>
        <w:rPr>
          <w:rFonts w:ascii="微软雅黑" w:hAnsi="微软雅黑" w:eastAsia="微软雅黑" w:cs="宋体"/>
          <w:color w:val="auto"/>
          <w:spacing w:val="10"/>
          <w:sz w:val="30"/>
          <w:szCs w:val="30"/>
          <w:highlight w:val="none"/>
        </w:rPr>
      </w:pPr>
    </w:p>
    <w:p w14:paraId="7A7C416C">
      <w:pPr>
        <w:widowControl/>
        <w:shd w:val="clear" w:color="auto" w:fill="FFFFFF"/>
        <w:spacing w:line="480" w:lineRule="auto"/>
        <w:rPr>
          <w:rFonts w:hint="eastAsia" w:ascii="仿宋_GB2312" w:hAnsi="微软雅黑" w:eastAsia="仿宋_GB2312" w:cs="宋体"/>
          <w:color w:val="auto"/>
          <w:spacing w:val="10"/>
          <w:sz w:val="30"/>
          <w:szCs w:val="30"/>
          <w:highlight w:val="none"/>
        </w:rPr>
      </w:pPr>
      <w:r>
        <w:rPr>
          <w:rFonts w:hint="eastAsia" w:ascii="仿宋_GB2312" w:hAnsi="微软雅黑" w:eastAsia="仿宋_GB2312" w:cs="宋体"/>
          <w:color w:val="auto"/>
          <w:spacing w:val="10"/>
          <w:sz w:val="30"/>
          <w:szCs w:val="30"/>
          <w:highlight w:val="none"/>
        </w:rPr>
        <w:t>（招标单位名称）：</w:t>
      </w:r>
    </w:p>
    <w:p w14:paraId="2AACC21F">
      <w:pPr>
        <w:widowControl/>
        <w:shd w:val="clear" w:color="auto" w:fill="FFFFFF"/>
        <w:spacing w:line="480" w:lineRule="auto"/>
        <w:rPr>
          <w:rFonts w:hint="eastAsia" w:ascii="微软雅黑" w:hAnsi="微软雅黑" w:eastAsia="微软雅黑" w:cs="宋体"/>
          <w:color w:val="auto"/>
          <w:spacing w:val="10"/>
          <w:sz w:val="30"/>
          <w:szCs w:val="30"/>
          <w:highlight w:val="none"/>
        </w:rPr>
      </w:pPr>
    </w:p>
    <w:p w14:paraId="13A7D9C4">
      <w:pPr>
        <w:widowControl/>
        <w:spacing w:line="480" w:lineRule="auto"/>
        <w:ind w:firstLine="604" w:firstLineChars="200"/>
        <w:rPr>
          <w:rFonts w:hint="eastAsia" w:ascii="MS Mincho" w:hAnsi="MS Mincho" w:cs="MS Mincho"/>
          <w:color w:val="auto"/>
          <w:sz w:val="30"/>
          <w:szCs w:val="30"/>
          <w:highlight w:val="none"/>
        </w:rPr>
      </w:pPr>
      <w:r>
        <w:rPr>
          <w:rFonts w:hint="eastAsia" w:ascii="仿宋_GB2312" w:hAnsi="宋体" w:eastAsia="仿宋_GB2312" w:cs="宋体"/>
          <w:color w:val="auto"/>
          <w:sz w:val="30"/>
          <w:szCs w:val="30"/>
          <w:highlight w:val="none"/>
        </w:rPr>
        <w:t>我公司参加</w:t>
      </w:r>
      <w:r>
        <w:rPr>
          <w:rFonts w:hint="eastAsia" w:ascii="MS Mincho" w:hAnsi="MS Mincho" w:eastAsia="MS Mincho" w:cs="MS Mincho"/>
          <w:color w:val="auto"/>
          <w:sz w:val="30"/>
          <w:szCs w:val="30"/>
          <w:highlight w:val="none"/>
          <w:u w:val="single"/>
        </w:rPr>
        <w:t> </w:t>
      </w:r>
      <w:r>
        <w:rPr>
          <w:rFonts w:hint="eastAsia" w:ascii="仿宋_GB2312" w:hAnsi="宋体" w:eastAsia="仿宋_GB2312" w:cs="宋体"/>
          <w:color w:val="auto"/>
          <w:sz w:val="30"/>
          <w:szCs w:val="30"/>
          <w:highlight w:val="none"/>
          <w:u w:val="single"/>
        </w:rPr>
        <w:t>   </w:t>
      </w:r>
      <w:r>
        <w:rPr>
          <w:rFonts w:hint="eastAsia" w:ascii="仿宋_GB2312" w:hAnsi="宋体" w:eastAsia="仿宋_GB2312" w:cs="宋体"/>
          <w:color w:val="auto"/>
          <w:sz w:val="30"/>
          <w:szCs w:val="30"/>
          <w:highlight w:val="none"/>
        </w:rPr>
        <w:t>（采购工程项目名称）投标活动，特承诺将按照采购文件要求依法履行投标人义务。如有违反，我公司将依约于</w:t>
      </w:r>
      <w:r>
        <w:rPr>
          <w:rFonts w:hint="eastAsia" w:ascii="仿宋_GB2312" w:hAnsi="宋体" w:eastAsia="仿宋_GB2312" w:cs="宋体"/>
          <w:color w:val="auto"/>
          <w:sz w:val="30"/>
          <w:szCs w:val="30"/>
          <w:highlight w:val="none"/>
          <w:u w:val="single"/>
        </w:rPr>
        <w:t xml:space="preserve"> </w:t>
      </w:r>
      <w:r>
        <w:rPr>
          <w:rFonts w:hint="eastAsia" w:ascii="仿宋_GB2312" w:hAnsi="宋体" w:eastAsia="仿宋_GB2312" w:cs="宋体"/>
          <w:color w:val="auto"/>
          <w:sz w:val="30"/>
          <w:szCs w:val="30"/>
          <w:highlight w:val="none"/>
        </w:rPr>
        <w:t>年</w:t>
      </w:r>
      <w:r>
        <w:rPr>
          <w:rFonts w:hint="eastAsia" w:ascii="仿宋_GB2312" w:hAnsi="宋体" w:eastAsia="仿宋_GB2312" w:cs="宋体"/>
          <w:color w:val="auto"/>
          <w:sz w:val="30"/>
          <w:szCs w:val="30"/>
          <w:highlight w:val="none"/>
          <w:u w:val="single"/>
        </w:rPr>
        <w:t xml:space="preserve"> </w:t>
      </w:r>
      <w:r>
        <w:rPr>
          <w:rFonts w:hint="eastAsia" w:ascii="仿宋_GB2312" w:hAnsi="宋体" w:eastAsia="仿宋_GB2312" w:cs="宋体"/>
          <w:color w:val="auto"/>
          <w:sz w:val="30"/>
          <w:szCs w:val="30"/>
          <w:highlight w:val="none"/>
        </w:rPr>
        <w:t>月</w:t>
      </w:r>
      <w:r>
        <w:rPr>
          <w:rFonts w:hint="eastAsia" w:ascii="仿宋_GB2312" w:hAnsi="宋体" w:eastAsia="仿宋_GB2312" w:cs="宋体"/>
          <w:color w:val="auto"/>
          <w:sz w:val="30"/>
          <w:szCs w:val="30"/>
          <w:highlight w:val="none"/>
          <w:u w:val="single"/>
        </w:rPr>
        <w:t xml:space="preserve"> </w:t>
      </w:r>
      <w:r>
        <w:rPr>
          <w:rFonts w:hint="eastAsia" w:ascii="仿宋_GB2312" w:hAnsi="宋体" w:eastAsia="仿宋_GB2312" w:cs="宋体"/>
          <w:color w:val="auto"/>
          <w:sz w:val="30"/>
          <w:szCs w:val="30"/>
          <w:highlight w:val="none"/>
        </w:rPr>
        <w:t>日前全额付清违约投标保证金</w:t>
      </w:r>
      <w:r>
        <w:rPr>
          <w:rFonts w:hint="eastAsia" w:ascii="仿宋_GB2312" w:hAnsi="宋体" w:eastAsia="仿宋_GB2312" w:cs="宋体"/>
          <w:color w:val="auto"/>
          <w:sz w:val="30"/>
          <w:szCs w:val="30"/>
          <w:highlight w:val="none"/>
          <w:u w:val="single"/>
        </w:rPr>
        <w:t xml:space="preserve">   </w:t>
      </w:r>
      <w:r>
        <w:rPr>
          <w:rFonts w:hint="eastAsia" w:ascii="仿宋_GB2312" w:hAnsi="宋体" w:eastAsia="仿宋_GB2312" w:cs="宋体"/>
          <w:color w:val="auto"/>
          <w:sz w:val="30"/>
          <w:szCs w:val="30"/>
          <w:highlight w:val="none"/>
        </w:rPr>
        <w:t>元。  </w:t>
      </w:r>
      <w:r>
        <w:rPr>
          <w:rFonts w:hint="eastAsia" w:ascii="MS Mincho" w:hAnsi="MS Mincho" w:eastAsia="MS Mincho" w:cs="MS Mincho"/>
          <w:color w:val="auto"/>
          <w:sz w:val="30"/>
          <w:szCs w:val="30"/>
          <w:highlight w:val="none"/>
        </w:rPr>
        <w:t>  </w:t>
      </w:r>
    </w:p>
    <w:p w14:paraId="34E780FB">
      <w:pPr>
        <w:widowControl/>
        <w:shd w:val="clear" w:color="auto" w:fill="FFFFFF"/>
        <w:spacing w:line="480" w:lineRule="auto"/>
        <w:outlineLvl w:val="1"/>
        <w:rPr>
          <w:rFonts w:ascii="微软雅黑" w:hAnsi="微软雅黑" w:eastAsia="微软雅黑" w:cs="宋体"/>
          <w:color w:val="auto"/>
          <w:spacing w:val="6"/>
          <w:sz w:val="30"/>
          <w:szCs w:val="30"/>
          <w:highlight w:val="none"/>
        </w:rPr>
      </w:pPr>
      <w:r>
        <w:rPr>
          <w:rFonts w:hint="eastAsia" w:ascii="仿宋_GB2312" w:hAnsi="微软雅黑" w:eastAsia="仿宋_GB2312" w:cs="宋体"/>
          <w:b/>
          <w:bCs/>
          <w:color w:val="auto"/>
          <w:spacing w:val="6"/>
          <w:sz w:val="30"/>
          <w:szCs w:val="30"/>
          <w:highlight w:val="none"/>
        </w:rPr>
        <w:t>   </w:t>
      </w:r>
      <w:r>
        <w:rPr>
          <w:rFonts w:hint="eastAsia" w:ascii="仿宋_GB2312" w:hAnsi="微软雅黑" w:eastAsia="仿宋_GB2312" w:cs="宋体"/>
          <w:color w:val="auto"/>
          <w:spacing w:val="6"/>
          <w:sz w:val="30"/>
          <w:szCs w:val="30"/>
          <w:highlight w:val="none"/>
        </w:rPr>
        <w:t>  如我公司未依约全额付清违约投标保证金，采购人可提交行政监督部门处理，我公司自愿接受行政监督部门作出的一切行政处罚，并依法依规将我公司纳入失信黑名单。</w:t>
      </w:r>
    </w:p>
    <w:p w14:paraId="2964EFFD">
      <w:pPr>
        <w:widowControl/>
        <w:shd w:val="clear" w:color="auto" w:fill="FFFFFF"/>
        <w:spacing w:line="480" w:lineRule="auto"/>
        <w:rPr>
          <w:rFonts w:hint="eastAsia" w:ascii="微软雅黑" w:hAnsi="微软雅黑" w:eastAsia="微软雅黑" w:cs="宋体"/>
          <w:color w:val="auto"/>
          <w:spacing w:val="6"/>
          <w:sz w:val="30"/>
          <w:szCs w:val="30"/>
          <w:highlight w:val="none"/>
        </w:rPr>
      </w:pPr>
      <w:r>
        <w:rPr>
          <w:rFonts w:hint="eastAsia" w:ascii="MS Mincho" w:hAnsi="MS Mincho" w:eastAsia="MS Mincho" w:cs="MS Mincho"/>
          <w:color w:val="auto"/>
          <w:spacing w:val="6"/>
          <w:sz w:val="30"/>
          <w:szCs w:val="30"/>
          <w:highlight w:val="none"/>
        </w:rPr>
        <w:t> </w:t>
      </w:r>
    </w:p>
    <w:p w14:paraId="64E562E2">
      <w:pPr>
        <w:widowControl/>
        <w:shd w:val="clear" w:color="auto" w:fill="FFFFFF"/>
        <w:spacing w:line="480" w:lineRule="auto"/>
        <w:rPr>
          <w:rFonts w:hint="eastAsia" w:ascii="微软雅黑" w:hAnsi="微软雅黑" w:eastAsia="微软雅黑" w:cs="宋体"/>
          <w:color w:val="auto"/>
          <w:spacing w:val="6"/>
          <w:sz w:val="30"/>
          <w:szCs w:val="30"/>
          <w:highlight w:val="none"/>
        </w:rPr>
      </w:pPr>
      <w:r>
        <w:rPr>
          <w:rFonts w:hint="eastAsia" w:ascii="仿宋_GB2312" w:hAnsi="微软雅黑" w:eastAsia="仿宋_GB2312" w:cs="宋体"/>
          <w:color w:val="auto"/>
          <w:spacing w:val="6"/>
          <w:sz w:val="30"/>
          <w:szCs w:val="30"/>
          <w:highlight w:val="none"/>
        </w:rPr>
        <w:t>                              投标人单位名称</w:t>
      </w:r>
      <w:r>
        <w:rPr>
          <w:rFonts w:hint="eastAsia" w:ascii="仿宋_GB2312" w:hAnsi="微软雅黑" w:eastAsia="仿宋_GB2312" w:cs="宋体"/>
          <w:color w:val="auto"/>
          <w:spacing w:val="6"/>
          <w:sz w:val="30"/>
          <w:szCs w:val="30"/>
          <w:highlight w:val="none"/>
          <w:lang w:eastAsia="zh-CN"/>
        </w:rPr>
        <w:t>：</w:t>
      </w:r>
      <w:r>
        <w:rPr>
          <w:rFonts w:hint="eastAsia" w:ascii="仿宋_GB2312" w:hAnsi="微软雅黑" w:eastAsia="仿宋_GB2312" w:cs="宋体"/>
          <w:color w:val="auto"/>
          <w:spacing w:val="6"/>
          <w:sz w:val="30"/>
          <w:szCs w:val="30"/>
          <w:highlight w:val="none"/>
        </w:rPr>
        <w:t>（</w:t>
      </w:r>
      <w:r>
        <w:rPr>
          <w:rFonts w:hint="eastAsia" w:ascii="仿宋_GB2312" w:hAnsi="微软雅黑" w:eastAsia="仿宋_GB2312" w:cs="宋体"/>
          <w:color w:val="auto"/>
          <w:spacing w:val="6"/>
          <w:sz w:val="30"/>
          <w:szCs w:val="30"/>
          <w:highlight w:val="none"/>
          <w:lang w:val="en-US" w:eastAsia="zh-CN"/>
        </w:rPr>
        <w:t>电子公章</w:t>
      </w:r>
      <w:r>
        <w:rPr>
          <w:rFonts w:hint="eastAsia" w:ascii="仿宋_GB2312" w:hAnsi="微软雅黑" w:eastAsia="仿宋_GB2312" w:cs="宋体"/>
          <w:color w:val="auto"/>
          <w:spacing w:val="6"/>
          <w:sz w:val="30"/>
          <w:szCs w:val="30"/>
          <w:highlight w:val="none"/>
        </w:rPr>
        <w:t>）</w:t>
      </w:r>
    </w:p>
    <w:p w14:paraId="464ED736">
      <w:pPr>
        <w:widowControl/>
        <w:shd w:val="clear" w:color="auto" w:fill="FFFFFF"/>
        <w:spacing w:line="480" w:lineRule="auto"/>
        <w:rPr>
          <w:rFonts w:hint="eastAsia" w:ascii="微软雅黑" w:hAnsi="微软雅黑" w:eastAsia="微软雅黑" w:cs="宋体"/>
          <w:color w:val="auto"/>
          <w:spacing w:val="6"/>
          <w:sz w:val="30"/>
          <w:szCs w:val="30"/>
          <w:highlight w:val="none"/>
        </w:rPr>
      </w:pPr>
      <w:r>
        <w:rPr>
          <w:rFonts w:hint="eastAsia" w:ascii="仿宋_GB2312" w:hAnsi="微软雅黑" w:eastAsia="仿宋_GB2312" w:cs="宋体"/>
          <w:color w:val="auto"/>
          <w:spacing w:val="6"/>
          <w:sz w:val="30"/>
          <w:szCs w:val="30"/>
          <w:highlight w:val="none"/>
        </w:rPr>
        <w:t xml:space="preserve">                                     年 </w:t>
      </w:r>
      <w:r>
        <w:rPr>
          <w:rFonts w:hint="eastAsia" w:ascii="MS Mincho" w:hAnsi="MS Mincho" w:eastAsia="MS Mincho" w:cs="MS Mincho"/>
          <w:color w:val="auto"/>
          <w:spacing w:val="6"/>
          <w:sz w:val="30"/>
          <w:szCs w:val="30"/>
          <w:highlight w:val="none"/>
        </w:rPr>
        <w:t> </w:t>
      </w:r>
      <w:r>
        <w:rPr>
          <w:rFonts w:hint="eastAsia" w:ascii="仿宋_GB2312" w:hAnsi="微软雅黑" w:eastAsia="仿宋_GB2312" w:cs="宋体"/>
          <w:color w:val="auto"/>
          <w:spacing w:val="6"/>
          <w:sz w:val="30"/>
          <w:szCs w:val="30"/>
          <w:highlight w:val="none"/>
        </w:rPr>
        <w:t>月</w:t>
      </w:r>
      <w:r>
        <w:rPr>
          <w:rFonts w:hint="eastAsia" w:ascii="MS Mincho" w:hAnsi="MS Mincho" w:cs="MS Mincho"/>
          <w:color w:val="auto"/>
          <w:spacing w:val="6"/>
          <w:sz w:val="30"/>
          <w:szCs w:val="30"/>
          <w:highlight w:val="none"/>
        </w:rPr>
        <w:t xml:space="preserve">   </w:t>
      </w:r>
      <w:r>
        <w:rPr>
          <w:rFonts w:hint="eastAsia" w:ascii="仿宋_GB2312" w:hAnsi="微软雅黑" w:eastAsia="仿宋_GB2312" w:cs="宋体"/>
          <w:color w:val="auto"/>
          <w:spacing w:val="6"/>
          <w:sz w:val="30"/>
          <w:szCs w:val="30"/>
          <w:highlight w:val="none"/>
        </w:rPr>
        <w:t>日</w:t>
      </w:r>
    </w:p>
    <w:p w14:paraId="784AB153">
      <w:pPr>
        <w:rPr>
          <w:color w:val="auto"/>
          <w:highlight w:val="none"/>
        </w:rPr>
      </w:pPr>
    </w:p>
    <w:sectPr>
      <w:footerReference r:id="rId4" w:type="first"/>
      <w:footerReference r:id="rId3" w:type="default"/>
      <w:pgSz w:w="11906" w:h="16838"/>
      <w:pgMar w:top="1440" w:right="1080" w:bottom="1440" w:left="1080" w:header="851" w:footer="992" w:gutter="0"/>
      <w:pgNumType w:fmt="decimal"/>
      <w:cols w:space="720" w:num="1"/>
      <w:titlePg/>
      <w:docGrid w:type="linesAndChars" w:linePitch="312" w:charSpace="5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文鼎CS魏碑">
    <w:altName w:val="宋体"/>
    <w:panose1 w:val="00000000000000000000"/>
    <w:charset w:val="86"/>
    <w:family w:val="auto"/>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Consolas">
    <w:panose1 w:val="020B0609020204030204"/>
    <w:charset w:val="00"/>
    <w:family w:val="modern"/>
    <w:pitch w:val="default"/>
    <w:sig w:usb0="E00006FF" w:usb1="0000FCFF" w:usb2="00000001" w:usb3="00000000" w:csb0="6000019F" w:csb1="DFD70000"/>
  </w:font>
  <w:font w:name="Arial Unicode MS">
    <w:panose1 w:val="020B0604020202020204"/>
    <w:charset w:val="86"/>
    <w:family w:val="swiss"/>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新宋体-18030">
    <w:altName w:val="宋体"/>
    <w:panose1 w:val="00000000000000000000"/>
    <w:charset w:val="7A"/>
    <w:family w:val="auto"/>
    <w:pitch w:val="default"/>
    <w:sig w:usb0="00000000" w:usb1="00000000" w:usb2="0000001E" w:usb3="00000000" w:csb0="003C0041" w:csb1="00000000"/>
  </w:font>
  <w:font w:name="Book Antiqua">
    <w:panose1 w:val="02040602050305030304"/>
    <w:charset w:val="00"/>
    <w:family w:val="roman"/>
    <w:pitch w:val="default"/>
    <w:sig w:usb0="00000287" w:usb1="00000000" w:usb2="00000000" w:usb3="00000000" w:csb0="2000009F" w:csb1="DFD70000"/>
  </w:font>
  <w:font w:name="MS Mincho">
    <w:altName w:val="Yu Gothic UI"/>
    <w:panose1 w:val="02020609040205080304"/>
    <w:charset w:val="80"/>
    <w:family w:val="modern"/>
    <w:pitch w:val="default"/>
    <w:sig w:usb0="00000000" w:usb1="00000000" w:usb2="00000010" w:usb3="00000000" w:csb0="4002009F" w:csb1="DFD70000"/>
  </w:font>
  <w:font w:name="Yu Gothic UI">
    <w:panose1 w:val="020B0500000000000000"/>
    <w:charset w:val="80"/>
    <w:family w:val="auto"/>
    <w:pitch w:val="default"/>
    <w:sig w:usb0="E00002FF" w:usb1="2AC7FDFF" w:usb2="00000016" w:usb3="00000000" w:csb0="2002009F" w:csb1="00000000"/>
  </w:font>
  <w:font w:name="宋体-18030">
    <w:altName w:val="宋体"/>
    <w:panose1 w:val="00000000000000000000"/>
    <w:charset w:val="86"/>
    <w:family w:val="auto"/>
    <w:pitch w:val="default"/>
    <w:sig w:usb0="00000000" w:usb1="00000000" w:usb2="00000010" w:usb3="00000000" w:csb0="00040000" w:csb1="00000000"/>
  </w:font>
  <w:font w:name="TimesNewRomanPS-BoldMT">
    <w:altName w:val="宋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74A729">
    <w:pPr>
      <w:pStyle w:val="27"/>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9861961"/>
                          </w:sdtPr>
                          <w:sdtContent>
                            <w:p w14:paraId="7A4B0438">
                              <w:pPr>
                                <w:pStyle w:val="27"/>
                                <w:jc w:val="center"/>
                              </w:pPr>
                              <w:r>
                                <w:fldChar w:fldCharType="begin"/>
                              </w:r>
                              <w:r>
                                <w:instrText xml:space="preserve"> PAGE   \* MERGEFORMAT </w:instrText>
                              </w:r>
                              <w:r>
                                <w:fldChar w:fldCharType="separate"/>
                              </w:r>
                              <w:r>
                                <w:rPr>
                                  <w:lang w:val="zh-CN"/>
                                </w:rPr>
                                <w:t>27</w:t>
                              </w:r>
                              <w:r>
                                <w:rPr>
                                  <w:lang w:val="zh-CN"/>
                                </w:rPr>
                                <w:fldChar w:fldCharType="end"/>
                              </w:r>
                            </w:p>
                          </w:sdtContent>
                        </w:sdt>
                        <w:p w14:paraId="625A2C20"/>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sdt>
                    <w:sdtPr>
                      <w:id w:val="29861961"/>
                    </w:sdtPr>
                    <w:sdtContent>
                      <w:p w14:paraId="7A4B0438">
                        <w:pPr>
                          <w:pStyle w:val="27"/>
                          <w:jc w:val="center"/>
                        </w:pPr>
                        <w:r>
                          <w:fldChar w:fldCharType="begin"/>
                        </w:r>
                        <w:r>
                          <w:instrText xml:space="preserve"> PAGE   \* MERGEFORMAT </w:instrText>
                        </w:r>
                        <w:r>
                          <w:fldChar w:fldCharType="separate"/>
                        </w:r>
                        <w:r>
                          <w:rPr>
                            <w:lang w:val="zh-CN"/>
                          </w:rPr>
                          <w:t>27</w:t>
                        </w:r>
                        <w:r>
                          <w:rPr>
                            <w:lang w:val="zh-CN"/>
                          </w:rPr>
                          <w:fldChar w:fldCharType="end"/>
                        </w:r>
                      </w:p>
                    </w:sdtContent>
                  </w:sdt>
                  <w:p w14:paraId="625A2C20"/>
                </w:txbxContent>
              </v:textbox>
            </v:shape>
          </w:pict>
        </mc:Fallback>
      </mc:AlternateContent>
    </w:r>
  </w:p>
  <w:p w14:paraId="7F0A515D">
    <w:pPr>
      <w:pStyle w:val="2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DA7829">
    <w:pPr>
      <w:pStyle w:val="27"/>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9861962"/>
                          </w:sdtPr>
                          <w:sdtContent>
                            <w:p w14:paraId="7659336A">
                              <w:pPr>
                                <w:pStyle w:val="27"/>
                                <w:jc w:val="center"/>
                              </w:pPr>
                              <w:r>
                                <w:fldChar w:fldCharType="begin"/>
                              </w:r>
                              <w:r>
                                <w:instrText xml:space="preserve"> PAGE   \* MERGEFORMAT </w:instrText>
                              </w:r>
                              <w:r>
                                <w:fldChar w:fldCharType="separate"/>
                              </w:r>
                              <w:r>
                                <w:rPr>
                                  <w:lang w:val="zh-CN"/>
                                </w:rPr>
                                <w:t>1</w:t>
                              </w:r>
                              <w:r>
                                <w:rPr>
                                  <w:lang w:val="zh-CN"/>
                                </w:rPr>
                                <w:fldChar w:fldCharType="end"/>
                              </w:r>
                            </w:p>
                          </w:sdtContent>
                        </w:sdt>
                        <w:p w14:paraId="69E92EBF"/>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sdt>
                    <w:sdtPr>
                      <w:id w:val="29861962"/>
                    </w:sdtPr>
                    <w:sdtContent>
                      <w:p w14:paraId="7659336A">
                        <w:pPr>
                          <w:pStyle w:val="27"/>
                          <w:jc w:val="center"/>
                        </w:pPr>
                        <w:r>
                          <w:fldChar w:fldCharType="begin"/>
                        </w:r>
                        <w:r>
                          <w:instrText xml:space="preserve"> PAGE   \* MERGEFORMAT </w:instrText>
                        </w:r>
                        <w:r>
                          <w:fldChar w:fldCharType="separate"/>
                        </w:r>
                        <w:r>
                          <w:rPr>
                            <w:lang w:val="zh-CN"/>
                          </w:rPr>
                          <w:t>1</w:t>
                        </w:r>
                        <w:r>
                          <w:rPr>
                            <w:lang w:val="zh-CN"/>
                          </w:rPr>
                          <w:fldChar w:fldCharType="end"/>
                        </w:r>
                      </w:p>
                    </w:sdtContent>
                  </w:sdt>
                  <w:p w14:paraId="69E92EBF"/>
                </w:txbxContent>
              </v:textbox>
            </v:shape>
          </w:pict>
        </mc:Fallback>
      </mc:AlternateContent>
    </w:r>
  </w:p>
  <w:p w14:paraId="50C7EB7F">
    <w:pPr>
      <w:pStyle w:val="2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F6739E"/>
    <w:multiLevelType w:val="singleLevel"/>
    <w:tmpl w:val="2EF6739E"/>
    <w:lvl w:ilvl="0" w:tentative="0">
      <w:start w:val="2"/>
      <w:numFmt w:val="decimal"/>
      <w:suff w:val="nothing"/>
      <w:lvlText w:val="%1）"/>
      <w:lvlJc w:val="left"/>
    </w:lvl>
  </w:abstractNum>
  <w:abstractNum w:abstractNumId="1">
    <w:nsid w:val="369709A3"/>
    <w:multiLevelType w:val="multilevel"/>
    <w:tmpl w:val="369709A3"/>
    <w:lvl w:ilvl="0" w:tentative="0">
      <w:start w:val="1"/>
      <w:numFmt w:val="decimal"/>
      <w:pStyle w:val="97"/>
      <w:lvlText w:val="%1."/>
      <w:lvlJc w:val="left"/>
      <w:pPr>
        <w:tabs>
          <w:tab w:val="left" w:pos="420"/>
        </w:tabs>
        <w:ind w:left="430" w:hanging="430"/>
      </w:pPr>
      <w:rPr>
        <w:rFonts w:hint="eastAsia" w:cs="Times New Roman"/>
      </w:rPr>
    </w:lvl>
    <w:lvl w:ilvl="1" w:tentative="0">
      <w:start w:val="1"/>
      <w:numFmt w:val="decimal"/>
      <w:lvlText w:val="%1.%2"/>
      <w:lvlJc w:val="left"/>
      <w:pPr>
        <w:tabs>
          <w:tab w:val="left" w:pos="700"/>
        </w:tabs>
        <w:ind w:left="700" w:hanging="700"/>
      </w:pPr>
      <w:rPr>
        <w:rFonts w:hint="eastAsia" w:ascii="宋体" w:hAnsi="宋体" w:eastAsia="宋体" w:cs="Times New Roman"/>
        <w:b w:val="0"/>
      </w:rPr>
    </w:lvl>
    <w:lvl w:ilvl="2" w:tentative="0">
      <w:start w:val="1"/>
      <w:numFmt w:val="decimal"/>
      <w:pStyle w:val="123"/>
      <w:lvlText w:val="%1.%2.%3"/>
      <w:lvlJc w:val="left"/>
      <w:pPr>
        <w:tabs>
          <w:tab w:val="left" w:pos="1000"/>
        </w:tabs>
        <w:ind w:left="1000" w:hanging="1000"/>
      </w:pPr>
      <w:rPr>
        <w:rFonts w:hint="eastAsia" w:cs="Times New Roman"/>
      </w:rPr>
    </w:lvl>
    <w:lvl w:ilvl="3" w:tentative="0">
      <w:start w:val="1"/>
      <w:numFmt w:val="decimal"/>
      <w:lvlText w:val="%1.%2.%3.%4"/>
      <w:lvlJc w:val="left"/>
      <w:pPr>
        <w:tabs>
          <w:tab w:val="left" w:pos="0"/>
        </w:tabs>
        <w:ind w:left="1984" w:hanging="1984"/>
      </w:pPr>
      <w:rPr>
        <w:rFonts w:hint="eastAsia" w:cs="Times New Roman"/>
      </w:rPr>
    </w:lvl>
    <w:lvl w:ilvl="4" w:tentative="0">
      <w:start w:val="1"/>
      <w:numFmt w:val="decimal"/>
      <w:lvlText w:val="%1.%2.%3.%4.%5"/>
      <w:lvlJc w:val="left"/>
      <w:pPr>
        <w:tabs>
          <w:tab w:val="left" w:pos="2551"/>
        </w:tabs>
        <w:ind w:left="2551" w:hanging="850"/>
      </w:pPr>
      <w:rPr>
        <w:rFonts w:hint="eastAsia" w:cs="Times New Roman"/>
      </w:rPr>
    </w:lvl>
    <w:lvl w:ilvl="5" w:tentative="0">
      <w:start w:val="1"/>
      <w:numFmt w:val="decimal"/>
      <w:lvlText w:val="%1.%2.%3.%4.%5.%6"/>
      <w:lvlJc w:val="left"/>
      <w:pPr>
        <w:tabs>
          <w:tab w:val="left" w:pos="3260"/>
        </w:tabs>
        <w:ind w:left="3260" w:hanging="1134"/>
      </w:pPr>
      <w:rPr>
        <w:rFonts w:hint="eastAsia" w:cs="Times New Roman"/>
      </w:rPr>
    </w:lvl>
    <w:lvl w:ilvl="6" w:tentative="0">
      <w:start w:val="1"/>
      <w:numFmt w:val="decimal"/>
      <w:lvlText w:val="%1.%2.%3.%4.%5.%6.%7"/>
      <w:lvlJc w:val="left"/>
      <w:pPr>
        <w:tabs>
          <w:tab w:val="left" w:pos="3827"/>
        </w:tabs>
        <w:ind w:left="3827" w:hanging="1276"/>
      </w:pPr>
      <w:rPr>
        <w:rFonts w:hint="eastAsia" w:cs="Times New Roman"/>
      </w:rPr>
    </w:lvl>
    <w:lvl w:ilvl="7" w:tentative="0">
      <w:start w:val="1"/>
      <w:numFmt w:val="decimal"/>
      <w:lvlText w:val="%1.%2.%3.%4.%5.%6.%7.%8"/>
      <w:lvlJc w:val="left"/>
      <w:pPr>
        <w:tabs>
          <w:tab w:val="left" w:pos="4394"/>
        </w:tabs>
        <w:ind w:left="4394" w:hanging="1418"/>
      </w:pPr>
      <w:rPr>
        <w:rFonts w:hint="eastAsia" w:cs="Times New Roman"/>
      </w:rPr>
    </w:lvl>
    <w:lvl w:ilvl="8" w:tentative="0">
      <w:start w:val="1"/>
      <w:numFmt w:val="decimal"/>
      <w:lvlText w:val="%1.%2.%3.%4.%5.%6.%7.%8.%9"/>
      <w:lvlJc w:val="left"/>
      <w:pPr>
        <w:tabs>
          <w:tab w:val="left" w:pos="5102"/>
        </w:tabs>
        <w:ind w:left="5102" w:hanging="1700"/>
      </w:pPr>
      <w:rPr>
        <w:rFonts w:hint="eastAsia" w:cs="Times New Roman"/>
      </w:rPr>
    </w:lvl>
  </w:abstractNum>
  <w:abstractNum w:abstractNumId="2">
    <w:nsid w:val="562F446A"/>
    <w:multiLevelType w:val="singleLevel"/>
    <w:tmpl w:val="562F446A"/>
    <w:lvl w:ilvl="0" w:tentative="0">
      <w:start w:val="1"/>
      <w:numFmt w:val="decimal"/>
      <w:suff w:val="nothing"/>
      <w:lvlText w:val="%1."/>
      <w:lvlJc w:val="left"/>
    </w:lvl>
  </w:abstractNum>
  <w:abstractNum w:abstractNumId="3">
    <w:nsid w:val="7E8F04B3"/>
    <w:multiLevelType w:val="multilevel"/>
    <w:tmpl w:val="7E8F04B3"/>
    <w:lvl w:ilvl="0" w:tentative="0">
      <w:start w:val="0"/>
      <w:numFmt w:val="decimal"/>
      <w:pStyle w:val="3"/>
      <w:lvlText w:val=""/>
      <w:lvlJc w:val="left"/>
      <w:pPr>
        <w:tabs>
          <w:tab w:val="left" w:pos="0"/>
        </w:tabs>
      </w:pPr>
      <w:rPr>
        <w:rFonts w:cs="Times New Roman"/>
      </w:rPr>
    </w:lvl>
    <w:lvl w:ilvl="1" w:tentative="0">
      <w:start w:val="0"/>
      <w:numFmt w:val="decimal"/>
      <w:pStyle w:val="4"/>
      <w:lvlText w:val=""/>
      <w:lvlJc w:val="left"/>
      <w:pPr>
        <w:tabs>
          <w:tab w:val="left" w:pos="0"/>
        </w:tabs>
      </w:pPr>
      <w:rPr>
        <w:rFonts w:cs="Times New Roman"/>
      </w:rPr>
    </w:lvl>
    <w:lvl w:ilvl="2" w:tentative="0">
      <w:start w:val="0"/>
      <w:numFmt w:val="decimal"/>
      <w:pStyle w:val="5"/>
      <w:lvlText w:val=""/>
      <w:lvlJc w:val="left"/>
      <w:pPr>
        <w:tabs>
          <w:tab w:val="left" w:pos="0"/>
        </w:tabs>
      </w:pPr>
      <w:rPr>
        <w:rFonts w:cs="Times New Roman"/>
      </w:rPr>
    </w:lvl>
    <w:lvl w:ilvl="3" w:tentative="0">
      <w:start w:val="0"/>
      <w:numFmt w:val="decimal"/>
      <w:pStyle w:val="7"/>
      <w:lvlText w:val=""/>
      <w:lvlJc w:val="left"/>
      <w:pPr>
        <w:tabs>
          <w:tab w:val="left" w:pos="0"/>
        </w:tabs>
      </w:pPr>
      <w:rPr>
        <w:rFonts w:cs="Times New Roman"/>
      </w:rPr>
    </w:lvl>
    <w:lvl w:ilvl="4" w:tentative="0">
      <w:start w:val="0"/>
      <w:numFmt w:val="decimal"/>
      <w:pStyle w:val="8"/>
      <w:lvlText w:val=""/>
      <w:lvlJc w:val="left"/>
      <w:pPr>
        <w:tabs>
          <w:tab w:val="left" w:pos="0"/>
        </w:tabs>
      </w:pPr>
      <w:rPr>
        <w:rFonts w:cs="Times New Roman"/>
      </w:rPr>
    </w:lvl>
    <w:lvl w:ilvl="5" w:tentative="0">
      <w:start w:val="0"/>
      <w:numFmt w:val="decimal"/>
      <w:pStyle w:val="9"/>
      <w:lvlText w:val=""/>
      <w:lvlJc w:val="left"/>
      <w:pPr>
        <w:tabs>
          <w:tab w:val="left" w:pos="0"/>
        </w:tabs>
      </w:pPr>
      <w:rPr>
        <w:rFonts w:cs="Times New Roman"/>
      </w:rPr>
    </w:lvl>
    <w:lvl w:ilvl="6" w:tentative="0">
      <w:start w:val="0"/>
      <w:numFmt w:val="decimal"/>
      <w:pStyle w:val="10"/>
      <w:lvlText w:val=""/>
      <w:lvlJc w:val="left"/>
      <w:pPr>
        <w:tabs>
          <w:tab w:val="left" w:pos="0"/>
        </w:tabs>
      </w:pPr>
      <w:rPr>
        <w:rFonts w:cs="Times New Roman"/>
      </w:rPr>
    </w:lvl>
    <w:lvl w:ilvl="7" w:tentative="0">
      <w:start w:val="0"/>
      <w:numFmt w:val="decimal"/>
      <w:pStyle w:val="11"/>
      <w:lvlText w:val=""/>
      <w:lvlJc w:val="left"/>
      <w:pPr>
        <w:tabs>
          <w:tab w:val="left" w:pos="0"/>
        </w:tabs>
      </w:pPr>
      <w:rPr>
        <w:rFonts w:cs="Times New Roman"/>
      </w:rPr>
    </w:lvl>
    <w:lvl w:ilvl="8" w:tentative="0">
      <w:start w:val="0"/>
      <w:numFmt w:val="decimal"/>
      <w:pStyle w:val="12"/>
      <w:lvlText w:val=""/>
      <w:lvlJc w:val="left"/>
      <w:pPr>
        <w:tabs>
          <w:tab w:val="left" w:pos="0"/>
        </w:tabs>
      </w:pPr>
      <w:rPr>
        <w:rFonts w:cs="Times New Roman"/>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HorizontalSpacing w:val="213"/>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UwMjk5OTk2ZjE2ZDM3ZDk4ZWE5MGM5OGFlNjBiN2MifQ=="/>
  </w:docVars>
  <w:rsids>
    <w:rsidRoot w:val="00534B39"/>
    <w:rsid w:val="000014DA"/>
    <w:rsid w:val="000014DC"/>
    <w:rsid w:val="00002488"/>
    <w:rsid w:val="000039C7"/>
    <w:rsid w:val="00004296"/>
    <w:rsid w:val="000050D5"/>
    <w:rsid w:val="000054D3"/>
    <w:rsid w:val="000068F5"/>
    <w:rsid w:val="00006E79"/>
    <w:rsid w:val="000110E5"/>
    <w:rsid w:val="000124C1"/>
    <w:rsid w:val="00012D53"/>
    <w:rsid w:val="000149BE"/>
    <w:rsid w:val="000155A4"/>
    <w:rsid w:val="000159A7"/>
    <w:rsid w:val="00020B7E"/>
    <w:rsid w:val="00022546"/>
    <w:rsid w:val="00022B62"/>
    <w:rsid w:val="00022F8F"/>
    <w:rsid w:val="0002317C"/>
    <w:rsid w:val="00024824"/>
    <w:rsid w:val="000269E3"/>
    <w:rsid w:val="00027687"/>
    <w:rsid w:val="0003195B"/>
    <w:rsid w:val="0003427E"/>
    <w:rsid w:val="00034F2B"/>
    <w:rsid w:val="00040FFA"/>
    <w:rsid w:val="00041F9E"/>
    <w:rsid w:val="00042ECA"/>
    <w:rsid w:val="000430EC"/>
    <w:rsid w:val="0004345D"/>
    <w:rsid w:val="000445BD"/>
    <w:rsid w:val="000446B7"/>
    <w:rsid w:val="000449CB"/>
    <w:rsid w:val="00044C13"/>
    <w:rsid w:val="00046248"/>
    <w:rsid w:val="000468DB"/>
    <w:rsid w:val="00046D59"/>
    <w:rsid w:val="000478FD"/>
    <w:rsid w:val="00052823"/>
    <w:rsid w:val="00052AFE"/>
    <w:rsid w:val="00052CAE"/>
    <w:rsid w:val="0005402B"/>
    <w:rsid w:val="000559E5"/>
    <w:rsid w:val="00056672"/>
    <w:rsid w:val="000566E6"/>
    <w:rsid w:val="00056E03"/>
    <w:rsid w:val="000607FA"/>
    <w:rsid w:val="00061D55"/>
    <w:rsid w:val="000625D9"/>
    <w:rsid w:val="00062788"/>
    <w:rsid w:val="0006324D"/>
    <w:rsid w:val="0006578C"/>
    <w:rsid w:val="00066617"/>
    <w:rsid w:val="00066819"/>
    <w:rsid w:val="000672CC"/>
    <w:rsid w:val="000676EC"/>
    <w:rsid w:val="00070093"/>
    <w:rsid w:val="00071FFB"/>
    <w:rsid w:val="0007212B"/>
    <w:rsid w:val="00072A9D"/>
    <w:rsid w:val="00072FA8"/>
    <w:rsid w:val="000733D5"/>
    <w:rsid w:val="0007416A"/>
    <w:rsid w:val="0007436F"/>
    <w:rsid w:val="00074A2D"/>
    <w:rsid w:val="00074BD8"/>
    <w:rsid w:val="00074D94"/>
    <w:rsid w:val="0007648A"/>
    <w:rsid w:val="00076C3D"/>
    <w:rsid w:val="00076E36"/>
    <w:rsid w:val="00081789"/>
    <w:rsid w:val="00081983"/>
    <w:rsid w:val="000825DE"/>
    <w:rsid w:val="000831DC"/>
    <w:rsid w:val="0008586B"/>
    <w:rsid w:val="00090E09"/>
    <w:rsid w:val="00090E77"/>
    <w:rsid w:val="00091383"/>
    <w:rsid w:val="00092E47"/>
    <w:rsid w:val="00093C28"/>
    <w:rsid w:val="000955CA"/>
    <w:rsid w:val="00096DCA"/>
    <w:rsid w:val="00096F34"/>
    <w:rsid w:val="0009796A"/>
    <w:rsid w:val="000A0769"/>
    <w:rsid w:val="000A07C2"/>
    <w:rsid w:val="000A0AA3"/>
    <w:rsid w:val="000A14C1"/>
    <w:rsid w:val="000A47D9"/>
    <w:rsid w:val="000A577A"/>
    <w:rsid w:val="000A5F0A"/>
    <w:rsid w:val="000A77C9"/>
    <w:rsid w:val="000B0BB8"/>
    <w:rsid w:val="000B1EBA"/>
    <w:rsid w:val="000B2A71"/>
    <w:rsid w:val="000B3AE7"/>
    <w:rsid w:val="000B43AC"/>
    <w:rsid w:val="000B4EC6"/>
    <w:rsid w:val="000B63CB"/>
    <w:rsid w:val="000B7316"/>
    <w:rsid w:val="000C0FF9"/>
    <w:rsid w:val="000C1A82"/>
    <w:rsid w:val="000C28CD"/>
    <w:rsid w:val="000C2AAC"/>
    <w:rsid w:val="000C2BC9"/>
    <w:rsid w:val="000C3657"/>
    <w:rsid w:val="000C470D"/>
    <w:rsid w:val="000C606E"/>
    <w:rsid w:val="000D0B86"/>
    <w:rsid w:val="000D0F12"/>
    <w:rsid w:val="000D325C"/>
    <w:rsid w:val="000D4161"/>
    <w:rsid w:val="000D4B13"/>
    <w:rsid w:val="000D4B4A"/>
    <w:rsid w:val="000D4E47"/>
    <w:rsid w:val="000D7A71"/>
    <w:rsid w:val="000E000E"/>
    <w:rsid w:val="000E01EF"/>
    <w:rsid w:val="000E1AE6"/>
    <w:rsid w:val="000E203F"/>
    <w:rsid w:val="000E20FE"/>
    <w:rsid w:val="000E3126"/>
    <w:rsid w:val="000E37B8"/>
    <w:rsid w:val="000E3FF3"/>
    <w:rsid w:val="000E5E85"/>
    <w:rsid w:val="000E63BE"/>
    <w:rsid w:val="000E64CF"/>
    <w:rsid w:val="000E658F"/>
    <w:rsid w:val="000E6BA6"/>
    <w:rsid w:val="000E7989"/>
    <w:rsid w:val="000F016E"/>
    <w:rsid w:val="000F1207"/>
    <w:rsid w:val="000F3BE4"/>
    <w:rsid w:val="000F5587"/>
    <w:rsid w:val="000F6161"/>
    <w:rsid w:val="000F7536"/>
    <w:rsid w:val="001016B4"/>
    <w:rsid w:val="00102DC1"/>
    <w:rsid w:val="00102EFC"/>
    <w:rsid w:val="00104117"/>
    <w:rsid w:val="001044AD"/>
    <w:rsid w:val="001070C3"/>
    <w:rsid w:val="00107E8F"/>
    <w:rsid w:val="0011046B"/>
    <w:rsid w:val="001104D1"/>
    <w:rsid w:val="0011098D"/>
    <w:rsid w:val="001110A3"/>
    <w:rsid w:val="00112CF4"/>
    <w:rsid w:val="00112DA7"/>
    <w:rsid w:val="00113E54"/>
    <w:rsid w:val="001161AD"/>
    <w:rsid w:val="001167CA"/>
    <w:rsid w:val="00116E8E"/>
    <w:rsid w:val="0011721E"/>
    <w:rsid w:val="00117563"/>
    <w:rsid w:val="00117B04"/>
    <w:rsid w:val="00120436"/>
    <w:rsid w:val="0012110A"/>
    <w:rsid w:val="001216C0"/>
    <w:rsid w:val="00122169"/>
    <w:rsid w:val="0012313D"/>
    <w:rsid w:val="001242C7"/>
    <w:rsid w:val="001246A7"/>
    <w:rsid w:val="001272AF"/>
    <w:rsid w:val="00127C8E"/>
    <w:rsid w:val="001300D1"/>
    <w:rsid w:val="001303D7"/>
    <w:rsid w:val="001311B1"/>
    <w:rsid w:val="0013120D"/>
    <w:rsid w:val="001318FE"/>
    <w:rsid w:val="00132F02"/>
    <w:rsid w:val="001333A4"/>
    <w:rsid w:val="0013373A"/>
    <w:rsid w:val="0013467F"/>
    <w:rsid w:val="00134EAF"/>
    <w:rsid w:val="00134F60"/>
    <w:rsid w:val="00135BE2"/>
    <w:rsid w:val="0013624A"/>
    <w:rsid w:val="0013683F"/>
    <w:rsid w:val="001368EC"/>
    <w:rsid w:val="00136BBC"/>
    <w:rsid w:val="00137D05"/>
    <w:rsid w:val="001405CA"/>
    <w:rsid w:val="0014148B"/>
    <w:rsid w:val="00142CD6"/>
    <w:rsid w:val="00143061"/>
    <w:rsid w:val="001438B9"/>
    <w:rsid w:val="00143DD3"/>
    <w:rsid w:val="0014571A"/>
    <w:rsid w:val="001458ED"/>
    <w:rsid w:val="00145A74"/>
    <w:rsid w:val="00146D02"/>
    <w:rsid w:val="0015044C"/>
    <w:rsid w:val="00150526"/>
    <w:rsid w:val="001510FF"/>
    <w:rsid w:val="00151116"/>
    <w:rsid w:val="00151B04"/>
    <w:rsid w:val="00151EA4"/>
    <w:rsid w:val="00152730"/>
    <w:rsid w:val="001531F7"/>
    <w:rsid w:val="0015354C"/>
    <w:rsid w:val="00156727"/>
    <w:rsid w:val="00156850"/>
    <w:rsid w:val="001603A0"/>
    <w:rsid w:val="001604B9"/>
    <w:rsid w:val="0016199D"/>
    <w:rsid w:val="00163850"/>
    <w:rsid w:val="00163F05"/>
    <w:rsid w:val="001650DD"/>
    <w:rsid w:val="001668F0"/>
    <w:rsid w:val="00167082"/>
    <w:rsid w:val="00170386"/>
    <w:rsid w:val="00170980"/>
    <w:rsid w:val="001729B4"/>
    <w:rsid w:val="001746C4"/>
    <w:rsid w:val="00175359"/>
    <w:rsid w:val="00175377"/>
    <w:rsid w:val="00175383"/>
    <w:rsid w:val="00175DC0"/>
    <w:rsid w:val="00177694"/>
    <w:rsid w:val="00177EDE"/>
    <w:rsid w:val="0018132B"/>
    <w:rsid w:val="00182001"/>
    <w:rsid w:val="00182D0A"/>
    <w:rsid w:val="001836AF"/>
    <w:rsid w:val="0018393E"/>
    <w:rsid w:val="00184126"/>
    <w:rsid w:val="00184324"/>
    <w:rsid w:val="00184CFB"/>
    <w:rsid w:val="00184E0E"/>
    <w:rsid w:val="00185132"/>
    <w:rsid w:val="0018543C"/>
    <w:rsid w:val="001875F5"/>
    <w:rsid w:val="001909D1"/>
    <w:rsid w:val="0019164F"/>
    <w:rsid w:val="001924B6"/>
    <w:rsid w:val="001942D3"/>
    <w:rsid w:val="001945D0"/>
    <w:rsid w:val="00195099"/>
    <w:rsid w:val="001A2421"/>
    <w:rsid w:val="001A278D"/>
    <w:rsid w:val="001A2CAE"/>
    <w:rsid w:val="001A2FDC"/>
    <w:rsid w:val="001A4060"/>
    <w:rsid w:val="001A45C0"/>
    <w:rsid w:val="001A4BF0"/>
    <w:rsid w:val="001A4F47"/>
    <w:rsid w:val="001A6337"/>
    <w:rsid w:val="001A6EBE"/>
    <w:rsid w:val="001A704A"/>
    <w:rsid w:val="001B0657"/>
    <w:rsid w:val="001B068E"/>
    <w:rsid w:val="001B084C"/>
    <w:rsid w:val="001B1D50"/>
    <w:rsid w:val="001B2A3F"/>
    <w:rsid w:val="001B3791"/>
    <w:rsid w:val="001B44BB"/>
    <w:rsid w:val="001B549F"/>
    <w:rsid w:val="001B77E7"/>
    <w:rsid w:val="001B7A52"/>
    <w:rsid w:val="001C22F2"/>
    <w:rsid w:val="001C27F4"/>
    <w:rsid w:val="001C2810"/>
    <w:rsid w:val="001C2A4E"/>
    <w:rsid w:val="001C2B5D"/>
    <w:rsid w:val="001C40C5"/>
    <w:rsid w:val="001C493A"/>
    <w:rsid w:val="001C5716"/>
    <w:rsid w:val="001C5FCF"/>
    <w:rsid w:val="001C68B9"/>
    <w:rsid w:val="001D0F82"/>
    <w:rsid w:val="001D1077"/>
    <w:rsid w:val="001D1AED"/>
    <w:rsid w:val="001D1E4B"/>
    <w:rsid w:val="001D3067"/>
    <w:rsid w:val="001D3104"/>
    <w:rsid w:val="001D31E4"/>
    <w:rsid w:val="001D3B12"/>
    <w:rsid w:val="001D78C9"/>
    <w:rsid w:val="001E01FD"/>
    <w:rsid w:val="001E0993"/>
    <w:rsid w:val="001E142F"/>
    <w:rsid w:val="001E17CC"/>
    <w:rsid w:val="001E3DD5"/>
    <w:rsid w:val="001E486F"/>
    <w:rsid w:val="001E56DA"/>
    <w:rsid w:val="001E6E57"/>
    <w:rsid w:val="001E7069"/>
    <w:rsid w:val="001E728C"/>
    <w:rsid w:val="001E78B5"/>
    <w:rsid w:val="001F0D69"/>
    <w:rsid w:val="001F135F"/>
    <w:rsid w:val="001F2506"/>
    <w:rsid w:val="001F2C98"/>
    <w:rsid w:val="001F346F"/>
    <w:rsid w:val="001F3FA5"/>
    <w:rsid w:val="001F40DD"/>
    <w:rsid w:val="001F452F"/>
    <w:rsid w:val="001F4968"/>
    <w:rsid w:val="001F54E0"/>
    <w:rsid w:val="001F6527"/>
    <w:rsid w:val="001F6A73"/>
    <w:rsid w:val="001F70C9"/>
    <w:rsid w:val="001F77D7"/>
    <w:rsid w:val="00200435"/>
    <w:rsid w:val="00203160"/>
    <w:rsid w:val="0020566C"/>
    <w:rsid w:val="002063ED"/>
    <w:rsid w:val="00206856"/>
    <w:rsid w:val="00207D48"/>
    <w:rsid w:val="00212B9C"/>
    <w:rsid w:val="0021425A"/>
    <w:rsid w:val="00215579"/>
    <w:rsid w:val="002175AF"/>
    <w:rsid w:val="00217720"/>
    <w:rsid w:val="002179C9"/>
    <w:rsid w:val="00220730"/>
    <w:rsid w:val="00220C87"/>
    <w:rsid w:val="00221B9E"/>
    <w:rsid w:val="00222B09"/>
    <w:rsid w:val="00225645"/>
    <w:rsid w:val="002269C6"/>
    <w:rsid w:val="002307B7"/>
    <w:rsid w:val="00231379"/>
    <w:rsid w:val="00232C0A"/>
    <w:rsid w:val="00233618"/>
    <w:rsid w:val="002347A9"/>
    <w:rsid w:val="00235157"/>
    <w:rsid w:val="00235A96"/>
    <w:rsid w:val="00235F3A"/>
    <w:rsid w:val="0023678C"/>
    <w:rsid w:val="00236EE7"/>
    <w:rsid w:val="002375A1"/>
    <w:rsid w:val="002378DD"/>
    <w:rsid w:val="0024301E"/>
    <w:rsid w:val="002441DC"/>
    <w:rsid w:val="00245D73"/>
    <w:rsid w:val="00245F65"/>
    <w:rsid w:val="002461E7"/>
    <w:rsid w:val="00246489"/>
    <w:rsid w:val="002470E1"/>
    <w:rsid w:val="00250CBE"/>
    <w:rsid w:val="00252661"/>
    <w:rsid w:val="00252FDF"/>
    <w:rsid w:val="00254604"/>
    <w:rsid w:val="00254865"/>
    <w:rsid w:val="0025507B"/>
    <w:rsid w:val="00256BDA"/>
    <w:rsid w:val="00256C35"/>
    <w:rsid w:val="00257DA2"/>
    <w:rsid w:val="00257E84"/>
    <w:rsid w:val="002625E5"/>
    <w:rsid w:val="00262D71"/>
    <w:rsid w:val="00262DA5"/>
    <w:rsid w:val="00264067"/>
    <w:rsid w:val="002641B2"/>
    <w:rsid w:val="002645A3"/>
    <w:rsid w:val="00264813"/>
    <w:rsid w:val="00264FE9"/>
    <w:rsid w:val="0026780E"/>
    <w:rsid w:val="00270163"/>
    <w:rsid w:val="0027358D"/>
    <w:rsid w:val="00274F8C"/>
    <w:rsid w:val="002814E6"/>
    <w:rsid w:val="002827C1"/>
    <w:rsid w:val="00283627"/>
    <w:rsid w:val="00283DFD"/>
    <w:rsid w:val="00285E93"/>
    <w:rsid w:val="00290FC4"/>
    <w:rsid w:val="002932FC"/>
    <w:rsid w:val="00293D18"/>
    <w:rsid w:val="002963CF"/>
    <w:rsid w:val="002A0E38"/>
    <w:rsid w:val="002A1E98"/>
    <w:rsid w:val="002A4349"/>
    <w:rsid w:val="002A58DC"/>
    <w:rsid w:val="002A5E4A"/>
    <w:rsid w:val="002A62E0"/>
    <w:rsid w:val="002A66F8"/>
    <w:rsid w:val="002A69EC"/>
    <w:rsid w:val="002A6A1E"/>
    <w:rsid w:val="002B0162"/>
    <w:rsid w:val="002B235E"/>
    <w:rsid w:val="002B3165"/>
    <w:rsid w:val="002B32A0"/>
    <w:rsid w:val="002B3C38"/>
    <w:rsid w:val="002B3EC5"/>
    <w:rsid w:val="002B4188"/>
    <w:rsid w:val="002B472F"/>
    <w:rsid w:val="002B50AD"/>
    <w:rsid w:val="002B5502"/>
    <w:rsid w:val="002B595F"/>
    <w:rsid w:val="002B5F26"/>
    <w:rsid w:val="002B777E"/>
    <w:rsid w:val="002C0C65"/>
    <w:rsid w:val="002C1248"/>
    <w:rsid w:val="002C2AAD"/>
    <w:rsid w:val="002C516F"/>
    <w:rsid w:val="002C5DB8"/>
    <w:rsid w:val="002C674C"/>
    <w:rsid w:val="002C6F98"/>
    <w:rsid w:val="002D2F61"/>
    <w:rsid w:val="002D4A71"/>
    <w:rsid w:val="002D77C4"/>
    <w:rsid w:val="002D786F"/>
    <w:rsid w:val="002D7DE6"/>
    <w:rsid w:val="002E08F8"/>
    <w:rsid w:val="002E1B47"/>
    <w:rsid w:val="002E3793"/>
    <w:rsid w:val="002E3ABA"/>
    <w:rsid w:val="002E465B"/>
    <w:rsid w:val="002E5957"/>
    <w:rsid w:val="002E5C51"/>
    <w:rsid w:val="002E5EFB"/>
    <w:rsid w:val="002E6413"/>
    <w:rsid w:val="002E6918"/>
    <w:rsid w:val="002E6959"/>
    <w:rsid w:val="002F0BF8"/>
    <w:rsid w:val="002F1575"/>
    <w:rsid w:val="002F20A6"/>
    <w:rsid w:val="002F4D98"/>
    <w:rsid w:val="002F5CFF"/>
    <w:rsid w:val="002F6178"/>
    <w:rsid w:val="002F6F13"/>
    <w:rsid w:val="003001B5"/>
    <w:rsid w:val="00300411"/>
    <w:rsid w:val="003043C1"/>
    <w:rsid w:val="0030777D"/>
    <w:rsid w:val="0030794E"/>
    <w:rsid w:val="00310211"/>
    <w:rsid w:val="003110C3"/>
    <w:rsid w:val="00311AB1"/>
    <w:rsid w:val="00312354"/>
    <w:rsid w:val="00312665"/>
    <w:rsid w:val="0031283F"/>
    <w:rsid w:val="00313A55"/>
    <w:rsid w:val="003162B0"/>
    <w:rsid w:val="00316A43"/>
    <w:rsid w:val="00317538"/>
    <w:rsid w:val="0032079C"/>
    <w:rsid w:val="003209C8"/>
    <w:rsid w:val="00321B14"/>
    <w:rsid w:val="00323427"/>
    <w:rsid w:val="00324627"/>
    <w:rsid w:val="00325298"/>
    <w:rsid w:val="00326DF0"/>
    <w:rsid w:val="003270AE"/>
    <w:rsid w:val="0033086C"/>
    <w:rsid w:val="003338D8"/>
    <w:rsid w:val="0033559C"/>
    <w:rsid w:val="00336A61"/>
    <w:rsid w:val="00340F07"/>
    <w:rsid w:val="003413D1"/>
    <w:rsid w:val="003453DE"/>
    <w:rsid w:val="00345510"/>
    <w:rsid w:val="00345F37"/>
    <w:rsid w:val="00346546"/>
    <w:rsid w:val="00346EB2"/>
    <w:rsid w:val="00346FE7"/>
    <w:rsid w:val="00347256"/>
    <w:rsid w:val="0034791E"/>
    <w:rsid w:val="00347A17"/>
    <w:rsid w:val="00347E69"/>
    <w:rsid w:val="00350568"/>
    <w:rsid w:val="00351034"/>
    <w:rsid w:val="00351297"/>
    <w:rsid w:val="0035327E"/>
    <w:rsid w:val="00353E91"/>
    <w:rsid w:val="00354EEB"/>
    <w:rsid w:val="00355C23"/>
    <w:rsid w:val="0035630D"/>
    <w:rsid w:val="00356DE4"/>
    <w:rsid w:val="00357BA4"/>
    <w:rsid w:val="00357DB9"/>
    <w:rsid w:val="00362367"/>
    <w:rsid w:val="003638BC"/>
    <w:rsid w:val="00364289"/>
    <w:rsid w:val="0037060D"/>
    <w:rsid w:val="00370A43"/>
    <w:rsid w:val="0037101F"/>
    <w:rsid w:val="00371408"/>
    <w:rsid w:val="00371C25"/>
    <w:rsid w:val="00372F51"/>
    <w:rsid w:val="003737FD"/>
    <w:rsid w:val="0037482E"/>
    <w:rsid w:val="00374B09"/>
    <w:rsid w:val="00375D4B"/>
    <w:rsid w:val="00376C0D"/>
    <w:rsid w:val="00376CC5"/>
    <w:rsid w:val="003772D8"/>
    <w:rsid w:val="0037770A"/>
    <w:rsid w:val="00380413"/>
    <w:rsid w:val="00381293"/>
    <w:rsid w:val="00381514"/>
    <w:rsid w:val="00382690"/>
    <w:rsid w:val="00384D0C"/>
    <w:rsid w:val="003859C1"/>
    <w:rsid w:val="00386EC6"/>
    <w:rsid w:val="00386F69"/>
    <w:rsid w:val="00387508"/>
    <w:rsid w:val="00387834"/>
    <w:rsid w:val="00387C91"/>
    <w:rsid w:val="00387EC4"/>
    <w:rsid w:val="003900F8"/>
    <w:rsid w:val="003907F5"/>
    <w:rsid w:val="00390E0F"/>
    <w:rsid w:val="003927AC"/>
    <w:rsid w:val="003936B7"/>
    <w:rsid w:val="00393C00"/>
    <w:rsid w:val="00393FC1"/>
    <w:rsid w:val="003963F2"/>
    <w:rsid w:val="00397511"/>
    <w:rsid w:val="003975AE"/>
    <w:rsid w:val="00397A2B"/>
    <w:rsid w:val="00397C9E"/>
    <w:rsid w:val="003A1573"/>
    <w:rsid w:val="003A1DB1"/>
    <w:rsid w:val="003A5210"/>
    <w:rsid w:val="003A6550"/>
    <w:rsid w:val="003A68B8"/>
    <w:rsid w:val="003B2167"/>
    <w:rsid w:val="003B4896"/>
    <w:rsid w:val="003B4F29"/>
    <w:rsid w:val="003B6093"/>
    <w:rsid w:val="003B678F"/>
    <w:rsid w:val="003B6C4D"/>
    <w:rsid w:val="003B7025"/>
    <w:rsid w:val="003C022B"/>
    <w:rsid w:val="003C28E1"/>
    <w:rsid w:val="003C3AE8"/>
    <w:rsid w:val="003C3C20"/>
    <w:rsid w:val="003C4CFD"/>
    <w:rsid w:val="003C5CD2"/>
    <w:rsid w:val="003C5D8C"/>
    <w:rsid w:val="003C6AA3"/>
    <w:rsid w:val="003C7D04"/>
    <w:rsid w:val="003D1165"/>
    <w:rsid w:val="003D1593"/>
    <w:rsid w:val="003D1719"/>
    <w:rsid w:val="003D18A6"/>
    <w:rsid w:val="003D40F7"/>
    <w:rsid w:val="003D5883"/>
    <w:rsid w:val="003D6190"/>
    <w:rsid w:val="003D6339"/>
    <w:rsid w:val="003D6C11"/>
    <w:rsid w:val="003D78F7"/>
    <w:rsid w:val="003E0FBD"/>
    <w:rsid w:val="003E12AD"/>
    <w:rsid w:val="003E14CC"/>
    <w:rsid w:val="003E261F"/>
    <w:rsid w:val="003E27D8"/>
    <w:rsid w:val="003E2CC8"/>
    <w:rsid w:val="003E2E2E"/>
    <w:rsid w:val="003E37F7"/>
    <w:rsid w:val="003E6574"/>
    <w:rsid w:val="003E67E8"/>
    <w:rsid w:val="003E7153"/>
    <w:rsid w:val="003E77A2"/>
    <w:rsid w:val="003E7E88"/>
    <w:rsid w:val="003F019F"/>
    <w:rsid w:val="003F1B27"/>
    <w:rsid w:val="003F28CA"/>
    <w:rsid w:val="003F32BC"/>
    <w:rsid w:val="003F35DA"/>
    <w:rsid w:val="003F4346"/>
    <w:rsid w:val="003F53A9"/>
    <w:rsid w:val="003F7FB8"/>
    <w:rsid w:val="004003B8"/>
    <w:rsid w:val="004012FE"/>
    <w:rsid w:val="00401367"/>
    <w:rsid w:val="00402952"/>
    <w:rsid w:val="00403C1E"/>
    <w:rsid w:val="00404B26"/>
    <w:rsid w:val="004059FF"/>
    <w:rsid w:val="00407201"/>
    <w:rsid w:val="00411435"/>
    <w:rsid w:val="00411A8C"/>
    <w:rsid w:val="00411BDB"/>
    <w:rsid w:val="004120F7"/>
    <w:rsid w:val="0041262B"/>
    <w:rsid w:val="00415244"/>
    <w:rsid w:val="00416A41"/>
    <w:rsid w:val="00416D3F"/>
    <w:rsid w:val="00417475"/>
    <w:rsid w:val="004178F9"/>
    <w:rsid w:val="0042336A"/>
    <w:rsid w:val="00424AD7"/>
    <w:rsid w:val="00424D56"/>
    <w:rsid w:val="004271D5"/>
    <w:rsid w:val="00432231"/>
    <w:rsid w:val="00432B71"/>
    <w:rsid w:val="00434320"/>
    <w:rsid w:val="00440B06"/>
    <w:rsid w:val="0044331B"/>
    <w:rsid w:val="00445531"/>
    <w:rsid w:val="00445B61"/>
    <w:rsid w:val="00445D87"/>
    <w:rsid w:val="0044633B"/>
    <w:rsid w:val="00446CB9"/>
    <w:rsid w:val="00446F13"/>
    <w:rsid w:val="00450BAA"/>
    <w:rsid w:val="00451C88"/>
    <w:rsid w:val="004522DD"/>
    <w:rsid w:val="00452878"/>
    <w:rsid w:val="00452D63"/>
    <w:rsid w:val="00453750"/>
    <w:rsid w:val="004554F1"/>
    <w:rsid w:val="00457A27"/>
    <w:rsid w:val="004626C9"/>
    <w:rsid w:val="004631A6"/>
    <w:rsid w:val="00464946"/>
    <w:rsid w:val="0046504C"/>
    <w:rsid w:val="004659C0"/>
    <w:rsid w:val="004662F7"/>
    <w:rsid w:val="004671B3"/>
    <w:rsid w:val="00470A4C"/>
    <w:rsid w:val="00472BD9"/>
    <w:rsid w:val="00473B88"/>
    <w:rsid w:val="004755A3"/>
    <w:rsid w:val="00476490"/>
    <w:rsid w:val="00477BE8"/>
    <w:rsid w:val="00477E41"/>
    <w:rsid w:val="00481B46"/>
    <w:rsid w:val="00482FC4"/>
    <w:rsid w:val="0048449E"/>
    <w:rsid w:val="00484B5B"/>
    <w:rsid w:val="00484F3D"/>
    <w:rsid w:val="00485778"/>
    <w:rsid w:val="00485F5E"/>
    <w:rsid w:val="00485F88"/>
    <w:rsid w:val="004865FD"/>
    <w:rsid w:val="004867AE"/>
    <w:rsid w:val="00487D5D"/>
    <w:rsid w:val="0049174F"/>
    <w:rsid w:val="004917C7"/>
    <w:rsid w:val="00491BDF"/>
    <w:rsid w:val="004924A3"/>
    <w:rsid w:val="004927B3"/>
    <w:rsid w:val="00492A27"/>
    <w:rsid w:val="00493EAB"/>
    <w:rsid w:val="00493EC2"/>
    <w:rsid w:val="00494484"/>
    <w:rsid w:val="00494AE8"/>
    <w:rsid w:val="0049586A"/>
    <w:rsid w:val="00496EB7"/>
    <w:rsid w:val="00497345"/>
    <w:rsid w:val="00497498"/>
    <w:rsid w:val="004A150A"/>
    <w:rsid w:val="004A235A"/>
    <w:rsid w:val="004A2588"/>
    <w:rsid w:val="004A53BD"/>
    <w:rsid w:val="004A6D4D"/>
    <w:rsid w:val="004A7368"/>
    <w:rsid w:val="004A7810"/>
    <w:rsid w:val="004B02E9"/>
    <w:rsid w:val="004B1FBE"/>
    <w:rsid w:val="004B2FBA"/>
    <w:rsid w:val="004B35D3"/>
    <w:rsid w:val="004B4477"/>
    <w:rsid w:val="004B5604"/>
    <w:rsid w:val="004B5AE2"/>
    <w:rsid w:val="004B6B1D"/>
    <w:rsid w:val="004B7B66"/>
    <w:rsid w:val="004C0CBA"/>
    <w:rsid w:val="004C0DBE"/>
    <w:rsid w:val="004C3102"/>
    <w:rsid w:val="004C314B"/>
    <w:rsid w:val="004C3EDD"/>
    <w:rsid w:val="004C4626"/>
    <w:rsid w:val="004C575F"/>
    <w:rsid w:val="004C688B"/>
    <w:rsid w:val="004C699E"/>
    <w:rsid w:val="004D0B1D"/>
    <w:rsid w:val="004D2CBF"/>
    <w:rsid w:val="004D2F9E"/>
    <w:rsid w:val="004D39DA"/>
    <w:rsid w:val="004D3B13"/>
    <w:rsid w:val="004D4645"/>
    <w:rsid w:val="004D65E3"/>
    <w:rsid w:val="004D67B5"/>
    <w:rsid w:val="004D707C"/>
    <w:rsid w:val="004E0004"/>
    <w:rsid w:val="004E0799"/>
    <w:rsid w:val="004E0995"/>
    <w:rsid w:val="004E0B59"/>
    <w:rsid w:val="004E28E2"/>
    <w:rsid w:val="004E2F34"/>
    <w:rsid w:val="004E3918"/>
    <w:rsid w:val="004E3FDB"/>
    <w:rsid w:val="004E49D3"/>
    <w:rsid w:val="004E7AD1"/>
    <w:rsid w:val="004F06EB"/>
    <w:rsid w:val="004F0DDC"/>
    <w:rsid w:val="004F0F87"/>
    <w:rsid w:val="004F2433"/>
    <w:rsid w:val="004F2577"/>
    <w:rsid w:val="004F294A"/>
    <w:rsid w:val="004F2DDA"/>
    <w:rsid w:val="004F36A9"/>
    <w:rsid w:val="004F3F3A"/>
    <w:rsid w:val="004F5395"/>
    <w:rsid w:val="004F683E"/>
    <w:rsid w:val="004F743A"/>
    <w:rsid w:val="004F7BC7"/>
    <w:rsid w:val="00500103"/>
    <w:rsid w:val="00500FB9"/>
    <w:rsid w:val="005028AC"/>
    <w:rsid w:val="0050334A"/>
    <w:rsid w:val="00503519"/>
    <w:rsid w:val="00504B2B"/>
    <w:rsid w:val="00505ECC"/>
    <w:rsid w:val="0050655C"/>
    <w:rsid w:val="005104CB"/>
    <w:rsid w:val="00510B9E"/>
    <w:rsid w:val="00510BD5"/>
    <w:rsid w:val="00510D71"/>
    <w:rsid w:val="00510D9A"/>
    <w:rsid w:val="00512AA4"/>
    <w:rsid w:val="00512C9E"/>
    <w:rsid w:val="00513649"/>
    <w:rsid w:val="00514D63"/>
    <w:rsid w:val="00514E93"/>
    <w:rsid w:val="00516829"/>
    <w:rsid w:val="005168B4"/>
    <w:rsid w:val="00517B8A"/>
    <w:rsid w:val="00517CF8"/>
    <w:rsid w:val="005207CB"/>
    <w:rsid w:val="00521336"/>
    <w:rsid w:val="00521B34"/>
    <w:rsid w:val="00521C7C"/>
    <w:rsid w:val="00522186"/>
    <w:rsid w:val="00522A3D"/>
    <w:rsid w:val="00522D19"/>
    <w:rsid w:val="00522F1D"/>
    <w:rsid w:val="00523267"/>
    <w:rsid w:val="005238C6"/>
    <w:rsid w:val="00523A89"/>
    <w:rsid w:val="00524157"/>
    <w:rsid w:val="00524275"/>
    <w:rsid w:val="005248F0"/>
    <w:rsid w:val="00524F37"/>
    <w:rsid w:val="00526D9E"/>
    <w:rsid w:val="005274FC"/>
    <w:rsid w:val="00527C94"/>
    <w:rsid w:val="00527FB1"/>
    <w:rsid w:val="00530656"/>
    <w:rsid w:val="00531514"/>
    <w:rsid w:val="0053219A"/>
    <w:rsid w:val="00532455"/>
    <w:rsid w:val="00532F47"/>
    <w:rsid w:val="00533BC4"/>
    <w:rsid w:val="00534B39"/>
    <w:rsid w:val="00534B47"/>
    <w:rsid w:val="00537A3D"/>
    <w:rsid w:val="00540D5F"/>
    <w:rsid w:val="005422C6"/>
    <w:rsid w:val="00544522"/>
    <w:rsid w:val="0054514C"/>
    <w:rsid w:val="00546220"/>
    <w:rsid w:val="005464F6"/>
    <w:rsid w:val="0054654E"/>
    <w:rsid w:val="00547B14"/>
    <w:rsid w:val="005509CC"/>
    <w:rsid w:val="00550CDC"/>
    <w:rsid w:val="0055188D"/>
    <w:rsid w:val="005530B5"/>
    <w:rsid w:val="00553975"/>
    <w:rsid w:val="005545F6"/>
    <w:rsid w:val="00554828"/>
    <w:rsid w:val="005548AF"/>
    <w:rsid w:val="005563F2"/>
    <w:rsid w:val="00556936"/>
    <w:rsid w:val="0055772B"/>
    <w:rsid w:val="00560AC1"/>
    <w:rsid w:val="005612EA"/>
    <w:rsid w:val="00562D7A"/>
    <w:rsid w:val="005665B3"/>
    <w:rsid w:val="00571504"/>
    <w:rsid w:val="00571BEA"/>
    <w:rsid w:val="0057230E"/>
    <w:rsid w:val="005732E8"/>
    <w:rsid w:val="00573364"/>
    <w:rsid w:val="005734C0"/>
    <w:rsid w:val="005737BB"/>
    <w:rsid w:val="005741BD"/>
    <w:rsid w:val="005753CB"/>
    <w:rsid w:val="00576498"/>
    <w:rsid w:val="005806EA"/>
    <w:rsid w:val="00580C13"/>
    <w:rsid w:val="00581965"/>
    <w:rsid w:val="00581A19"/>
    <w:rsid w:val="00581B57"/>
    <w:rsid w:val="00581FF6"/>
    <w:rsid w:val="00582094"/>
    <w:rsid w:val="00582A50"/>
    <w:rsid w:val="00582CBF"/>
    <w:rsid w:val="0058318E"/>
    <w:rsid w:val="0058392B"/>
    <w:rsid w:val="00584615"/>
    <w:rsid w:val="005850D7"/>
    <w:rsid w:val="00586FE5"/>
    <w:rsid w:val="00587BA7"/>
    <w:rsid w:val="00590061"/>
    <w:rsid w:val="00590E02"/>
    <w:rsid w:val="00591547"/>
    <w:rsid w:val="005935CB"/>
    <w:rsid w:val="00594544"/>
    <w:rsid w:val="0059602F"/>
    <w:rsid w:val="00596A7E"/>
    <w:rsid w:val="00596AE5"/>
    <w:rsid w:val="005A0AC5"/>
    <w:rsid w:val="005A0D3C"/>
    <w:rsid w:val="005A1532"/>
    <w:rsid w:val="005A18FE"/>
    <w:rsid w:val="005A1A73"/>
    <w:rsid w:val="005A24E9"/>
    <w:rsid w:val="005A2A03"/>
    <w:rsid w:val="005A2B40"/>
    <w:rsid w:val="005A373E"/>
    <w:rsid w:val="005A4AE9"/>
    <w:rsid w:val="005A5AC0"/>
    <w:rsid w:val="005A61D0"/>
    <w:rsid w:val="005A638A"/>
    <w:rsid w:val="005B0B98"/>
    <w:rsid w:val="005B2838"/>
    <w:rsid w:val="005B2D62"/>
    <w:rsid w:val="005B4454"/>
    <w:rsid w:val="005B4812"/>
    <w:rsid w:val="005B5C37"/>
    <w:rsid w:val="005B6E92"/>
    <w:rsid w:val="005B6EE8"/>
    <w:rsid w:val="005B7004"/>
    <w:rsid w:val="005C23BC"/>
    <w:rsid w:val="005C3C7D"/>
    <w:rsid w:val="005C7884"/>
    <w:rsid w:val="005D0873"/>
    <w:rsid w:val="005D0F27"/>
    <w:rsid w:val="005D1388"/>
    <w:rsid w:val="005D139D"/>
    <w:rsid w:val="005D1E87"/>
    <w:rsid w:val="005D2B8A"/>
    <w:rsid w:val="005D41BE"/>
    <w:rsid w:val="005D4B3B"/>
    <w:rsid w:val="005D5061"/>
    <w:rsid w:val="005D6440"/>
    <w:rsid w:val="005D646E"/>
    <w:rsid w:val="005D6979"/>
    <w:rsid w:val="005E11AD"/>
    <w:rsid w:val="005E14BC"/>
    <w:rsid w:val="005E1D4E"/>
    <w:rsid w:val="005E1FCD"/>
    <w:rsid w:val="005E27A4"/>
    <w:rsid w:val="005E4DDE"/>
    <w:rsid w:val="005E52EB"/>
    <w:rsid w:val="005E5FBE"/>
    <w:rsid w:val="005E7D44"/>
    <w:rsid w:val="005F0306"/>
    <w:rsid w:val="005F0762"/>
    <w:rsid w:val="005F0D49"/>
    <w:rsid w:val="005F0FD9"/>
    <w:rsid w:val="005F2B18"/>
    <w:rsid w:val="005F43F3"/>
    <w:rsid w:val="005F470A"/>
    <w:rsid w:val="005F666B"/>
    <w:rsid w:val="005F67ED"/>
    <w:rsid w:val="005F6E5F"/>
    <w:rsid w:val="005F74E5"/>
    <w:rsid w:val="00601357"/>
    <w:rsid w:val="00601803"/>
    <w:rsid w:val="00602F6B"/>
    <w:rsid w:val="00604084"/>
    <w:rsid w:val="006052A8"/>
    <w:rsid w:val="00606A69"/>
    <w:rsid w:val="006071C2"/>
    <w:rsid w:val="0060793B"/>
    <w:rsid w:val="00613476"/>
    <w:rsid w:val="0061387F"/>
    <w:rsid w:val="006143F8"/>
    <w:rsid w:val="00615170"/>
    <w:rsid w:val="006167FC"/>
    <w:rsid w:val="00617402"/>
    <w:rsid w:val="00621A41"/>
    <w:rsid w:val="006221DE"/>
    <w:rsid w:val="00624010"/>
    <w:rsid w:val="0062423B"/>
    <w:rsid w:val="006272BE"/>
    <w:rsid w:val="00627E51"/>
    <w:rsid w:val="00630E41"/>
    <w:rsid w:val="00630F42"/>
    <w:rsid w:val="006318B9"/>
    <w:rsid w:val="00631DFF"/>
    <w:rsid w:val="00631E45"/>
    <w:rsid w:val="006332C9"/>
    <w:rsid w:val="00634F1C"/>
    <w:rsid w:val="00635491"/>
    <w:rsid w:val="006357FD"/>
    <w:rsid w:val="00635FCB"/>
    <w:rsid w:val="0063650D"/>
    <w:rsid w:val="00640CFF"/>
    <w:rsid w:val="00642900"/>
    <w:rsid w:val="006451CC"/>
    <w:rsid w:val="00645B92"/>
    <w:rsid w:val="00645EC0"/>
    <w:rsid w:val="00646B38"/>
    <w:rsid w:val="00646F95"/>
    <w:rsid w:val="00647F85"/>
    <w:rsid w:val="00650916"/>
    <w:rsid w:val="00651958"/>
    <w:rsid w:val="00651EF9"/>
    <w:rsid w:val="00653335"/>
    <w:rsid w:val="006534E0"/>
    <w:rsid w:val="006550DC"/>
    <w:rsid w:val="00655196"/>
    <w:rsid w:val="0065534E"/>
    <w:rsid w:val="0065698D"/>
    <w:rsid w:val="00657BE0"/>
    <w:rsid w:val="00657CAE"/>
    <w:rsid w:val="006612B1"/>
    <w:rsid w:val="006623D3"/>
    <w:rsid w:val="0066419D"/>
    <w:rsid w:val="00664C6B"/>
    <w:rsid w:val="006709DE"/>
    <w:rsid w:val="00670D51"/>
    <w:rsid w:val="0067154D"/>
    <w:rsid w:val="00671AC8"/>
    <w:rsid w:val="00671EB0"/>
    <w:rsid w:val="006729E5"/>
    <w:rsid w:val="00672AE7"/>
    <w:rsid w:val="00674265"/>
    <w:rsid w:val="006742AB"/>
    <w:rsid w:val="00674B8A"/>
    <w:rsid w:val="0067517D"/>
    <w:rsid w:val="00675A59"/>
    <w:rsid w:val="006767B6"/>
    <w:rsid w:val="00677BCD"/>
    <w:rsid w:val="00680A56"/>
    <w:rsid w:val="006816B8"/>
    <w:rsid w:val="006827F2"/>
    <w:rsid w:val="0068393E"/>
    <w:rsid w:val="00683CDF"/>
    <w:rsid w:val="00683D4B"/>
    <w:rsid w:val="0068445C"/>
    <w:rsid w:val="00684494"/>
    <w:rsid w:val="00684540"/>
    <w:rsid w:val="00684727"/>
    <w:rsid w:val="00685188"/>
    <w:rsid w:val="006855A4"/>
    <w:rsid w:val="00686DC9"/>
    <w:rsid w:val="006905C7"/>
    <w:rsid w:val="00690BEB"/>
    <w:rsid w:val="0069171B"/>
    <w:rsid w:val="00692913"/>
    <w:rsid w:val="00693481"/>
    <w:rsid w:val="00694D63"/>
    <w:rsid w:val="006952C4"/>
    <w:rsid w:val="0069613F"/>
    <w:rsid w:val="006A09CF"/>
    <w:rsid w:val="006A1075"/>
    <w:rsid w:val="006A27E2"/>
    <w:rsid w:val="006A35CF"/>
    <w:rsid w:val="006A38A9"/>
    <w:rsid w:val="006A70C4"/>
    <w:rsid w:val="006B0774"/>
    <w:rsid w:val="006B0ED9"/>
    <w:rsid w:val="006B1EC5"/>
    <w:rsid w:val="006B3E5E"/>
    <w:rsid w:val="006B425E"/>
    <w:rsid w:val="006B4CC9"/>
    <w:rsid w:val="006B4ECC"/>
    <w:rsid w:val="006B4ECD"/>
    <w:rsid w:val="006B6360"/>
    <w:rsid w:val="006B7BB2"/>
    <w:rsid w:val="006C0013"/>
    <w:rsid w:val="006C1D0D"/>
    <w:rsid w:val="006C2B0F"/>
    <w:rsid w:val="006C35E8"/>
    <w:rsid w:val="006C4E2E"/>
    <w:rsid w:val="006C6D6C"/>
    <w:rsid w:val="006C6F64"/>
    <w:rsid w:val="006C7283"/>
    <w:rsid w:val="006D1C02"/>
    <w:rsid w:val="006D24F4"/>
    <w:rsid w:val="006D2637"/>
    <w:rsid w:val="006D405D"/>
    <w:rsid w:val="006D4107"/>
    <w:rsid w:val="006D4B9C"/>
    <w:rsid w:val="006D4F4E"/>
    <w:rsid w:val="006D7A17"/>
    <w:rsid w:val="006E1C66"/>
    <w:rsid w:val="006E1EFD"/>
    <w:rsid w:val="006E208B"/>
    <w:rsid w:val="006E2CEB"/>
    <w:rsid w:val="006E3EC0"/>
    <w:rsid w:val="006E42FB"/>
    <w:rsid w:val="006E52CB"/>
    <w:rsid w:val="006E5ED9"/>
    <w:rsid w:val="006E622C"/>
    <w:rsid w:val="006E698E"/>
    <w:rsid w:val="006E6D5B"/>
    <w:rsid w:val="006E7BA8"/>
    <w:rsid w:val="006F015A"/>
    <w:rsid w:val="006F113C"/>
    <w:rsid w:val="006F2720"/>
    <w:rsid w:val="006F2C1E"/>
    <w:rsid w:val="006F2F4C"/>
    <w:rsid w:val="006F4395"/>
    <w:rsid w:val="006F4503"/>
    <w:rsid w:val="006F4B34"/>
    <w:rsid w:val="00700A52"/>
    <w:rsid w:val="00701D81"/>
    <w:rsid w:val="00702EC9"/>
    <w:rsid w:val="007031AC"/>
    <w:rsid w:val="00703FC4"/>
    <w:rsid w:val="00705593"/>
    <w:rsid w:val="00705FBF"/>
    <w:rsid w:val="0070636F"/>
    <w:rsid w:val="00706670"/>
    <w:rsid w:val="007076F3"/>
    <w:rsid w:val="0070798D"/>
    <w:rsid w:val="00710A80"/>
    <w:rsid w:val="00710F77"/>
    <w:rsid w:val="00711CBA"/>
    <w:rsid w:val="00713913"/>
    <w:rsid w:val="007145E6"/>
    <w:rsid w:val="0071523A"/>
    <w:rsid w:val="00716906"/>
    <w:rsid w:val="00716BE1"/>
    <w:rsid w:val="00717135"/>
    <w:rsid w:val="007173B1"/>
    <w:rsid w:val="007204D0"/>
    <w:rsid w:val="00720613"/>
    <w:rsid w:val="007210DD"/>
    <w:rsid w:val="00721336"/>
    <w:rsid w:val="007236D5"/>
    <w:rsid w:val="007263E8"/>
    <w:rsid w:val="0072660C"/>
    <w:rsid w:val="00733160"/>
    <w:rsid w:val="00733B15"/>
    <w:rsid w:val="00734700"/>
    <w:rsid w:val="0073651C"/>
    <w:rsid w:val="00741C73"/>
    <w:rsid w:val="00743769"/>
    <w:rsid w:val="00743998"/>
    <w:rsid w:val="00743AD2"/>
    <w:rsid w:val="00743E30"/>
    <w:rsid w:val="00744959"/>
    <w:rsid w:val="00745698"/>
    <w:rsid w:val="007475A2"/>
    <w:rsid w:val="00747D27"/>
    <w:rsid w:val="0075068F"/>
    <w:rsid w:val="00750DF5"/>
    <w:rsid w:val="007520B5"/>
    <w:rsid w:val="00752782"/>
    <w:rsid w:val="00752C41"/>
    <w:rsid w:val="00753976"/>
    <w:rsid w:val="00754060"/>
    <w:rsid w:val="00754440"/>
    <w:rsid w:val="00756E19"/>
    <w:rsid w:val="00756F1C"/>
    <w:rsid w:val="00757A44"/>
    <w:rsid w:val="007611E2"/>
    <w:rsid w:val="00761CC1"/>
    <w:rsid w:val="007659DD"/>
    <w:rsid w:val="00770267"/>
    <w:rsid w:val="00770523"/>
    <w:rsid w:val="007707F8"/>
    <w:rsid w:val="00771797"/>
    <w:rsid w:val="00775C8E"/>
    <w:rsid w:val="007762A1"/>
    <w:rsid w:val="00777869"/>
    <w:rsid w:val="00777ED2"/>
    <w:rsid w:val="00780BDB"/>
    <w:rsid w:val="00781532"/>
    <w:rsid w:val="007833CD"/>
    <w:rsid w:val="00783598"/>
    <w:rsid w:val="00784244"/>
    <w:rsid w:val="0078568B"/>
    <w:rsid w:val="00785C70"/>
    <w:rsid w:val="00790369"/>
    <w:rsid w:val="00791DC5"/>
    <w:rsid w:val="007923D5"/>
    <w:rsid w:val="007934F7"/>
    <w:rsid w:val="007938FF"/>
    <w:rsid w:val="00794B09"/>
    <w:rsid w:val="007953D2"/>
    <w:rsid w:val="007954FF"/>
    <w:rsid w:val="00795F46"/>
    <w:rsid w:val="00796595"/>
    <w:rsid w:val="007A0EC0"/>
    <w:rsid w:val="007A29FF"/>
    <w:rsid w:val="007A3957"/>
    <w:rsid w:val="007A4038"/>
    <w:rsid w:val="007A42AE"/>
    <w:rsid w:val="007A6DC6"/>
    <w:rsid w:val="007A6F43"/>
    <w:rsid w:val="007B12EA"/>
    <w:rsid w:val="007B2592"/>
    <w:rsid w:val="007B4851"/>
    <w:rsid w:val="007B6437"/>
    <w:rsid w:val="007C1C3A"/>
    <w:rsid w:val="007C3239"/>
    <w:rsid w:val="007C4366"/>
    <w:rsid w:val="007C44E4"/>
    <w:rsid w:val="007C493A"/>
    <w:rsid w:val="007C682C"/>
    <w:rsid w:val="007C7B42"/>
    <w:rsid w:val="007D2D7D"/>
    <w:rsid w:val="007D403A"/>
    <w:rsid w:val="007D4450"/>
    <w:rsid w:val="007D4907"/>
    <w:rsid w:val="007D4B23"/>
    <w:rsid w:val="007D7247"/>
    <w:rsid w:val="007D7C8C"/>
    <w:rsid w:val="007E1BF5"/>
    <w:rsid w:val="007E23BD"/>
    <w:rsid w:val="007E24AD"/>
    <w:rsid w:val="007E2B6C"/>
    <w:rsid w:val="007E31F4"/>
    <w:rsid w:val="007E38A8"/>
    <w:rsid w:val="007E6A44"/>
    <w:rsid w:val="007E7321"/>
    <w:rsid w:val="007E768D"/>
    <w:rsid w:val="007E7CD1"/>
    <w:rsid w:val="007F04EE"/>
    <w:rsid w:val="007F071B"/>
    <w:rsid w:val="007F0AFB"/>
    <w:rsid w:val="007F1DA6"/>
    <w:rsid w:val="007F37B1"/>
    <w:rsid w:val="007F63BF"/>
    <w:rsid w:val="007F640E"/>
    <w:rsid w:val="007F7773"/>
    <w:rsid w:val="00801563"/>
    <w:rsid w:val="00801CB4"/>
    <w:rsid w:val="0080295C"/>
    <w:rsid w:val="00803486"/>
    <w:rsid w:val="00803CD8"/>
    <w:rsid w:val="00806A2A"/>
    <w:rsid w:val="00806D42"/>
    <w:rsid w:val="00806DF8"/>
    <w:rsid w:val="0080746D"/>
    <w:rsid w:val="00807686"/>
    <w:rsid w:val="00810432"/>
    <w:rsid w:val="008111FC"/>
    <w:rsid w:val="00811D0B"/>
    <w:rsid w:val="0081281D"/>
    <w:rsid w:val="00812EA4"/>
    <w:rsid w:val="00813710"/>
    <w:rsid w:val="008145FD"/>
    <w:rsid w:val="008151A6"/>
    <w:rsid w:val="00815B25"/>
    <w:rsid w:val="008170E3"/>
    <w:rsid w:val="008206B6"/>
    <w:rsid w:val="00820B42"/>
    <w:rsid w:val="00824ED9"/>
    <w:rsid w:val="00825434"/>
    <w:rsid w:val="00825FC1"/>
    <w:rsid w:val="00827D1B"/>
    <w:rsid w:val="00830F98"/>
    <w:rsid w:val="0083110C"/>
    <w:rsid w:val="0083126C"/>
    <w:rsid w:val="00832B7F"/>
    <w:rsid w:val="00832BAE"/>
    <w:rsid w:val="00832FBB"/>
    <w:rsid w:val="00833D73"/>
    <w:rsid w:val="008343EB"/>
    <w:rsid w:val="00834528"/>
    <w:rsid w:val="00834A26"/>
    <w:rsid w:val="00835E7B"/>
    <w:rsid w:val="008367D6"/>
    <w:rsid w:val="0083694A"/>
    <w:rsid w:val="00836B46"/>
    <w:rsid w:val="00836D61"/>
    <w:rsid w:val="00840767"/>
    <w:rsid w:val="008411E5"/>
    <w:rsid w:val="008413D1"/>
    <w:rsid w:val="00841FB5"/>
    <w:rsid w:val="00845AFE"/>
    <w:rsid w:val="008460A8"/>
    <w:rsid w:val="00847BA2"/>
    <w:rsid w:val="00847EFF"/>
    <w:rsid w:val="0085022E"/>
    <w:rsid w:val="00850959"/>
    <w:rsid w:val="008538A9"/>
    <w:rsid w:val="008544EE"/>
    <w:rsid w:val="00854AC5"/>
    <w:rsid w:val="00854DF4"/>
    <w:rsid w:val="00855B73"/>
    <w:rsid w:val="0085694F"/>
    <w:rsid w:val="00857CFC"/>
    <w:rsid w:val="00860A50"/>
    <w:rsid w:val="00861A37"/>
    <w:rsid w:val="00862E0A"/>
    <w:rsid w:val="00863064"/>
    <w:rsid w:val="00863BB8"/>
    <w:rsid w:val="00864275"/>
    <w:rsid w:val="008646AF"/>
    <w:rsid w:val="00864F82"/>
    <w:rsid w:val="008656C5"/>
    <w:rsid w:val="00865F75"/>
    <w:rsid w:val="00867D8B"/>
    <w:rsid w:val="00867FBE"/>
    <w:rsid w:val="0087002A"/>
    <w:rsid w:val="00870A70"/>
    <w:rsid w:val="008730C6"/>
    <w:rsid w:val="008737D9"/>
    <w:rsid w:val="00874F0E"/>
    <w:rsid w:val="00876A52"/>
    <w:rsid w:val="00876C61"/>
    <w:rsid w:val="00877FEA"/>
    <w:rsid w:val="00880B10"/>
    <w:rsid w:val="00881492"/>
    <w:rsid w:val="0088361D"/>
    <w:rsid w:val="00883C53"/>
    <w:rsid w:val="00886CE7"/>
    <w:rsid w:val="00887694"/>
    <w:rsid w:val="008878AE"/>
    <w:rsid w:val="008904E1"/>
    <w:rsid w:val="00890C79"/>
    <w:rsid w:val="00890C9A"/>
    <w:rsid w:val="008966FA"/>
    <w:rsid w:val="00896DF8"/>
    <w:rsid w:val="008A0078"/>
    <w:rsid w:val="008A0A6A"/>
    <w:rsid w:val="008A15FB"/>
    <w:rsid w:val="008A2B88"/>
    <w:rsid w:val="008A46C2"/>
    <w:rsid w:val="008A6DD6"/>
    <w:rsid w:val="008A71FC"/>
    <w:rsid w:val="008B0B45"/>
    <w:rsid w:val="008B17A5"/>
    <w:rsid w:val="008B2053"/>
    <w:rsid w:val="008B31D1"/>
    <w:rsid w:val="008B3471"/>
    <w:rsid w:val="008B3757"/>
    <w:rsid w:val="008B3B2E"/>
    <w:rsid w:val="008B6AE7"/>
    <w:rsid w:val="008B6F49"/>
    <w:rsid w:val="008B6F89"/>
    <w:rsid w:val="008B75D8"/>
    <w:rsid w:val="008C0A87"/>
    <w:rsid w:val="008C181D"/>
    <w:rsid w:val="008C284F"/>
    <w:rsid w:val="008C2A32"/>
    <w:rsid w:val="008C2DBD"/>
    <w:rsid w:val="008C3BD4"/>
    <w:rsid w:val="008C4A65"/>
    <w:rsid w:val="008C52F8"/>
    <w:rsid w:val="008C53CC"/>
    <w:rsid w:val="008C6640"/>
    <w:rsid w:val="008D0137"/>
    <w:rsid w:val="008D11CA"/>
    <w:rsid w:val="008D31EC"/>
    <w:rsid w:val="008D321C"/>
    <w:rsid w:val="008D41C0"/>
    <w:rsid w:val="008D570C"/>
    <w:rsid w:val="008D57CB"/>
    <w:rsid w:val="008D59BB"/>
    <w:rsid w:val="008D6CA4"/>
    <w:rsid w:val="008D7428"/>
    <w:rsid w:val="008D7F3E"/>
    <w:rsid w:val="008E078E"/>
    <w:rsid w:val="008E15EE"/>
    <w:rsid w:val="008E1A76"/>
    <w:rsid w:val="008E1D73"/>
    <w:rsid w:val="008E2FF7"/>
    <w:rsid w:val="008E3DDC"/>
    <w:rsid w:val="008E40CD"/>
    <w:rsid w:val="008E456C"/>
    <w:rsid w:val="008E495E"/>
    <w:rsid w:val="008E54E0"/>
    <w:rsid w:val="008E61CC"/>
    <w:rsid w:val="008E6D34"/>
    <w:rsid w:val="008E7652"/>
    <w:rsid w:val="008F1A9F"/>
    <w:rsid w:val="008F27AC"/>
    <w:rsid w:val="008F368F"/>
    <w:rsid w:val="008F4A99"/>
    <w:rsid w:val="008F693C"/>
    <w:rsid w:val="008F741B"/>
    <w:rsid w:val="008F7C98"/>
    <w:rsid w:val="0090126A"/>
    <w:rsid w:val="00902E0B"/>
    <w:rsid w:val="00902F4E"/>
    <w:rsid w:val="009038F7"/>
    <w:rsid w:val="00904F63"/>
    <w:rsid w:val="0090504D"/>
    <w:rsid w:val="00905270"/>
    <w:rsid w:val="00907073"/>
    <w:rsid w:val="009071F5"/>
    <w:rsid w:val="009073BF"/>
    <w:rsid w:val="009076E2"/>
    <w:rsid w:val="00907EB6"/>
    <w:rsid w:val="0091005D"/>
    <w:rsid w:val="0091030C"/>
    <w:rsid w:val="00910503"/>
    <w:rsid w:val="009114BB"/>
    <w:rsid w:val="009116B0"/>
    <w:rsid w:val="00912E96"/>
    <w:rsid w:val="009134DC"/>
    <w:rsid w:val="00913AA9"/>
    <w:rsid w:val="00913ABC"/>
    <w:rsid w:val="0091425A"/>
    <w:rsid w:val="00914919"/>
    <w:rsid w:val="00914F24"/>
    <w:rsid w:val="00915032"/>
    <w:rsid w:val="00915338"/>
    <w:rsid w:val="00915FE1"/>
    <w:rsid w:val="0091678D"/>
    <w:rsid w:val="00920679"/>
    <w:rsid w:val="00920CA3"/>
    <w:rsid w:val="009214E4"/>
    <w:rsid w:val="009242F4"/>
    <w:rsid w:val="009245C0"/>
    <w:rsid w:val="00925267"/>
    <w:rsid w:val="009273D1"/>
    <w:rsid w:val="00930523"/>
    <w:rsid w:val="00931103"/>
    <w:rsid w:val="00931241"/>
    <w:rsid w:val="009338A6"/>
    <w:rsid w:val="00933F66"/>
    <w:rsid w:val="00934831"/>
    <w:rsid w:val="0093489B"/>
    <w:rsid w:val="00935201"/>
    <w:rsid w:val="00936BF2"/>
    <w:rsid w:val="00940156"/>
    <w:rsid w:val="00941649"/>
    <w:rsid w:val="009417E9"/>
    <w:rsid w:val="009427B3"/>
    <w:rsid w:val="00944408"/>
    <w:rsid w:val="0094592E"/>
    <w:rsid w:val="00945971"/>
    <w:rsid w:val="00946312"/>
    <w:rsid w:val="009503EC"/>
    <w:rsid w:val="0095184C"/>
    <w:rsid w:val="00952411"/>
    <w:rsid w:val="00952B8D"/>
    <w:rsid w:val="00954B2B"/>
    <w:rsid w:val="00955D53"/>
    <w:rsid w:val="00955D83"/>
    <w:rsid w:val="00955E9B"/>
    <w:rsid w:val="009561F7"/>
    <w:rsid w:val="00961E1C"/>
    <w:rsid w:val="009625A8"/>
    <w:rsid w:val="00962B6E"/>
    <w:rsid w:val="00962F42"/>
    <w:rsid w:val="009639CD"/>
    <w:rsid w:val="0096474E"/>
    <w:rsid w:val="00964FBD"/>
    <w:rsid w:val="00965522"/>
    <w:rsid w:val="009662B0"/>
    <w:rsid w:val="0096754B"/>
    <w:rsid w:val="00970471"/>
    <w:rsid w:val="009706D9"/>
    <w:rsid w:val="00970735"/>
    <w:rsid w:val="00970DF5"/>
    <w:rsid w:val="009751D5"/>
    <w:rsid w:val="00975ED3"/>
    <w:rsid w:val="009763CB"/>
    <w:rsid w:val="00977428"/>
    <w:rsid w:val="009778CD"/>
    <w:rsid w:val="0098173A"/>
    <w:rsid w:val="00981F4D"/>
    <w:rsid w:val="00985207"/>
    <w:rsid w:val="00986081"/>
    <w:rsid w:val="0098671F"/>
    <w:rsid w:val="00986D1A"/>
    <w:rsid w:val="00987DC5"/>
    <w:rsid w:val="00987F61"/>
    <w:rsid w:val="00990AA6"/>
    <w:rsid w:val="00994B6A"/>
    <w:rsid w:val="00995CA4"/>
    <w:rsid w:val="00996B2A"/>
    <w:rsid w:val="00997AE6"/>
    <w:rsid w:val="009A09BA"/>
    <w:rsid w:val="009A2073"/>
    <w:rsid w:val="009A2785"/>
    <w:rsid w:val="009A54F8"/>
    <w:rsid w:val="009A7158"/>
    <w:rsid w:val="009A7AC4"/>
    <w:rsid w:val="009B054B"/>
    <w:rsid w:val="009B0EEB"/>
    <w:rsid w:val="009B1449"/>
    <w:rsid w:val="009B2C50"/>
    <w:rsid w:val="009B366B"/>
    <w:rsid w:val="009B4099"/>
    <w:rsid w:val="009B4291"/>
    <w:rsid w:val="009B437E"/>
    <w:rsid w:val="009B6214"/>
    <w:rsid w:val="009B685A"/>
    <w:rsid w:val="009B71B3"/>
    <w:rsid w:val="009B7398"/>
    <w:rsid w:val="009B7B6D"/>
    <w:rsid w:val="009C0C1F"/>
    <w:rsid w:val="009C1C91"/>
    <w:rsid w:val="009C4CE5"/>
    <w:rsid w:val="009C6C26"/>
    <w:rsid w:val="009C7268"/>
    <w:rsid w:val="009C7C57"/>
    <w:rsid w:val="009C7E4C"/>
    <w:rsid w:val="009D21FE"/>
    <w:rsid w:val="009D31E4"/>
    <w:rsid w:val="009D3973"/>
    <w:rsid w:val="009D41CF"/>
    <w:rsid w:val="009D608B"/>
    <w:rsid w:val="009D6417"/>
    <w:rsid w:val="009E08D4"/>
    <w:rsid w:val="009E1E09"/>
    <w:rsid w:val="009E214C"/>
    <w:rsid w:val="009E2565"/>
    <w:rsid w:val="009E40E7"/>
    <w:rsid w:val="009E44F0"/>
    <w:rsid w:val="009E4585"/>
    <w:rsid w:val="009E59DA"/>
    <w:rsid w:val="009E639F"/>
    <w:rsid w:val="009E726E"/>
    <w:rsid w:val="009F04A2"/>
    <w:rsid w:val="009F097F"/>
    <w:rsid w:val="009F15F6"/>
    <w:rsid w:val="009F23E3"/>
    <w:rsid w:val="009F348F"/>
    <w:rsid w:val="009F44B3"/>
    <w:rsid w:val="009F482D"/>
    <w:rsid w:val="009F487D"/>
    <w:rsid w:val="009F6550"/>
    <w:rsid w:val="009F6BE0"/>
    <w:rsid w:val="009F6EB9"/>
    <w:rsid w:val="00A00926"/>
    <w:rsid w:val="00A012F4"/>
    <w:rsid w:val="00A01C82"/>
    <w:rsid w:val="00A027F5"/>
    <w:rsid w:val="00A043D3"/>
    <w:rsid w:val="00A0573A"/>
    <w:rsid w:val="00A077D1"/>
    <w:rsid w:val="00A11115"/>
    <w:rsid w:val="00A11B1C"/>
    <w:rsid w:val="00A11DD1"/>
    <w:rsid w:val="00A12679"/>
    <w:rsid w:val="00A127BB"/>
    <w:rsid w:val="00A12AC7"/>
    <w:rsid w:val="00A13EAB"/>
    <w:rsid w:val="00A1444A"/>
    <w:rsid w:val="00A147A3"/>
    <w:rsid w:val="00A1676E"/>
    <w:rsid w:val="00A16CE6"/>
    <w:rsid w:val="00A17214"/>
    <w:rsid w:val="00A20DFA"/>
    <w:rsid w:val="00A215DC"/>
    <w:rsid w:val="00A21949"/>
    <w:rsid w:val="00A21BE6"/>
    <w:rsid w:val="00A244C0"/>
    <w:rsid w:val="00A25CF3"/>
    <w:rsid w:val="00A26480"/>
    <w:rsid w:val="00A265DC"/>
    <w:rsid w:val="00A2751E"/>
    <w:rsid w:val="00A275C5"/>
    <w:rsid w:val="00A31CFE"/>
    <w:rsid w:val="00A31DFD"/>
    <w:rsid w:val="00A31F08"/>
    <w:rsid w:val="00A32A54"/>
    <w:rsid w:val="00A32A8C"/>
    <w:rsid w:val="00A331D2"/>
    <w:rsid w:val="00A34039"/>
    <w:rsid w:val="00A34623"/>
    <w:rsid w:val="00A349A9"/>
    <w:rsid w:val="00A35210"/>
    <w:rsid w:val="00A35584"/>
    <w:rsid w:val="00A3665C"/>
    <w:rsid w:val="00A36A62"/>
    <w:rsid w:val="00A41CC9"/>
    <w:rsid w:val="00A422EE"/>
    <w:rsid w:val="00A427B6"/>
    <w:rsid w:val="00A42B5F"/>
    <w:rsid w:val="00A42CEF"/>
    <w:rsid w:val="00A437A7"/>
    <w:rsid w:val="00A43B2E"/>
    <w:rsid w:val="00A43E13"/>
    <w:rsid w:val="00A4402C"/>
    <w:rsid w:val="00A46B6F"/>
    <w:rsid w:val="00A46CE0"/>
    <w:rsid w:val="00A504BB"/>
    <w:rsid w:val="00A51357"/>
    <w:rsid w:val="00A513E3"/>
    <w:rsid w:val="00A51839"/>
    <w:rsid w:val="00A52D4D"/>
    <w:rsid w:val="00A5369E"/>
    <w:rsid w:val="00A55B31"/>
    <w:rsid w:val="00A561A5"/>
    <w:rsid w:val="00A569D9"/>
    <w:rsid w:val="00A5764B"/>
    <w:rsid w:val="00A5793D"/>
    <w:rsid w:val="00A60F72"/>
    <w:rsid w:val="00A61598"/>
    <w:rsid w:val="00A64E2C"/>
    <w:rsid w:val="00A65A4E"/>
    <w:rsid w:val="00A65FFF"/>
    <w:rsid w:val="00A703E0"/>
    <w:rsid w:val="00A71566"/>
    <w:rsid w:val="00A719D2"/>
    <w:rsid w:val="00A71B50"/>
    <w:rsid w:val="00A727A1"/>
    <w:rsid w:val="00A73461"/>
    <w:rsid w:val="00A75CFC"/>
    <w:rsid w:val="00A76356"/>
    <w:rsid w:val="00A7662F"/>
    <w:rsid w:val="00A77D08"/>
    <w:rsid w:val="00A81367"/>
    <w:rsid w:val="00A818CD"/>
    <w:rsid w:val="00A81C8F"/>
    <w:rsid w:val="00A81D97"/>
    <w:rsid w:val="00A8240F"/>
    <w:rsid w:val="00A85C87"/>
    <w:rsid w:val="00A86137"/>
    <w:rsid w:val="00A875DB"/>
    <w:rsid w:val="00A877CA"/>
    <w:rsid w:val="00A900AE"/>
    <w:rsid w:val="00A933D9"/>
    <w:rsid w:val="00A93A07"/>
    <w:rsid w:val="00A94206"/>
    <w:rsid w:val="00A97898"/>
    <w:rsid w:val="00A97AA5"/>
    <w:rsid w:val="00AA0033"/>
    <w:rsid w:val="00AA07A3"/>
    <w:rsid w:val="00AA2255"/>
    <w:rsid w:val="00AA39F8"/>
    <w:rsid w:val="00AA3A63"/>
    <w:rsid w:val="00AA4EDE"/>
    <w:rsid w:val="00AA53AC"/>
    <w:rsid w:val="00AA5D9F"/>
    <w:rsid w:val="00AA639C"/>
    <w:rsid w:val="00AA6604"/>
    <w:rsid w:val="00AB0A2E"/>
    <w:rsid w:val="00AB0F7D"/>
    <w:rsid w:val="00AB2255"/>
    <w:rsid w:val="00AB27B4"/>
    <w:rsid w:val="00AB366B"/>
    <w:rsid w:val="00AB3ADA"/>
    <w:rsid w:val="00AB3FF4"/>
    <w:rsid w:val="00AB409F"/>
    <w:rsid w:val="00AB4FCF"/>
    <w:rsid w:val="00AB50D9"/>
    <w:rsid w:val="00AB5B81"/>
    <w:rsid w:val="00AC0BBF"/>
    <w:rsid w:val="00AC2AB1"/>
    <w:rsid w:val="00AC367B"/>
    <w:rsid w:val="00AC5B79"/>
    <w:rsid w:val="00AC7323"/>
    <w:rsid w:val="00AD1826"/>
    <w:rsid w:val="00AD1B1B"/>
    <w:rsid w:val="00AD26C8"/>
    <w:rsid w:val="00AD2C4A"/>
    <w:rsid w:val="00AD2F8C"/>
    <w:rsid w:val="00AD34E1"/>
    <w:rsid w:val="00AD4149"/>
    <w:rsid w:val="00AD5557"/>
    <w:rsid w:val="00AD5AEA"/>
    <w:rsid w:val="00AD5DD9"/>
    <w:rsid w:val="00AD6192"/>
    <w:rsid w:val="00AD7414"/>
    <w:rsid w:val="00AD78E5"/>
    <w:rsid w:val="00AE0117"/>
    <w:rsid w:val="00AE0A3E"/>
    <w:rsid w:val="00AE0E1B"/>
    <w:rsid w:val="00AE108F"/>
    <w:rsid w:val="00AE1922"/>
    <w:rsid w:val="00AE6E2D"/>
    <w:rsid w:val="00AE6F78"/>
    <w:rsid w:val="00AF0DF9"/>
    <w:rsid w:val="00AF16B9"/>
    <w:rsid w:val="00AF21EB"/>
    <w:rsid w:val="00AF288C"/>
    <w:rsid w:val="00AF3F9C"/>
    <w:rsid w:val="00AF5518"/>
    <w:rsid w:val="00AF59D0"/>
    <w:rsid w:val="00AF715E"/>
    <w:rsid w:val="00AF730D"/>
    <w:rsid w:val="00AF7363"/>
    <w:rsid w:val="00AF73D4"/>
    <w:rsid w:val="00AF786C"/>
    <w:rsid w:val="00B0093F"/>
    <w:rsid w:val="00B00B56"/>
    <w:rsid w:val="00B034AD"/>
    <w:rsid w:val="00B04414"/>
    <w:rsid w:val="00B04884"/>
    <w:rsid w:val="00B061D7"/>
    <w:rsid w:val="00B0685D"/>
    <w:rsid w:val="00B06F64"/>
    <w:rsid w:val="00B11861"/>
    <w:rsid w:val="00B12142"/>
    <w:rsid w:val="00B12835"/>
    <w:rsid w:val="00B150DE"/>
    <w:rsid w:val="00B15A8D"/>
    <w:rsid w:val="00B17E79"/>
    <w:rsid w:val="00B20821"/>
    <w:rsid w:val="00B22C88"/>
    <w:rsid w:val="00B26205"/>
    <w:rsid w:val="00B2635F"/>
    <w:rsid w:val="00B26627"/>
    <w:rsid w:val="00B305D8"/>
    <w:rsid w:val="00B305FE"/>
    <w:rsid w:val="00B30B2D"/>
    <w:rsid w:val="00B313AE"/>
    <w:rsid w:val="00B33FDD"/>
    <w:rsid w:val="00B340AC"/>
    <w:rsid w:val="00B346AD"/>
    <w:rsid w:val="00B36835"/>
    <w:rsid w:val="00B368D5"/>
    <w:rsid w:val="00B402D4"/>
    <w:rsid w:val="00B40C04"/>
    <w:rsid w:val="00B43D9C"/>
    <w:rsid w:val="00B45A3E"/>
    <w:rsid w:val="00B45B2B"/>
    <w:rsid w:val="00B47770"/>
    <w:rsid w:val="00B50808"/>
    <w:rsid w:val="00B53BA9"/>
    <w:rsid w:val="00B56C46"/>
    <w:rsid w:val="00B57C1D"/>
    <w:rsid w:val="00B61C85"/>
    <w:rsid w:val="00B638FE"/>
    <w:rsid w:val="00B65784"/>
    <w:rsid w:val="00B674B0"/>
    <w:rsid w:val="00B67DC9"/>
    <w:rsid w:val="00B706F6"/>
    <w:rsid w:val="00B709B4"/>
    <w:rsid w:val="00B715AC"/>
    <w:rsid w:val="00B72458"/>
    <w:rsid w:val="00B740C1"/>
    <w:rsid w:val="00B74BDB"/>
    <w:rsid w:val="00B768EE"/>
    <w:rsid w:val="00B76D4C"/>
    <w:rsid w:val="00B7712D"/>
    <w:rsid w:val="00B7725E"/>
    <w:rsid w:val="00B80B2B"/>
    <w:rsid w:val="00B820E4"/>
    <w:rsid w:val="00B82C26"/>
    <w:rsid w:val="00B83830"/>
    <w:rsid w:val="00B84824"/>
    <w:rsid w:val="00B86AA7"/>
    <w:rsid w:val="00B87E50"/>
    <w:rsid w:val="00B90326"/>
    <w:rsid w:val="00B90947"/>
    <w:rsid w:val="00B91932"/>
    <w:rsid w:val="00B91BE4"/>
    <w:rsid w:val="00B93247"/>
    <w:rsid w:val="00B95211"/>
    <w:rsid w:val="00B971C1"/>
    <w:rsid w:val="00B97906"/>
    <w:rsid w:val="00B97D32"/>
    <w:rsid w:val="00BA09C7"/>
    <w:rsid w:val="00BA2B20"/>
    <w:rsid w:val="00BA4269"/>
    <w:rsid w:val="00BA475D"/>
    <w:rsid w:val="00BA4EF3"/>
    <w:rsid w:val="00BA4F55"/>
    <w:rsid w:val="00BA57FE"/>
    <w:rsid w:val="00BA683C"/>
    <w:rsid w:val="00BA7C51"/>
    <w:rsid w:val="00BA7E07"/>
    <w:rsid w:val="00BB056C"/>
    <w:rsid w:val="00BB1235"/>
    <w:rsid w:val="00BB142B"/>
    <w:rsid w:val="00BB1B59"/>
    <w:rsid w:val="00BB1D84"/>
    <w:rsid w:val="00BB2A00"/>
    <w:rsid w:val="00BB2F9E"/>
    <w:rsid w:val="00BB33CC"/>
    <w:rsid w:val="00BB3581"/>
    <w:rsid w:val="00BB4AB0"/>
    <w:rsid w:val="00BB5391"/>
    <w:rsid w:val="00BB54F2"/>
    <w:rsid w:val="00BB76E9"/>
    <w:rsid w:val="00BB7CE7"/>
    <w:rsid w:val="00BC0302"/>
    <w:rsid w:val="00BC03E0"/>
    <w:rsid w:val="00BC2482"/>
    <w:rsid w:val="00BC35BD"/>
    <w:rsid w:val="00BC3BC7"/>
    <w:rsid w:val="00BC55FF"/>
    <w:rsid w:val="00BC5E3D"/>
    <w:rsid w:val="00BC7224"/>
    <w:rsid w:val="00BC7799"/>
    <w:rsid w:val="00BD01A4"/>
    <w:rsid w:val="00BD077B"/>
    <w:rsid w:val="00BD1679"/>
    <w:rsid w:val="00BD2B4D"/>
    <w:rsid w:val="00BD329C"/>
    <w:rsid w:val="00BD32FB"/>
    <w:rsid w:val="00BD51EC"/>
    <w:rsid w:val="00BD641C"/>
    <w:rsid w:val="00BD6AA6"/>
    <w:rsid w:val="00BE0235"/>
    <w:rsid w:val="00BE0359"/>
    <w:rsid w:val="00BE096C"/>
    <w:rsid w:val="00BE1AFD"/>
    <w:rsid w:val="00BE1B77"/>
    <w:rsid w:val="00BE1E10"/>
    <w:rsid w:val="00BE1F5D"/>
    <w:rsid w:val="00BE20CB"/>
    <w:rsid w:val="00BE2C17"/>
    <w:rsid w:val="00BE6412"/>
    <w:rsid w:val="00BE74DA"/>
    <w:rsid w:val="00BF11DD"/>
    <w:rsid w:val="00BF3A7C"/>
    <w:rsid w:val="00BF3B33"/>
    <w:rsid w:val="00BF4324"/>
    <w:rsid w:val="00BF512A"/>
    <w:rsid w:val="00BF73CD"/>
    <w:rsid w:val="00C025A7"/>
    <w:rsid w:val="00C044B7"/>
    <w:rsid w:val="00C0501D"/>
    <w:rsid w:val="00C057C1"/>
    <w:rsid w:val="00C06757"/>
    <w:rsid w:val="00C10E88"/>
    <w:rsid w:val="00C10EE0"/>
    <w:rsid w:val="00C111D9"/>
    <w:rsid w:val="00C11656"/>
    <w:rsid w:val="00C116A8"/>
    <w:rsid w:val="00C11850"/>
    <w:rsid w:val="00C13412"/>
    <w:rsid w:val="00C202B9"/>
    <w:rsid w:val="00C20668"/>
    <w:rsid w:val="00C225BD"/>
    <w:rsid w:val="00C23764"/>
    <w:rsid w:val="00C25337"/>
    <w:rsid w:val="00C27EF3"/>
    <w:rsid w:val="00C27FB2"/>
    <w:rsid w:val="00C30F05"/>
    <w:rsid w:val="00C3289F"/>
    <w:rsid w:val="00C3292F"/>
    <w:rsid w:val="00C3450C"/>
    <w:rsid w:val="00C3740D"/>
    <w:rsid w:val="00C40320"/>
    <w:rsid w:val="00C42BE5"/>
    <w:rsid w:val="00C42D6A"/>
    <w:rsid w:val="00C43842"/>
    <w:rsid w:val="00C45524"/>
    <w:rsid w:val="00C4669C"/>
    <w:rsid w:val="00C50963"/>
    <w:rsid w:val="00C51B07"/>
    <w:rsid w:val="00C51FB5"/>
    <w:rsid w:val="00C52BD0"/>
    <w:rsid w:val="00C52CA4"/>
    <w:rsid w:val="00C56F5E"/>
    <w:rsid w:val="00C61720"/>
    <w:rsid w:val="00C62DA3"/>
    <w:rsid w:val="00C62FD0"/>
    <w:rsid w:val="00C64F9E"/>
    <w:rsid w:val="00C660FD"/>
    <w:rsid w:val="00C66501"/>
    <w:rsid w:val="00C66A66"/>
    <w:rsid w:val="00C67EC2"/>
    <w:rsid w:val="00C71891"/>
    <w:rsid w:val="00C718CE"/>
    <w:rsid w:val="00C72C00"/>
    <w:rsid w:val="00C73E6A"/>
    <w:rsid w:val="00C7655A"/>
    <w:rsid w:val="00C81B60"/>
    <w:rsid w:val="00C8291E"/>
    <w:rsid w:val="00C82C0D"/>
    <w:rsid w:val="00C82E45"/>
    <w:rsid w:val="00C8385B"/>
    <w:rsid w:val="00C8448B"/>
    <w:rsid w:val="00C84B7D"/>
    <w:rsid w:val="00C8604B"/>
    <w:rsid w:val="00C87F29"/>
    <w:rsid w:val="00C92042"/>
    <w:rsid w:val="00C9259B"/>
    <w:rsid w:val="00C927FE"/>
    <w:rsid w:val="00C92DF2"/>
    <w:rsid w:val="00C95160"/>
    <w:rsid w:val="00C951BF"/>
    <w:rsid w:val="00C968A6"/>
    <w:rsid w:val="00CA17FD"/>
    <w:rsid w:val="00CA2F54"/>
    <w:rsid w:val="00CA39BE"/>
    <w:rsid w:val="00CA593D"/>
    <w:rsid w:val="00CB155F"/>
    <w:rsid w:val="00CB219E"/>
    <w:rsid w:val="00CB5392"/>
    <w:rsid w:val="00CB5975"/>
    <w:rsid w:val="00CB736E"/>
    <w:rsid w:val="00CB7676"/>
    <w:rsid w:val="00CC03E4"/>
    <w:rsid w:val="00CC053F"/>
    <w:rsid w:val="00CC074D"/>
    <w:rsid w:val="00CC1E13"/>
    <w:rsid w:val="00CC2F5E"/>
    <w:rsid w:val="00CC3BE9"/>
    <w:rsid w:val="00CC471C"/>
    <w:rsid w:val="00CC5E59"/>
    <w:rsid w:val="00CC7834"/>
    <w:rsid w:val="00CD1A46"/>
    <w:rsid w:val="00CD2226"/>
    <w:rsid w:val="00CD3494"/>
    <w:rsid w:val="00CD433E"/>
    <w:rsid w:val="00CD4CE4"/>
    <w:rsid w:val="00CD5418"/>
    <w:rsid w:val="00CD5A7A"/>
    <w:rsid w:val="00CD74E6"/>
    <w:rsid w:val="00CD7FED"/>
    <w:rsid w:val="00CE0E1B"/>
    <w:rsid w:val="00CE27D4"/>
    <w:rsid w:val="00CE28D5"/>
    <w:rsid w:val="00CE31CD"/>
    <w:rsid w:val="00CE3ABF"/>
    <w:rsid w:val="00CE3F2C"/>
    <w:rsid w:val="00CE46C2"/>
    <w:rsid w:val="00CE5259"/>
    <w:rsid w:val="00CE74E0"/>
    <w:rsid w:val="00CE7B10"/>
    <w:rsid w:val="00CF05B6"/>
    <w:rsid w:val="00CF1D30"/>
    <w:rsid w:val="00CF2115"/>
    <w:rsid w:val="00CF53E1"/>
    <w:rsid w:val="00CF6530"/>
    <w:rsid w:val="00CF6E79"/>
    <w:rsid w:val="00D0070F"/>
    <w:rsid w:val="00D00AC3"/>
    <w:rsid w:val="00D02891"/>
    <w:rsid w:val="00D02EE9"/>
    <w:rsid w:val="00D04024"/>
    <w:rsid w:val="00D04387"/>
    <w:rsid w:val="00D044A8"/>
    <w:rsid w:val="00D04585"/>
    <w:rsid w:val="00D05992"/>
    <w:rsid w:val="00D066A1"/>
    <w:rsid w:val="00D06F59"/>
    <w:rsid w:val="00D073F9"/>
    <w:rsid w:val="00D07CDA"/>
    <w:rsid w:val="00D10CE3"/>
    <w:rsid w:val="00D12BF7"/>
    <w:rsid w:val="00D13116"/>
    <w:rsid w:val="00D17206"/>
    <w:rsid w:val="00D17746"/>
    <w:rsid w:val="00D20258"/>
    <w:rsid w:val="00D20B10"/>
    <w:rsid w:val="00D21491"/>
    <w:rsid w:val="00D21BC5"/>
    <w:rsid w:val="00D21CE0"/>
    <w:rsid w:val="00D2403C"/>
    <w:rsid w:val="00D24B2B"/>
    <w:rsid w:val="00D24CD4"/>
    <w:rsid w:val="00D24E41"/>
    <w:rsid w:val="00D26A48"/>
    <w:rsid w:val="00D30A1D"/>
    <w:rsid w:val="00D30B36"/>
    <w:rsid w:val="00D31074"/>
    <w:rsid w:val="00D32D36"/>
    <w:rsid w:val="00D333AF"/>
    <w:rsid w:val="00D34566"/>
    <w:rsid w:val="00D35D13"/>
    <w:rsid w:val="00D35E8B"/>
    <w:rsid w:val="00D36EF0"/>
    <w:rsid w:val="00D41C1B"/>
    <w:rsid w:val="00D43FB5"/>
    <w:rsid w:val="00D445AE"/>
    <w:rsid w:val="00D47028"/>
    <w:rsid w:val="00D472E0"/>
    <w:rsid w:val="00D479CA"/>
    <w:rsid w:val="00D50F81"/>
    <w:rsid w:val="00D510A2"/>
    <w:rsid w:val="00D539BF"/>
    <w:rsid w:val="00D557FF"/>
    <w:rsid w:val="00D55C21"/>
    <w:rsid w:val="00D5716E"/>
    <w:rsid w:val="00D60615"/>
    <w:rsid w:val="00D60F35"/>
    <w:rsid w:val="00D6113A"/>
    <w:rsid w:val="00D621AC"/>
    <w:rsid w:val="00D62E22"/>
    <w:rsid w:val="00D62F41"/>
    <w:rsid w:val="00D63286"/>
    <w:rsid w:val="00D6406B"/>
    <w:rsid w:val="00D65F30"/>
    <w:rsid w:val="00D664D6"/>
    <w:rsid w:val="00D66791"/>
    <w:rsid w:val="00D66B43"/>
    <w:rsid w:val="00D66E7E"/>
    <w:rsid w:val="00D670CC"/>
    <w:rsid w:val="00D672DB"/>
    <w:rsid w:val="00D673BF"/>
    <w:rsid w:val="00D7017B"/>
    <w:rsid w:val="00D71F1C"/>
    <w:rsid w:val="00D7436C"/>
    <w:rsid w:val="00D7586E"/>
    <w:rsid w:val="00D76CA6"/>
    <w:rsid w:val="00D772AD"/>
    <w:rsid w:val="00D81D1A"/>
    <w:rsid w:val="00D83C41"/>
    <w:rsid w:val="00D8465A"/>
    <w:rsid w:val="00D849BD"/>
    <w:rsid w:val="00D84C76"/>
    <w:rsid w:val="00D86B09"/>
    <w:rsid w:val="00D873A1"/>
    <w:rsid w:val="00D905B0"/>
    <w:rsid w:val="00D9145A"/>
    <w:rsid w:val="00D91540"/>
    <w:rsid w:val="00D92A55"/>
    <w:rsid w:val="00D93BA7"/>
    <w:rsid w:val="00D94F79"/>
    <w:rsid w:val="00D95B43"/>
    <w:rsid w:val="00D96C4F"/>
    <w:rsid w:val="00D97F0D"/>
    <w:rsid w:val="00D97F63"/>
    <w:rsid w:val="00DA172D"/>
    <w:rsid w:val="00DA1BA4"/>
    <w:rsid w:val="00DA2E06"/>
    <w:rsid w:val="00DA48E6"/>
    <w:rsid w:val="00DA64CD"/>
    <w:rsid w:val="00DA7FCC"/>
    <w:rsid w:val="00DB003E"/>
    <w:rsid w:val="00DB15B7"/>
    <w:rsid w:val="00DB1C32"/>
    <w:rsid w:val="00DB3C9F"/>
    <w:rsid w:val="00DB506B"/>
    <w:rsid w:val="00DB5E27"/>
    <w:rsid w:val="00DB66AC"/>
    <w:rsid w:val="00DC1F5F"/>
    <w:rsid w:val="00DC314B"/>
    <w:rsid w:val="00DC3CC0"/>
    <w:rsid w:val="00DC5E45"/>
    <w:rsid w:val="00DD0182"/>
    <w:rsid w:val="00DD38AB"/>
    <w:rsid w:val="00DD420E"/>
    <w:rsid w:val="00DD46A5"/>
    <w:rsid w:val="00DD4934"/>
    <w:rsid w:val="00DD5A3C"/>
    <w:rsid w:val="00DD5C7D"/>
    <w:rsid w:val="00DD6A8D"/>
    <w:rsid w:val="00DE01D7"/>
    <w:rsid w:val="00DE14FE"/>
    <w:rsid w:val="00DE1B23"/>
    <w:rsid w:val="00DE1D33"/>
    <w:rsid w:val="00DE2E43"/>
    <w:rsid w:val="00DE363F"/>
    <w:rsid w:val="00DE5267"/>
    <w:rsid w:val="00DE6D05"/>
    <w:rsid w:val="00DF059E"/>
    <w:rsid w:val="00DF0733"/>
    <w:rsid w:val="00DF1868"/>
    <w:rsid w:val="00DF18BD"/>
    <w:rsid w:val="00DF1A98"/>
    <w:rsid w:val="00DF1CA0"/>
    <w:rsid w:val="00DF26E5"/>
    <w:rsid w:val="00DF379C"/>
    <w:rsid w:val="00DF3C84"/>
    <w:rsid w:val="00DF4DB8"/>
    <w:rsid w:val="00DF5369"/>
    <w:rsid w:val="00DF74A9"/>
    <w:rsid w:val="00E03057"/>
    <w:rsid w:val="00E03CDF"/>
    <w:rsid w:val="00E07A4E"/>
    <w:rsid w:val="00E11A87"/>
    <w:rsid w:val="00E11BD4"/>
    <w:rsid w:val="00E12825"/>
    <w:rsid w:val="00E14F80"/>
    <w:rsid w:val="00E21AE5"/>
    <w:rsid w:val="00E22DC9"/>
    <w:rsid w:val="00E231B6"/>
    <w:rsid w:val="00E23E16"/>
    <w:rsid w:val="00E23E3C"/>
    <w:rsid w:val="00E24546"/>
    <w:rsid w:val="00E259D4"/>
    <w:rsid w:val="00E27878"/>
    <w:rsid w:val="00E312AE"/>
    <w:rsid w:val="00E31D65"/>
    <w:rsid w:val="00E321BD"/>
    <w:rsid w:val="00E33334"/>
    <w:rsid w:val="00E342A7"/>
    <w:rsid w:val="00E3657E"/>
    <w:rsid w:val="00E41B8B"/>
    <w:rsid w:val="00E41BFB"/>
    <w:rsid w:val="00E42069"/>
    <w:rsid w:val="00E429DA"/>
    <w:rsid w:val="00E42DC5"/>
    <w:rsid w:val="00E433BF"/>
    <w:rsid w:val="00E43578"/>
    <w:rsid w:val="00E43F3F"/>
    <w:rsid w:val="00E44E9F"/>
    <w:rsid w:val="00E45DD2"/>
    <w:rsid w:val="00E534DD"/>
    <w:rsid w:val="00E5353A"/>
    <w:rsid w:val="00E53FFC"/>
    <w:rsid w:val="00E55F1F"/>
    <w:rsid w:val="00E60163"/>
    <w:rsid w:val="00E6045A"/>
    <w:rsid w:val="00E6083A"/>
    <w:rsid w:val="00E62454"/>
    <w:rsid w:val="00E62E2D"/>
    <w:rsid w:val="00E62F0E"/>
    <w:rsid w:val="00E63EF1"/>
    <w:rsid w:val="00E64AB0"/>
    <w:rsid w:val="00E663BB"/>
    <w:rsid w:val="00E66DDB"/>
    <w:rsid w:val="00E67374"/>
    <w:rsid w:val="00E70FD6"/>
    <w:rsid w:val="00E71404"/>
    <w:rsid w:val="00E718A2"/>
    <w:rsid w:val="00E72A6E"/>
    <w:rsid w:val="00E73A61"/>
    <w:rsid w:val="00E7435F"/>
    <w:rsid w:val="00E747F5"/>
    <w:rsid w:val="00E74D9B"/>
    <w:rsid w:val="00E75B86"/>
    <w:rsid w:val="00E75E91"/>
    <w:rsid w:val="00E76193"/>
    <w:rsid w:val="00E76C74"/>
    <w:rsid w:val="00E76E30"/>
    <w:rsid w:val="00E8005B"/>
    <w:rsid w:val="00E80C0B"/>
    <w:rsid w:val="00E81081"/>
    <w:rsid w:val="00E81DDA"/>
    <w:rsid w:val="00E82936"/>
    <w:rsid w:val="00E82BA8"/>
    <w:rsid w:val="00E84A86"/>
    <w:rsid w:val="00E84D9E"/>
    <w:rsid w:val="00E84E5C"/>
    <w:rsid w:val="00E85C7B"/>
    <w:rsid w:val="00E86A0E"/>
    <w:rsid w:val="00E87105"/>
    <w:rsid w:val="00E87FE2"/>
    <w:rsid w:val="00E90936"/>
    <w:rsid w:val="00E92253"/>
    <w:rsid w:val="00E92601"/>
    <w:rsid w:val="00E9334B"/>
    <w:rsid w:val="00E93558"/>
    <w:rsid w:val="00E949E6"/>
    <w:rsid w:val="00E9566E"/>
    <w:rsid w:val="00E957E4"/>
    <w:rsid w:val="00E95C7F"/>
    <w:rsid w:val="00E95DBA"/>
    <w:rsid w:val="00E9677A"/>
    <w:rsid w:val="00E971B8"/>
    <w:rsid w:val="00E974D2"/>
    <w:rsid w:val="00EA0E99"/>
    <w:rsid w:val="00EA1151"/>
    <w:rsid w:val="00EA289C"/>
    <w:rsid w:val="00EA32BD"/>
    <w:rsid w:val="00EA40CF"/>
    <w:rsid w:val="00EA4520"/>
    <w:rsid w:val="00EA45E7"/>
    <w:rsid w:val="00EA47E1"/>
    <w:rsid w:val="00EA6FA2"/>
    <w:rsid w:val="00EB2518"/>
    <w:rsid w:val="00EB3957"/>
    <w:rsid w:val="00EB53CD"/>
    <w:rsid w:val="00EC2009"/>
    <w:rsid w:val="00EC2723"/>
    <w:rsid w:val="00EC2EBC"/>
    <w:rsid w:val="00EC343B"/>
    <w:rsid w:val="00EC362E"/>
    <w:rsid w:val="00EC5865"/>
    <w:rsid w:val="00EC619D"/>
    <w:rsid w:val="00EC6709"/>
    <w:rsid w:val="00EC6832"/>
    <w:rsid w:val="00EC7491"/>
    <w:rsid w:val="00EC7B45"/>
    <w:rsid w:val="00ED0981"/>
    <w:rsid w:val="00ED1DB2"/>
    <w:rsid w:val="00ED219D"/>
    <w:rsid w:val="00ED2AA9"/>
    <w:rsid w:val="00ED3A90"/>
    <w:rsid w:val="00ED3F37"/>
    <w:rsid w:val="00ED645A"/>
    <w:rsid w:val="00ED67C4"/>
    <w:rsid w:val="00ED71E7"/>
    <w:rsid w:val="00ED7FA1"/>
    <w:rsid w:val="00EE102C"/>
    <w:rsid w:val="00EE1F7F"/>
    <w:rsid w:val="00EE35B7"/>
    <w:rsid w:val="00EE407C"/>
    <w:rsid w:val="00EE46D2"/>
    <w:rsid w:val="00EE5780"/>
    <w:rsid w:val="00EE592F"/>
    <w:rsid w:val="00EF0991"/>
    <w:rsid w:val="00EF319F"/>
    <w:rsid w:val="00EF3BD0"/>
    <w:rsid w:val="00EF508D"/>
    <w:rsid w:val="00EF5D07"/>
    <w:rsid w:val="00EF61CF"/>
    <w:rsid w:val="00EF6E56"/>
    <w:rsid w:val="00EF717F"/>
    <w:rsid w:val="00F004C6"/>
    <w:rsid w:val="00F00882"/>
    <w:rsid w:val="00F00D86"/>
    <w:rsid w:val="00F02A14"/>
    <w:rsid w:val="00F03336"/>
    <w:rsid w:val="00F060CA"/>
    <w:rsid w:val="00F066AA"/>
    <w:rsid w:val="00F1052B"/>
    <w:rsid w:val="00F121C1"/>
    <w:rsid w:val="00F128E8"/>
    <w:rsid w:val="00F12D12"/>
    <w:rsid w:val="00F13A7C"/>
    <w:rsid w:val="00F13E7F"/>
    <w:rsid w:val="00F16AD7"/>
    <w:rsid w:val="00F17B86"/>
    <w:rsid w:val="00F21914"/>
    <w:rsid w:val="00F223E6"/>
    <w:rsid w:val="00F235B2"/>
    <w:rsid w:val="00F238E1"/>
    <w:rsid w:val="00F24E81"/>
    <w:rsid w:val="00F25B9E"/>
    <w:rsid w:val="00F25BF8"/>
    <w:rsid w:val="00F26093"/>
    <w:rsid w:val="00F260A3"/>
    <w:rsid w:val="00F27EEE"/>
    <w:rsid w:val="00F27EF7"/>
    <w:rsid w:val="00F30F30"/>
    <w:rsid w:val="00F332FD"/>
    <w:rsid w:val="00F33DB6"/>
    <w:rsid w:val="00F341F6"/>
    <w:rsid w:val="00F4113C"/>
    <w:rsid w:val="00F41BA4"/>
    <w:rsid w:val="00F4389D"/>
    <w:rsid w:val="00F455CD"/>
    <w:rsid w:val="00F46266"/>
    <w:rsid w:val="00F468D4"/>
    <w:rsid w:val="00F46D68"/>
    <w:rsid w:val="00F46EA3"/>
    <w:rsid w:val="00F47543"/>
    <w:rsid w:val="00F47EBB"/>
    <w:rsid w:val="00F50011"/>
    <w:rsid w:val="00F5172C"/>
    <w:rsid w:val="00F51A3F"/>
    <w:rsid w:val="00F51FE1"/>
    <w:rsid w:val="00F53357"/>
    <w:rsid w:val="00F53508"/>
    <w:rsid w:val="00F539BF"/>
    <w:rsid w:val="00F53CBE"/>
    <w:rsid w:val="00F53D58"/>
    <w:rsid w:val="00F53E72"/>
    <w:rsid w:val="00F552FA"/>
    <w:rsid w:val="00F5532E"/>
    <w:rsid w:val="00F55C61"/>
    <w:rsid w:val="00F56BCB"/>
    <w:rsid w:val="00F57213"/>
    <w:rsid w:val="00F57AE5"/>
    <w:rsid w:val="00F57DF3"/>
    <w:rsid w:val="00F60F9D"/>
    <w:rsid w:val="00F6213B"/>
    <w:rsid w:val="00F63407"/>
    <w:rsid w:val="00F6474F"/>
    <w:rsid w:val="00F647D1"/>
    <w:rsid w:val="00F655F8"/>
    <w:rsid w:val="00F66ADA"/>
    <w:rsid w:val="00F67468"/>
    <w:rsid w:val="00F674FA"/>
    <w:rsid w:val="00F70832"/>
    <w:rsid w:val="00F70AD5"/>
    <w:rsid w:val="00F70EC2"/>
    <w:rsid w:val="00F71262"/>
    <w:rsid w:val="00F718B2"/>
    <w:rsid w:val="00F72A60"/>
    <w:rsid w:val="00F73A37"/>
    <w:rsid w:val="00F75219"/>
    <w:rsid w:val="00F768DA"/>
    <w:rsid w:val="00F77583"/>
    <w:rsid w:val="00F775AE"/>
    <w:rsid w:val="00F80BD5"/>
    <w:rsid w:val="00F80D99"/>
    <w:rsid w:val="00F82419"/>
    <w:rsid w:val="00F82462"/>
    <w:rsid w:val="00F832D5"/>
    <w:rsid w:val="00F906A1"/>
    <w:rsid w:val="00F906F4"/>
    <w:rsid w:val="00F937C1"/>
    <w:rsid w:val="00F939AF"/>
    <w:rsid w:val="00F94C69"/>
    <w:rsid w:val="00F95738"/>
    <w:rsid w:val="00F95C61"/>
    <w:rsid w:val="00F973F8"/>
    <w:rsid w:val="00FA09F0"/>
    <w:rsid w:val="00FA0BE7"/>
    <w:rsid w:val="00FA1434"/>
    <w:rsid w:val="00FA16CB"/>
    <w:rsid w:val="00FA1BC3"/>
    <w:rsid w:val="00FA2D8B"/>
    <w:rsid w:val="00FA36DF"/>
    <w:rsid w:val="00FA4034"/>
    <w:rsid w:val="00FA51E8"/>
    <w:rsid w:val="00FA573D"/>
    <w:rsid w:val="00FA611F"/>
    <w:rsid w:val="00FA7B57"/>
    <w:rsid w:val="00FB022C"/>
    <w:rsid w:val="00FB416D"/>
    <w:rsid w:val="00FB45CB"/>
    <w:rsid w:val="00FB6EFA"/>
    <w:rsid w:val="00FB7FDE"/>
    <w:rsid w:val="00FC050B"/>
    <w:rsid w:val="00FC05D4"/>
    <w:rsid w:val="00FC1442"/>
    <w:rsid w:val="00FC4359"/>
    <w:rsid w:val="00FC4948"/>
    <w:rsid w:val="00FC6177"/>
    <w:rsid w:val="00FC617C"/>
    <w:rsid w:val="00FC7BA9"/>
    <w:rsid w:val="00FC7E93"/>
    <w:rsid w:val="00FD2FC5"/>
    <w:rsid w:val="00FD3786"/>
    <w:rsid w:val="00FD4773"/>
    <w:rsid w:val="00FD5572"/>
    <w:rsid w:val="00FD57C1"/>
    <w:rsid w:val="00FE0812"/>
    <w:rsid w:val="00FE09DC"/>
    <w:rsid w:val="00FE1673"/>
    <w:rsid w:val="00FE176C"/>
    <w:rsid w:val="00FE18C7"/>
    <w:rsid w:val="00FE28F4"/>
    <w:rsid w:val="00FE41C3"/>
    <w:rsid w:val="00FE4230"/>
    <w:rsid w:val="00FE6E72"/>
    <w:rsid w:val="00FF01A1"/>
    <w:rsid w:val="00FF0B4B"/>
    <w:rsid w:val="00FF10EB"/>
    <w:rsid w:val="00FF2859"/>
    <w:rsid w:val="00FF298B"/>
    <w:rsid w:val="00FF2F9B"/>
    <w:rsid w:val="00FF377D"/>
    <w:rsid w:val="00FF4D32"/>
    <w:rsid w:val="00FF5484"/>
    <w:rsid w:val="00FF5CC9"/>
    <w:rsid w:val="00FF64F3"/>
    <w:rsid w:val="00FF6F90"/>
    <w:rsid w:val="014939A9"/>
    <w:rsid w:val="01AD27A2"/>
    <w:rsid w:val="02556193"/>
    <w:rsid w:val="025A704C"/>
    <w:rsid w:val="030736C0"/>
    <w:rsid w:val="03916E13"/>
    <w:rsid w:val="03A90300"/>
    <w:rsid w:val="03DA1979"/>
    <w:rsid w:val="04674CD3"/>
    <w:rsid w:val="04775A08"/>
    <w:rsid w:val="04783145"/>
    <w:rsid w:val="0492334D"/>
    <w:rsid w:val="04AC14C2"/>
    <w:rsid w:val="05115361"/>
    <w:rsid w:val="05115FAD"/>
    <w:rsid w:val="05C41217"/>
    <w:rsid w:val="060C68AF"/>
    <w:rsid w:val="060F45F1"/>
    <w:rsid w:val="066761DB"/>
    <w:rsid w:val="06D53145"/>
    <w:rsid w:val="073738A6"/>
    <w:rsid w:val="07E70396"/>
    <w:rsid w:val="08A16C12"/>
    <w:rsid w:val="08D062B9"/>
    <w:rsid w:val="08E22734"/>
    <w:rsid w:val="08ED364F"/>
    <w:rsid w:val="094E0606"/>
    <w:rsid w:val="096030AD"/>
    <w:rsid w:val="09815580"/>
    <w:rsid w:val="098647DE"/>
    <w:rsid w:val="09B51D7E"/>
    <w:rsid w:val="0AAA61B7"/>
    <w:rsid w:val="0AC01A1C"/>
    <w:rsid w:val="0AD031F0"/>
    <w:rsid w:val="0B723658"/>
    <w:rsid w:val="0B8B02CB"/>
    <w:rsid w:val="0BDB2929"/>
    <w:rsid w:val="0BDB744F"/>
    <w:rsid w:val="0C554849"/>
    <w:rsid w:val="0C807FF6"/>
    <w:rsid w:val="0C822BB8"/>
    <w:rsid w:val="0C825B1D"/>
    <w:rsid w:val="0C833FB7"/>
    <w:rsid w:val="0CA74842"/>
    <w:rsid w:val="0D4863D9"/>
    <w:rsid w:val="0D505F74"/>
    <w:rsid w:val="0D913B3D"/>
    <w:rsid w:val="0DF26CD2"/>
    <w:rsid w:val="0E333D5D"/>
    <w:rsid w:val="0EA71B01"/>
    <w:rsid w:val="0EF30E7F"/>
    <w:rsid w:val="0EFD6ADB"/>
    <w:rsid w:val="0F0740B7"/>
    <w:rsid w:val="0F1D0B70"/>
    <w:rsid w:val="0F3E2F47"/>
    <w:rsid w:val="0F5D461F"/>
    <w:rsid w:val="0F9067A2"/>
    <w:rsid w:val="0FC607EE"/>
    <w:rsid w:val="0FF93978"/>
    <w:rsid w:val="10046D97"/>
    <w:rsid w:val="104D73ED"/>
    <w:rsid w:val="108C7D96"/>
    <w:rsid w:val="10A857A0"/>
    <w:rsid w:val="10B152A3"/>
    <w:rsid w:val="10EC56C5"/>
    <w:rsid w:val="11140C72"/>
    <w:rsid w:val="11F16ADD"/>
    <w:rsid w:val="12534A6F"/>
    <w:rsid w:val="126E5435"/>
    <w:rsid w:val="128D521B"/>
    <w:rsid w:val="12A860F6"/>
    <w:rsid w:val="12FC410C"/>
    <w:rsid w:val="13120ADA"/>
    <w:rsid w:val="13C92283"/>
    <w:rsid w:val="13E47868"/>
    <w:rsid w:val="14123C2A"/>
    <w:rsid w:val="146574F4"/>
    <w:rsid w:val="14D26F15"/>
    <w:rsid w:val="1513734D"/>
    <w:rsid w:val="1536181A"/>
    <w:rsid w:val="15D4376F"/>
    <w:rsid w:val="163A7FC9"/>
    <w:rsid w:val="16A0432B"/>
    <w:rsid w:val="16AB53BD"/>
    <w:rsid w:val="16D248E7"/>
    <w:rsid w:val="16FD447D"/>
    <w:rsid w:val="1727204F"/>
    <w:rsid w:val="172B0237"/>
    <w:rsid w:val="17544559"/>
    <w:rsid w:val="175B2D63"/>
    <w:rsid w:val="17710B6B"/>
    <w:rsid w:val="17A0765F"/>
    <w:rsid w:val="17A14D5F"/>
    <w:rsid w:val="1808223A"/>
    <w:rsid w:val="18DA45EA"/>
    <w:rsid w:val="18F746C4"/>
    <w:rsid w:val="196335AF"/>
    <w:rsid w:val="19A90B8D"/>
    <w:rsid w:val="19C4164A"/>
    <w:rsid w:val="19E006C0"/>
    <w:rsid w:val="19EB442D"/>
    <w:rsid w:val="1A437E52"/>
    <w:rsid w:val="1AB05CD0"/>
    <w:rsid w:val="1AEC04A7"/>
    <w:rsid w:val="1B130EE3"/>
    <w:rsid w:val="1B2341F3"/>
    <w:rsid w:val="1B41251E"/>
    <w:rsid w:val="1B623A0E"/>
    <w:rsid w:val="1B7E7DF7"/>
    <w:rsid w:val="1BBA2066"/>
    <w:rsid w:val="1C04014A"/>
    <w:rsid w:val="1C055E22"/>
    <w:rsid w:val="1C7729BA"/>
    <w:rsid w:val="1C9F6F93"/>
    <w:rsid w:val="1CD53A47"/>
    <w:rsid w:val="1CF306D5"/>
    <w:rsid w:val="1D0165EA"/>
    <w:rsid w:val="1D0B7468"/>
    <w:rsid w:val="1D1B7A2F"/>
    <w:rsid w:val="1D5D2084"/>
    <w:rsid w:val="1D714A63"/>
    <w:rsid w:val="1DB85609"/>
    <w:rsid w:val="1E216F88"/>
    <w:rsid w:val="1E641956"/>
    <w:rsid w:val="1E845C6B"/>
    <w:rsid w:val="1E933AF1"/>
    <w:rsid w:val="1ED311BB"/>
    <w:rsid w:val="1ED66692"/>
    <w:rsid w:val="1F132604"/>
    <w:rsid w:val="1F3360E0"/>
    <w:rsid w:val="1FC2329F"/>
    <w:rsid w:val="1FEB532F"/>
    <w:rsid w:val="1FF22EB1"/>
    <w:rsid w:val="202251F5"/>
    <w:rsid w:val="205B0707"/>
    <w:rsid w:val="20976E78"/>
    <w:rsid w:val="20DD111C"/>
    <w:rsid w:val="20F34AF5"/>
    <w:rsid w:val="21623838"/>
    <w:rsid w:val="217952E8"/>
    <w:rsid w:val="221A1DB5"/>
    <w:rsid w:val="221D71CF"/>
    <w:rsid w:val="22421683"/>
    <w:rsid w:val="224217DE"/>
    <w:rsid w:val="22504165"/>
    <w:rsid w:val="2265433B"/>
    <w:rsid w:val="226B2BE8"/>
    <w:rsid w:val="22834FFC"/>
    <w:rsid w:val="22F719E6"/>
    <w:rsid w:val="22FF35CB"/>
    <w:rsid w:val="23627FFE"/>
    <w:rsid w:val="236773C3"/>
    <w:rsid w:val="244C7CE2"/>
    <w:rsid w:val="247022A7"/>
    <w:rsid w:val="24937300"/>
    <w:rsid w:val="24D8188C"/>
    <w:rsid w:val="24DE0EB7"/>
    <w:rsid w:val="251417FD"/>
    <w:rsid w:val="25340AEF"/>
    <w:rsid w:val="25550DC0"/>
    <w:rsid w:val="25590F2E"/>
    <w:rsid w:val="25884C61"/>
    <w:rsid w:val="258B7398"/>
    <w:rsid w:val="25D36F91"/>
    <w:rsid w:val="25EB691C"/>
    <w:rsid w:val="262A4290"/>
    <w:rsid w:val="263527CB"/>
    <w:rsid w:val="26623B8C"/>
    <w:rsid w:val="26D835CE"/>
    <w:rsid w:val="27741940"/>
    <w:rsid w:val="27B91850"/>
    <w:rsid w:val="27D43C48"/>
    <w:rsid w:val="27D66B2F"/>
    <w:rsid w:val="27F33891"/>
    <w:rsid w:val="27F76F67"/>
    <w:rsid w:val="281C4E0A"/>
    <w:rsid w:val="283D4C85"/>
    <w:rsid w:val="284E3EEC"/>
    <w:rsid w:val="28B8348F"/>
    <w:rsid w:val="29D87D2A"/>
    <w:rsid w:val="2A005017"/>
    <w:rsid w:val="2A107FB5"/>
    <w:rsid w:val="2A37518F"/>
    <w:rsid w:val="2AA505B3"/>
    <w:rsid w:val="2AB92391"/>
    <w:rsid w:val="2AEB2687"/>
    <w:rsid w:val="2AF673EE"/>
    <w:rsid w:val="2B3004F0"/>
    <w:rsid w:val="2B6F2615"/>
    <w:rsid w:val="2B9200A2"/>
    <w:rsid w:val="2C725BF8"/>
    <w:rsid w:val="2C7C7A3B"/>
    <w:rsid w:val="2C820DC9"/>
    <w:rsid w:val="2CF47C54"/>
    <w:rsid w:val="2D0B4997"/>
    <w:rsid w:val="2D1568BB"/>
    <w:rsid w:val="2D200D0E"/>
    <w:rsid w:val="2D424954"/>
    <w:rsid w:val="2D746964"/>
    <w:rsid w:val="2D8D7A26"/>
    <w:rsid w:val="2DA95F7C"/>
    <w:rsid w:val="2E552C39"/>
    <w:rsid w:val="2E5C5D76"/>
    <w:rsid w:val="2E930AE4"/>
    <w:rsid w:val="2F034443"/>
    <w:rsid w:val="2F0E5507"/>
    <w:rsid w:val="2FEA3EFA"/>
    <w:rsid w:val="301C6414"/>
    <w:rsid w:val="30D2231F"/>
    <w:rsid w:val="30E036C4"/>
    <w:rsid w:val="31150356"/>
    <w:rsid w:val="32AB5D01"/>
    <w:rsid w:val="32AC0876"/>
    <w:rsid w:val="32AC7519"/>
    <w:rsid w:val="32C11B9E"/>
    <w:rsid w:val="333B24EE"/>
    <w:rsid w:val="33A37FA3"/>
    <w:rsid w:val="345340E6"/>
    <w:rsid w:val="34646FCB"/>
    <w:rsid w:val="34726230"/>
    <w:rsid w:val="3480214C"/>
    <w:rsid w:val="34993CAA"/>
    <w:rsid w:val="34AE30A3"/>
    <w:rsid w:val="34CE44F6"/>
    <w:rsid w:val="35327830"/>
    <w:rsid w:val="35537A80"/>
    <w:rsid w:val="356A1EFF"/>
    <w:rsid w:val="356B2D42"/>
    <w:rsid w:val="35703FF9"/>
    <w:rsid w:val="35B32642"/>
    <w:rsid w:val="360C27BF"/>
    <w:rsid w:val="36662B4E"/>
    <w:rsid w:val="368B2562"/>
    <w:rsid w:val="36AE737C"/>
    <w:rsid w:val="371D5602"/>
    <w:rsid w:val="37E10EB8"/>
    <w:rsid w:val="381F79CB"/>
    <w:rsid w:val="382947EF"/>
    <w:rsid w:val="388617DC"/>
    <w:rsid w:val="38BC497F"/>
    <w:rsid w:val="38E17950"/>
    <w:rsid w:val="39374DF7"/>
    <w:rsid w:val="393C0CDD"/>
    <w:rsid w:val="394A385E"/>
    <w:rsid w:val="398A7F33"/>
    <w:rsid w:val="3992791C"/>
    <w:rsid w:val="39A85528"/>
    <w:rsid w:val="39D20F88"/>
    <w:rsid w:val="39D553D5"/>
    <w:rsid w:val="39F12611"/>
    <w:rsid w:val="39F239CB"/>
    <w:rsid w:val="3A0B1D53"/>
    <w:rsid w:val="3A362667"/>
    <w:rsid w:val="3A55755F"/>
    <w:rsid w:val="3A83411B"/>
    <w:rsid w:val="3ABD7ADF"/>
    <w:rsid w:val="3AD42D70"/>
    <w:rsid w:val="3B45043D"/>
    <w:rsid w:val="3BBA56FE"/>
    <w:rsid w:val="3BBD1E1E"/>
    <w:rsid w:val="3C32050E"/>
    <w:rsid w:val="3C681D8A"/>
    <w:rsid w:val="3C8934AF"/>
    <w:rsid w:val="3CBC3E83"/>
    <w:rsid w:val="3D023F8C"/>
    <w:rsid w:val="3D1E069A"/>
    <w:rsid w:val="3D6311E5"/>
    <w:rsid w:val="3D651D55"/>
    <w:rsid w:val="3D9253E5"/>
    <w:rsid w:val="3DD42A13"/>
    <w:rsid w:val="3DEB5DED"/>
    <w:rsid w:val="3E2C35C1"/>
    <w:rsid w:val="3E386C3A"/>
    <w:rsid w:val="3E4A4D81"/>
    <w:rsid w:val="3E627EA5"/>
    <w:rsid w:val="3E6B3722"/>
    <w:rsid w:val="3EB54540"/>
    <w:rsid w:val="3EC51715"/>
    <w:rsid w:val="3EE32960"/>
    <w:rsid w:val="3EE6168C"/>
    <w:rsid w:val="3F1502D5"/>
    <w:rsid w:val="3F24039A"/>
    <w:rsid w:val="3F7C677A"/>
    <w:rsid w:val="3F880B47"/>
    <w:rsid w:val="3FDA6322"/>
    <w:rsid w:val="40010E57"/>
    <w:rsid w:val="400973E0"/>
    <w:rsid w:val="40296E95"/>
    <w:rsid w:val="4048201C"/>
    <w:rsid w:val="404B17A6"/>
    <w:rsid w:val="40845CE2"/>
    <w:rsid w:val="40922D12"/>
    <w:rsid w:val="40966F37"/>
    <w:rsid w:val="410D05C8"/>
    <w:rsid w:val="418C4EB6"/>
    <w:rsid w:val="4202058A"/>
    <w:rsid w:val="42274495"/>
    <w:rsid w:val="424630E4"/>
    <w:rsid w:val="42A61E33"/>
    <w:rsid w:val="42C75C12"/>
    <w:rsid w:val="42EE6E49"/>
    <w:rsid w:val="439F73EC"/>
    <w:rsid w:val="43A1430A"/>
    <w:rsid w:val="43B10072"/>
    <w:rsid w:val="4412022F"/>
    <w:rsid w:val="44577806"/>
    <w:rsid w:val="446F2231"/>
    <w:rsid w:val="44C3142C"/>
    <w:rsid w:val="44F96A9A"/>
    <w:rsid w:val="45114B75"/>
    <w:rsid w:val="452C5BF5"/>
    <w:rsid w:val="45596ACD"/>
    <w:rsid w:val="455F0C25"/>
    <w:rsid w:val="4562370E"/>
    <w:rsid w:val="45B34EC6"/>
    <w:rsid w:val="45BF2944"/>
    <w:rsid w:val="45F60406"/>
    <w:rsid w:val="4604209C"/>
    <w:rsid w:val="46141560"/>
    <w:rsid w:val="462040B5"/>
    <w:rsid w:val="467557CF"/>
    <w:rsid w:val="467B1E3B"/>
    <w:rsid w:val="46F30DEA"/>
    <w:rsid w:val="47347F6F"/>
    <w:rsid w:val="473D7AE2"/>
    <w:rsid w:val="477A0E97"/>
    <w:rsid w:val="47995898"/>
    <w:rsid w:val="482C0425"/>
    <w:rsid w:val="48623B31"/>
    <w:rsid w:val="48DD58AD"/>
    <w:rsid w:val="49652E4C"/>
    <w:rsid w:val="49B91E77"/>
    <w:rsid w:val="4A070293"/>
    <w:rsid w:val="4A3603A0"/>
    <w:rsid w:val="4AA15018"/>
    <w:rsid w:val="4AD8632C"/>
    <w:rsid w:val="4AF018C8"/>
    <w:rsid w:val="4B0A4FD7"/>
    <w:rsid w:val="4BC948B9"/>
    <w:rsid w:val="4BE11211"/>
    <w:rsid w:val="4BF90C50"/>
    <w:rsid w:val="4C0C2044"/>
    <w:rsid w:val="4C115201"/>
    <w:rsid w:val="4C3A5C20"/>
    <w:rsid w:val="4C5B786B"/>
    <w:rsid w:val="4C7A0B2E"/>
    <w:rsid w:val="4D1B6342"/>
    <w:rsid w:val="4D445EFB"/>
    <w:rsid w:val="4D802EC0"/>
    <w:rsid w:val="4E72331D"/>
    <w:rsid w:val="4E74636C"/>
    <w:rsid w:val="4F814DCF"/>
    <w:rsid w:val="4F835629"/>
    <w:rsid w:val="4FCB2904"/>
    <w:rsid w:val="50330A1A"/>
    <w:rsid w:val="508872DA"/>
    <w:rsid w:val="508C7426"/>
    <w:rsid w:val="51436FC1"/>
    <w:rsid w:val="51444884"/>
    <w:rsid w:val="51711289"/>
    <w:rsid w:val="517174DB"/>
    <w:rsid w:val="519C1A53"/>
    <w:rsid w:val="52880638"/>
    <w:rsid w:val="529B220C"/>
    <w:rsid w:val="531B5950"/>
    <w:rsid w:val="534A1D91"/>
    <w:rsid w:val="535D3873"/>
    <w:rsid w:val="53782C7D"/>
    <w:rsid w:val="53AB66F7"/>
    <w:rsid w:val="53AF0B7C"/>
    <w:rsid w:val="545C3670"/>
    <w:rsid w:val="54736F50"/>
    <w:rsid w:val="54944D4B"/>
    <w:rsid w:val="54A23863"/>
    <w:rsid w:val="54A24506"/>
    <w:rsid w:val="54BD2C6E"/>
    <w:rsid w:val="550146D2"/>
    <w:rsid w:val="55B23667"/>
    <w:rsid w:val="55D637EA"/>
    <w:rsid w:val="55E57BEB"/>
    <w:rsid w:val="56EC6A80"/>
    <w:rsid w:val="56F3460A"/>
    <w:rsid w:val="57303606"/>
    <w:rsid w:val="573803F9"/>
    <w:rsid w:val="5779600C"/>
    <w:rsid w:val="57A2219C"/>
    <w:rsid w:val="57B91DA5"/>
    <w:rsid w:val="57F55C32"/>
    <w:rsid w:val="5842572D"/>
    <w:rsid w:val="584B6260"/>
    <w:rsid w:val="584C1AE1"/>
    <w:rsid w:val="5863140C"/>
    <w:rsid w:val="5875268E"/>
    <w:rsid w:val="58774ABD"/>
    <w:rsid w:val="58861673"/>
    <w:rsid w:val="590771D4"/>
    <w:rsid w:val="590A1327"/>
    <w:rsid w:val="591A762D"/>
    <w:rsid w:val="593257A1"/>
    <w:rsid w:val="594F5DDA"/>
    <w:rsid w:val="59503CAF"/>
    <w:rsid w:val="59E45A4F"/>
    <w:rsid w:val="59EA52A0"/>
    <w:rsid w:val="59F864C2"/>
    <w:rsid w:val="5ACD41E3"/>
    <w:rsid w:val="5AEE74A6"/>
    <w:rsid w:val="5B8F35B7"/>
    <w:rsid w:val="5C1C655D"/>
    <w:rsid w:val="5C3407B4"/>
    <w:rsid w:val="5C797243"/>
    <w:rsid w:val="5C935C5C"/>
    <w:rsid w:val="5C9D07D4"/>
    <w:rsid w:val="5C9D5D5E"/>
    <w:rsid w:val="5CD73C7D"/>
    <w:rsid w:val="5CE2128D"/>
    <w:rsid w:val="5D3A6DFF"/>
    <w:rsid w:val="5D3C50B8"/>
    <w:rsid w:val="5D5201C0"/>
    <w:rsid w:val="5D543F38"/>
    <w:rsid w:val="5DAD1DCA"/>
    <w:rsid w:val="5E342441"/>
    <w:rsid w:val="5E3E72CF"/>
    <w:rsid w:val="5E99597B"/>
    <w:rsid w:val="5F5C5326"/>
    <w:rsid w:val="5F61293D"/>
    <w:rsid w:val="5F863859"/>
    <w:rsid w:val="5F926F9A"/>
    <w:rsid w:val="5FB41DB6"/>
    <w:rsid w:val="5FB41F81"/>
    <w:rsid w:val="5FD014CD"/>
    <w:rsid w:val="5FE51753"/>
    <w:rsid w:val="5FE9463E"/>
    <w:rsid w:val="5FF070EC"/>
    <w:rsid w:val="605B3830"/>
    <w:rsid w:val="609B1DDB"/>
    <w:rsid w:val="60B36F1B"/>
    <w:rsid w:val="613100ED"/>
    <w:rsid w:val="61710F45"/>
    <w:rsid w:val="61730705"/>
    <w:rsid w:val="61747DFF"/>
    <w:rsid w:val="61903A07"/>
    <w:rsid w:val="62411DEE"/>
    <w:rsid w:val="625C5B39"/>
    <w:rsid w:val="62854B94"/>
    <w:rsid w:val="63247F09"/>
    <w:rsid w:val="63515E6F"/>
    <w:rsid w:val="635A009E"/>
    <w:rsid w:val="63827216"/>
    <w:rsid w:val="639E52FB"/>
    <w:rsid w:val="63F90E29"/>
    <w:rsid w:val="644D74CB"/>
    <w:rsid w:val="645073B6"/>
    <w:rsid w:val="64570CFA"/>
    <w:rsid w:val="64AF57BD"/>
    <w:rsid w:val="64B824DA"/>
    <w:rsid w:val="64C51278"/>
    <w:rsid w:val="6515621B"/>
    <w:rsid w:val="65323E6B"/>
    <w:rsid w:val="654F3237"/>
    <w:rsid w:val="65A90293"/>
    <w:rsid w:val="65EA6991"/>
    <w:rsid w:val="65EB2D92"/>
    <w:rsid w:val="66483617"/>
    <w:rsid w:val="665948C3"/>
    <w:rsid w:val="66A6149A"/>
    <w:rsid w:val="66AA0714"/>
    <w:rsid w:val="66CC646B"/>
    <w:rsid w:val="67327D0F"/>
    <w:rsid w:val="67562EFF"/>
    <w:rsid w:val="675D0CF5"/>
    <w:rsid w:val="676034DA"/>
    <w:rsid w:val="676B04FE"/>
    <w:rsid w:val="67712BDF"/>
    <w:rsid w:val="67985F53"/>
    <w:rsid w:val="67CF3800"/>
    <w:rsid w:val="684F7520"/>
    <w:rsid w:val="68A8130E"/>
    <w:rsid w:val="68F8353D"/>
    <w:rsid w:val="68F90581"/>
    <w:rsid w:val="69442C7A"/>
    <w:rsid w:val="696B2697"/>
    <w:rsid w:val="6998689A"/>
    <w:rsid w:val="69BC1229"/>
    <w:rsid w:val="69BE286E"/>
    <w:rsid w:val="69DA7573"/>
    <w:rsid w:val="69E71C90"/>
    <w:rsid w:val="69ED272A"/>
    <w:rsid w:val="69F10D61"/>
    <w:rsid w:val="6A6F1133"/>
    <w:rsid w:val="6A9217ED"/>
    <w:rsid w:val="6AE02814"/>
    <w:rsid w:val="6AE14B29"/>
    <w:rsid w:val="6AF9711D"/>
    <w:rsid w:val="6B180C64"/>
    <w:rsid w:val="6B371E11"/>
    <w:rsid w:val="6B401CBE"/>
    <w:rsid w:val="6BAD6B93"/>
    <w:rsid w:val="6BEA3CBA"/>
    <w:rsid w:val="6CC664D5"/>
    <w:rsid w:val="6CDD4B99"/>
    <w:rsid w:val="6CFE73FC"/>
    <w:rsid w:val="6D0A5C4B"/>
    <w:rsid w:val="6D0D7C60"/>
    <w:rsid w:val="6D1810DE"/>
    <w:rsid w:val="6D2F7BD6"/>
    <w:rsid w:val="6D5F5EB3"/>
    <w:rsid w:val="6DE760A9"/>
    <w:rsid w:val="6DEB1699"/>
    <w:rsid w:val="6E1F2EE6"/>
    <w:rsid w:val="6E800E22"/>
    <w:rsid w:val="6E8C3A21"/>
    <w:rsid w:val="6E9939E2"/>
    <w:rsid w:val="6EC52BFF"/>
    <w:rsid w:val="6EEB494B"/>
    <w:rsid w:val="6F2D283B"/>
    <w:rsid w:val="6F675452"/>
    <w:rsid w:val="6FA344FE"/>
    <w:rsid w:val="700C3F9B"/>
    <w:rsid w:val="700C5EB5"/>
    <w:rsid w:val="7023000B"/>
    <w:rsid w:val="70244711"/>
    <w:rsid w:val="706A0FA9"/>
    <w:rsid w:val="706D7DD0"/>
    <w:rsid w:val="70E80E64"/>
    <w:rsid w:val="711D75FD"/>
    <w:rsid w:val="713F68A9"/>
    <w:rsid w:val="717E2687"/>
    <w:rsid w:val="719618F9"/>
    <w:rsid w:val="71BB5EDC"/>
    <w:rsid w:val="71E358D4"/>
    <w:rsid w:val="721E3ADB"/>
    <w:rsid w:val="72522E7D"/>
    <w:rsid w:val="72DD1D66"/>
    <w:rsid w:val="72F7664E"/>
    <w:rsid w:val="732B52E4"/>
    <w:rsid w:val="73351CBE"/>
    <w:rsid w:val="73C75D96"/>
    <w:rsid w:val="73D8123F"/>
    <w:rsid w:val="747243FD"/>
    <w:rsid w:val="74BA0DC7"/>
    <w:rsid w:val="74E02D72"/>
    <w:rsid w:val="74FA0ACC"/>
    <w:rsid w:val="752828EF"/>
    <w:rsid w:val="756D1CEE"/>
    <w:rsid w:val="7663130F"/>
    <w:rsid w:val="776F6F3F"/>
    <w:rsid w:val="77A7166C"/>
    <w:rsid w:val="77E67A2B"/>
    <w:rsid w:val="77EE2F0C"/>
    <w:rsid w:val="78101E22"/>
    <w:rsid w:val="78690F56"/>
    <w:rsid w:val="7883447B"/>
    <w:rsid w:val="78A739C4"/>
    <w:rsid w:val="78BB59D0"/>
    <w:rsid w:val="78C85923"/>
    <w:rsid w:val="79CB377D"/>
    <w:rsid w:val="79F71A6B"/>
    <w:rsid w:val="79F9316A"/>
    <w:rsid w:val="7A831561"/>
    <w:rsid w:val="7A883E6E"/>
    <w:rsid w:val="7AEB68E1"/>
    <w:rsid w:val="7B2F370E"/>
    <w:rsid w:val="7B8E433D"/>
    <w:rsid w:val="7BC96AA1"/>
    <w:rsid w:val="7BE62AF4"/>
    <w:rsid w:val="7CEA7BEA"/>
    <w:rsid w:val="7D065F1E"/>
    <w:rsid w:val="7D235FA7"/>
    <w:rsid w:val="7D782EA8"/>
    <w:rsid w:val="7D923784"/>
    <w:rsid w:val="7D994232"/>
    <w:rsid w:val="7E10135E"/>
    <w:rsid w:val="7E134E71"/>
    <w:rsid w:val="7EA74D62"/>
    <w:rsid w:val="7F207CC7"/>
    <w:rsid w:val="7F267B0D"/>
    <w:rsid w:val="7FA9548B"/>
    <w:rsid w:val="7FFF73F7"/>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sdException w:qFormat="1" w:unhideWhenUsed="0" w:uiPriority="0" w:semiHidden="0" w:name="toc 2"/>
    <w:lsdException w:qFormat="1" w:unhideWhenUsed="0" w:uiPriority="0" w:semiHidden="0" w:name="toc 3"/>
    <w:lsdException w:uiPriority="0" w:name="toc 4" w:locked="1"/>
    <w:lsdException w:uiPriority="0" w:name="toc 5" w:locked="1"/>
    <w:lsdException w:uiPriority="0" w:name="toc 6" w:locked="1"/>
    <w:lsdException w:qFormat="1" w:unhideWhenUsed="0" w:uiPriority="0" w:semiHidden="0" w:name="toc 7" w:locked="1"/>
    <w:lsdException w:uiPriority="0" w:name="toc 8" w:locked="1"/>
    <w:lsdException w:uiPriority="0" w:name="toc 9" w:locked="1"/>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iPriority="0" w:name="caption" w:locked="1"/>
    <w:lsdException w:uiPriority="0" w:name="table of figures"/>
    <w:lsdException w:uiPriority="0" w:name="envelope address"/>
    <w:lsdException w:uiPriority="0" w:name="envelope return"/>
    <w:lsdException w:qFormat="1" w:unhideWhenUsed="0"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qFormat="1" w:uiPriority="99" w:semiHidden="0" w:name="table of authorities"/>
    <w:lsdException w:uiPriority="0" w:name="macro"/>
    <w:lsdException w:uiPriority="0" w:name="toa heading"/>
    <w:lsdException w:qFormat="1" w:unhideWhenUsed="0" w:uiPriority="99" w:semiHidden="0" w:name="List"/>
    <w:lsdException w:uiPriority="0" w:name="List Bullet"/>
    <w:lsdException w:uiPriority="0" w:name="List Number"/>
    <w:lsdException w:qFormat="1" w:unhideWhenUsed="0" w:uiPriority="99" w:semiHidden="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ocked="1"/>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ocked="1"/>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qFormat="1" w:uiPriority="0" w:name="HTML Code"/>
    <w:lsdException w:qFormat="1" w:uiPriority="0" w:name="HTML Definition"/>
    <w:lsdException w:qFormat="1" w:uiPriority="0" w:name="HTML Keyboard"/>
    <w:lsdException w:qFormat="1" w:unhideWhenUsed="0" w:uiPriority="99" w:semiHidden="0" w:name="HTML Preformatted"/>
    <w:lsdException w:qFormat="1"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130"/>
    <w:autoRedefine/>
    <w:qFormat/>
    <w:uiPriority w:val="0"/>
    <w:pPr>
      <w:keepNext/>
      <w:keepLines/>
      <w:numPr>
        <w:ilvl w:val="0"/>
        <w:numId w:val="1"/>
      </w:numPr>
      <w:spacing w:before="340" w:after="330" w:line="576" w:lineRule="auto"/>
      <w:outlineLvl w:val="0"/>
    </w:pPr>
    <w:rPr>
      <w:b/>
      <w:bCs/>
      <w:kern w:val="44"/>
      <w:sz w:val="44"/>
      <w:szCs w:val="44"/>
    </w:rPr>
  </w:style>
  <w:style w:type="paragraph" w:styleId="4">
    <w:name w:val="heading 2"/>
    <w:basedOn w:val="1"/>
    <w:next w:val="1"/>
    <w:link w:val="131"/>
    <w:autoRedefine/>
    <w:qFormat/>
    <w:uiPriority w:val="0"/>
    <w:pPr>
      <w:keepNext/>
      <w:keepLines/>
      <w:numPr>
        <w:ilvl w:val="1"/>
        <w:numId w:val="1"/>
      </w:numPr>
      <w:spacing w:before="260" w:after="260" w:line="415" w:lineRule="auto"/>
      <w:outlineLvl w:val="1"/>
    </w:pPr>
    <w:rPr>
      <w:rFonts w:ascii="Arial" w:hAnsi="Arial" w:eastAsia="黑体"/>
      <w:b/>
      <w:bCs/>
      <w:sz w:val="32"/>
      <w:szCs w:val="32"/>
    </w:rPr>
  </w:style>
  <w:style w:type="paragraph" w:styleId="5">
    <w:name w:val="heading 3"/>
    <w:basedOn w:val="1"/>
    <w:next w:val="6"/>
    <w:link w:val="132"/>
    <w:autoRedefine/>
    <w:qFormat/>
    <w:uiPriority w:val="0"/>
    <w:pPr>
      <w:keepNext/>
      <w:keepLines/>
      <w:numPr>
        <w:ilvl w:val="2"/>
        <w:numId w:val="1"/>
      </w:numPr>
      <w:spacing w:before="260" w:after="260" w:line="415" w:lineRule="auto"/>
      <w:outlineLvl w:val="2"/>
    </w:pPr>
    <w:rPr>
      <w:b/>
      <w:bCs/>
      <w:sz w:val="32"/>
      <w:szCs w:val="32"/>
    </w:rPr>
  </w:style>
  <w:style w:type="paragraph" w:styleId="7">
    <w:name w:val="heading 4"/>
    <w:basedOn w:val="1"/>
    <w:next w:val="6"/>
    <w:link w:val="133"/>
    <w:autoRedefine/>
    <w:qFormat/>
    <w:uiPriority w:val="0"/>
    <w:pPr>
      <w:keepNext/>
      <w:keepLines/>
      <w:numPr>
        <w:ilvl w:val="3"/>
        <w:numId w:val="1"/>
      </w:numPr>
      <w:spacing w:before="280" w:after="290" w:line="374" w:lineRule="auto"/>
      <w:outlineLvl w:val="3"/>
    </w:pPr>
    <w:rPr>
      <w:rFonts w:ascii="Arial" w:hAnsi="Arial" w:eastAsia="黑体"/>
      <w:b/>
      <w:bCs/>
      <w:sz w:val="28"/>
      <w:szCs w:val="28"/>
    </w:rPr>
  </w:style>
  <w:style w:type="paragraph" w:styleId="8">
    <w:name w:val="heading 5"/>
    <w:basedOn w:val="1"/>
    <w:next w:val="1"/>
    <w:link w:val="134"/>
    <w:autoRedefine/>
    <w:qFormat/>
    <w:uiPriority w:val="0"/>
    <w:pPr>
      <w:keepNext/>
      <w:keepLines/>
      <w:numPr>
        <w:ilvl w:val="4"/>
        <w:numId w:val="1"/>
      </w:numPr>
      <w:spacing w:before="280" w:after="290" w:line="374" w:lineRule="auto"/>
      <w:outlineLvl w:val="4"/>
    </w:pPr>
    <w:rPr>
      <w:b/>
      <w:bCs/>
      <w:sz w:val="28"/>
      <w:szCs w:val="28"/>
    </w:rPr>
  </w:style>
  <w:style w:type="paragraph" w:styleId="9">
    <w:name w:val="heading 6"/>
    <w:basedOn w:val="1"/>
    <w:next w:val="1"/>
    <w:link w:val="135"/>
    <w:autoRedefine/>
    <w:qFormat/>
    <w:uiPriority w:val="99"/>
    <w:pPr>
      <w:keepNext/>
      <w:keepLines/>
      <w:numPr>
        <w:ilvl w:val="5"/>
        <w:numId w:val="1"/>
      </w:numPr>
      <w:spacing w:before="240" w:after="64" w:line="319" w:lineRule="auto"/>
      <w:outlineLvl w:val="5"/>
    </w:pPr>
    <w:rPr>
      <w:rFonts w:ascii="Arial" w:hAnsi="Arial" w:eastAsia="黑体"/>
      <w:b/>
      <w:bCs/>
      <w:sz w:val="24"/>
      <w:szCs w:val="24"/>
    </w:rPr>
  </w:style>
  <w:style w:type="paragraph" w:styleId="10">
    <w:name w:val="heading 7"/>
    <w:basedOn w:val="1"/>
    <w:next w:val="1"/>
    <w:link w:val="136"/>
    <w:autoRedefine/>
    <w:qFormat/>
    <w:uiPriority w:val="99"/>
    <w:pPr>
      <w:keepNext/>
      <w:keepLines/>
      <w:numPr>
        <w:ilvl w:val="6"/>
        <w:numId w:val="1"/>
      </w:numPr>
      <w:spacing w:before="240" w:after="64" w:line="319" w:lineRule="auto"/>
      <w:outlineLvl w:val="6"/>
    </w:pPr>
    <w:rPr>
      <w:b/>
      <w:bCs/>
      <w:sz w:val="24"/>
      <w:szCs w:val="24"/>
    </w:rPr>
  </w:style>
  <w:style w:type="paragraph" w:styleId="11">
    <w:name w:val="heading 8"/>
    <w:basedOn w:val="1"/>
    <w:next w:val="1"/>
    <w:link w:val="137"/>
    <w:autoRedefine/>
    <w:qFormat/>
    <w:uiPriority w:val="99"/>
    <w:pPr>
      <w:keepNext/>
      <w:keepLines/>
      <w:numPr>
        <w:ilvl w:val="7"/>
        <w:numId w:val="1"/>
      </w:numPr>
      <w:spacing w:before="240" w:after="64" w:line="319" w:lineRule="auto"/>
      <w:outlineLvl w:val="7"/>
    </w:pPr>
    <w:rPr>
      <w:rFonts w:ascii="Arial" w:hAnsi="Arial" w:eastAsia="黑体"/>
      <w:sz w:val="24"/>
      <w:szCs w:val="24"/>
    </w:rPr>
  </w:style>
  <w:style w:type="paragraph" w:styleId="12">
    <w:name w:val="heading 9"/>
    <w:basedOn w:val="1"/>
    <w:next w:val="1"/>
    <w:link w:val="138"/>
    <w:autoRedefine/>
    <w:qFormat/>
    <w:uiPriority w:val="99"/>
    <w:pPr>
      <w:keepNext/>
      <w:keepLines/>
      <w:numPr>
        <w:ilvl w:val="8"/>
        <w:numId w:val="1"/>
      </w:numPr>
      <w:spacing w:before="240" w:after="64" w:line="319" w:lineRule="auto"/>
      <w:outlineLvl w:val="8"/>
    </w:pPr>
    <w:rPr>
      <w:rFonts w:ascii="Arial" w:hAnsi="Arial" w:eastAsia="黑体"/>
    </w:rPr>
  </w:style>
  <w:style w:type="character" w:default="1" w:styleId="42">
    <w:name w:val="Default Paragraph Font"/>
    <w:autoRedefine/>
    <w:semiHidden/>
    <w:unhideWhenUsed/>
    <w:qFormat/>
    <w:uiPriority w:val="1"/>
  </w:style>
  <w:style w:type="table" w:default="1" w:styleId="40">
    <w:name w:val="Normal Table"/>
    <w:autoRedefine/>
    <w:semiHidden/>
    <w:unhideWhenUsed/>
    <w:qFormat/>
    <w:uiPriority w:val="99"/>
    <w:tblPr>
      <w:tblCellMar>
        <w:top w:w="0" w:type="dxa"/>
        <w:left w:w="108" w:type="dxa"/>
        <w:bottom w:w="0" w:type="dxa"/>
        <w:right w:w="108" w:type="dxa"/>
      </w:tblCellMar>
    </w:tblPr>
  </w:style>
  <w:style w:type="paragraph" w:customStyle="1" w:styleId="2">
    <w:name w:val="_Style 3"/>
    <w:basedOn w:val="3"/>
    <w:next w:val="1"/>
    <w:autoRedefine/>
    <w:qFormat/>
    <w:uiPriority w:val="39"/>
    <w:pPr>
      <w:keepLines w:val="0"/>
      <w:numPr>
        <w:numId w:val="0"/>
      </w:numPr>
      <w:tabs>
        <w:tab w:val="clear" w:pos="0"/>
      </w:tabs>
      <w:autoSpaceDE w:val="0"/>
      <w:autoSpaceDN w:val="0"/>
      <w:adjustRightInd w:val="0"/>
      <w:spacing w:before="480" w:after="0" w:line="276" w:lineRule="auto"/>
      <w:jc w:val="left"/>
      <w:textAlignment w:val="baseline"/>
      <w:outlineLvl w:val="9"/>
    </w:pPr>
    <w:rPr>
      <w:rFonts w:ascii="仿宋" w:hAnsi="仿宋" w:eastAsia="仿宋"/>
      <w:bCs w:val="0"/>
      <w:color w:val="000000"/>
      <w:kern w:val="0"/>
      <w:sz w:val="32"/>
      <w:szCs w:val="32"/>
    </w:rPr>
  </w:style>
  <w:style w:type="paragraph" w:styleId="6">
    <w:name w:val="Normal Indent"/>
    <w:basedOn w:val="1"/>
    <w:link w:val="197"/>
    <w:autoRedefine/>
    <w:qFormat/>
    <w:uiPriority w:val="0"/>
    <w:pPr>
      <w:ind w:firstLine="420"/>
    </w:pPr>
    <w:rPr>
      <w:szCs w:val="20"/>
    </w:rPr>
  </w:style>
  <w:style w:type="paragraph" w:styleId="13">
    <w:name w:val="toc 7"/>
    <w:basedOn w:val="1"/>
    <w:next w:val="1"/>
    <w:autoRedefine/>
    <w:qFormat/>
    <w:locked/>
    <w:uiPriority w:val="0"/>
    <w:pPr>
      <w:autoSpaceDE w:val="0"/>
      <w:autoSpaceDN w:val="0"/>
      <w:adjustRightInd w:val="0"/>
      <w:ind w:left="1700"/>
      <w:jc w:val="left"/>
      <w:textAlignment w:val="baseline"/>
    </w:pPr>
    <w:rPr>
      <w:rFonts w:hAnsi="Calibri"/>
      <w:kern w:val="0"/>
      <w:sz w:val="20"/>
      <w:szCs w:val="20"/>
    </w:rPr>
  </w:style>
  <w:style w:type="paragraph" w:styleId="14">
    <w:name w:val="table of authorities"/>
    <w:basedOn w:val="1"/>
    <w:next w:val="1"/>
    <w:autoRedefine/>
    <w:unhideWhenUsed/>
    <w:qFormat/>
    <w:uiPriority w:val="99"/>
    <w:pPr>
      <w:ind w:left="420" w:leftChars="200"/>
    </w:pPr>
    <w:rPr>
      <w:rFonts w:eastAsiaTheme="minorEastAsia"/>
      <w:sz w:val="28"/>
      <w:szCs w:val="28"/>
    </w:rPr>
  </w:style>
  <w:style w:type="paragraph" w:styleId="15">
    <w:name w:val="Document Map"/>
    <w:basedOn w:val="1"/>
    <w:link w:val="198"/>
    <w:autoRedefine/>
    <w:qFormat/>
    <w:uiPriority w:val="0"/>
    <w:pPr>
      <w:shd w:val="clear" w:color="auto" w:fill="000080"/>
    </w:pPr>
    <w:rPr>
      <w:rFonts w:ascii="Calibri" w:hAnsi="Calibri" w:cstheme="minorBidi"/>
      <w:szCs w:val="20"/>
    </w:rPr>
  </w:style>
  <w:style w:type="paragraph" w:styleId="16">
    <w:name w:val="annotation text"/>
    <w:basedOn w:val="1"/>
    <w:link w:val="163"/>
    <w:autoRedefine/>
    <w:qFormat/>
    <w:uiPriority w:val="0"/>
    <w:pPr>
      <w:jc w:val="left"/>
    </w:pPr>
  </w:style>
  <w:style w:type="paragraph" w:styleId="17">
    <w:name w:val="Body Text 3"/>
    <w:basedOn w:val="1"/>
    <w:link w:val="188"/>
    <w:autoRedefine/>
    <w:qFormat/>
    <w:uiPriority w:val="0"/>
    <w:pPr>
      <w:spacing w:after="120"/>
    </w:pPr>
    <w:rPr>
      <w:sz w:val="16"/>
      <w:szCs w:val="16"/>
    </w:rPr>
  </w:style>
  <w:style w:type="paragraph" w:styleId="18">
    <w:name w:val="Body Text"/>
    <w:basedOn w:val="1"/>
    <w:link w:val="166"/>
    <w:autoRedefine/>
    <w:qFormat/>
    <w:uiPriority w:val="0"/>
    <w:pPr>
      <w:spacing w:after="120"/>
    </w:pPr>
  </w:style>
  <w:style w:type="paragraph" w:styleId="19">
    <w:name w:val="Body Text Indent"/>
    <w:basedOn w:val="1"/>
    <w:link w:val="172"/>
    <w:autoRedefine/>
    <w:qFormat/>
    <w:uiPriority w:val="0"/>
    <w:pPr>
      <w:ind w:left="840"/>
    </w:pPr>
    <w:rPr>
      <w:kern w:val="0"/>
      <w:sz w:val="24"/>
      <w:szCs w:val="24"/>
    </w:rPr>
  </w:style>
  <w:style w:type="paragraph" w:styleId="20">
    <w:name w:val="List 2"/>
    <w:basedOn w:val="1"/>
    <w:autoRedefine/>
    <w:qFormat/>
    <w:uiPriority w:val="99"/>
    <w:pPr>
      <w:ind w:left="400" w:leftChars="200" w:hanging="200" w:hangingChars="200"/>
    </w:pPr>
  </w:style>
  <w:style w:type="paragraph" w:styleId="21">
    <w:name w:val="Block Text"/>
    <w:basedOn w:val="1"/>
    <w:autoRedefine/>
    <w:qFormat/>
    <w:uiPriority w:val="0"/>
    <w:pPr>
      <w:spacing w:line="312" w:lineRule="auto"/>
      <w:ind w:left="481" w:leftChars="229" w:right="-159" w:rightChars="-159" w:firstLine="320" w:firstLineChars="100"/>
    </w:pPr>
    <w:rPr>
      <w:spacing w:val="20"/>
      <w:sz w:val="28"/>
      <w:szCs w:val="20"/>
    </w:rPr>
  </w:style>
  <w:style w:type="paragraph" w:styleId="22">
    <w:name w:val="toc 3"/>
    <w:basedOn w:val="1"/>
    <w:next w:val="1"/>
    <w:autoRedefine/>
    <w:qFormat/>
    <w:uiPriority w:val="0"/>
    <w:pPr>
      <w:widowControl/>
      <w:spacing w:after="100" w:line="276" w:lineRule="auto"/>
      <w:ind w:left="440"/>
      <w:jc w:val="left"/>
    </w:pPr>
    <w:rPr>
      <w:rFonts w:ascii="Calibri" w:hAnsi="Calibri" w:eastAsia="仿宋_GB2312" w:cs="Calibri"/>
      <w:kern w:val="0"/>
      <w:sz w:val="22"/>
      <w:szCs w:val="22"/>
    </w:rPr>
  </w:style>
  <w:style w:type="paragraph" w:styleId="23">
    <w:name w:val="Plain Text"/>
    <w:basedOn w:val="1"/>
    <w:link w:val="174"/>
    <w:autoRedefine/>
    <w:qFormat/>
    <w:uiPriority w:val="0"/>
    <w:rPr>
      <w:rFonts w:ascii="宋体" w:hAnsi="Courier New"/>
      <w:kern w:val="0"/>
      <w:sz w:val="20"/>
      <w:szCs w:val="20"/>
    </w:rPr>
  </w:style>
  <w:style w:type="paragraph" w:styleId="24">
    <w:name w:val="Date"/>
    <w:basedOn w:val="1"/>
    <w:next w:val="1"/>
    <w:link w:val="176"/>
    <w:autoRedefine/>
    <w:qFormat/>
    <w:uiPriority w:val="0"/>
    <w:pPr>
      <w:ind w:left="100" w:leftChars="2500"/>
    </w:pPr>
    <w:rPr>
      <w:kern w:val="0"/>
      <w:sz w:val="24"/>
      <w:szCs w:val="24"/>
    </w:rPr>
  </w:style>
  <w:style w:type="paragraph" w:styleId="25">
    <w:name w:val="Body Text Indent 2"/>
    <w:basedOn w:val="1"/>
    <w:link w:val="178"/>
    <w:autoRedefine/>
    <w:qFormat/>
    <w:uiPriority w:val="0"/>
    <w:pPr>
      <w:spacing w:line="900" w:lineRule="exact"/>
      <w:ind w:firstLine="1940" w:firstLineChars="168"/>
    </w:pPr>
    <w:rPr>
      <w:rFonts w:ascii="文鼎CS魏碑" w:eastAsia="文鼎CS魏碑"/>
      <w:b/>
      <w:bCs/>
      <w:w w:val="80"/>
      <w:kern w:val="0"/>
      <w:sz w:val="96"/>
      <w:szCs w:val="96"/>
    </w:rPr>
  </w:style>
  <w:style w:type="paragraph" w:styleId="26">
    <w:name w:val="Balloon Text"/>
    <w:basedOn w:val="1"/>
    <w:link w:val="180"/>
    <w:autoRedefine/>
    <w:qFormat/>
    <w:uiPriority w:val="0"/>
    <w:rPr>
      <w:kern w:val="0"/>
      <w:sz w:val="18"/>
      <w:szCs w:val="18"/>
    </w:rPr>
  </w:style>
  <w:style w:type="paragraph" w:styleId="27">
    <w:name w:val="footer"/>
    <w:basedOn w:val="1"/>
    <w:link w:val="140"/>
    <w:autoRedefine/>
    <w:qFormat/>
    <w:uiPriority w:val="0"/>
    <w:pPr>
      <w:tabs>
        <w:tab w:val="center" w:pos="4153"/>
        <w:tab w:val="right" w:pos="8306"/>
      </w:tabs>
      <w:snapToGrid w:val="0"/>
      <w:jc w:val="left"/>
    </w:pPr>
    <w:rPr>
      <w:sz w:val="18"/>
      <w:szCs w:val="18"/>
    </w:rPr>
  </w:style>
  <w:style w:type="paragraph" w:styleId="28">
    <w:name w:val="header"/>
    <w:basedOn w:val="1"/>
    <w:link w:val="139"/>
    <w:autoRedefine/>
    <w:qFormat/>
    <w:uiPriority w:val="0"/>
    <w:pPr>
      <w:pBdr>
        <w:bottom w:val="single" w:color="auto" w:sz="6" w:space="1"/>
      </w:pBdr>
      <w:tabs>
        <w:tab w:val="center" w:pos="4153"/>
        <w:tab w:val="right" w:pos="8306"/>
      </w:tabs>
      <w:snapToGrid w:val="0"/>
      <w:jc w:val="center"/>
    </w:pPr>
    <w:rPr>
      <w:sz w:val="18"/>
      <w:szCs w:val="18"/>
    </w:rPr>
  </w:style>
  <w:style w:type="paragraph" w:styleId="29">
    <w:name w:val="toc 1"/>
    <w:basedOn w:val="1"/>
    <w:next w:val="1"/>
    <w:autoRedefine/>
    <w:qFormat/>
    <w:uiPriority w:val="0"/>
    <w:pPr>
      <w:spacing w:line="360" w:lineRule="auto"/>
    </w:pPr>
    <w:rPr>
      <w:sz w:val="30"/>
    </w:rPr>
  </w:style>
  <w:style w:type="paragraph" w:styleId="30">
    <w:name w:val="List"/>
    <w:basedOn w:val="1"/>
    <w:autoRedefine/>
    <w:qFormat/>
    <w:uiPriority w:val="99"/>
    <w:pPr>
      <w:ind w:left="200" w:hanging="200" w:hangingChars="200"/>
    </w:pPr>
  </w:style>
  <w:style w:type="paragraph" w:styleId="31">
    <w:name w:val="footnote text"/>
    <w:basedOn w:val="1"/>
    <w:link w:val="199"/>
    <w:autoRedefine/>
    <w:qFormat/>
    <w:uiPriority w:val="0"/>
    <w:pPr>
      <w:snapToGrid w:val="0"/>
      <w:jc w:val="left"/>
    </w:pPr>
    <w:rPr>
      <w:rFonts w:ascii="Calibri" w:hAnsi="Calibri" w:cstheme="minorBidi"/>
      <w:sz w:val="18"/>
      <w:szCs w:val="18"/>
    </w:rPr>
  </w:style>
  <w:style w:type="paragraph" w:styleId="32">
    <w:name w:val="Body Text Indent 3"/>
    <w:basedOn w:val="1"/>
    <w:link w:val="170"/>
    <w:autoRedefine/>
    <w:qFormat/>
    <w:uiPriority w:val="0"/>
    <w:pPr>
      <w:widowControl/>
      <w:adjustRightInd w:val="0"/>
      <w:spacing w:line="560" w:lineRule="exact"/>
      <w:ind w:firstLine="198" w:firstLineChars="198"/>
      <w:jc w:val="left"/>
    </w:pPr>
    <w:rPr>
      <w:rFonts w:ascii="宋体"/>
      <w:spacing w:val="16"/>
      <w:kern w:val="0"/>
      <w:sz w:val="20"/>
      <w:szCs w:val="20"/>
    </w:rPr>
  </w:style>
  <w:style w:type="paragraph" w:styleId="33">
    <w:name w:val="toc 2"/>
    <w:basedOn w:val="1"/>
    <w:next w:val="1"/>
    <w:autoRedefine/>
    <w:qFormat/>
    <w:uiPriority w:val="0"/>
    <w:pPr>
      <w:spacing w:line="360" w:lineRule="auto"/>
      <w:ind w:left="200" w:leftChars="200"/>
    </w:pPr>
    <w:rPr>
      <w:rFonts w:eastAsia="仿宋_GB2312"/>
      <w:sz w:val="28"/>
    </w:rPr>
  </w:style>
  <w:style w:type="paragraph" w:styleId="34">
    <w:name w:val="Body Text 2"/>
    <w:basedOn w:val="1"/>
    <w:link w:val="182"/>
    <w:autoRedefine/>
    <w:qFormat/>
    <w:uiPriority w:val="0"/>
    <w:pPr>
      <w:spacing w:line="500" w:lineRule="exact"/>
    </w:pPr>
    <w:rPr>
      <w:rFonts w:ascii="宋体"/>
      <w:spacing w:val="16"/>
      <w:kern w:val="0"/>
      <w:sz w:val="20"/>
      <w:szCs w:val="20"/>
    </w:rPr>
  </w:style>
  <w:style w:type="paragraph" w:styleId="35">
    <w:name w:val="HTML Preformatted"/>
    <w:basedOn w:val="1"/>
    <w:link w:val="184"/>
    <w:autoRedefine/>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kern w:val="0"/>
      <w:sz w:val="24"/>
      <w:szCs w:val="24"/>
    </w:rPr>
  </w:style>
  <w:style w:type="paragraph" w:styleId="36">
    <w:name w:val="Normal (Web)"/>
    <w:basedOn w:val="1"/>
    <w:autoRedefine/>
    <w:qFormat/>
    <w:uiPriority w:val="0"/>
    <w:rPr>
      <w:sz w:val="24"/>
      <w:szCs w:val="24"/>
    </w:rPr>
  </w:style>
  <w:style w:type="paragraph" w:styleId="37">
    <w:name w:val="Title"/>
    <w:basedOn w:val="1"/>
    <w:next w:val="1"/>
    <w:link w:val="186"/>
    <w:autoRedefine/>
    <w:qFormat/>
    <w:uiPriority w:val="0"/>
    <w:pPr>
      <w:spacing w:before="240" w:after="60"/>
      <w:jc w:val="center"/>
      <w:outlineLvl w:val="0"/>
    </w:pPr>
    <w:rPr>
      <w:rFonts w:ascii="Cambria" w:hAnsi="Cambria"/>
      <w:b/>
      <w:bCs/>
      <w:kern w:val="0"/>
      <w:sz w:val="32"/>
      <w:szCs w:val="32"/>
    </w:rPr>
  </w:style>
  <w:style w:type="paragraph" w:styleId="38">
    <w:name w:val="annotation subject"/>
    <w:basedOn w:val="16"/>
    <w:next w:val="16"/>
    <w:link w:val="165"/>
    <w:autoRedefine/>
    <w:qFormat/>
    <w:uiPriority w:val="0"/>
    <w:rPr>
      <w:b/>
      <w:bCs/>
      <w:kern w:val="0"/>
      <w:sz w:val="24"/>
      <w:szCs w:val="24"/>
    </w:rPr>
  </w:style>
  <w:style w:type="paragraph" w:styleId="39">
    <w:name w:val="Body Text First Indent"/>
    <w:basedOn w:val="18"/>
    <w:link w:val="168"/>
    <w:autoRedefine/>
    <w:qFormat/>
    <w:uiPriority w:val="0"/>
    <w:pPr>
      <w:ind w:firstLine="420" w:firstLineChars="100"/>
    </w:pPr>
    <w:rPr>
      <w:kern w:val="0"/>
      <w:sz w:val="24"/>
      <w:szCs w:val="24"/>
    </w:rPr>
  </w:style>
  <w:style w:type="table" w:styleId="41">
    <w:name w:val="Table Grid"/>
    <w:basedOn w:val="40"/>
    <w:autoRedefine/>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3">
    <w:name w:val="Strong"/>
    <w:basedOn w:val="42"/>
    <w:autoRedefine/>
    <w:qFormat/>
    <w:uiPriority w:val="0"/>
    <w:rPr>
      <w:rFonts w:cs="Times New Roman"/>
      <w:b/>
    </w:rPr>
  </w:style>
  <w:style w:type="character" w:styleId="44">
    <w:name w:val="page number"/>
    <w:basedOn w:val="42"/>
    <w:autoRedefine/>
    <w:qFormat/>
    <w:uiPriority w:val="0"/>
    <w:rPr>
      <w:rFonts w:cs="Times New Roman"/>
    </w:rPr>
  </w:style>
  <w:style w:type="character" w:styleId="45">
    <w:name w:val="FollowedHyperlink"/>
    <w:basedOn w:val="42"/>
    <w:autoRedefine/>
    <w:qFormat/>
    <w:uiPriority w:val="99"/>
    <w:rPr>
      <w:rFonts w:cs="Times New Roman"/>
      <w:color w:val="800080"/>
      <w:u w:val="single"/>
    </w:rPr>
  </w:style>
  <w:style w:type="character" w:styleId="46">
    <w:name w:val="Emphasis"/>
    <w:basedOn w:val="42"/>
    <w:autoRedefine/>
    <w:qFormat/>
    <w:locked/>
    <w:uiPriority w:val="0"/>
  </w:style>
  <w:style w:type="character" w:styleId="47">
    <w:name w:val="HTML Definition"/>
    <w:basedOn w:val="42"/>
    <w:autoRedefine/>
    <w:semiHidden/>
    <w:unhideWhenUsed/>
    <w:qFormat/>
    <w:uiPriority w:val="0"/>
    <w:rPr>
      <w:i/>
      <w:iCs/>
    </w:rPr>
  </w:style>
  <w:style w:type="character" w:styleId="48">
    <w:name w:val="Hyperlink"/>
    <w:basedOn w:val="42"/>
    <w:autoRedefine/>
    <w:qFormat/>
    <w:uiPriority w:val="99"/>
    <w:rPr>
      <w:rFonts w:cs="Times New Roman"/>
      <w:color w:val="0000FF"/>
      <w:u w:val="single"/>
    </w:rPr>
  </w:style>
  <w:style w:type="character" w:styleId="49">
    <w:name w:val="HTML Code"/>
    <w:basedOn w:val="42"/>
    <w:autoRedefine/>
    <w:semiHidden/>
    <w:unhideWhenUsed/>
    <w:qFormat/>
    <w:uiPriority w:val="0"/>
    <w:rPr>
      <w:rFonts w:hint="default" w:ascii="Consolas" w:hAnsi="Consolas" w:eastAsia="Consolas" w:cs="Consolas"/>
      <w:color w:val="C7254E"/>
      <w:sz w:val="21"/>
      <w:szCs w:val="21"/>
      <w:shd w:val="clear" w:color="auto" w:fill="F9F2F4"/>
    </w:rPr>
  </w:style>
  <w:style w:type="character" w:styleId="50">
    <w:name w:val="annotation reference"/>
    <w:basedOn w:val="42"/>
    <w:autoRedefine/>
    <w:qFormat/>
    <w:uiPriority w:val="0"/>
    <w:rPr>
      <w:rFonts w:cs="Times New Roman"/>
      <w:sz w:val="21"/>
    </w:rPr>
  </w:style>
  <w:style w:type="character" w:styleId="51">
    <w:name w:val="footnote reference"/>
    <w:autoRedefine/>
    <w:qFormat/>
    <w:uiPriority w:val="0"/>
    <w:rPr>
      <w:rFonts w:ascii="Times New Roman" w:hAnsi="Times New Roman" w:eastAsia="宋体"/>
      <w:vertAlign w:val="superscript"/>
    </w:rPr>
  </w:style>
  <w:style w:type="character" w:styleId="52">
    <w:name w:val="HTML Keyboard"/>
    <w:basedOn w:val="42"/>
    <w:autoRedefine/>
    <w:semiHidden/>
    <w:unhideWhenUsed/>
    <w:qFormat/>
    <w:uiPriority w:val="0"/>
    <w:rPr>
      <w:rFonts w:ascii="Consolas" w:hAnsi="Consolas" w:eastAsia="Consolas" w:cs="Consolas"/>
      <w:color w:val="FFFFFF"/>
      <w:sz w:val="21"/>
      <w:szCs w:val="21"/>
      <w:shd w:val="clear" w:color="auto" w:fill="333333"/>
    </w:rPr>
  </w:style>
  <w:style w:type="character" w:styleId="53">
    <w:name w:val="HTML Sample"/>
    <w:basedOn w:val="42"/>
    <w:autoRedefine/>
    <w:semiHidden/>
    <w:unhideWhenUsed/>
    <w:qFormat/>
    <w:uiPriority w:val="0"/>
    <w:rPr>
      <w:rFonts w:hint="default" w:ascii="Consolas" w:hAnsi="Consolas" w:eastAsia="Consolas" w:cs="Consolas"/>
      <w:sz w:val="21"/>
      <w:szCs w:val="21"/>
    </w:rPr>
  </w:style>
  <w:style w:type="paragraph" w:customStyle="1" w:styleId="54">
    <w:name w:val="(符号)标书正文"/>
    <w:basedOn w:val="1"/>
    <w:link w:val="156"/>
    <w:autoRedefine/>
    <w:qFormat/>
    <w:uiPriority w:val="99"/>
    <w:pPr>
      <w:spacing w:line="440" w:lineRule="exact"/>
      <w:ind w:left="709"/>
    </w:pPr>
    <w:rPr>
      <w:rFonts w:ascii="宋体" w:hAnsi="Calibri"/>
      <w:kern w:val="0"/>
      <w:sz w:val="24"/>
      <w:szCs w:val="20"/>
    </w:rPr>
  </w:style>
  <w:style w:type="paragraph" w:customStyle="1" w:styleId="55">
    <w:name w:val="列出段落1"/>
    <w:basedOn w:val="1"/>
    <w:link w:val="160"/>
    <w:autoRedefine/>
    <w:qFormat/>
    <w:uiPriority w:val="99"/>
    <w:pPr>
      <w:ind w:firstLine="420" w:firstLineChars="200"/>
    </w:pPr>
    <w:rPr>
      <w:rFonts w:ascii="Calibri" w:hAnsi="Calibri"/>
      <w:kern w:val="0"/>
      <w:szCs w:val="20"/>
    </w:rPr>
  </w:style>
  <w:style w:type="paragraph" w:customStyle="1" w:styleId="56">
    <w:name w:val="font6"/>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57">
    <w:name w:val="xl35"/>
    <w:basedOn w:val="58"/>
    <w:autoRedefine/>
    <w:qFormat/>
    <w:uiPriority w:val="0"/>
    <w:pPr>
      <w:pBdr>
        <w:top w:val="single" w:color="auto" w:sz="4" w:space="0"/>
        <w:left w:val="single" w:color="auto" w:sz="4" w:space="0"/>
        <w:bottom w:val="single" w:color="auto" w:sz="4" w:space="0"/>
        <w:right w:val="single" w:color="auto" w:sz="4" w:space="0"/>
      </w:pBdr>
      <w:jc w:val="center"/>
    </w:pPr>
    <w:rPr>
      <w:rFonts w:ascii="仿宋_GB2312" w:eastAsia="仿宋_GB2312"/>
    </w:rPr>
  </w:style>
  <w:style w:type="paragraph" w:customStyle="1" w:styleId="58">
    <w:name w:val="style0"/>
    <w:basedOn w:val="1"/>
    <w:autoRedefine/>
    <w:qFormat/>
    <w:uiPriority w:val="99"/>
    <w:pPr>
      <w:widowControl/>
      <w:spacing w:before="100" w:beforeAutospacing="1" w:after="100" w:afterAutospacing="1"/>
      <w:jc w:val="left"/>
    </w:pPr>
    <w:rPr>
      <w:rFonts w:ascii="Arial Unicode MS" w:hAnsi="Arial Unicode MS" w:cs="Arial Unicode MS"/>
      <w:kern w:val="0"/>
      <w:sz w:val="24"/>
      <w:szCs w:val="24"/>
    </w:rPr>
  </w:style>
  <w:style w:type="paragraph" w:customStyle="1" w:styleId="59">
    <w:name w:val="Char"/>
    <w:basedOn w:val="1"/>
    <w:autoRedefine/>
    <w:qFormat/>
    <w:uiPriority w:val="99"/>
    <w:pPr>
      <w:tabs>
        <w:tab w:val="left" w:pos="360"/>
      </w:tabs>
      <w:ind w:firstLine="420"/>
    </w:pPr>
    <w:rPr>
      <w:rFonts w:ascii="Arial" w:hAnsi="Arial" w:cs="Arial"/>
      <w:sz w:val="20"/>
      <w:szCs w:val="20"/>
    </w:rPr>
  </w:style>
  <w:style w:type="paragraph" w:customStyle="1" w:styleId="60">
    <w:name w:val="无间隔1"/>
    <w:autoRedefine/>
    <w:qFormat/>
    <w:uiPriority w:val="99"/>
    <w:pPr>
      <w:adjustRightInd w:val="0"/>
      <w:snapToGrid w:val="0"/>
    </w:pPr>
    <w:rPr>
      <w:rFonts w:ascii="Tahoma" w:hAnsi="Tahoma" w:eastAsia="微软雅黑" w:cs="黑体"/>
      <w:sz w:val="22"/>
      <w:szCs w:val="22"/>
      <w:lang w:val="en-US" w:eastAsia="zh-CN" w:bidi="ar-SA"/>
    </w:rPr>
  </w:style>
  <w:style w:type="paragraph" w:customStyle="1" w:styleId="61">
    <w:name w:val="xl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62">
    <w:name w:val="xl26"/>
    <w:basedOn w:val="58"/>
    <w:autoRedefine/>
    <w:qFormat/>
    <w:uiPriority w:val="0"/>
    <w:pPr>
      <w:pBdr>
        <w:bottom w:val="single" w:color="auto" w:sz="4" w:space="0"/>
      </w:pBdr>
      <w:jc w:val="center"/>
      <w:textAlignment w:val="center"/>
    </w:pPr>
    <w:rPr>
      <w:rFonts w:ascii="仿宋_GB2312" w:eastAsia="仿宋_GB2312" w:cs="仿宋_GB2312"/>
      <w:b/>
      <w:bCs/>
      <w:sz w:val="36"/>
      <w:szCs w:val="36"/>
    </w:rPr>
  </w:style>
  <w:style w:type="paragraph" w:customStyle="1" w:styleId="63">
    <w:name w:val="xl79"/>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18"/>
      <w:szCs w:val="18"/>
    </w:rPr>
  </w:style>
  <w:style w:type="paragraph" w:customStyle="1" w:styleId="64">
    <w:name w:val="xl95"/>
    <w:basedOn w:val="1"/>
    <w:autoRedefine/>
    <w:qFormat/>
    <w:uiPriority w:val="99"/>
    <w:pPr>
      <w:widowControl/>
      <w:spacing w:before="100" w:beforeAutospacing="1" w:after="100" w:afterAutospacing="1"/>
      <w:jc w:val="left"/>
    </w:pPr>
    <w:rPr>
      <w:rFonts w:ascii="宋体" w:hAnsi="宋体" w:cs="宋体"/>
      <w:kern w:val="0"/>
      <w:sz w:val="18"/>
      <w:szCs w:val="18"/>
    </w:rPr>
  </w:style>
  <w:style w:type="paragraph" w:customStyle="1" w:styleId="65">
    <w:name w:val="font7"/>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66">
    <w:name w:val="xl36"/>
    <w:basedOn w:val="58"/>
    <w:autoRedefine/>
    <w:qFormat/>
    <w:uiPriority w:val="0"/>
    <w:pPr>
      <w:pBdr>
        <w:left w:val="single" w:color="auto" w:sz="4" w:space="0"/>
        <w:bottom w:val="single" w:color="auto" w:sz="4" w:space="0"/>
        <w:right w:val="single" w:color="auto" w:sz="4" w:space="0"/>
      </w:pBdr>
      <w:jc w:val="center"/>
    </w:pPr>
    <w:rPr>
      <w:rFonts w:ascii="仿宋_GB2312" w:eastAsia="仿宋_GB2312"/>
    </w:rPr>
  </w:style>
  <w:style w:type="paragraph" w:customStyle="1" w:styleId="67">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68">
    <w:name w:val="xl32"/>
    <w:basedOn w:val="58"/>
    <w:autoRedefine/>
    <w:qFormat/>
    <w:uiPriority w:val="0"/>
    <w:pPr>
      <w:pBdr>
        <w:top w:val="single" w:color="auto" w:sz="4" w:space="0"/>
        <w:left w:val="single" w:color="auto" w:sz="4" w:space="0"/>
        <w:bottom w:val="single" w:color="auto" w:sz="4" w:space="0"/>
        <w:right w:val="single" w:color="auto" w:sz="4" w:space="0"/>
      </w:pBdr>
    </w:pPr>
    <w:rPr>
      <w:rFonts w:ascii="仿宋_GB2312" w:eastAsia="仿宋_GB2312"/>
    </w:rPr>
  </w:style>
  <w:style w:type="paragraph" w:customStyle="1" w:styleId="69">
    <w:name w:val="xl91"/>
    <w:basedOn w:val="1"/>
    <w:autoRedefine/>
    <w:qFormat/>
    <w:uiPriority w:val="99"/>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宋体" w:hAnsi="宋体" w:cs="宋体"/>
      <w:kern w:val="0"/>
      <w:sz w:val="18"/>
      <w:szCs w:val="18"/>
    </w:rPr>
  </w:style>
  <w:style w:type="paragraph" w:customStyle="1" w:styleId="70">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71">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72">
    <w:name w:val="xl41"/>
    <w:basedOn w:val="58"/>
    <w:autoRedefine/>
    <w:qFormat/>
    <w:uiPriority w:val="0"/>
    <w:pPr>
      <w:pBdr>
        <w:left w:val="single" w:color="auto" w:sz="4" w:space="0"/>
        <w:bottom w:val="single" w:color="auto" w:sz="4" w:space="0"/>
        <w:right w:val="single" w:color="auto" w:sz="4" w:space="0"/>
      </w:pBdr>
      <w:jc w:val="center"/>
      <w:textAlignment w:val="center"/>
    </w:pPr>
    <w:rPr>
      <w:rFonts w:ascii="仿宋_GB2312" w:eastAsia="仿宋_GB2312" w:cs="仿宋_GB2312"/>
    </w:rPr>
  </w:style>
  <w:style w:type="paragraph" w:customStyle="1" w:styleId="73">
    <w:name w:val="tabletext"/>
    <w:basedOn w:val="1"/>
    <w:autoRedefine/>
    <w:qFormat/>
    <w:uiPriority w:val="99"/>
    <w:pPr>
      <w:widowControl/>
      <w:spacing w:before="100" w:beforeAutospacing="1" w:after="100" w:afterAutospacing="1"/>
      <w:jc w:val="left"/>
    </w:pPr>
    <w:rPr>
      <w:rFonts w:ascii="宋体" w:hAnsi="宋体" w:cs="宋体"/>
      <w:kern w:val="0"/>
      <w:sz w:val="24"/>
      <w:szCs w:val="24"/>
    </w:rPr>
  </w:style>
  <w:style w:type="paragraph" w:customStyle="1" w:styleId="74">
    <w:name w:val="xl31"/>
    <w:basedOn w:val="58"/>
    <w:autoRedefine/>
    <w:qFormat/>
    <w:uiPriority w:val="0"/>
    <w:pPr>
      <w:pBdr>
        <w:top w:val="single" w:color="auto" w:sz="4" w:space="0"/>
        <w:left w:val="single" w:color="auto" w:sz="4" w:space="0"/>
        <w:bottom w:val="single" w:color="auto" w:sz="4" w:space="0"/>
        <w:right w:val="single" w:color="auto" w:sz="4" w:space="0"/>
      </w:pBdr>
    </w:pPr>
    <w:rPr>
      <w:rFonts w:ascii="仿宋_GB2312" w:eastAsia="仿宋_GB2312"/>
    </w:rPr>
  </w:style>
  <w:style w:type="paragraph" w:customStyle="1" w:styleId="75">
    <w:name w:val="xl38"/>
    <w:basedOn w:val="58"/>
    <w:autoRedefine/>
    <w:qFormat/>
    <w:uiPriority w:val="0"/>
    <w:pPr>
      <w:pBdr>
        <w:top w:val="single" w:color="auto" w:sz="4" w:space="0"/>
        <w:left w:val="single" w:color="auto" w:sz="4" w:space="0"/>
        <w:bottom w:val="single" w:color="auto" w:sz="4" w:space="0"/>
        <w:right w:val="single" w:color="auto" w:sz="4" w:space="0"/>
      </w:pBdr>
    </w:pPr>
    <w:rPr>
      <w:rFonts w:ascii="仿宋_GB2312" w:eastAsia="仿宋_GB2312"/>
      <w:sz w:val="22"/>
      <w:szCs w:val="22"/>
    </w:rPr>
  </w:style>
  <w:style w:type="paragraph" w:customStyle="1" w:styleId="76">
    <w:name w:val="xl94"/>
    <w:basedOn w:val="1"/>
    <w:autoRedefine/>
    <w:qFormat/>
    <w:uiPriority w:val="99"/>
    <w:pPr>
      <w:widowControl/>
      <w:spacing w:before="100" w:beforeAutospacing="1" w:after="100" w:afterAutospacing="1"/>
      <w:jc w:val="center"/>
      <w:textAlignment w:val="center"/>
    </w:pPr>
    <w:rPr>
      <w:rFonts w:ascii="宋体" w:hAnsi="宋体" w:cs="宋体"/>
      <w:kern w:val="0"/>
      <w:sz w:val="18"/>
      <w:szCs w:val="18"/>
    </w:rPr>
  </w:style>
  <w:style w:type="paragraph" w:customStyle="1" w:styleId="77">
    <w:name w:val="xl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78">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79">
    <w:name w:val="xl25"/>
    <w:basedOn w:val="58"/>
    <w:autoRedefine/>
    <w:qFormat/>
    <w:uiPriority w:val="0"/>
    <w:pPr>
      <w:jc w:val="center"/>
    </w:pPr>
    <w:rPr>
      <w:rFonts w:ascii="仿宋_GB2312" w:eastAsia="仿宋_GB2312"/>
      <w:sz w:val="22"/>
      <w:szCs w:val="22"/>
    </w:rPr>
  </w:style>
  <w:style w:type="paragraph" w:customStyle="1" w:styleId="80">
    <w:name w:val="xl30"/>
    <w:basedOn w:val="58"/>
    <w:autoRedefine/>
    <w:qFormat/>
    <w:uiPriority w:val="0"/>
    <w:pPr>
      <w:pBdr>
        <w:top w:val="single" w:color="auto" w:sz="4" w:space="0"/>
        <w:left w:val="single" w:color="auto" w:sz="4" w:space="0"/>
        <w:bottom w:val="single" w:color="auto" w:sz="4" w:space="0"/>
        <w:right w:val="single" w:color="auto" w:sz="4" w:space="0"/>
      </w:pBdr>
    </w:pPr>
    <w:rPr>
      <w:rFonts w:ascii="仿宋_GB2312" w:eastAsia="仿宋_GB2312"/>
    </w:rPr>
  </w:style>
  <w:style w:type="paragraph" w:customStyle="1" w:styleId="81">
    <w:name w:val="常规"/>
    <w:basedOn w:val="1"/>
    <w:autoRedefine/>
    <w:qFormat/>
    <w:uiPriority w:val="99"/>
    <w:pPr>
      <w:widowControl/>
      <w:spacing w:before="100" w:beforeAutospacing="1" w:after="100" w:afterAutospacing="1"/>
      <w:jc w:val="left"/>
    </w:pPr>
    <w:rPr>
      <w:rFonts w:ascii="宋体" w:hAnsi="宋体" w:cs="Arial Unicode MS"/>
      <w:kern w:val="0"/>
      <w:sz w:val="24"/>
      <w:szCs w:val="24"/>
    </w:rPr>
  </w:style>
  <w:style w:type="paragraph" w:customStyle="1" w:styleId="82">
    <w:name w:val="图内文字"/>
    <w:basedOn w:val="83"/>
    <w:autoRedefine/>
    <w:qFormat/>
    <w:uiPriority w:val="99"/>
  </w:style>
  <w:style w:type="paragraph" w:customStyle="1" w:styleId="83">
    <w:name w:val="正文居中"/>
    <w:basedOn w:val="1"/>
    <w:autoRedefine/>
    <w:qFormat/>
    <w:uiPriority w:val="99"/>
    <w:pPr>
      <w:jc w:val="center"/>
    </w:pPr>
    <w:rPr>
      <w:szCs w:val="20"/>
    </w:rPr>
  </w:style>
  <w:style w:type="paragraph" w:customStyle="1" w:styleId="84">
    <w:name w:val="Char Char Char Char Char Char Char Char Char1"/>
    <w:basedOn w:val="1"/>
    <w:autoRedefine/>
    <w:qFormat/>
    <w:uiPriority w:val="99"/>
    <w:pPr>
      <w:widowControl/>
      <w:spacing w:after="160" w:line="240" w:lineRule="exact"/>
      <w:jc w:val="left"/>
    </w:pPr>
    <w:rPr>
      <w:rFonts w:ascii="Verdana" w:hAnsi="Verdana" w:eastAsia="仿宋_GB2312" w:cs="Verdana"/>
      <w:kern w:val="0"/>
      <w:sz w:val="24"/>
      <w:szCs w:val="24"/>
      <w:lang w:eastAsia="en-US"/>
    </w:rPr>
  </w:style>
  <w:style w:type="paragraph" w:customStyle="1" w:styleId="85">
    <w:name w:val="Char Char Char Char Char Char Char Char Char"/>
    <w:basedOn w:val="1"/>
    <w:autoRedefine/>
    <w:qFormat/>
    <w:uiPriority w:val="0"/>
    <w:pPr>
      <w:widowControl/>
      <w:spacing w:after="160" w:line="240" w:lineRule="exact"/>
      <w:jc w:val="left"/>
    </w:pPr>
    <w:rPr>
      <w:rFonts w:ascii="Verdana" w:hAnsi="Verdana" w:eastAsia="仿宋_GB2312" w:cs="Verdana"/>
      <w:kern w:val="0"/>
      <w:sz w:val="24"/>
      <w:szCs w:val="24"/>
      <w:lang w:eastAsia="en-US"/>
    </w:rPr>
  </w:style>
  <w:style w:type="paragraph" w:customStyle="1" w:styleId="86">
    <w:name w:val="font1"/>
    <w:basedOn w:val="1"/>
    <w:autoRedefine/>
    <w:qFormat/>
    <w:uiPriority w:val="99"/>
    <w:pPr>
      <w:widowControl/>
      <w:spacing w:before="100" w:beforeAutospacing="1" w:after="100" w:afterAutospacing="1"/>
      <w:jc w:val="left"/>
    </w:pPr>
    <w:rPr>
      <w:rFonts w:ascii="宋体" w:hAnsi="宋体" w:cs="Arial Unicode MS"/>
      <w:kern w:val="0"/>
      <w:sz w:val="24"/>
      <w:szCs w:val="24"/>
    </w:rPr>
  </w:style>
  <w:style w:type="paragraph" w:customStyle="1" w:styleId="87">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88">
    <w:name w:val="xl37"/>
    <w:basedOn w:val="58"/>
    <w:autoRedefine/>
    <w:qFormat/>
    <w:uiPriority w:val="0"/>
    <w:pPr>
      <w:pBdr>
        <w:top w:val="single" w:color="auto" w:sz="4" w:space="0"/>
        <w:left w:val="single" w:color="auto" w:sz="4" w:space="0"/>
        <w:bottom w:val="single" w:color="auto" w:sz="4" w:space="0"/>
        <w:right w:val="single" w:color="auto" w:sz="4" w:space="0"/>
      </w:pBdr>
      <w:jc w:val="center"/>
    </w:pPr>
    <w:rPr>
      <w:rFonts w:ascii="仿宋_GB2312" w:eastAsia="仿宋_GB2312"/>
      <w:sz w:val="22"/>
      <w:szCs w:val="22"/>
    </w:rPr>
  </w:style>
  <w:style w:type="paragraph" w:customStyle="1" w:styleId="89">
    <w:name w:val="（符号）三标题1.1"/>
    <w:basedOn w:val="1"/>
    <w:autoRedefine/>
    <w:qFormat/>
    <w:uiPriority w:val="99"/>
    <w:pPr>
      <w:tabs>
        <w:tab w:val="left" w:pos="1140"/>
      </w:tabs>
      <w:spacing w:line="500" w:lineRule="exact"/>
      <w:ind w:left="1140" w:hanging="720"/>
    </w:pPr>
    <w:rPr>
      <w:rFonts w:ascii="宋体" w:hAnsi="宋体" w:cs="宋体"/>
      <w:sz w:val="24"/>
      <w:szCs w:val="24"/>
    </w:rPr>
  </w:style>
  <w:style w:type="paragraph" w:customStyle="1" w:styleId="90">
    <w:name w:val="font10"/>
    <w:basedOn w:val="1"/>
    <w:autoRedefine/>
    <w:qFormat/>
    <w:uiPriority w:val="99"/>
    <w:pPr>
      <w:widowControl/>
      <w:spacing w:before="100" w:beforeAutospacing="1" w:after="100" w:afterAutospacing="1"/>
      <w:jc w:val="left"/>
    </w:pPr>
    <w:rPr>
      <w:rFonts w:ascii="仿宋_GB2312" w:hAnsi="Arial Unicode MS" w:eastAsia="仿宋_GB2312" w:cs="Arial Unicode MS"/>
      <w:kern w:val="0"/>
      <w:sz w:val="24"/>
      <w:szCs w:val="24"/>
    </w:rPr>
  </w:style>
  <w:style w:type="paragraph" w:customStyle="1" w:styleId="91">
    <w:name w:val="font9"/>
    <w:basedOn w:val="1"/>
    <w:autoRedefine/>
    <w:qFormat/>
    <w:uiPriority w:val="99"/>
    <w:pPr>
      <w:widowControl/>
      <w:spacing w:before="100" w:beforeAutospacing="1" w:after="100" w:afterAutospacing="1"/>
      <w:jc w:val="left"/>
    </w:pPr>
    <w:rPr>
      <w:rFonts w:ascii="宋体" w:hAnsi="宋体" w:cs="宋体"/>
      <w:kern w:val="0"/>
      <w:sz w:val="18"/>
      <w:szCs w:val="18"/>
    </w:rPr>
  </w:style>
  <w:style w:type="paragraph" w:customStyle="1" w:styleId="92">
    <w:name w:val="font8"/>
    <w:basedOn w:val="1"/>
    <w:autoRedefine/>
    <w:qFormat/>
    <w:uiPriority w:val="99"/>
    <w:pPr>
      <w:widowControl/>
      <w:spacing w:before="100" w:beforeAutospacing="1" w:after="100" w:afterAutospacing="1"/>
      <w:jc w:val="left"/>
    </w:pPr>
    <w:rPr>
      <w:rFonts w:ascii="仿宋_GB2312" w:hAnsi="Arial Unicode MS" w:eastAsia="仿宋_GB2312" w:cs="Arial Unicode MS"/>
      <w:kern w:val="0"/>
      <w:sz w:val="24"/>
      <w:szCs w:val="24"/>
    </w:rPr>
  </w:style>
  <w:style w:type="paragraph" w:customStyle="1" w:styleId="93">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94">
    <w:name w:val="xl80"/>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18"/>
      <w:szCs w:val="18"/>
    </w:rPr>
  </w:style>
  <w:style w:type="paragraph" w:customStyle="1" w:styleId="95">
    <w:name w:val="xl92"/>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96">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97">
    <w:name w:val="(符号)三标题1.1"/>
    <w:basedOn w:val="1"/>
    <w:autoRedefine/>
    <w:qFormat/>
    <w:uiPriority w:val="99"/>
    <w:pPr>
      <w:numPr>
        <w:ilvl w:val="0"/>
        <w:numId w:val="2"/>
      </w:numPr>
      <w:spacing w:before="140" w:after="140" w:line="500" w:lineRule="exact"/>
      <w:outlineLvl w:val="2"/>
    </w:pPr>
    <w:rPr>
      <w:rFonts w:ascii="楷体_GB2312" w:hAnsi="宋体" w:eastAsia="楷体_GB2312" w:cs="宋体"/>
      <w:b/>
      <w:bCs/>
      <w:sz w:val="28"/>
      <w:szCs w:val="20"/>
    </w:rPr>
  </w:style>
  <w:style w:type="paragraph" w:customStyle="1" w:styleId="98">
    <w:name w:val="xl40"/>
    <w:basedOn w:val="58"/>
    <w:autoRedefine/>
    <w:qFormat/>
    <w:uiPriority w:val="0"/>
    <w:pPr>
      <w:pBdr>
        <w:top w:val="single" w:color="auto" w:sz="4" w:space="0"/>
        <w:left w:val="single" w:color="auto" w:sz="4" w:space="0"/>
        <w:right w:val="single" w:color="auto" w:sz="4" w:space="0"/>
      </w:pBdr>
      <w:jc w:val="center"/>
    </w:pPr>
    <w:rPr>
      <w:rFonts w:ascii="仿宋_GB2312" w:eastAsia="仿宋_GB2312"/>
    </w:rPr>
  </w:style>
  <w:style w:type="paragraph" w:customStyle="1" w:styleId="99">
    <w:name w:val="xl34"/>
    <w:basedOn w:val="58"/>
    <w:autoRedefine/>
    <w:qFormat/>
    <w:uiPriority w:val="0"/>
    <w:pPr>
      <w:pBdr>
        <w:top w:val="single" w:color="auto" w:sz="4" w:space="0"/>
        <w:left w:val="single" w:color="auto" w:sz="4" w:space="0"/>
        <w:bottom w:val="single" w:color="auto" w:sz="4" w:space="0"/>
        <w:right w:val="single" w:color="auto" w:sz="4" w:space="0"/>
      </w:pBdr>
    </w:pPr>
    <w:rPr>
      <w:rFonts w:ascii="仿宋_GB2312" w:eastAsia="仿宋_GB2312"/>
    </w:rPr>
  </w:style>
  <w:style w:type="paragraph" w:customStyle="1" w:styleId="100">
    <w:name w:val="xl84"/>
    <w:basedOn w:val="1"/>
    <w:autoRedefine/>
    <w:qFormat/>
    <w:uiPriority w:val="0"/>
    <w:pPr>
      <w:widowControl/>
      <w:pBdr>
        <w:bottom w:val="single" w:color="auto" w:sz="4" w:space="0"/>
      </w:pBdr>
      <w:spacing w:before="100" w:beforeAutospacing="1" w:after="100" w:afterAutospacing="1"/>
      <w:jc w:val="left"/>
    </w:pPr>
    <w:rPr>
      <w:rFonts w:ascii="宋体" w:hAnsi="宋体" w:cs="宋体"/>
      <w:kern w:val="0"/>
      <w:sz w:val="40"/>
      <w:szCs w:val="40"/>
    </w:rPr>
  </w:style>
  <w:style w:type="paragraph" w:customStyle="1" w:styleId="101">
    <w:name w:val="xl88"/>
    <w:basedOn w:val="1"/>
    <w:autoRedefine/>
    <w:qFormat/>
    <w:uiPriority w:val="0"/>
    <w:pPr>
      <w:widowControl/>
      <w:spacing w:before="100" w:beforeAutospacing="1" w:after="100" w:afterAutospacing="1"/>
      <w:jc w:val="center"/>
      <w:textAlignment w:val="center"/>
    </w:pPr>
    <w:rPr>
      <w:rFonts w:ascii="宋体" w:hAnsi="宋体" w:cs="宋体"/>
      <w:kern w:val="0"/>
      <w:sz w:val="18"/>
      <w:szCs w:val="18"/>
    </w:rPr>
  </w:style>
  <w:style w:type="paragraph" w:customStyle="1" w:styleId="102">
    <w:name w:val="table_1stline"/>
    <w:basedOn w:val="1"/>
    <w:autoRedefine/>
    <w:qFormat/>
    <w:uiPriority w:val="99"/>
    <w:pPr>
      <w:widowControl/>
      <w:spacing w:before="120"/>
      <w:jc w:val="left"/>
    </w:pPr>
    <w:rPr>
      <w:bCs/>
      <w:kern w:val="0"/>
      <w:sz w:val="20"/>
      <w:szCs w:val="20"/>
    </w:rPr>
  </w:style>
  <w:style w:type="paragraph" w:customStyle="1" w:styleId="103">
    <w:name w:val="xl83"/>
    <w:basedOn w:val="1"/>
    <w:autoRedefine/>
    <w:qFormat/>
    <w:uiPriority w:val="0"/>
    <w:pPr>
      <w:widowControl/>
      <w:spacing w:before="100" w:beforeAutospacing="1" w:after="100" w:afterAutospacing="1"/>
      <w:jc w:val="center"/>
    </w:pPr>
    <w:rPr>
      <w:rFonts w:ascii="宋体" w:hAnsi="宋体" w:cs="宋体"/>
      <w:kern w:val="0"/>
      <w:sz w:val="18"/>
      <w:szCs w:val="18"/>
    </w:rPr>
  </w:style>
  <w:style w:type="paragraph" w:customStyle="1" w:styleId="104">
    <w:name w:val="xl90"/>
    <w:basedOn w:val="1"/>
    <w:autoRedefine/>
    <w:qFormat/>
    <w:uiPriority w:val="99"/>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宋体" w:hAnsi="宋体" w:cs="宋体"/>
      <w:kern w:val="0"/>
      <w:sz w:val="18"/>
      <w:szCs w:val="18"/>
    </w:rPr>
  </w:style>
  <w:style w:type="paragraph" w:customStyle="1" w:styleId="105">
    <w:name w:val="xl77"/>
    <w:basedOn w:val="1"/>
    <w:autoRedefine/>
    <w:qFormat/>
    <w:uiPriority w:val="0"/>
    <w:pPr>
      <w:widowControl/>
      <w:spacing w:before="100" w:beforeAutospacing="1" w:after="100" w:afterAutospacing="1"/>
      <w:jc w:val="center"/>
    </w:pPr>
    <w:rPr>
      <w:rFonts w:ascii="宋体" w:hAnsi="宋体" w:cs="宋体"/>
      <w:kern w:val="0"/>
      <w:sz w:val="18"/>
      <w:szCs w:val="18"/>
    </w:rPr>
  </w:style>
  <w:style w:type="paragraph" w:customStyle="1" w:styleId="106">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107">
    <w:name w:val="p0"/>
    <w:basedOn w:val="1"/>
    <w:autoRedefine/>
    <w:qFormat/>
    <w:uiPriority w:val="99"/>
    <w:pPr>
      <w:widowControl/>
    </w:pPr>
    <w:rPr>
      <w:rFonts w:ascii="Calibri" w:hAnsi="Calibri" w:cs="宋体"/>
      <w:kern w:val="0"/>
    </w:rPr>
  </w:style>
  <w:style w:type="paragraph" w:customStyle="1" w:styleId="108">
    <w:name w:val="xl8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109">
    <w:name w:val="Char Char Char Char Char Char Char Char Char2"/>
    <w:basedOn w:val="1"/>
    <w:autoRedefine/>
    <w:qFormat/>
    <w:uiPriority w:val="99"/>
    <w:pPr>
      <w:widowControl/>
      <w:spacing w:after="160" w:line="240" w:lineRule="exact"/>
      <w:jc w:val="left"/>
    </w:pPr>
    <w:rPr>
      <w:rFonts w:ascii="Verdana" w:hAnsi="Verdana" w:eastAsia="仿宋_GB2312"/>
      <w:kern w:val="0"/>
      <w:sz w:val="24"/>
      <w:szCs w:val="20"/>
      <w:lang w:eastAsia="en-US"/>
    </w:rPr>
  </w:style>
  <w:style w:type="paragraph" w:customStyle="1" w:styleId="110">
    <w:name w:val="xl33"/>
    <w:basedOn w:val="58"/>
    <w:autoRedefine/>
    <w:qFormat/>
    <w:uiPriority w:val="0"/>
    <w:pPr>
      <w:jc w:val="center"/>
    </w:pPr>
    <w:rPr>
      <w:rFonts w:ascii="仿宋_GB2312" w:eastAsia="仿宋_GB2312"/>
    </w:rPr>
  </w:style>
  <w:style w:type="paragraph" w:customStyle="1" w:styleId="111">
    <w:name w:val="xl24"/>
    <w:basedOn w:val="58"/>
    <w:autoRedefine/>
    <w:qFormat/>
    <w:uiPriority w:val="99"/>
    <w:pPr>
      <w:jc w:val="center"/>
    </w:pPr>
    <w:rPr>
      <w:rFonts w:ascii="仿宋_GB2312" w:eastAsia="仿宋_GB2312"/>
      <w:b/>
      <w:bCs/>
      <w:sz w:val="36"/>
      <w:szCs w:val="36"/>
    </w:rPr>
  </w:style>
  <w:style w:type="paragraph" w:customStyle="1" w:styleId="112">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113">
    <w:name w:val="xl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114">
    <w:name w:val="Default"/>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115">
    <w:name w:val="xl93"/>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116">
    <w:name w:val="xl86"/>
    <w:basedOn w:val="1"/>
    <w:autoRedefine/>
    <w:qFormat/>
    <w:uiPriority w:val="0"/>
    <w:pPr>
      <w:widowControl/>
      <w:spacing w:before="100" w:beforeAutospacing="1" w:after="100" w:afterAutospacing="1"/>
      <w:jc w:val="left"/>
    </w:pPr>
    <w:rPr>
      <w:rFonts w:ascii="宋体" w:hAnsi="宋体" w:cs="宋体"/>
      <w:kern w:val="0"/>
      <w:sz w:val="40"/>
      <w:szCs w:val="40"/>
    </w:rPr>
  </w:style>
  <w:style w:type="paragraph" w:customStyle="1" w:styleId="117">
    <w:name w:val="xl29"/>
    <w:basedOn w:val="58"/>
    <w:autoRedefine/>
    <w:qFormat/>
    <w:uiPriority w:val="0"/>
    <w:pPr>
      <w:pBdr>
        <w:top w:val="single" w:color="auto" w:sz="4" w:space="0"/>
        <w:left w:val="single" w:color="auto" w:sz="4" w:space="0"/>
        <w:bottom w:val="single" w:color="auto" w:sz="4" w:space="0"/>
        <w:right w:val="single" w:color="auto" w:sz="4" w:space="0"/>
      </w:pBdr>
      <w:jc w:val="center"/>
    </w:pPr>
    <w:rPr>
      <w:rFonts w:ascii="Courier New" w:hAnsi="Courier New" w:cs="Courier New"/>
    </w:rPr>
  </w:style>
  <w:style w:type="paragraph" w:customStyle="1" w:styleId="118">
    <w:name w:val="xl8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119">
    <w:name w:val="xl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18"/>
      <w:szCs w:val="18"/>
    </w:rPr>
  </w:style>
  <w:style w:type="paragraph" w:customStyle="1" w:styleId="120">
    <w:name w:val="xl39"/>
    <w:basedOn w:val="58"/>
    <w:autoRedefine/>
    <w:qFormat/>
    <w:uiPriority w:val="0"/>
    <w:pPr>
      <w:pBdr>
        <w:top w:val="single" w:color="auto" w:sz="4" w:space="0"/>
        <w:left w:val="single" w:color="auto" w:sz="4" w:space="0"/>
        <w:bottom w:val="single" w:color="auto" w:sz="4" w:space="0"/>
        <w:right w:val="single" w:color="auto" w:sz="4" w:space="0"/>
      </w:pBdr>
    </w:pPr>
    <w:rPr>
      <w:rFonts w:ascii="仿宋_GB2312" w:eastAsia="仿宋_GB2312"/>
      <w:sz w:val="18"/>
      <w:szCs w:val="18"/>
    </w:rPr>
  </w:style>
  <w:style w:type="paragraph" w:customStyle="1" w:styleId="121">
    <w:name w:val="xl27"/>
    <w:basedOn w:val="58"/>
    <w:autoRedefine/>
    <w:qFormat/>
    <w:uiPriority w:val="0"/>
    <w:pPr>
      <w:pBdr>
        <w:top w:val="single" w:color="auto" w:sz="4" w:space="0"/>
        <w:left w:val="single" w:color="auto" w:sz="4" w:space="0"/>
        <w:bottom w:val="single" w:color="auto" w:sz="4" w:space="0"/>
        <w:right w:val="single" w:color="auto" w:sz="4" w:space="0"/>
      </w:pBdr>
      <w:jc w:val="center"/>
    </w:pPr>
    <w:rPr>
      <w:rFonts w:ascii="仿宋_GB2312" w:eastAsia="仿宋_GB2312"/>
    </w:rPr>
  </w:style>
  <w:style w:type="paragraph" w:customStyle="1" w:styleId="122">
    <w:name w:val="Char Char Char"/>
    <w:basedOn w:val="1"/>
    <w:autoRedefine/>
    <w:qFormat/>
    <w:uiPriority w:val="99"/>
    <w:rPr>
      <w:rFonts w:ascii="Tahoma" w:hAnsi="Tahoma" w:cs="Tahoma"/>
      <w:sz w:val="24"/>
      <w:szCs w:val="24"/>
    </w:rPr>
  </w:style>
  <w:style w:type="paragraph" w:customStyle="1" w:styleId="123">
    <w:name w:val="(符号)五标题1.1.1"/>
    <w:basedOn w:val="1"/>
    <w:autoRedefine/>
    <w:qFormat/>
    <w:uiPriority w:val="99"/>
    <w:pPr>
      <w:numPr>
        <w:ilvl w:val="2"/>
        <w:numId w:val="2"/>
      </w:numPr>
      <w:tabs>
        <w:tab w:val="left" w:pos="420"/>
        <w:tab w:val="clear" w:pos="1000"/>
      </w:tabs>
      <w:spacing w:line="500" w:lineRule="exact"/>
    </w:pPr>
    <w:rPr>
      <w:rFonts w:ascii="宋体" w:hAnsi="宋体" w:cs="宋体"/>
      <w:color w:val="000000"/>
      <w:sz w:val="24"/>
      <w:szCs w:val="20"/>
    </w:rPr>
  </w:style>
  <w:style w:type="paragraph" w:customStyle="1" w:styleId="124">
    <w:name w:val="font11"/>
    <w:basedOn w:val="1"/>
    <w:autoRedefine/>
    <w:qFormat/>
    <w:uiPriority w:val="99"/>
    <w:pPr>
      <w:widowControl/>
      <w:spacing w:before="100" w:beforeAutospacing="1" w:after="100" w:afterAutospacing="1"/>
      <w:jc w:val="left"/>
    </w:pPr>
    <w:rPr>
      <w:rFonts w:ascii="仿宋_GB2312" w:hAnsi="Arial Unicode MS" w:eastAsia="仿宋_GB2312" w:cs="Arial Unicode MS"/>
      <w:kern w:val="0"/>
      <w:sz w:val="22"/>
      <w:szCs w:val="22"/>
    </w:rPr>
  </w:style>
  <w:style w:type="paragraph" w:customStyle="1" w:styleId="125">
    <w:name w:val="xl85"/>
    <w:basedOn w:val="1"/>
    <w:autoRedefine/>
    <w:qFormat/>
    <w:uiPriority w:val="0"/>
    <w:pPr>
      <w:widowControl/>
      <w:pBdr>
        <w:bottom w:val="single" w:color="auto" w:sz="4" w:space="0"/>
      </w:pBdr>
      <w:spacing w:before="100" w:beforeAutospacing="1" w:after="100" w:afterAutospacing="1"/>
      <w:jc w:val="left"/>
    </w:pPr>
    <w:rPr>
      <w:rFonts w:ascii="宋体" w:hAnsi="宋体" w:cs="宋体"/>
      <w:kern w:val="0"/>
      <w:sz w:val="18"/>
      <w:szCs w:val="18"/>
    </w:rPr>
  </w:style>
  <w:style w:type="paragraph" w:customStyle="1" w:styleId="126">
    <w:name w:val="TOC 标题1"/>
    <w:basedOn w:val="3"/>
    <w:next w:val="1"/>
    <w:autoRedefine/>
    <w:qFormat/>
    <w:uiPriority w:val="99"/>
    <w:pPr>
      <w:widowControl/>
      <w:numPr>
        <w:numId w:val="0"/>
      </w:numPr>
      <w:spacing w:before="480" w:after="0" w:line="276" w:lineRule="auto"/>
      <w:jc w:val="left"/>
      <w:outlineLvl w:val="9"/>
    </w:pPr>
    <w:rPr>
      <w:rFonts w:ascii="Cambria" w:hAnsi="Cambria" w:cs="Cambria"/>
      <w:color w:val="365F91"/>
      <w:kern w:val="0"/>
      <w:sz w:val="28"/>
      <w:szCs w:val="28"/>
    </w:rPr>
  </w:style>
  <w:style w:type="paragraph" w:customStyle="1" w:styleId="127">
    <w:name w:val="xl28"/>
    <w:basedOn w:val="58"/>
    <w:autoRedefine/>
    <w:qFormat/>
    <w:uiPriority w:val="0"/>
    <w:pPr>
      <w:jc w:val="center"/>
    </w:pPr>
    <w:rPr>
      <w:rFonts w:ascii="仿宋_GB2312" w:eastAsia="仿宋_GB2312"/>
    </w:rPr>
  </w:style>
  <w:style w:type="paragraph" w:customStyle="1" w:styleId="128">
    <w:name w:val="列出段落2"/>
    <w:basedOn w:val="1"/>
    <w:autoRedefine/>
    <w:qFormat/>
    <w:uiPriority w:val="34"/>
    <w:pPr>
      <w:ind w:firstLine="420" w:firstLineChars="200"/>
    </w:pPr>
    <w:rPr>
      <w:szCs w:val="20"/>
    </w:rPr>
  </w:style>
  <w:style w:type="paragraph" w:customStyle="1" w:styleId="129">
    <w:name w:val="dash6b63-6587"/>
    <w:basedOn w:val="1"/>
    <w:autoRedefine/>
    <w:qFormat/>
    <w:uiPriority w:val="0"/>
    <w:pPr>
      <w:widowControl/>
      <w:spacing w:before="100" w:beforeAutospacing="1" w:after="100" w:afterAutospacing="1"/>
      <w:jc w:val="left"/>
    </w:pPr>
    <w:rPr>
      <w:rFonts w:ascii="Arial Unicode MS" w:hAnsi="Arial Unicode MS"/>
      <w:kern w:val="0"/>
      <w:sz w:val="24"/>
    </w:rPr>
  </w:style>
  <w:style w:type="character" w:customStyle="1" w:styleId="130">
    <w:name w:val="标题 1 字符"/>
    <w:basedOn w:val="42"/>
    <w:link w:val="3"/>
    <w:autoRedefine/>
    <w:qFormat/>
    <w:locked/>
    <w:uiPriority w:val="0"/>
    <w:rPr>
      <w:rFonts w:ascii="Times New Roman" w:hAnsi="Times New Roman" w:eastAsia="宋体" w:cs="Times New Roman"/>
      <w:b/>
      <w:bCs/>
      <w:kern w:val="44"/>
      <w:sz w:val="44"/>
      <w:szCs w:val="44"/>
    </w:rPr>
  </w:style>
  <w:style w:type="character" w:customStyle="1" w:styleId="131">
    <w:name w:val="标题 2 字符"/>
    <w:basedOn w:val="42"/>
    <w:link w:val="4"/>
    <w:autoRedefine/>
    <w:qFormat/>
    <w:locked/>
    <w:uiPriority w:val="0"/>
    <w:rPr>
      <w:rFonts w:ascii="Arial" w:hAnsi="Arial" w:eastAsia="黑体"/>
      <w:b/>
      <w:bCs/>
      <w:kern w:val="2"/>
      <w:sz w:val="32"/>
      <w:szCs w:val="32"/>
    </w:rPr>
  </w:style>
  <w:style w:type="character" w:customStyle="1" w:styleId="132">
    <w:name w:val="标题 3 字符"/>
    <w:basedOn w:val="42"/>
    <w:link w:val="5"/>
    <w:autoRedefine/>
    <w:qFormat/>
    <w:locked/>
    <w:uiPriority w:val="0"/>
    <w:rPr>
      <w:rFonts w:ascii="Times New Roman" w:hAnsi="Times New Roman" w:eastAsia="宋体" w:cs="Times New Roman"/>
      <w:b/>
      <w:bCs/>
      <w:sz w:val="32"/>
      <w:szCs w:val="32"/>
    </w:rPr>
  </w:style>
  <w:style w:type="character" w:customStyle="1" w:styleId="133">
    <w:name w:val="标题 4 字符"/>
    <w:basedOn w:val="42"/>
    <w:link w:val="7"/>
    <w:autoRedefine/>
    <w:qFormat/>
    <w:locked/>
    <w:uiPriority w:val="9"/>
    <w:rPr>
      <w:rFonts w:ascii="Arial" w:hAnsi="Arial" w:eastAsia="黑体" w:cs="Times New Roman"/>
      <w:b/>
      <w:bCs/>
      <w:sz w:val="28"/>
      <w:szCs w:val="28"/>
    </w:rPr>
  </w:style>
  <w:style w:type="character" w:customStyle="1" w:styleId="134">
    <w:name w:val="标题 5 字符"/>
    <w:basedOn w:val="42"/>
    <w:link w:val="8"/>
    <w:autoRedefine/>
    <w:qFormat/>
    <w:locked/>
    <w:uiPriority w:val="9"/>
    <w:rPr>
      <w:rFonts w:ascii="Times New Roman" w:hAnsi="Times New Roman" w:eastAsia="宋体" w:cs="Times New Roman"/>
      <w:b/>
      <w:bCs/>
      <w:sz w:val="28"/>
      <w:szCs w:val="28"/>
    </w:rPr>
  </w:style>
  <w:style w:type="character" w:customStyle="1" w:styleId="135">
    <w:name w:val="标题 6 字符"/>
    <w:basedOn w:val="42"/>
    <w:link w:val="9"/>
    <w:autoRedefine/>
    <w:qFormat/>
    <w:locked/>
    <w:uiPriority w:val="99"/>
    <w:rPr>
      <w:rFonts w:ascii="Arial" w:hAnsi="Arial" w:eastAsia="黑体" w:cs="Times New Roman"/>
      <w:b/>
      <w:bCs/>
      <w:sz w:val="24"/>
      <w:szCs w:val="24"/>
    </w:rPr>
  </w:style>
  <w:style w:type="character" w:customStyle="1" w:styleId="136">
    <w:name w:val="标题 7 字符"/>
    <w:basedOn w:val="42"/>
    <w:link w:val="10"/>
    <w:autoRedefine/>
    <w:qFormat/>
    <w:locked/>
    <w:uiPriority w:val="99"/>
    <w:rPr>
      <w:rFonts w:ascii="Times New Roman" w:hAnsi="Times New Roman" w:eastAsia="宋体" w:cs="Times New Roman"/>
      <w:b/>
      <w:bCs/>
      <w:sz w:val="24"/>
      <w:szCs w:val="24"/>
    </w:rPr>
  </w:style>
  <w:style w:type="character" w:customStyle="1" w:styleId="137">
    <w:name w:val="标题 8 字符"/>
    <w:basedOn w:val="42"/>
    <w:link w:val="11"/>
    <w:autoRedefine/>
    <w:qFormat/>
    <w:locked/>
    <w:uiPriority w:val="99"/>
    <w:rPr>
      <w:rFonts w:ascii="Arial" w:hAnsi="Arial" w:eastAsia="黑体" w:cs="Times New Roman"/>
      <w:sz w:val="24"/>
      <w:szCs w:val="24"/>
    </w:rPr>
  </w:style>
  <w:style w:type="character" w:customStyle="1" w:styleId="138">
    <w:name w:val="标题 9 字符"/>
    <w:basedOn w:val="42"/>
    <w:link w:val="12"/>
    <w:autoRedefine/>
    <w:qFormat/>
    <w:locked/>
    <w:uiPriority w:val="99"/>
    <w:rPr>
      <w:rFonts w:ascii="Arial" w:hAnsi="Arial" w:eastAsia="黑体" w:cs="Times New Roman"/>
      <w:sz w:val="21"/>
      <w:szCs w:val="21"/>
    </w:rPr>
  </w:style>
  <w:style w:type="character" w:customStyle="1" w:styleId="139">
    <w:name w:val="页眉 字符1"/>
    <w:basedOn w:val="42"/>
    <w:link w:val="28"/>
    <w:autoRedefine/>
    <w:qFormat/>
    <w:locked/>
    <w:uiPriority w:val="0"/>
    <w:rPr>
      <w:rFonts w:cs="Times New Roman"/>
      <w:sz w:val="18"/>
      <w:szCs w:val="18"/>
    </w:rPr>
  </w:style>
  <w:style w:type="character" w:customStyle="1" w:styleId="140">
    <w:name w:val="页脚 字符"/>
    <w:basedOn w:val="42"/>
    <w:link w:val="27"/>
    <w:autoRedefine/>
    <w:qFormat/>
    <w:locked/>
    <w:uiPriority w:val="0"/>
    <w:rPr>
      <w:rFonts w:cs="Times New Roman"/>
      <w:sz w:val="18"/>
      <w:szCs w:val="18"/>
    </w:rPr>
  </w:style>
  <w:style w:type="character" w:customStyle="1" w:styleId="141">
    <w:name w:val="font21"/>
    <w:autoRedefine/>
    <w:qFormat/>
    <w:uiPriority w:val="0"/>
    <w:rPr>
      <w:rFonts w:ascii="宋体" w:hAnsi="宋体" w:eastAsia="宋体"/>
      <w:color w:val="000000"/>
      <w:sz w:val="22"/>
      <w:u w:val="none"/>
    </w:rPr>
  </w:style>
  <w:style w:type="character" w:customStyle="1" w:styleId="142">
    <w:name w:val="case3"/>
    <w:autoRedefine/>
    <w:qFormat/>
    <w:uiPriority w:val="99"/>
  </w:style>
  <w:style w:type="character" w:customStyle="1" w:styleId="143">
    <w:name w:val="HTML Preformatted Char"/>
    <w:autoRedefine/>
    <w:qFormat/>
    <w:locked/>
    <w:uiPriority w:val="99"/>
    <w:rPr>
      <w:rFonts w:ascii="Arial" w:hAnsi="Arial" w:eastAsia="宋体"/>
      <w:kern w:val="0"/>
      <w:sz w:val="24"/>
    </w:rPr>
  </w:style>
  <w:style w:type="character" w:customStyle="1" w:styleId="144">
    <w:name w:val="Body Text First Indent Char"/>
    <w:autoRedefine/>
    <w:qFormat/>
    <w:locked/>
    <w:uiPriority w:val="99"/>
    <w:rPr>
      <w:rFonts w:ascii="Times New Roman" w:hAnsi="Times New Roman" w:eastAsia="宋体"/>
      <w:sz w:val="24"/>
    </w:rPr>
  </w:style>
  <w:style w:type="character" w:customStyle="1" w:styleId="145">
    <w:name w:val="Comment Subject Char"/>
    <w:autoRedefine/>
    <w:semiHidden/>
    <w:qFormat/>
    <w:locked/>
    <w:uiPriority w:val="99"/>
    <w:rPr>
      <w:rFonts w:ascii="Times New Roman" w:hAnsi="Times New Roman" w:eastAsia="宋体"/>
      <w:b/>
      <w:sz w:val="24"/>
    </w:rPr>
  </w:style>
  <w:style w:type="character" w:customStyle="1" w:styleId="146">
    <w:name w:val="Title Char"/>
    <w:autoRedefine/>
    <w:qFormat/>
    <w:locked/>
    <w:uiPriority w:val="99"/>
    <w:rPr>
      <w:rFonts w:ascii="Cambria" w:hAnsi="Cambria" w:eastAsia="宋体"/>
      <w:b/>
      <w:sz w:val="32"/>
    </w:rPr>
  </w:style>
  <w:style w:type="character" w:customStyle="1" w:styleId="147">
    <w:name w:val="Balloon Text Char"/>
    <w:autoRedefine/>
    <w:semiHidden/>
    <w:qFormat/>
    <w:locked/>
    <w:uiPriority w:val="99"/>
    <w:rPr>
      <w:rFonts w:ascii="Times New Roman" w:hAnsi="Times New Roman" w:eastAsia="宋体"/>
      <w:sz w:val="18"/>
    </w:rPr>
  </w:style>
  <w:style w:type="character" w:customStyle="1" w:styleId="148">
    <w:name w:val="font31"/>
    <w:autoRedefine/>
    <w:qFormat/>
    <w:uiPriority w:val="0"/>
    <w:rPr>
      <w:rFonts w:ascii="宋体" w:hAnsi="宋体" w:eastAsia="宋体"/>
      <w:color w:val="FF0000"/>
      <w:sz w:val="22"/>
      <w:u w:val="none"/>
    </w:rPr>
  </w:style>
  <w:style w:type="character" w:customStyle="1" w:styleId="149">
    <w:name w:val="style4"/>
    <w:autoRedefine/>
    <w:qFormat/>
    <w:uiPriority w:val="99"/>
  </w:style>
  <w:style w:type="character" w:customStyle="1" w:styleId="150">
    <w:name w:val="Date Char"/>
    <w:autoRedefine/>
    <w:qFormat/>
    <w:locked/>
    <w:uiPriority w:val="99"/>
    <w:rPr>
      <w:rFonts w:ascii="Times New Roman" w:hAnsi="Times New Roman" w:eastAsia="宋体"/>
      <w:sz w:val="24"/>
    </w:rPr>
  </w:style>
  <w:style w:type="character" w:customStyle="1" w:styleId="151">
    <w:name w:val="Body Text Indent 2 Char"/>
    <w:autoRedefine/>
    <w:qFormat/>
    <w:locked/>
    <w:uiPriority w:val="99"/>
    <w:rPr>
      <w:rFonts w:ascii="文鼎CS魏碑" w:hAnsi="Times New Roman" w:eastAsia="文鼎CS魏碑"/>
      <w:b/>
      <w:w w:val="80"/>
      <w:sz w:val="96"/>
    </w:rPr>
  </w:style>
  <w:style w:type="character" w:customStyle="1" w:styleId="152">
    <w:name w:val="font41"/>
    <w:autoRedefine/>
    <w:qFormat/>
    <w:uiPriority w:val="0"/>
    <w:rPr>
      <w:rFonts w:ascii="Arial" w:hAnsi="Arial"/>
      <w:color w:val="FF0000"/>
      <w:sz w:val="22"/>
      <w:u w:val="none"/>
    </w:rPr>
  </w:style>
  <w:style w:type="character" w:customStyle="1" w:styleId="153">
    <w:name w:val="（符号）三标题1.1 Char"/>
    <w:autoRedefine/>
    <w:qFormat/>
    <w:uiPriority w:val="99"/>
    <w:rPr>
      <w:rFonts w:ascii="宋体" w:hAnsi="宋体" w:eastAsia="宋体"/>
      <w:kern w:val="2"/>
      <w:sz w:val="24"/>
      <w:lang w:val="en-US" w:eastAsia="zh-CN"/>
    </w:rPr>
  </w:style>
  <w:style w:type="character" w:customStyle="1" w:styleId="154">
    <w:name w:val="Plain Text Char"/>
    <w:autoRedefine/>
    <w:qFormat/>
    <w:locked/>
    <w:uiPriority w:val="99"/>
    <w:rPr>
      <w:rFonts w:ascii="宋体" w:hAnsi="Courier New" w:eastAsia="宋体"/>
      <w:sz w:val="20"/>
    </w:rPr>
  </w:style>
  <w:style w:type="character" w:customStyle="1" w:styleId="155">
    <w:name w:val="Body Text Indent Char"/>
    <w:autoRedefine/>
    <w:qFormat/>
    <w:locked/>
    <w:uiPriority w:val="99"/>
    <w:rPr>
      <w:rFonts w:ascii="Times New Roman" w:hAnsi="Times New Roman" w:eastAsia="宋体"/>
      <w:sz w:val="24"/>
    </w:rPr>
  </w:style>
  <w:style w:type="character" w:customStyle="1" w:styleId="156">
    <w:name w:val="(符号)标书正文 Char"/>
    <w:link w:val="54"/>
    <w:autoRedefine/>
    <w:qFormat/>
    <w:locked/>
    <w:uiPriority w:val="99"/>
    <w:rPr>
      <w:rFonts w:ascii="宋体" w:eastAsia="宋体"/>
      <w:sz w:val="24"/>
    </w:rPr>
  </w:style>
  <w:style w:type="character" w:customStyle="1" w:styleId="157">
    <w:name w:val="批注文字 Char"/>
    <w:autoRedefine/>
    <w:qFormat/>
    <w:locked/>
    <w:uiPriority w:val="0"/>
    <w:rPr>
      <w:rFonts w:ascii="Times New Roman" w:hAnsi="Times New Roman" w:eastAsia="宋体"/>
      <w:sz w:val="24"/>
    </w:rPr>
  </w:style>
  <w:style w:type="character" w:customStyle="1" w:styleId="158">
    <w:name w:val="(符号)标书正文 Char Char"/>
    <w:autoRedefine/>
    <w:qFormat/>
    <w:uiPriority w:val="99"/>
    <w:rPr>
      <w:rFonts w:ascii="宋体" w:hAnsi="宋体" w:eastAsia="宋体"/>
      <w:sz w:val="24"/>
    </w:rPr>
  </w:style>
  <w:style w:type="character" w:customStyle="1" w:styleId="159">
    <w:name w:val="Body Text 2 Char"/>
    <w:autoRedefine/>
    <w:qFormat/>
    <w:locked/>
    <w:uiPriority w:val="99"/>
    <w:rPr>
      <w:rFonts w:ascii="宋体" w:hAnsi="Times New Roman" w:eastAsia="宋体"/>
      <w:spacing w:val="16"/>
      <w:kern w:val="0"/>
      <w:sz w:val="20"/>
    </w:rPr>
  </w:style>
  <w:style w:type="character" w:customStyle="1" w:styleId="160">
    <w:name w:val="列出段落 Char"/>
    <w:link w:val="55"/>
    <w:autoRedefine/>
    <w:qFormat/>
    <w:locked/>
    <w:uiPriority w:val="99"/>
    <w:rPr>
      <w:sz w:val="21"/>
    </w:rPr>
  </w:style>
  <w:style w:type="character" w:customStyle="1" w:styleId="161">
    <w:name w:val="Body Text Indent 3 Char"/>
    <w:autoRedefine/>
    <w:qFormat/>
    <w:locked/>
    <w:uiPriority w:val="99"/>
    <w:rPr>
      <w:rFonts w:ascii="宋体" w:hAnsi="Times New Roman" w:eastAsia="宋体"/>
      <w:spacing w:val="16"/>
      <w:kern w:val="0"/>
      <w:sz w:val="20"/>
    </w:rPr>
  </w:style>
  <w:style w:type="character" w:customStyle="1" w:styleId="162">
    <w:name w:val="正文文本 Char"/>
    <w:autoRedefine/>
    <w:qFormat/>
    <w:locked/>
    <w:uiPriority w:val="0"/>
    <w:rPr>
      <w:rFonts w:ascii="Times New Roman" w:hAnsi="Times New Roman" w:eastAsia="宋体"/>
      <w:sz w:val="24"/>
    </w:rPr>
  </w:style>
  <w:style w:type="character" w:customStyle="1" w:styleId="163">
    <w:name w:val="批注文字 字符"/>
    <w:basedOn w:val="42"/>
    <w:link w:val="16"/>
    <w:autoRedefine/>
    <w:semiHidden/>
    <w:qFormat/>
    <w:locked/>
    <w:uiPriority w:val="99"/>
    <w:rPr>
      <w:rFonts w:ascii="Times New Roman" w:hAnsi="Times New Roman" w:eastAsia="宋体" w:cs="Times New Roman"/>
      <w:sz w:val="21"/>
      <w:szCs w:val="21"/>
    </w:rPr>
  </w:style>
  <w:style w:type="character" w:customStyle="1" w:styleId="164">
    <w:name w:val="Comment Subject Char1"/>
    <w:basedOn w:val="163"/>
    <w:autoRedefine/>
    <w:semiHidden/>
    <w:qFormat/>
    <w:uiPriority w:val="99"/>
    <w:rPr>
      <w:rFonts w:ascii="Times New Roman" w:hAnsi="Times New Roman" w:eastAsia="宋体" w:cs="Times New Roman"/>
      <w:b/>
      <w:bCs/>
      <w:sz w:val="21"/>
      <w:szCs w:val="21"/>
    </w:rPr>
  </w:style>
  <w:style w:type="character" w:customStyle="1" w:styleId="165">
    <w:name w:val="批注主题 字符"/>
    <w:basedOn w:val="163"/>
    <w:link w:val="38"/>
    <w:autoRedefine/>
    <w:semiHidden/>
    <w:qFormat/>
    <w:locked/>
    <w:uiPriority w:val="99"/>
    <w:rPr>
      <w:rFonts w:ascii="Times New Roman" w:hAnsi="Times New Roman" w:eastAsia="宋体" w:cs="Times New Roman"/>
      <w:b/>
      <w:bCs/>
      <w:sz w:val="21"/>
      <w:szCs w:val="21"/>
    </w:rPr>
  </w:style>
  <w:style w:type="character" w:customStyle="1" w:styleId="166">
    <w:name w:val="正文文本 字符"/>
    <w:basedOn w:val="42"/>
    <w:link w:val="18"/>
    <w:autoRedefine/>
    <w:semiHidden/>
    <w:qFormat/>
    <w:locked/>
    <w:uiPriority w:val="99"/>
    <w:rPr>
      <w:rFonts w:ascii="Times New Roman" w:hAnsi="Times New Roman" w:eastAsia="宋体" w:cs="Times New Roman"/>
      <w:sz w:val="21"/>
      <w:szCs w:val="21"/>
    </w:rPr>
  </w:style>
  <w:style w:type="character" w:customStyle="1" w:styleId="167">
    <w:name w:val="Body Text First Indent Char1"/>
    <w:basedOn w:val="166"/>
    <w:autoRedefine/>
    <w:semiHidden/>
    <w:qFormat/>
    <w:uiPriority w:val="99"/>
    <w:rPr>
      <w:rFonts w:ascii="Times New Roman" w:hAnsi="Times New Roman" w:eastAsia="宋体" w:cs="Times New Roman"/>
      <w:sz w:val="21"/>
      <w:szCs w:val="21"/>
    </w:rPr>
  </w:style>
  <w:style w:type="character" w:customStyle="1" w:styleId="168">
    <w:name w:val="正文文本首行缩进 字符"/>
    <w:basedOn w:val="166"/>
    <w:link w:val="39"/>
    <w:autoRedefine/>
    <w:qFormat/>
    <w:locked/>
    <w:uiPriority w:val="0"/>
    <w:rPr>
      <w:rFonts w:ascii="Times New Roman" w:hAnsi="Times New Roman" w:eastAsia="宋体" w:cs="Times New Roman"/>
      <w:sz w:val="21"/>
      <w:szCs w:val="21"/>
    </w:rPr>
  </w:style>
  <w:style w:type="character" w:customStyle="1" w:styleId="169">
    <w:name w:val="Body Text Indent 3 Char1"/>
    <w:basedOn w:val="42"/>
    <w:autoRedefine/>
    <w:semiHidden/>
    <w:qFormat/>
    <w:uiPriority w:val="99"/>
    <w:rPr>
      <w:rFonts w:ascii="Times New Roman" w:hAnsi="Times New Roman"/>
      <w:sz w:val="16"/>
      <w:szCs w:val="16"/>
    </w:rPr>
  </w:style>
  <w:style w:type="character" w:customStyle="1" w:styleId="170">
    <w:name w:val="正文文本缩进 3 字符"/>
    <w:basedOn w:val="42"/>
    <w:link w:val="32"/>
    <w:autoRedefine/>
    <w:qFormat/>
    <w:locked/>
    <w:uiPriority w:val="0"/>
    <w:rPr>
      <w:rFonts w:ascii="Times New Roman" w:hAnsi="Times New Roman" w:eastAsia="宋体" w:cs="Times New Roman"/>
      <w:sz w:val="16"/>
      <w:szCs w:val="16"/>
    </w:rPr>
  </w:style>
  <w:style w:type="character" w:customStyle="1" w:styleId="171">
    <w:name w:val="Body Text Indent Char1"/>
    <w:basedOn w:val="42"/>
    <w:autoRedefine/>
    <w:semiHidden/>
    <w:qFormat/>
    <w:uiPriority w:val="99"/>
    <w:rPr>
      <w:rFonts w:ascii="Times New Roman" w:hAnsi="Times New Roman"/>
      <w:szCs w:val="21"/>
    </w:rPr>
  </w:style>
  <w:style w:type="character" w:customStyle="1" w:styleId="172">
    <w:name w:val="正文文本缩进 字符"/>
    <w:basedOn w:val="42"/>
    <w:link w:val="19"/>
    <w:autoRedefine/>
    <w:qFormat/>
    <w:locked/>
    <w:uiPriority w:val="0"/>
    <w:rPr>
      <w:rFonts w:ascii="Times New Roman" w:hAnsi="Times New Roman" w:eastAsia="宋体" w:cs="Times New Roman"/>
      <w:sz w:val="21"/>
      <w:szCs w:val="21"/>
    </w:rPr>
  </w:style>
  <w:style w:type="character" w:customStyle="1" w:styleId="173">
    <w:name w:val="Plain Text Char1"/>
    <w:basedOn w:val="42"/>
    <w:autoRedefine/>
    <w:semiHidden/>
    <w:qFormat/>
    <w:uiPriority w:val="99"/>
    <w:rPr>
      <w:rFonts w:ascii="宋体" w:hAnsi="Courier New" w:cs="Courier New"/>
      <w:szCs w:val="21"/>
    </w:rPr>
  </w:style>
  <w:style w:type="character" w:customStyle="1" w:styleId="174">
    <w:name w:val="纯文本 字符"/>
    <w:basedOn w:val="42"/>
    <w:link w:val="23"/>
    <w:autoRedefine/>
    <w:qFormat/>
    <w:locked/>
    <w:uiPriority w:val="0"/>
    <w:rPr>
      <w:rFonts w:ascii="宋体" w:hAnsi="Courier New" w:eastAsia="宋体" w:cs="Courier New"/>
      <w:sz w:val="21"/>
      <w:szCs w:val="21"/>
    </w:rPr>
  </w:style>
  <w:style w:type="character" w:customStyle="1" w:styleId="175">
    <w:name w:val="Date Char1"/>
    <w:basedOn w:val="42"/>
    <w:autoRedefine/>
    <w:semiHidden/>
    <w:qFormat/>
    <w:uiPriority w:val="99"/>
    <w:rPr>
      <w:rFonts w:ascii="Times New Roman" w:hAnsi="Times New Roman"/>
      <w:szCs w:val="21"/>
    </w:rPr>
  </w:style>
  <w:style w:type="character" w:customStyle="1" w:styleId="176">
    <w:name w:val="日期 字符"/>
    <w:basedOn w:val="42"/>
    <w:link w:val="24"/>
    <w:autoRedefine/>
    <w:semiHidden/>
    <w:qFormat/>
    <w:locked/>
    <w:uiPriority w:val="99"/>
    <w:rPr>
      <w:rFonts w:ascii="Times New Roman" w:hAnsi="Times New Roman" w:eastAsia="宋体" w:cs="Times New Roman"/>
      <w:sz w:val="21"/>
      <w:szCs w:val="21"/>
    </w:rPr>
  </w:style>
  <w:style w:type="character" w:customStyle="1" w:styleId="177">
    <w:name w:val="Body Text Indent 2 Char1"/>
    <w:basedOn w:val="42"/>
    <w:autoRedefine/>
    <w:semiHidden/>
    <w:qFormat/>
    <w:uiPriority w:val="99"/>
    <w:rPr>
      <w:rFonts w:ascii="Times New Roman" w:hAnsi="Times New Roman"/>
      <w:szCs w:val="21"/>
    </w:rPr>
  </w:style>
  <w:style w:type="character" w:customStyle="1" w:styleId="178">
    <w:name w:val="正文文本缩进 2 字符"/>
    <w:basedOn w:val="42"/>
    <w:link w:val="25"/>
    <w:autoRedefine/>
    <w:qFormat/>
    <w:locked/>
    <w:uiPriority w:val="0"/>
    <w:rPr>
      <w:rFonts w:ascii="Times New Roman" w:hAnsi="Times New Roman" w:eastAsia="宋体" w:cs="Times New Roman"/>
      <w:sz w:val="21"/>
      <w:szCs w:val="21"/>
    </w:rPr>
  </w:style>
  <w:style w:type="character" w:customStyle="1" w:styleId="179">
    <w:name w:val="Balloon Text Char1"/>
    <w:basedOn w:val="42"/>
    <w:autoRedefine/>
    <w:semiHidden/>
    <w:qFormat/>
    <w:uiPriority w:val="99"/>
    <w:rPr>
      <w:rFonts w:ascii="Times New Roman" w:hAnsi="Times New Roman"/>
      <w:sz w:val="16"/>
      <w:szCs w:val="16"/>
    </w:rPr>
  </w:style>
  <w:style w:type="character" w:customStyle="1" w:styleId="180">
    <w:name w:val="批注框文本 字符"/>
    <w:basedOn w:val="42"/>
    <w:link w:val="26"/>
    <w:autoRedefine/>
    <w:qFormat/>
    <w:locked/>
    <w:uiPriority w:val="0"/>
    <w:rPr>
      <w:rFonts w:ascii="Times New Roman" w:hAnsi="Times New Roman" w:eastAsia="宋体" w:cs="Times New Roman"/>
      <w:sz w:val="18"/>
      <w:szCs w:val="18"/>
    </w:rPr>
  </w:style>
  <w:style w:type="character" w:customStyle="1" w:styleId="181">
    <w:name w:val="Body Text 2 Char1"/>
    <w:basedOn w:val="42"/>
    <w:autoRedefine/>
    <w:semiHidden/>
    <w:qFormat/>
    <w:uiPriority w:val="99"/>
    <w:rPr>
      <w:rFonts w:ascii="Times New Roman" w:hAnsi="Times New Roman"/>
      <w:szCs w:val="21"/>
    </w:rPr>
  </w:style>
  <w:style w:type="character" w:customStyle="1" w:styleId="182">
    <w:name w:val="正文文本 2 字符"/>
    <w:basedOn w:val="42"/>
    <w:link w:val="34"/>
    <w:autoRedefine/>
    <w:semiHidden/>
    <w:qFormat/>
    <w:locked/>
    <w:uiPriority w:val="99"/>
    <w:rPr>
      <w:rFonts w:ascii="Times New Roman" w:hAnsi="Times New Roman" w:eastAsia="宋体" w:cs="Times New Roman"/>
      <w:sz w:val="21"/>
      <w:szCs w:val="21"/>
    </w:rPr>
  </w:style>
  <w:style w:type="character" w:customStyle="1" w:styleId="183">
    <w:name w:val="HTML Preformatted Char1"/>
    <w:basedOn w:val="42"/>
    <w:autoRedefine/>
    <w:semiHidden/>
    <w:qFormat/>
    <w:uiPriority w:val="99"/>
    <w:rPr>
      <w:rFonts w:ascii="Courier New" w:hAnsi="Courier New" w:cs="Courier New"/>
      <w:sz w:val="20"/>
      <w:szCs w:val="20"/>
    </w:rPr>
  </w:style>
  <w:style w:type="character" w:customStyle="1" w:styleId="184">
    <w:name w:val="HTML 预设格式 字符"/>
    <w:basedOn w:val="42"/>
    <w:link w:val="35"/>
    <w:autoRedefine/>
    <w:semiHidden/>
    <w:qFormat/>
    <w:locked/>
    <w:uiPriority w:val="99"/>
    <w:rPr>
      <w:rFonts w:ascii="Courier New" w:hAnsi="Courier New" w:eastAsia="宋体" w:cs="Courier New"/>
      <w:sz w:val="20"/>
      <w:szCs w:val="20"/>
    </w:rPr>
  </w:style>
  <w:style w:type="character" w:customStyle="1" w:styleId="185">
    <w:name w:val="Title Char1"/>
    <w:basedOn w:val="42"/>
    <w:autoRedefine/>
    <w:qFormat/>
    <w:uiPriority w:val="10"/>
    <w:rPr>
      <w:rFonts w:ascii="Cambria" w:hAnsi="Cambria" w:cs="Times New Roman"/>
      <w:b/>
      <w:bCs/>
      <w:sz w:val="32"/>
      <w:szCs w:val="32"/>
    </w:rPr>
  </w:style>
  <w:style w:type="character" w:customStyle="1" w:styleId="186">
    <w:name w:val="标题 字符"/>
    <w:basedOn w:val="42"/>
    <w:link w:val="37"/>
    <w:autoRedefine/>
    <w:qFormat/>
    <w:locked/>
    <w:uiPriority w:val="99"/>
    <w:rPr>
      <w:rFonts w:ascii="Cambria" w:hAnsi="Cambria" w:eastAsia="宋体" w:cs="Times New Roman"/>
      <w:b/>
      <w:bCs/>
      <w:sz w:val="32"/>
      <w:szCs w:val="32"/>
    </w:rPr>
  </w:style>
  <w:style w:type="character" w:customStyle="1" w:styleId="187">
    <w:name w:val="icon_no"/>
    <w:basedOn w:val="42"/>
    <w:autoRedefine/>
    <w:qFormat/>
    <w:uiPriority w:val="0"/>
    <w:rPr>
      <w:color w:val="FFFFFF"/>
      <w:u w:val="none"/>
    </w:rPr>
  </w:style>
  <w:style w:type="character" w:customStyle="1" w:styleId="188">
    <w:name w:val="正文文本 3 字符"/>
    <w:basedOn w:val="42"/>
    <w:link w:val="17"/>
    <w:autoRedefine/>
    <w:qFormat/>
    <w:uiPriority w:val="0"/>
    <w:rPr>
      <w:kern w:val="2"/>
      <w:sz w:val="16"/>
      <w:szCs w:val="16"/>
    </w:rPr>
  </w:style>
  <w:style w:type="paragraph" w:styleId="189">
    <w:name w:val="No Spacing"/>
    <w:link w:val="190"/>
    <w:autoRedefine/>
    <w:qFormat/>
    <w:uiPriority w:val="1"/>
    <w:rPr>
      <w:rFonts w:asciiTheme="minorHAnsi" w:hAnsiTheme="minorHAnsi" w:eastAsiaTheme="minorEastAsia" w:cstheme="minorBidi"/>
      <w:sz w:val="22"/>
      <w:szCs w:val="22"/>
      <w:lang w:val="en-US" w:eastAsia="zh-CN" w:bidi="ar-SA"/>
    </w:rPr>
  </w:style>
  <w:style w:type="character" w:customStyle="1" w:styleId="190">
    <w:name w:val="无间隔 字符"/>
    <w:basedOn w:val="42"/>
    <w:link w:val="189"/>
    <w:autoRedefine/>
    <w:qFormat/>
    <w:uiPriority w:val="1"/>
    <w:rPr>
      <w:rFonts w:asciiTheme="minorHAnsi" w:hAnsiTheme="minorHAnsi" w:eastAsiaTheme="minorEastAsia" w:cstheme="minorBidi"/>
      <w:sz w:val="22"/>
      <w:szCs w:val="22"/>
    </w:rPr>
  </w:style>
  <w:style w:type="character" w:customStyle="1" w:styleId="191">
    <w:name w:val="正文首行缩进 Char1"/>
    <w:basedOn w:val="162"/>
    <w:autoRedefine/>
    <w:qFormat/>
    <w:locked/>
    <w:uiPriority w:val="0"/>
    <w:rPr>
      <w:rFonts w:ascii="Times New Roman" w:hAnsi="Times New Roman" w:eastAsia="宋体" w:cs="Times New Roman"/>
      <w:kern w:val="2"/>
      <w:sz w:val="21"/>
    </w:rPr>
  </w:style>
  <w:style w:type="paragraph" w:customStyle="1" w:styleId="192">
    <w:name w:val="p26"/>
    <w:basedOn w:val="1"/>
    <w:autoRedefine/>
    <w:semiHidden/>
    <w:qFormat/>
    <w:uiPriority w:val="99"/>
    <w:pPr>
      <w:widowControl/>
      <w:adjustRightInd w:val="0"/>
      <w:jc w:val="left"/>
    </w:pPr>
    <w:rPr>
      <w:rFonts w:ascii="Calibri" w:hAnsi="Calibri" w:cs="宋体"/>
      <w:kern w:val="0"/>
      <w:sz w:val="18"/>
      <w:szCs w:val="18"/>
    </w:rPr>
  </w:style>
  <w:style w:type="character" w:customStyle="1" w:styleId="193">
    <w:name w:val="fontp1"/>
    <w:autoRedefine/>
    <w:qFormat/>
    <w:uiPriority w:val="0"/>
    <w:rPr>
      <w:rFonts w:hint="eastAsia" w:ascii="宋体" w:hAnsi="宋体" w:eastAsia="宋体"/>
      <w:sz w:val="18"/>
      <w:szCs w:val="18"/>
    </w:rPr>
  </w:style>
  <w:style w:type="character" w:customStyle="1" w:styleId="194">
    <w:name w:val="font01"/>
    <w:basedOn w:val="42"/>
    <w:autoRedefine/>
    <w:qFormat/>
    <w:uiPriority w:val="0"/>
    <w:rPr>
      <w:rFonts w:hint="eastAsia" w:ascii="宋体" w:hAnsi="宋体" w:eastAsia="宋体" w:cs="宋体"/>
      <w:color w:val="000000"/>
      <w:sz w:val="22"/>
      <w:szCs w:val="22"/>
      <w:u w:val="none"/>
      <w:vertAlign w:val="superscript"/>
    </w:rPr>
  </w:style>
  <w:style w:type="character" w:customStyle="1" w:styleId="195">
    <w:name w:val="文档结构图 Char"/>
    <w:basedOn w:val="42"/>
    <w:autoRedefine/>
    <w:qFormat/>
    <w:uiPriority w:val="0"/>
    <w:rPr>
      <w:kern w:val="2"/>
      <w:sz w:val="21"/>
      <w:shd w:val="clear" w:color="auto" w:fill="000080"/>
    </w:rPr>
  </w:style>
  <w:style w:type="character" w:customStyle="1" w:styleId="196">
    <w:name w:val="脚注文本 Char"/>
    <w:basedOn w:val="42"/>
    <w:autoRedefine/>
    <w:qFormat/>
    <w:uiPriority w:val="0"/>
    <w:rPr>
      <w:kern w:val="2"/>
      <w:sz w:val="18"/>
      <w:szCs w:val="18"/>
    </w:rPr>
  </w:style>
  <w:style w:type="character" w:customStyle="1" w:styleId="197">
    <w:name w:val="正文缩进 字符"/>
    <w:link w:val="6"/>
    <w:autoRedefine/>
    <w:qFormat/>
    <w:uiPriority w:val="0"/>
    <w:rPr>
      <w:rFonts w:ascii="Times New Roman" w:hAnsi="Times New Roman" w:cs="Times New Roman"/>
      <w:kern w:val="2"/>
      <w:sz w:val="21"/>
    </w:rPr>
  </w:style>
  <w:style w:type="character" w:customStyle="1" w:styleId="198">
    <w:name w:val="文档结构图 字符"/>
    <w:basedOn w:val="42"/>
    <w:link w:val="15"/>
    <w:autoRedefine/>
    <w:semiHidden/>
    <w:qFormat/>
    <w:uiPriority w:val="0"/>
    <w:rPr>
      <w:rFonts w:ascii="宋体" w:hAnsi="Times New Roman" w:cs="Times New Roman"/>
      <w:kern w:val="2"/>
      <w:sz w:val="18"/>
      <w:szCs w:val="18"/>
    </w:rPr>
  </w:style>
  <w:style w:type="character" w:customStyle="1" w:styleId="199">
    <w:name w:val="脚注文本 字符"/>
    <w:basedOn w:val="42"/>
    <w:link w:val="31"/>
    <w:autoRedefine/>
    <w:semiHidden/>
    <w:qFormat/>
    <w:uiPriority w:val="0"/>
    <w:rPr>
      <w:rFonts w:ascii="Times New Roman" w:hAnsi="Times New Roman" w:cs="Times New Roman"/>
      <w:kern w:val="2"/>
      <w:sz w:val="18"/>
      <w:szCs w:val="18"/>
    </w:rPr>
  </w:style>
  <w:style w:type="paragraph" w:styleId="200">
    <w:name w:val="List Paragraph"/>
    <w:basedOn w:val="1"/>
    <w:autoRedefine/>
    <w:qFormat/>
    <w:uiPriority w:val="0"/>
    <w:pPr>
      <w:ind w:firstLine="420" w:firstLineChars="200"/>
    </w:pPr>
    <w:rPr>
      <w:szCs w:val="22"/>
    </w:rPr>
  </w:style>
  <w:style w:type="paragraph" w:customStyle="1" w:styleId="201">
    <w:name w:val="p16"/>
    <w:basedOn w:val="1"/>
    <w:autoRedefine/>
    <w:qFormat/>
    <w:uiPriority w:val="0"/>
    <w:pPr>
      <w:widowControl/>
    </w:pPr>
    <w:rPr>
      <w:rFonts w:hint="eastAsia" w:ascii="宋体" w:hAnsi="宋体"/>
      <w:szCs w:val="20"/>
    </w:rPr>
  </w:style>
  <w:style w:type="paragraph" w:customStyle="1" w:styleId="202">
    <w:name w:val="默认段落字体 Para Char Char Char Char Char Char Char"/>
    <w:basedOn w:val="15"/>
    <w:autoRedefine/>
    <w:qFormat/>
    <w:uiPriority w:val="0"/>
  </w:style>
  <w:style w:type="paragraph" w:customStyle="1" w:styleId="203">
    <w:name w:val="普通(网站)1"/>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204">
    <w:name w:val="样式 标题 3 + (中文) 黑体 小四 非加粗 段前: 7.8 磅 段后: 0 磅 行距: 固定值 20 磅"/>
    <w:basedOn w:val="5"/>
    <w:autoRedefine/>
    <w:qFormat/>
    <w:uiPriority w:val="99"/>
    <w:pPr>
      <w:numPr>
        <w:ilvl w:val="0"/>
        <w:numId w:val="0"/>
      </w:numPr>
      <w:tabs>
        <w:tab w:val="clear" w:pos="0"/>
      </w:tabs>
      <w:spacing w:before="0" w:after="0" w:line="400" w:lineRule="exact"/>
    </w:pPr>
    <w:rPr>
      <w:rFonts w:eastAsia="黑体"/>
      <w:b w:val="0"/>
      <w:bCs w:val="0"/>
      <w:sz w:val="24"/>
      <w:szCs w:val="24"/>
    </w:rPr>
  </w:style>
  <w:style w:type="paragraph" w:customStyle="1" w:styleId="205">
    <w:name w:val="正文 A"/>
    <w:autoRedefine/>
    <w:qFormat/>
    <w:uiPriority w:val="0"/>
    <w:pPr>
      <w:widowControl w:val="0"/>
      <w:jc w:val="both"/>
    </w:pPr>
    <w:rPr>
      <w:rFonts w:ascii="Times New Roman" w:hAnsi="Times New Roman" w:eastAsia="Times New Roman" w:cs="Times New Roman"/>
      <w:color w:val="000000"/>
      <w:kern w:val="2"/>
      <w:sz w:val="21"/>
      <w:szCs w:val="21"/>
      <w:u w:color="000000"/>
      <w:lang w:val="en-US" w:eastAsia="zh-CN" w:bidi="ar-SA"/>
    </w:rPr>
  </w:style>
  <w:style w:type="paragraph" w:customStyle="1" w:styleId="206">
    <w:name w:val="Char2 Char Char Char Char Char Char"/>
    <w:basedOn w:val="1"/>
    <w:autoRedefine/>
    <w:qFormat/>
    <w:uiPriority w:val="0"/>
    <w:pPr>
      <w:autoSpaceDE w:val="0"/>
      <w:autoSpaceDN w:val="0"/>
      <w:adjustRightInd w:val="0"/>
      <w:snapToGrid w:val="0"/>
      <w:spacing w:line="500" w:lineRule="exact"/>
      <w:ind w:firstLine="562" w:firstLineChars="200"/>
      <w:jc w:val="center"/>
    </w:pPr>
    <w:rPr>
      <w:szCs w:val="20"/>
    </w:rPr>
  </w:style>
  <w:style w:type="paragraph" w:customStyle="1" w:styleId="207">
    <w:name w:val="_Style 6"/>
    <w:basedOn w:val="3"/>
    <w:next w:val="1"/>
    <w:autoRedefine/>
    <w:qFormat/>
    <w:uiPriority w:val="0"/>
    <w:pPr>
      <w:keepLines w:val="0"/>
      <w:numPr>
        <w:numId w:val="0"/>
      </w:numPr>
      <w:tabs>
        <w:tab w:val="clear" w:pos="0"/>
      </w:tabs>
      <w:adjustRightInd w:val="0"/>
      <w:snapToGrid w:val="0"/>
      <w:spacing w:before="0" w:after="0" w:line="312" w:lineRule="auto"/>
      <w:ind w:right="-159" w:rightChars="-159" w:firstLine="98" w:firstLineChars="35"/>
      <w:outlineLvl w:val="9"/>
    </w:pPr>
    <w:rPr>
      <w:b w:val="0"/>
      <w:bCs w:val="0"/>
      <w:kern w:val="2"/>
      <w:sz w:val="28"/>
      <w:szCs w:val="20"/>
    </w:rPr>
  </w:style>
  <w:style w:type="paragraph" w:customStyle="1" w:styleId="208">
    <w:name w:val="p17"/>
    <w:autoRedefine/>
    <w:qFormat/>
    <w:uiPriority w:val="0"/>
    <w:rPr>
      <w:rFonts w:ascii="宋体" w:hAnsi="宋体" w:eastAsia="宋体" w:cs="宋体"/>
      <w:szCs w:val="21"/>
      <w:lang w:val="en-US" w:eastAsia="zh-CN" w:bidi="ar-SA"/>
    </w:rPr>
  </w:style>
  <w:style w:type="character" w:customStyle="1" w:styleId="209">
    <w:name w:val="纯文本 Char2"/>
    <w:autoRedefine/>
    <w:qFormat/>
    <w:uiPriority w:val="0"/>
    <w:rPr>
      <w:rFonts w:ascii="宋体" w:hAnsi="Courier New" w:eastAsia="宋体" w:cs="Courier New"/>
      <w:sz w:val="34"/>
      <w:szCs w:val="21"/>
      <w:lang w:val="en-US" w:eastAsia="zh-CN" w:bidi="ar-SA"/>
    </w:rPr>
  </w:style>
  <w:style w:type="character" w:customStyle="1" w:styleId="210">
    <w:name w:val="页眉 字符"/>
    <w:autoRedefine/>
    <w:qFormat/>
    <w:uiPriority w:val="0"/>
    <w:rPr>
      <w:rFonts w:ascii="宋体" w:hAnsi="Calibri" w:eastAsia="宋体" w:cs="Times New Roman"/>
      <w:sz w:val="18"/>
      <w:lang w:val="en-US" w:eastAsia="zh-CN" w:bidi="ar-SA"/>
    </w:rPr>
  </w:style>
  <w:style w:type="character" w:customStyle="1" w:styleId="211">
    <w:name w:val="Char Char7"/>
    <w:autoRedefine/>
    <w:qFormat/>
    <w:uiPriority w:val="0"/>
    <w:rPr>
      <w:rFonts w:ascii="宋体" w:hAnsi="Courier New" w:eastAsia="宋体" w:cs="Courier New"/>
      <w:sz w:val="34"/>
      <w:szCs w:val="21"/>
      <w:lang w:val="en-US" w:eastAsia="zh-CN" w:bidi="ar-SA"/>
    </w:rPr>
  </w:style>
  <w:style w:type="character" w:customStyle="1" w:styleId="212">
    <w:name w:val="font71"/>
    <w:autoRedefine/>
    <w:qFormat/>
    <w:uiPriority w:val="0"/>
    <w:rPr>
      <w:rFonts w:hint="eastAsia" w:ascii="宋体" w:hAnsi="宋体" w:eastAsia="宋体" w:cs="宋体"/>
      <w:color w:val="000000"/>
      <w:sz w:val="22"/>
      <w:szCs w:val="22"/>
      <w:u w:val="none"/>
    </w:rPr>
  </w:style>
  <w:style w:type="character" w:customStyle="1" w:styleId="213">
    <w:name w:val="Char Char27"/>
    <w:autoRedefine/>
    <w:qFormat/>
    <w:uiPriority w:val="0"/>
    <w:rPr>
      <w:rFonts w:ascii="宋体" w:hAnsi="Calibri" w:eastAsia="宋体" w:cs="Times New Roman"/>
      <w:b/>
      <w:color w:val="000000"/>
      <w:sz w:val="24"/>
      <w:lang w:val="en-US" w:eastAsia="zh-CN" w:bidi="ar-SA"/>
    </w:rPr>
  </w:style>
  <w:style w:type="character" w:customStyle="1" w:styleId="214">
    <w:name w:val="Date Char Char"/>
    <w:link w:val="215"/>
    <w:autoRedefine/>
    <w:qFormat/>
    <w:uiPriority w:val="0"/>
    <w:rPr>
      <w:rFonts w:ascii="宋体" w:cs="Times New Roman"/>
      <w:sz w:val="34"/>
    </w:rPr>
  </w:style>
  <w:style w:type="paragraph" w:customStyle="1" w:styleId="215">
    <w:name w:val="日期1"/>
    <w:basedOn w:val="1"/>
    <w:next w:val="1"/>
    <w:link w:val="214"/>
    <w:autoRedefine/>
    <w:qFormat/>
    <w:uiPriority w:val="0"/>
    <w:pPr>
      <w:autoSpaceDE w:val="0"/>
      <w:autoSpaceDN w:val="0"/>
      <w:adjustRightInd w:val="0"/>
      <w:textAlignment w:val="baseline"/>
    </w:pPr>
    <w:rPr>
      <w:rFonts w:ascii="宋体" w:hAnsi="Calibri"/>
      <w:kern w:val="0"/>
      <w:sz w:val="34"/>
      <w:szCs w:val="20"/>
    </w:rPr>
  </w:style>
  <w:style w:type="character" w:customStyle="1" w:styleId="216">
    <w:name w:val="ca-231"/>
    <w:basedOn w:val="42"/>
    <w:autoRedefine/>
    <w:qFormat/>
    <w:uiPriority w:val="0"/>
    <w:rPr>
      <w:rFonts w:hint="eastAsia" w:ascii="宋体" w:hAnsi="宋体" w:eastAsia="宋体" w:cs="Times New Roman"/>
      <w:color w:val="FF0000"/>
      <w:sz w:val="24"/>
      <w:szCs w:val="24"/>
    </w:rPr>
  </w:style>
  <w:style w:type="character" w:customStyle="1" w:styleId="217">
    <w:name w:val="标题 1 Char Char"/>
    <w:autoRedefine/>
    <w:qFormat/>
    <w:uiPriority w:val="0"/>
    <w:rPr>
      <w:rFonts w:ascii="Calibri" w:hAnsi="Calibri" w:eastAsia="新宋体-18030" w:cs="Times New Roman"/>
      <w:b/>
      <w:bCs/>
      <w:kern w:val="44"/>
      <w:sz w:val="36"/>
      <w:szCs w:val="44"/>
      <w:lang w:val="en-US" w:eastAsia="zh-CN" w:bidi="ar-SA"/>
    </w:rPr>
  </w:style>
  <w:style w:type="character" w:customStyle="1" w:styleId="218">
    <w:name w:val="Char Char Char Char Char Char Char Char Char Char Char Char Char Char Char Char Char Char Char"/>
    <w:autoRedefine/>
    <w:qFormat/>
    <w:uiPriority w:val="0"/>
    <w:rPr>
      <w:rFonts w:ascii="宋体" w:hAnsi="Calibri" w:eastAsia="宋体" w:cs="Times New Roman"/>
      <w:sz w:val="34"/>
      <w:lang w:val="en-US" w:eastAsia="zh-CN" w:bidi="ar-SA"/>
    </w:rPr>
  </w:style>
  <w:style w:type="character" w:customStyle="1" w:styleId="219">
    <w:name w:val="Plain Text Char Char"/>
    <w:link w:val="220"/>
    <w:autoRedefine/>
    <w:qFormat/>
    <w:uiPriority w:val="0"/>
    <w:rPr>
      <w:rFonts w:ascii="宋体" w:hAnsi="Courier New" w:cs="Times New Roman"/>
      <w:sz w:val="21"/>
    </w:rPr>
  </w:style>
  <w:style w:type="paragraph" w:customStyle="1" w:styleId="220">
    <w:name w:val="纯文本1"/>
    <w:basedOn w:val="1"/>
    <w:link w:val="219"/>
    <w:autoRedefine/>
    <w:qFormat/>
    <w:uiPriority w:val="0"/>
    <w:pPr>
      <w:autoSpaceDE w:val="0"/>
      <w:autoSpaceDN w:val="0"/>
      <w:adjustRightInd w:val="0"/>
      <w:jc w:val="left"/>
      <w:textAlignment w:val="baseline"/>
    </w:pPr>
    <w:rPr>
      <w:rFonts w:ascii="宋体" w:hAnsi="Courier New"/>
      <w:kern w:val="0"/>
      <w:szCs w:val="20"/>
    </w:rPr>
  </w:style>
  <w:style w:type="character" w:customStyle="1" w:styleId="221">
    <w:name w:val="纯文本 Char1"/>
    <w:autoRedefine/>
    <w:qFormat/>
    <w:uiPriority w:val="0"/>
    <w:rPr>
      <w:rFonts w:ascii="Courier New" w:hAnsi="Courier New" w:eastAsia="宋体" w:cs="Times New Roman"/>
      <w:sz w:val="34"/>
      <w:lang w:bidi="ar-SA"/>
    </w:rPr>
  </w:style>
  <w:style w:type="character" w:customStyle="1" w:styleId="222">
    <w:name w:val="font61"/>
    <w:autoRedefine/>
    <w:qFormat/>
    <w:uiPriority w:val="0"/>
    <w:rPr>
      <w:rFonts w:hint="default" w:ascii="Times New Roman" w:hAnsi="Times New Roman" w:eastAsia="宋体" w:cs="Times New Roman"/>
      <w:color w:val="000000"/>
      <w:sz w:val="22"/>
      <w:szCs w:val="22"/>
      <w:u w:val="none"/>
    </w:rPr>
  </w:style>
  <w:style w:type="character" w:customStyle="1" w:styleId="223">
    <w:name w:val="Body Text 2 Char Char"/>
    <w:link w:val="224"/>
    <w:autoRedefine/>
    <w:qFormat/>
    <w:uiPriority w:val="0"/>
    <w:rPr>
      <w:rFonts w:ascii="宋体" w:cs="Times New Roman"/>
      <w:sz w:val="34"/>
    </w:rPr>
  </w:style>
  <w:style w:type="paragraph" w:customStyle="1" w:styleId="224">
    <w:name w:val="正文文本 21"/>
    <w:basedOn w:val="1"/>
    <w:link w:val="223"/>
    <w:autoRedefine/>
    <w:qFormat/>
    <w:uiPriority w:val="0"/>
    <w:pPr>
      <w:autoSpaceDE w:val="0"/>
      <w:autoSpaceDN w:val="0"/>
      <w:adjustRightInd w:val="0"/>
      <w:textAlignment w:val="baseline"/>
    </w:pPr>
    <w:rPr>
      <w:rFonts w:ascii="宋体" w:hAnsi="Calibri"/>
      <w:kern w:val="0"/>
      <w:sz w:val="34"/>
      <w:szCs w:val="20"/>
    </w:rPr>
  </w:style>
  <w:style w:type="character" w:customStyle="1" w:styleId="225">
    <w:name w:val="小 Char"/>
    <w:autoRedefine/>
    <w:qFormat/>
    <w:uiPriority w:val="0"/>
    <w:rPr>
      <w:rFonts w:ascii="宋体" w:hAnsi="Courier New" w:eastAsia="宋体" w:cs="Courier New"/>
      <w:sz w:val="34"/>
      <w:szCs w:val="21"/>
      <w:lang w:val="en-US" w:eastAsia="zh-CN" w:bidi="ar-SA"/>
    </w:rPr>
  </w:style>
  <w:style w:type="paragraph" w:customStyle="1" w:styleId="226">
    <w:name w:val="xl6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pPr>
    <w:rPr>
      <w:rFonts w:ascii="Calibri" w:hAnsi="宋体" w:cs="宋体"/>
      <w:kern w:val="0"/>
      <w:sz w:val="24"/>
      <w:szCs w:val="24"/>
    </w:rPr>
  </w:style>
  <w:style w:type="paragraph" w:customStyle="1" w:styleId="227">
    <w:name w:val="style33"/>
    <w:basedOn w:val="1"/>
    <w:autoRedefine/>
    <w:qFormat/>
    <w:uiPriority w:val="0"/>
    <w:pPr>
      <w:widowControl/>
      <w:spacing w:before="100" w:beforeAutospacing="1" w:after="100" w:afterAutospacing="1"/>
      <w:jc w:val="left"/>
    </w:pPr>
    <w:rPr>
      <w:rFonts w:ascii="Calibri" w:hAnsi="宋体" w:cs="宋体"/>
      <w:kern w:val="0"/>
      <w:sz w:val="24"/>
      <w:szCs w:val="24"/>
    </w:rPr>
  </w:style>
  <w:style w:type="paragraph" w:customStyle="1" w:styleId="228">
    <w:name w:val="xl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宋体" w:cs="宋体"/>
      <w:color w:val="FF0000"/>
      <w:kern w:val="0"/>
      <w:sz w:val="20"/>
      <w:szCs w:val="20"/>
    </w:rPr>
  </w:style>
  <w:style w:type="paragraph" w:customStyle="1" w:styleId="229">
    <w:name w:val="? ‡é¢˜3"/>
    <w:basedOn w:val="1"/>
    <w:next w:val="1"/>
    <w:autoRedefine/>
    <w:qFormat/>
    <w:uiPriority w:val="0"/>
    <w:pPr>
      <w:autoSpaceDE w:val="0"/>
      <w:autoSpaceDN w:val="0"/>
      <w:adjustRightInd w:val="0"/>
      <w:spacing w:line="360" w:lineRule="auto"/>
      <w:jc w:val="left"/>
    </w:pPr>
    <w:rPr>
      <w:rFonts w:ascii="Calibri" w:hAnsi="仿宋_GB2312" w:cs="宋体"/>
      <w:b/>
      <w:bCs/>
      <w:kern w:val="0"/>
      <w:sz w:val="24"/>
      <w:szCs w:val="24"/>
      <w:lang w:val="zh-CN"/>
    </w:rPr>
  </w:style>
  <w:style w:type="paragraph" w:customStyle="1" w:styleId="230">
    <w:name w:val="xl5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pPr>
    <w:rPr>
      <w:rFonts w:ascii="Calibri" w:hAnsi="宋体" w:cs="宋体"/>
      <w:kern w:val="0"/>
      <w:sz w:val="24"/>
      <w:szCs w:val="24"/>
    </w:rPr>
  </w:style>
  <w:style w:type="paragraph" w:customStyle="1" w:styleId="231">
    <w:name w:val="xl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宋体" w:cs="宋体"/>
      <w:kern w:val="0"/>
      <w:sz w:val="20"/>
      <w:szCs w:val="20"/>
    </w:rPr>
  </w:style>
  <w:style w:type="paragraph" w:customStyle="1" w:styleId="232">
    <w:name w:val="xl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Calibri" w:hAnsi="宋体" w:cs="宋体"/>
      <w:kern w:val="0"/>
      <w:sz w:val="20"/>
      <w:szCs w:val="20"/>
    </w:rPr>
  </w:style>
  <w:style w:type="paragraph" w:customStyle="1" w:styleId="233">
    <w:name w:val="xl5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center"/>
    </w:pPr>
    <w:rPr>
      <w:rFonts w:ascii="Calibri" w:hAnsi="宋体" w:cs="宋体"/>
      <w:kern w:val="0"/>
      <w:sz w:val="24"/>
      <w:szCs w:val="24"/>
    </w:rPr>
  </w:style>
  <w:style w:type="paragraph" w:customStyle="1" w:styleId="234">
    <w:name w:val="xl4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center"/>
    </w:pPr>
    <w:rPr>
      <w:rFonts w:ascii="Calibri" w:hAnsi="宋体" w:cs="宋体"/>
      <w:kern w:val="0"/>
      <w:sz w:val="18"/>
      <w:szCs w:val="18"/>
    </w:rPr>
  </w:style>
  <w:style w:type="paragraph" w:customStyle="1" w:styleId="235">
    <w:name w:val="Char Char Char Char Char Char Char Char Char Char Char Char Char Char"/>
    <w:basedOn w:val="15"/>
    <w:autoRedefine/>
    <w:qFormat/>
    <w:uiPriority w:val="0"/>
    <w:rPr>
      <w:rFonts w:ascii="Tahoma" w:hAnsi="Tahoma" w:cs="Times New Roman"/>
      <w:kern w:val="0"/>
      <w:sz w:val="18"/>
      <w:szCs w:val="24"/>
    </w:rPr>
  </w:style>
  <w:style w:type="paragraph" w:customStyle="1" w:styleId="236">
    <w:name w:val="WPSOffice手动目录 1"/>
    <w:autoRedefine/>
    <w:qFormat/>
    <w:uiPriority w:val="0"/>
    <w:rPr>
      <w:rFonts w:ascii="Calibri" w:hAnsi="Calibri" w:eastAsia="宋体" w:cs="Times New Roman"/>
      <w:lang w:val="en-US" w:eastAsia="zh-CN" w:bidi="ar-SA"/>
    </w:rPr>
  </w:style>
  <w:style w:type="paragraph" w:customStyle="1" w:styleId="237">
    <w:name w:val="Blockquote"/>
    <w:basedOn w:val="1"/>
    <w:autoRedefine/>
    <w:qFormat/>
    <w:uiPriority w:val="0"/>
    <w:pPr>
      <w:autoSpaceDE w:val="0"/>
      <w:autoSpaceDN w:val="0"/>
      <w:adjustRightInd w:val="0"/>
      <w:spacing w:before="100" w:after="100"/>
      <w:ind w:left="360" w:right="360"/>
      <w:jc w:val="left"/>
      <w:textAlignment w:val="baseline"/>
    </w:pPr>
    <w:rPr>
      <w:kern w:val="0"/>
      <w:sz w:val="24"/>
      <w:szCs w:val="20"/>
    </w:rPr>
  </w:style>
  <w:style w:type="paragraph" w:customStyle="1" w:styleId="238">
    <w:name w:val="xl4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Calibri" w:hAnsi="宋体" w:cs="宋体"/>
      <w:kern w:val="0"/>
      <w:sz w:val="20"/>
      <w:szCs w:val="20"/>
    </w:rPr>
  </w:style>
  <w:style w:type="paragraph" w:customStyle="1" w:styleId="239">
    <w:name w:val="xl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宋体" w:cs="宋体"/>
      <w:kern w:val="0"/>
      <w:sz w:val="20"/>
      <w:szCs w:val="20"/>
    </w:rPr>
  </w:style>
  <w:style w:type="paragraph" w:customStyle="1" w:styleId="240">
    <w:name w:val="xl5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center"/>
    </w:pPr>
    <w:rPr>
      <w:rFonts w:ascii="Calibri" w:hAnsi="宋体" w:cs="宋体"/>
      <w:kern w:val="0"/>
      <w:sz w:val="24"/>
      <w:szCs w:val="24"/>
    </w:rPr>
  </w:style>
  <w:style w:type="paragraph" w:customStyle="1" w:styleId="241">
    <w:name w:val="列出段落3"/>
    <w:basedOn w:val="1"/>
    <w:autoRedefine/>
    <w:qFormat/>
    <w:uiPriority w:val="0"/>
    <w:pPr>
      <w:autoSpaceDE w:val="0"/>
      <w:autoSpaceDN w:val="0"/>
      <w:adjustRightInd w:val="0"/>
      <w:spacing w:line="360" w:lineRule="auto"/>
      <w:ind w:firstLine="420" w:firstLineChars="200"/>
      <w:jc w:val="left"/>
      <w:textAlignment w:val="baseline"/>
    </w:pPr>
    <w:rPr>
      <w:rFonts w:ascii="Verdana" w:hAnsi="Verdana"/>
      <w:spacing w:val="5"/>
      <w:kern w:val="21"/>
      <w:sz w:val="34"/>
    </w:rPr>
  </w:style>
  <w:style w:type="paragraph" w:customStyle="1" w:styleId="242">
    <w:name w:val="western"/>
    <w:basedOn w:val="1"/>
    <w:autoRedefine/>
    <w:qFormat/>
    <w:uiPriority w:val="0"/>
    <w:pPr>
      <w:widowControl/>
      <w:autoSpaceDE w:val="0"/>
      <w:autoSpaceDN w:val="0"/>
      <w:adjustRightInd w:val="0"/>
      <w:spacing w:before="100" w:beforeAutospacing="1" w:after="100" w:afterAutospacing="1"/>
      <w:jc w:val="left"/>
      <w:textAlignment w:val="baseline"/>
    </w:pPr>
    <w:rPr>
      <w:rFonts w:ascii="宋体" w:hAnsi="宋体" w:cs="宋体"/>
      <w:kern w:val="0"/>
      <w:sz w:val="24"/>
      <w:szCs w:val="20"/>
    </w:rPr>
  </w:style>
  <w:style w:type="paragraph" w:customStyle="1" w:styleId="243">
    <w:name w:val="默认段落字体 Para Char Char Char Char"/>
    <w:basedOn w:val="1"/>
    <w:autoRedefine/>
    <w:qFormat/>
    <w:uiPriority w:val="0"/>
    <w:rPr>
      <w:rFonts w:hAnsi="Calibri"/>
      <w:szCs w:val="24"/>
    </w:rPr>
  </w:style>
  <w:style w:type="paragraph" w:customStyle="1" w:styleId="244">
    <w:name w:val="font0"/>
    <w:basedOn w:val="1"/>
    <w:autoRedefine/>
    <w:qFormat/>
    <w:uiPriority w:val="0"/>
    <w:pPr>
      <w:widowControl/>
      <w:spacing w:before="100" w:beforeAutospacing="1" w:after="100" w:afterAutospacing="1"/>
      <w:jc w:val="left"/>
    </w:pPr>
    <w:rPr>
      <w:rFonts w:ascii="Calibri" w:hAnsi="宋体" w:cs="宋体"/>
      <w:kern w:val="0"/>
      <w:sz w:val="24"/>
      <w:szCs w:val="24"/>
    </w:rPr>
  </w:style>
  <w:style w:type="paragraph" w:customStyle="1" w:styleId="245">
    <w:name w:val="xl5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ascii="Calibri" w:hAnsi="宋体" w:cs="宋体"/>
      <w:kern w:val="0"/>
      <w:sz w:val="24"/>
      <w:szCs w:val="24"/>
    </w:rPr>
  </w:style>
  <w:style w:type="paragraph" w:customStyle="1" w:styleId="246">
    <w:name w:val="xl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宋体" w:cs="宋体"/>
      <w:kern w:val="0"/>
      <w:sz w:val="24"/>
      <w:szCs w:val="24"/>
    </w:rPr>
  </w:style>
  <w:style w:type="paragraph" w:customStyle="1" w:styleId="247">
    <w:name w:val="xl6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center"/>
    </w:pPr>
    <w:rPr>
      <w:rFonts w:ascii="Calibri" w:hAnsi="宋体" w:cs="宋体"/>
      <w:kern w:val="0"/>
      <w:sz w:val="24"/>
      <w:szCs w:val="24"/>
    </w:rPr>
  </w:style>
  <w:style w:type="paragraph" w:customStyle="1" w:styleId="248">
    <w:name w:val="xl6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center"/>
    </w:pPr>
    <w:rPr>
      <w:rFonts w:ascii="Calibri" w:hAnsi="宋体" w:cs="宋体"/>
      <w:kern w:val="0"/>
      <w:sz w:val="24"/>
      <w:szCs w:val="24"/>
    </w:rPr>
  </w:style>
  <w:style w:type="paragraph" w:customStyle="1" w:styleId="249">
    <w:name w:val="WPSOffice手动目录 2"/>
    <w:autoRedefine/>
    <w:qFormat/>
    <w:uiPriority w:val="0"/>
    <w:pPr>
      <w:ind w:left="200" w:leftChars="200"/>
    </w:pPr>
    <w:rPr>
      <w:rFonts w:ascii="Calibri" w:hAnsi="Calibri" w:eastAsia="宋体" w:cs="Times New Roman"/>
      <w:lang w:val="en-US" w:eastAsia="zh-CN" w:bidi="ar-SA"/>
    </w:rPr>
  </w:style>
  <w:style w:type="paragraph" w:customStyle="1" w:styleId="250">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宋体" w:cs="宋体"/>
      <w:kern w:val="0"/>
      <w:sz w:val="20"/>
      <w:szCs w:val="20"/>
    </w:rPr>
  </w:style>
  <w:style w:type="paragraph" w:customStyle="1" w:styleId="251">
    <w:name w:val="Char2 Char Char Char"/>
    <w:basedOn w:val="1"/>
    <w:autoRedefine/>
    <w:qFormat/>
    <w:uiPriority w:val="0"/>
    <w:pPr>
      <w:widowControl/>
      <w:spacing w:beforeLines="100" w:after="160" w:line="240" w:lineRule="exact"/>
      <w:jc w:val="left"/>
    </w:pPr>
    <w:rPr>
      <w:rFonts w:ascii="Verdana" w:hAnsi="Verdana"/>
      <w:kern w:val="0"/>
      <w:sz w:val="20"/>
      <w:szCs w:val="20"/>
      <w:lang w:eastAsia="en-US"/>
    </w:rPr>
  </w:style>
  <w:style w:type="paragraph" w:customStyle="1" w:styleId="252">
    <w:name w:val="xl56"/>
    <w:basedOn w:val="1"/>
    <w:autoRedefine/>
    <w:qFormat/>
    <w:uiPriority w:val="0"/>
    <w:pPr>
      <w:widowControl/>
      <w:shd w:val="clear" w:color="auto" w:fill="FFFFFF"/>
      <w:spacing w:before="100" w:beforeAutospacing="1" w:after="100" w:afterAutospacing="1"/>
      <w:jc w:val="left"/>
    </w:pPr>
    <w:rPr>
      <w:rFonts w:ascii="Calibri" w:hAnsi="宋体" w:cs="宋体"/>
      <w:kern w:val="0"/>
      <w:sz w:val="24"/>
      <w:szCs w:val="24"/>
    </w:rPr>
  </w:style>
  <w:style w:type="paragraph" w:customStyle="1" w:styleId="253">
    <w:name w:val="xl46"/>
    <w:basedOn w:val="1"/>
    <w:autoRedefine/>
    <w:qFormat/>
    <w:uiPriority w:val="0"/>
    <w:pPr>
      <w:widowControl/>
      <w:shd w:val="clear" w:color="auto" w:fill="FFFFFF"/>
      <w:spacing w:before="100" w:beforeAutospacing="1" w:after="100" w:afterAutospacing="1"/>
      <w:jc w:val="left"/>
    </w:pPr>
    <w:rPr>
      <w:rFonts w:ascii="Calibri" w:hAnsi="宋体" w:cs="宋体"/>
      <w:kern w:val="0"/>
      <w:sz w:val="24"/>
      <w:szCs w:val="24"/>
    </w:rPr>
  </w:style>
  <w:style w:type="paragraph" w:customStyle="1" w:styleId="254">
    <w:name w:val="xl5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Calibri" w:hAnsi="宋体" w:cs="宋体"/>
      <w:kern w:val="0"/>
      <w:sz w:val="24"/>
      <w:szCs w:val="24"/>
    </w:rPr>
  </w:style>
  <w:style w:type="paragraph" w:customStyle="1" w:styleId="255">
    <w:name w:val="样式K"/>
    <w:basedOn w:val="18"/>
    <w:autoRedefine/>
    <w:qFormat/>
    <w:uiPriority w:val="0"/>
    <w:pPr>
      <w:spacing w:after="0"/>
      <w:jc w:val="left"/>
    </w:pPr>
    <w:rPr>
      <w:rFonts w:ascii="仿宋_GB2312" w:hAnsi="Book Antiqua" w:eastAsia="仿宋_GB2312"/>
      <w:sz w:val="24"/>
      <w:szCs w:val="24"/>
    </w:rPr>
  </w:style>
  <w:style w:type="paragraph" w:customStyle="1" w:styleId="256">
    <w:name w:val="xl6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pPr>
    <w:rPr>
      <w:rFonts w:ascii="Calibri" w:hAnsi="宋体" w:cs="宋体"/>
      <w:kern w:val="0"/>
      <w:sz w:val="24"/>
      <w:szCs w:val="24"/>
    </w:rPr>
  </w:style>
  <w:style w:type="paragraph" w:customStyle="1" w:styleId="257">
    <w:name w:val="xl4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ascii="Calibri" w:hAnsi="宋体" w:cs="宋体"/>
      <w:kern w:val="0"/>
      <w:sz w:val="24"/>
      <w:szCs w:val="24"/>
    </w:rPr>
  </w:style>
  <w:style w:type="paragraph" w:customStyle="1" w:styleId="258">
    <w:name w:val="xl5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ascii="Calibri" w:hAnsi="宋体" w:cs="宋体"/>
      <w:kern w:val="0"/>
      <w:sz w:val="20"/>
      <w:szCs w:val="20"/>
    </w:rPr>
  </w:style>
  <w:style w:type="paragraph" w:customStyle="1" w:styleId="259">
    <w:name w:val="样式 样式 (符号) 宋体 小四 首行缩进:  0.85 厘米 段后: 6 磅 行距: 固定值 20 磅 + 首行缩进:  2 ..."/>
    <w:basedOn w:val="1"/>
    <w:autoRedefine/>
    <w:qFormat/>
    <w:uiPriority w:val="0"/>
    <w:pPr>
      <w:spacing w:line="360" w:lineRule="auto"/>
      <w:ind w:firstLine="560" w:firstLineChars="200"/>
    </w:pPr>
    <w:rPr>
      <w:rFonts w:ascii="仿宋_GB2312" w:hAnsi="宋体" w:eastAsia="仿宋_GB2312" w:cs="宋体"/>
      <w:kern w:val="24"/>
      <w:sz w:val="28"/>
      <w:szCs w:val="28"/>
    </w:rPr>
  </w:style>
  <w:style w:type="paragraph" w:customStyle="1" w:styleId="260">
    <w:name w:val="xl55"/>
    <w:basedOn w:val="1"/>
    <w:autoRedefine/>
    <w:qFormat/>
    <w:uiPriority w:val="0"/>
    <w:pPr>
      <w:widowControl/>
      <w:shd w:val="clear" w:color="auto" w:fill="FFFFFF"/>
      <w:spacing w:before="100" w:beforeAutospacing="1" w:after="100" w:afterAutospacing="1"/>
      <w:jc w:val="center"/>
      <w:textAlignment w:val="center"/>
    </w:pPr>
    <w:rPr>
      <w:rFonts w:hAnsi="Calibri"/>
      <w:kern w:val="0"/>
      <w:sz w:val="36"/>
      <w:szCs w:val="36"/>
    </w:rPr>
  </w:style>
  <w:style w:type="paragraph" w:customStyle="1" w:styleId="261">
    <w:name w:val="xl4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ascii="Calibri" w:hAnsi="宋体" w:cs="宋体"/>
      <w:kern w:val="0"/>
      <w:sz w:val="20"/>
      <w:szCs w:val="20"/>
    </w:rPr>
  </w:style>
  <w:style w:type="paragraph" w:customStyle="1" w:styleId="262">
    <w:name w:val="xl5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pPr>
    <w:rPr>
      <w:rFonts w:ascii="Calibri" w:hAnsi="宋体" w:cs="宋体"/>
      <w:kern w:val="0"/>
      <w:sz w:val="24"/>
      <w:szCs w:val="24"/>
    </w:rPr>
  </w:style>
  <w:style w:type="paragraph" w:customStyle="1" w:styleId="263">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宋体" w:cs="宋体"/>
      <w:kern w:val="0"/>
      <w:sz w:val="20"/>
      <w:szCs w:val="20"/>
    </w:rPr>
  </w:style>
  <w:style w:type="paragraph" w:customStyle="1" w:styleId="264">
    <w:name w:val="Table Paragraph"/>
    <w:basedOn w:val="1"/>
    <w:autoRedefine/>
    <w:qFormat/>
    <w:uiPriority w:val="0"/>
    <w:pPr>
      <w:autoSpaceDE w:val="0"/>
      <w:autoSpaceDN w:val="0"/>
      <w:adjustRightInd w:val="0"/>
      <w:jc w:val="left"/>
      <w:textAlignment w:val="baseline"/>
    </w:pPr>
    <w:rPr>
      <w:rFonts w:ascii="宋体" w:hAnsi="宋体" w:cs="宋体"/>
      <w:kern w:val="0"/>
      <w:sz w:val="34"/>
      <w:szCs w:val="20"/>
    </w:rPr>
  </w:style>
  <w:style w:type="paragraph" w:customStyle="1" w:styleId="265">
    <w:name w:val="标题 + 小二"/>
    <w:basedOn w:val="1"/>
    <w:autoRedefine/>
    <w:qFormat/>
    <w:uiPriority w:val="0"/>
    <w:pPr>
      <w:autoSpaceDE w:val="0"/>
      <w:autoSpaceDN w:val="0"/>
      <w:adjustRightInd w:val="0"/>
      <w:spacing w:afterLines="50" w:line="700" w:lineRule="exact"/>
      <w:jc w:val="center"/>
      <w:textAlignment w:val="baseline"/>
      <w:outlineLvl w:val="0"/>
    </w:pPr>
    <w:rPr>
      <w:rFonts w:ascii="Calibri" w:hAnsi="Calibri"/>
      <w:b/>
      <w:kern w:val="0"/>
      <w:sz w:val="36"/>
      <w:szCs w:val="36"/>
    </w:rPr>
  </w:style>
  <w:style w:type="paragraph" w:customStyle="1" w:styleId="266">
    <w:name w:val="xl4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Calibri" w:hAnsi="宋体" w:cs="宋体"/>
      <w:kern w:val="0"/>
      <w:sz w:val="24"/>
      <w:szCs w:val="24"/>
    </w:rPr>
  </w:style>
  <w:style w:type="paragraph" w:customStyle="1" w:styleId="267">
    <w:name w:val="?­£æ–‡æ–‡æœ¬"/>
    <w:basedOn w:val="1"/>
    <w:autoRedefine/>
    <w:qFormat/>
    <w:uiPriority w:val="0"/>
    <w:pPr>
      <w:autoSpaceDE w:val="0"/>
      <w:autoSpaceDN w:val="0"/>
      <w:adjustRightInd w:val="0"/>
      <w:spacing w:after="117"/>
    </w:pPr>
    <w:rPr>
      <w:rFonts w:ascii="Calibri" w:hAnsi="仿宋_GB2312" w:cs="宋体"/>
      <w:kern w:val="0"/>
      <w:sz w:val="20"/>
      <w:szCs w:val="20"/>
      <w:lang w:val="zh-CN"/>
    </w:rPr>
  </w:style>
  <w:style w:type="character" w:customStyle="1" w:styleId="268">
    <w:name w:val="icon_lzrz"/>
    <w:basedOn w:val="42"/>
    <w:autoRedefine/>
    <w:qFormat/>
    <w:uiPriority w:val="0"/>
  </w:style>
  <w:style w:type="character" w:customStyle="1" w:styleId="269">
    <w:name w:val="icon_gzkj"/>
    <w:basedOn w:val="42"/>
    <w:autoRedefine/>
    <w:qFormat/>
    <w:uiPriority w:val="0"/>
  </w:style>
  <w:style w:type="character" w:customStyle="1" w:styleId="270">
    <w:name w:val="icon_xzry"/>
    <w:basedOn w:val="42"/>
    <w:autoRedefine/>
    <w:qFormat/>
    <w:uiPriority w:val="0"/>
  </w:style>
  <w:style w:type="character" w:customStyle="1" w:styleId="271">
    <w:name w:val="icon_xglc"/>
    <w:basedOn w:val="42"/>
    <w:autoRedefine/>
    <w:qFormat/>
    <w:uiPriority w:val="0"/>
  </w:style>
  <w:style w:type="paragraph" w:customStyle="1" w:styleId="272">
    <w:name w:val="msonormal"/>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73">
    <w:name w:val="Table Text"/>
    <w:basedOn w:val="1"/>
    <w:autoRedefine/>
    <w:semiHidden/>
    <w:qFormat/>
    <w:uiPriority w:val="0"/>
    <w:rPr>
      <w:rFonts w:ascii="宋体" w:hAnsi="宋体" w:eastAsia="宋体" w:cs="宋体"/>
      <w:sz w:val="24"/>
      <w:szCs w:val="24"/>
      <w:lang w:val="en-US" w:eastAsia="en-US" w:bidi="ar-SA"/>
    </w:rPr>
  </w:style>
  <w:style w:type="table" w:customStyle="1" w:styleId="274">
    <w:name w:val="Table Normal"/>
    <w:autoRedefine/>
    <w:semiHidden/>
    <w:unhideWhenUsed/>
    <w:qFormat/>
    <w:uiPriority w:val="0"/>
    <w:tblPr>
      <w:tblCellMar>
        <w:top w:w="0" w:type="dxa"/>
        <w:left w:w="0" w:type="dxa"/>
        <w:bottom w:w="0" w:type="dxa"/>
        <w:right w:w="0" w:type="dxa"/>
      </w:tblCellMar>
    </w:tblPr>
  </w:style>
  <w:style w:type="character" w:customStyle="1" w:styleId="275">
    <w:name w:val="button"/>
    <w:basedOn w:val="42"/>
    <w:autoRedefine/>
    <w:qFormat/>
    <w:uiPriority w:val="0"/>
  </w:style>
  <w:style w:type="character" w:customStyle="1" w:styleId="276">
    <w:name w:val="tmpztreemove_arrow"/>
    <w:basedOn w:val="42"/>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7" Type="http://schemas.openxmlformats.org/officeDocument/2006/relationships/fontTable" Target="fontTable.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BEBFE6-AF15-4810-AF7B-C126AF66A3E2}">
  <ds:schemaRefs/>
</ds:datastoreItem>
</file>

<file path=docProps/app.xml><?xml version="1.0" encoding="utf-8"?>
<Properties xmlns="http://schemas.openxmlformats.org/officeDocument/2006/extended-properties" xmlns:vt="http://schemas.openxmlformats.org/officeDocument/2006/docPropsVTypes">
  <Template>Normal</Template>
  <Company>贵州恩方。毕节</Company>
  <Pages>71</Pages>
  <Words>9634</Words>
  <Characters>10255</Characters>
  <Lines>292</Lines>
  <Paragraphs>82</Paragraphs>
  <TotalTime>3</TotalTime>
  <ScaleCrop>false</ScaleCrop>
  <LinksUpToDate>false</LinksUpToDate>
  <CharactersWithSpaces>10424</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2022-11-04T09:31:00Z</dcterms:created>
  <dc:creator>贵州万和工程招标代理造价咨询有限责任公司:孔德</dc:creator>
  <cp:lastModifiedBy>辞别寒梅</cp:lastModifiedBy>
  <cp:lastPrinted>2025-06-18T09:24:00Z</cp:lastPrinted>
  <dcterms:modified xsi:type="dcterms:W3CDTF">2025-07-24T13:37:52Z</dcterms:modified>
  <dc:title>政府采购竞争性谈判文件</dc:title>
  <cp:revision>161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6D44D1E14DBD41B2AC5C003AEFE79CCD</vt:lpwstr>
  </property>
  <property fmtid="{D5CDD505-2E9C-101B-9397-08002B2CF9AE}" pid="4" name="KSOTemplateDocerSaveRecord">
    <vt:lpwstr>eyJoZGlkIjoiYWRmMzRhNzRlNmM4NDJjMDYyOTE4ZmZjZTU1MjE3MTQiLCJ1c2VySWQiOiIyOTk5NTAxNzUifQ==</vt:lpwstr>
  </property>
</Properties>
</file>